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BD37E">
      <w:pPr>
        <w:rPr>
          <w:rFonts w:ascii="宋体" w:hAnsi="宋体"/>
          <w:color w:val="auto"/>
        </w:rPr>
      </w:pPr>
    </w:p>
    <w:p w14:paraId="5F6C4B76">
      <w:pPr>
        <w:pStyle w:val="58"/>
        <w:ind w:firstLine="883"/>
        <w:rPr>
          <w:rFonts w:ascii="宋体" w:hAnsi="宋体" w:cs="宋体"/>
          <w:b/>
          <w:bCs/>
          <w:color w:val="auto"/>
          <w:sz w:val="44"/>
          <w:szCs w:val="44"/>
        </w:rPr>
      </w:pPr>
    </w:p>
    <w:p w14:paraId="20223A60">
      <w:pPr>
        <w:pStyle w:val="58"/>
        <w:rPr>
          <w:rFonts w:ascii="宋体" w:hAnsi="宋体"/>
          <w:color w:val="auto"/>
        </w:rPr>
      </w:pPr>
    </w:p>
    <w:p w14:paraId="6005483D">
      <w:pPr>
        <w:spacing w:line="360" w:lineRule="auto"/>
        <w:jc w:val="center"/>
        <w:rPr>
          <w:rFonts w:ascii="宋体" w:hAnsi="宋体" w:cs="宋体"/>
          <w:b/>
          <w:bCs/>
          <w:color w:val="auto"/>
          <w:sz w:val="48"/>
          <w:szCs w:val="48"/>
        </w:rPr>
      </w:pPr>
      <w:r>
        <w:rPr>
          <w:rFonts w:hint="eastAsia" w:ascii="宋体" w:hAnsi="宋体" w:cs="宋体"/>
          <w:b/>
          <w:bCs/>
          <w:color w:val="auto"/>
          <w:sz w:val="48"/>
          <w:szCs w:val="48"/>
          <w:lang w:val="en-US" w:eastAsia="zh-CN"/>
        </w:rPr>
        <w:t>襄城县颍桥回族镇人民政府2024年襄城县农村人居环境整治提升项目（颍桥回族镇建设街村工程）项目</w:t>
      </w:r>
      <w:r>
        <w:rPr>
          <w:rFonts w:hint="eastAsia" w:ascii="宋体" w:hAnsi="宋体" w:cs="宋体"/>
          <w:b/>
          <w:bCs/>
          <w:color w:val="auto"/>
          <w:sz w:val="48"/>
          <w:szCs w:val="48"/>
        </w:rPr>
        <w:t>（不见面开标）</w:t>
      </w:r>
    </w:p>
    <w:p w14:paraId="77C64FAA">
      <w:pPr>
        <w:adjustRightInd w:val="0"/>
        <w:snapToGrid w:val="0"/>
        <w:spacing w:line="276" w:lineRule="auto"/>
        <w:jc w:val="center"/>
        <w:rPr>
          <w:rFonts w:ascii="宋体" w:hAnsi="宋体" w:cs="仿宋"/>
          <w:b/>
          <w:color w:val="auto"/>
          <w:sz w:val="72"/>
          <w:szCs w:val="72"/>
        </w:rPr>
      </w:pPr>
    </w:p>
    <w:p w14:paraId="11D2FAA7">
      <w:pPr>
        <w:adjustRightInd w:val="0"/>
        <w:snapToGrid w:val="0"/>
        <w:spacing w:line="276" w:lineRule="auto"/>
        <w:jc w:val="center"/>
        <w:rPr>
          <w:rFonts w:ascii="宋体" w:hAnsi="宋体" w:cs="仿宋"/>
          <w:b/>
          <w:color w:val="auto"/>
          <w:sz w:val="28"/>
        </w:rPr>
      </w:pPr>
      <w:r>
        <w:rPr>
          <w:rFonts w:hint="eastAsia" w:ascii="宋体" w:hAnsi="宋体" w:cs="仿宋"/>
          <w:b/>
          <w:color w:val="auto"/>
          <w:sz w:val="72"/>
          <w:szCs w:val="72"/>
        </w:rPr>
        <w:t>竞争性磋商文件</w:t>
      </w:r>
    </w:p>
    <w:p w14:paraId="563AF79E">
      <w:pPr>
        <w:adjustRightInd w:val="0"/>
        <w:snapToGrid w:val="0"/>
        <w:spacing w:line="276" w:lineRule="auto"/>
        <w:rPr>
          <w:rFonts w:ascii="宋体" w:hAnsi="宋体" w:cs="仿宋"/>
          <w:b/>
          <w:bCs/>
          <w:color w:val="auto"/>
          <w:sz w:val="30"/>
          <w:szCs w:val="30"/>
        </w:rPr>
      </w:pPr>
    </w:p>
    <w:p w14:paraId="1E852093">
      <w:pPr>
        <w:adjustRightInd w:val="0"/>
        <w:snapToGrid w:val="0"/>
        <w:spacing w:line="276" w:lineRule="auto"/>
        <w:jc w:val="center"/>
        <w:rPr>
          <w:rFonts w:hint="default" w:ascii="宋体" w:hAnsi="宋体" w:cs="宋体"/>
          <w:color w:val="auto"/>
          <w:highlight w:val="none"/>
          <w:lang w:val="en-US"/>
        </w:rPr>
      </w:pPr>
      <w:r>
        <w:rPr>
          <w:rFonts w:hint="eastAsia" w:ascii="宋体" w:hAnsi="宋体" w:cs="宋体"/>
          <w:b/>
          <w:bCs/>
          <w:color w:val="auto"/>
          <w:sz w:val="30"/>
          <w:szCs w:val="30"/>
        </w:rPr>
        <w:t>项目编号：</w:t>
      </w:r>
      <w:r>
        <w:rPr>
          <w:rFonts w:hint="eastAsia" w:ascii="宋体" w:hAnsi="宋体" w:cs="宋体"/>
          <w:b/>
          <w:bCs/>
          <w:color w:val="auto"/>
          <w:sz w:val="30"/>
          <w:szCs w:val="30"/>
          <w:highlight w:val="none"/>
        </w:rPr>
        <w:t>襄财磋商采购-</w:t>
      </w:r>
      <w:r>
        <w:rPr>
          <w:rFonts w:hint="eastAsia" w:ascii="宋体" w:hAnsi="宋体" w:cs="宋体"/>
          <w:b/>
          <w:bCs/>
          <w:color w:val="auto"/>
          <w:sz w:val="30"/>
          <w:szCs w:val="30"/>
          <w:highlight w:val="none"/>
          <w:lang w:val="en-US" w:eastAsia="zh-CN"/>
        </w:rPr>
        <w:t>2025-7</w:t>
      </w:r>
    </w:p>
    <w:p w14:paraId="4ADFAEDB">
      <w:pPr>
        <w:rPr>
          <w:rFonts w:ascii="宋体" w:hAnsi="宋体" w:cs="宋体"/>
          <w:color w:val="auto"/>
        </w:rPr>
      </w:pPr>
    </w:p>
    <w:p w14:paraId="68AE3E84">
      <w:pPr>
        <w:rPr>
          <w:rFonts w:ascii="宋体" w:hAnsi="宋体" w:cs="宋体"/>
          <w:color w:val="auto"/>
        </w:rPr>
      </w:pPr>
    </w:p>
    <w:p w14:paraId="2B4789CD">
      <w:pPr>
        <w:rPr>
          <w:rFonts w:ascii="宋体" w:hAnsi="宋体" w:cs="宋体"/>
          <w:color w:val="auto"/>
        </w:rPr>
      </w:pPr>
    </w:p>
    <w:p w14:paraId="4919FB7A">
      <w:pPr>
        <w:rPr>
          <w:rFonts w:ascii="宋体" w:hAnsi="宋体" w:cs="宋体"/>
          <w:color w:val="auto"/>
        </w:rPr>
      </w:pPr>
    </w:p>
    <w:p w14:paraId="437E8357">
      <w:pPr>
        <w:rPr>
          <w:rFonts w:ascii="宋体" w:hAnsi="宋体" w:cs="宋体"/>
          <w:color w:val="auto"/>
        </w:rPr>
      </w:pPr>
    </w:p>
    <w:p w14:paraId="5C1799CF">
      <w:pPr>
        <w:autoSpaceDE w:val="0"/>
        <w:autoSpaceDN w:val="0"/>
        <w:adjustRightInd w:val="0"/>
        <w:spacing w:line="700" w:lineRule="exact"/>
        <w:rPr>
          <w:rFonts w:ascii="宋体" w:hAnsi="宋体" w:cs="仿宋"/>
          <w:b/>
          <w:bCs/>
          <w:color w:val="auto"/>
          <w:sz w:val="32"/>
          <w:szCs w:val="36"/>
        </w:rPr>
      </w:pPr>
    </w:p>
    <w:p w14:paraId="301CB5D9">
      <w:pPr>
        <w:autoSpaceDE w:val="0"/>
        <w:autoSpaceDN w:val="0"/>
        <w:adjustRightInd w:val="0"/>
        <w:spacing w:line="700" w:lineRule="exact"/>
        <w:rPr>
          <w:rFonts w:ascii="宋体" w:hAnsi="宋体" w:cs="仿宋"/>
          <w:b/>
          <w:bCs/>
          <w:color w:val="auto"/>
          <w:sz w:val="32"/>
          <w:szCs w:val="36"/>
        </w:rPr>
      </w:pPr>
    </w:p>
    <w:p w14:paraId="3BFA7806">
      <w:pPr>
        <w:autoSpaceDE w:val="0"/>
        <w:autoSpaceDN w:val="0"/>
        <w:adjustRightInd w:val="0"/>
        <w:spacing w:line="700" w:lineRule="exact"/>
        <w:rPr>
          <w:rFonts w:ascii="宋体" w:hAnsi="宋体" w:cs="仿宋"/>
          <w:b/>
          <w:bCs/>
          <w:color w:val="auto"/>
          <w:sz w:val="32"/>
          <w:szCs w:val="36"/>
        </w:rPr>
      </w:pPr>
    </w:p>
    <w:p w14:paraId="0DE8C9BA">
      <w:pPr>
        <w:autoSpaceDE w:val="0"/>
        <w:autoSpaceDN w:val="0"/>
        <w:adjustRightInd w:val="0"/>
        <w:spacing w:line="700" w:lineRule="exact"/>
        <w:jc w:val="center"/>
        <w:rPr>
          <w:rFonts w:hint="default" w:ascii="宋体" w:hAnsi="宋体" w:eastAsia="宋体" w:cs="仿宋"/>
          <w:b/>
          <w:bCs/>
          <w:color w:val="auto"/>
          <w:sz w:val="32"/>
          <w:szCs w:val="36"/>
          <w:lang w:val="en-US" w:eastAsia="zh-CN"/>
        </w:rPr>
      </w:pPr>
      <w:r>
        <w:rPr>
          <w:rFonts w:hint="eastAsia" w:ascii="宋体" w:hAnsi="宋体" w:cs="仿宋"/>
          <w:b/>
          <w:bCs/>
          <w:color w:val="auto"/>
          <w:sz w:val="32"/>
          <w:szCs w:val="36"/>
        </w:rPr>
        <w:t>采购单位：襄城县</w:t>
      </w:r>
      <w:r>
        <w:rPr>
          <w:rFonts w:hint="eastAsia" w:ascii="宋体" w:hAnsi="宋体" w:cs="仿宋"/>
          <w:b/>
          <w:bCs/>
          <w:color w:val="auto"/>
          <w:sz w:val="32"/>
          <w:szCs w:val="36"/>
          <w:lang w:val="en-US" w:eastAsia="zh-CN"/>
        </w:rPr>
        <w:t>颍桥回族镇人民政府</w:t>
      </w:r>
    </w:p>
    <w:p w14:paraId="5804DF0B">
      <w:pPr>
        <w:autoSpaceDE w:val="0"/>
        <w:autoSpaceDN w:val="0"/>
        <w:adjustRightInd w:val="0"/>
        <w:spacing w:line="700" w:lineRule="exact"/>
        <w:jc w:val="center"/>
        <w:rPr>
          <w:rFonts w:hint="default" w:ascii="宋体" w:hAnsi="宋体" w:eastAsia="宋体" w:cs="仿宋"/>
          <w:b/>
          <w:bCs/>
          <w:color w:val="auto"/>
          <w:sz w:val="32"/>
          <w:szCs w:val="36"/>
          <w:lang w:val="en-US" w:eastAsia="zh-CN"/>
        </w:rPr>
      </w:pPr>
      <w:r>
        <w:rPr>
          <w:rFonts w:hint="eastAsia" w:ascii="宋体" w:hAnsi="宋体" w:cs="仿宋"/>
          <w:b/>
          <w:bCs/>
          <w:color w:val="auto"/>
          <w:sz w:val="32"/>
          <w:szCs w:val="36"/>
        </w:rPr>
        <w:t>代理机构：</w:t>
      </w:r>
      <w:r>
        <w:rPr>
          <w:rFonts w:hint="eastAsia" w:ascii="宋体" w:hAnsi="宋体" w:cs="仿宋"/>
          <w:b/>
          <w:bCs/>
          <w:color w:val="auto"/>
          <w:sz w:val="32"/>
          <w:szCs w:val="36"/>
          <w:lang w:val="en-US" w:eastAsia="zh-CN"/>
        </w:rPr>
        <w:t>中世景弘工程项目管理有限公司</w:t>
      </w:r>
    </w:p>
    <w:p w14:paraId="13B62839">
      <w:pPr>
        <w:autoSpaceDE w:val="0"/>
        <w:autoSpaceDN w:val="0"/>
        <w:adjustRightInd w:val="0"/>
        <w:spacing w:line="700" w:lineRule="exact"/>
        <w:jc w:val="center"/>
        <w:rPr>
          <w:rFonts w:ascii="宋体" w:hAnsi="宋体" w:cs="仿宋"/>
          <w:b/>
          <w:bCs/>
          <w:color w:val="auto"/>
          <w:sz w:val="32"/>
          <w:szCs w:val="36"/>
        </w:rPr>
      </w:pPr>
      <w:r>
        <w:rPr>
          <w:rFonts w:hint="eastAsia" w:ascii="宋体" w:hAnsi="宋体" w:cs="仿宋"/>
          <w:b/>
          <w:bCs/>
          <w:color w:val="auto"/>
          <w:sz w:val="32"/>
          <w:szCs w:val="36"/>
        </w:rPr>
        <w:t>日   期：二〇二</w:t>
      </w:r>
      <w:r>
        <w:rPr>
          <w:rFonts w:hint="eastAsia" w:ascii="宋体" w:hAnsi="宋体" w:cs="仿宋"/>
          <w:b/>
          <w:bCs/>
          <w:color w:val="auto"/>
          <w:sz w:val="32"/>
          <w:szCs w:val="36"/>
          <w:lang w:val="en-US" w:eastAsia="zh-CN"/>
        </w:rPr>
        <w:t>五</w:t>
      </w:r>
      <w:r>
        <w:rPr>
          <w:rFonts w:hint="eastAsia" w:ascii="宋体" w:hAnsi="宋体" w:cs="仿宋"/>
          <w:b/>
          <w:bCs/>
          <w:color w:val="auto"/>
          <w:sz w:val="32"/>
          <w:szCs w:val="36"/>
        </w:rPr>
        <w:t>年</w:t>
      </w:r>
      <w:r>
        <w:rPr>
          <w:rFonts w:hint="eastAsia" w:ascii="宋体" w:hAnsi="宋体" w:cs="仿宋"/>
          <w:b/>
          <w:bCs/>
          <w:color w:val="auto"/>
          <w:sz w:val="32"/>
          <w:szCs w:val="36"/>
          <w:lang w:val="en-US" w:eastAsia="zh-CN"/>
        </w:rPr>
        <w:t>二</w:t>
      </w:r>
      <w:r>
        <w:rPr>
          <w:rFonts w:hint="eastAsia" w:ascii="宋体" w:hAnsi="宋体" w:cs="仿宋"/>
          <w:b/>
          <w:bCs/>
          <w:color w:val="auto"/>
          <w:sz w:val="32"/>
          <w:szCs w:val="36"/>
        </w:rPr>
        <w:t>月</w:t>
      </w:r>
    </w:p>
    <w:p w14:paraId="49C6AD1E">
      <w:pPr>
        <w:autoSpaceDE w:val="0"/>
        <w:autoSpaceDN w:val="0"/>
        <w:adjustRightInd w:val="0"/>
        <w:spacing w:line="360" w:lineRule="auto"/>
        <w:jc w:val="center"/>
        <w:rPr>
          <w:rFonts w:ascii="宋体" w:hAnsi="宋体"/>
          <w:b/>
          <w:bCs/>
          <w:color w:val="auto"/>
          <w:sz w:val="32"/>
          <w:szCs w:val="32"/>
        </w:rPr>
      </w:pPr>
    </w:p>
    <w:p w14:paraId="7C7FA6EF">
      <w:pPr>
        <w:rPr>
          <w:rFonts w:hint="eastAsia" w:ascii="宋体" w:hAnsi="宋体"/>
          <w:b/>
          <w:bCs/>
          <w:color w:val="auto"/>
          <w:sz w:val="32"/>
          <w:szCs w:val="32"/>
        </w:rPr>
      </w:pPr>
      <w:r>
        <w:rPr>
          <w:rFonts w:hint="eastAsia" w:ascii="宋体" w:hAnsi="宋体"/>
          <w:b/>
          <w:bCs/>
          <w:color w:val="auto"/>
          <w:sz w:val="32"/>
          <w:szCs w:val="32"/>
        </w:rPr>
        <w:br w:type="page"/>
      </w:r>
    </w:p>
    <w:p w14:paraId="0180657B">
      <w:pPr>
        <w:autoSpaceDE w:val="0"/>
        <w:autoSpaceDN w:val="0"/>
        <w:adjustRightInd w:val="0"/>
        <w:spacing w:line="360" w:lineRule="auto"/>
        <w:jc w:val="center"/>
        <w:rPr>
          <w:rFonts w:ascii="宋体" w:hAnsi="宋体"/>
          <w:b/>
          <w:bCs/>
          <w:color w:val="auto"/>
          <w:sz w:val="32"/>
          <w:szCs w:val="32"/>
        </w:rPr>
      </w:pPr>
      <w:r>
        <w:rPr>
          <w:rFonts w:hint="eastAsia" w:ascii="宋体" w:hAnsi="宋体"/>
          <w:b/>
          <w:bCs/>
          <w:color w:val="auto"/>
          <w:sz w:val="32"/>
          <w:szCs w:val="32"/>
        </w:rPr>
        <w:t>目    录</w:t>
      </w:r>
    </w:p>
    <w:p w14:paraId="6E758555">
      <w:pPr>
        <w:pStyle w:val="27"/>
        <w:tabs>
          <w:tab w:val="right" w:leader="dot" w:pos="8898"/>
        </w:tabs>
        <w:spacing w:line="560" w:lineRule="exact"/>
        <w:rPr>
          <w:rFonts w:ascii="宋体" w:hAnsi="宋体" w:cstheme="minorBidi"/>
          <w:color w:val="auto"/>
          <w:sz w:val="24"/>
          <w:szCs w:val="24"/>
        </w:rPr>
      </w:pPr>
      <w:r>
        <w:rPr>
          <w:rFonts w:hint="eastAsia" w:ascii="宋体" w:hAnsi="宋体"/>
          <w:color w:val="auto"/>
          <w:sz w:val="24"/>
          <w:szCs w:val="24"/>
        </w:rPr>
        <w:fldChar w:fldCharType="begin"/>
      </w:r>
      <w:r>
        <w:rPr>
          <w:rFonts w:hint="eastAsia" w:ascii="宋体" w:hAnsi="宋体"/>
          <w:color w:val="auto"/>
          <w:sz w:val="24"/>
          <w:szCs w:val="24"/>
        </w:rPr>
        <w:instrText xml:space="preserve"> TOC \o "1-2" \h \z \u </w:instrText>
      </w:r>
      <w:r>
        <w:rPr>
          <w:rFonts w:hint="eastAsia" w:ascii="宋体" w:hAnsi="宋体"/>
          <w:color w:val="auto"/>
          <w:sz w:val="24"/>
          <w:szCs w:val="24"/>
        </w:rPr>
        <w:fldChar w:fldCharType="separate"/>
      </w:r>
      <w:r>
        <w:rPr>
          <w:color w:val="auto"/>
        </w:rPr>
        <w:fldChar w:fldCharType="begin"/>
      </w:r>
      <w:r>
        <w:rPr>
          <w:color w:val="auto"/>
        </w:rPr>
        <w:instrText xml:space="preserve"> HYPERLINK "file:///C:\\Users\\Administrator\\Desktop\\7ea2d16dbbe347e7a9642bef572c7770.docx" \l "_Toc138068715" </w:instrText>
      </w:r>
      <w:r>
        <w:rPr>
          <w:color w:val="auto"/>
        </w:rPr>
        <w:fldChar w:fldCharType="separate"/>
      </w:r>
      <w:r>
        <w:rPr>
          <w:rStyle w:val="44"/>
          <w:rFonts w:hint="eastAsia" w:ascii="宋体" w:hAnsi="宋体"/>
          <w:color w:val="auto"/>
          <w:kern w:val="0"/>
          <w:sz w:val="24"/>
          <w:szCs w:val="24"/>
        </w:rPr>
        <w:t>第一章 磋商邀请</w:t>
      </w:r>
      <w:r>
        <w:rPr>
          <w:rStyle w:val="44"/>
          <w:rFonts w:hint="eastAsia" w:ascii="宋体" w:hAnsi="宋体"/>
          <w:color w:val="auto"/>
          <w:kern w:val="0"/>
          <w:sz w:val="24"/>
          <w:szCs w:val="24"/>
        </w:rPr>
        <w:fldChar w:fldCharType="end"/>
      </w:r>
    </w:p>
    <w:p w14:paraId="44508751">
      <w:pPr>
        <w:pStyle w:val="27"/>
        <w:tabs>
          <w:tab w:val="right" w:leader="dot" w:pos="8898"/>
        </w:tabs>
        <w:spacing w:line="560" w:lineRule="exact"/>
        <w:rPr>
          <w:rFonts w:ascii="宋体" w:hAnsi="宋体" w:cstheme="minorBidi"/>
          <w:color w:val="auto"/>
          <w:sz w:val="24"/>
          <w:szCs w:val="24"/>
        </w:rPr>
      </w:pPr>
      <w:r>
        <w:rPr>
          <w:color w:val="auto"/>
        </w:rPr>
        <w:fldChar w:fldCharType="begin"/>
      </w:r>
      <w:r>
        <w:rPr>
          <w:color w:val="auto"/>
        </w:rPr>
        <w:instrText xml:space="preserve"> HYPERLINK "file:///C:\\Users\\Administrator\\Desktop\\7ea2d16dbbe347e7a9642bef572c7770.docx" \l "_Toc138068716" </w:instrText>
      </w:r>
      <w:r>
        <w:rPr>
          <w:color w:val="auto"/>
        </w:rPr>
        <w:fldChar w:fldCharType="separate"/>
      </w:r>
      <w:r>
        <w:rPr>
          <w:rStyle w:val="44"/>
          <w:rFonts w:hint="eastAsia" w:ascii="宋体" w:hAnsi="宋体"/>
          <w:color w:val="auto"/>
          <w:kern w:val="0"/>
          <w:sz w:val="24"/>
          <w:szCs w:val="24"/>
        </w:rPr>
        <w:t>第二章 采购需求</w:t>
      </w:r>
      <w:r>
        <w:rPr>
          <w:rStyle w:val="44"/>
          <w:rFonts w:hint="eastAsia" w:ascii="宋体" w:hAnsi="宋体"/>
          <w:color w:val="auto"/>
          <w:kern w:val="0"/>
          <w:sz w:val="24"/>
          <w:szCs w:val="24"/>
        </w:rPr>
        <w:fldChar w:fldCharType="end"/>
      </w:r>
    </w:p>
    <w:p w14:paraId="02E1A764">
      <w:pPr>
        <w:pStyle w:val="27"/>
        <w:tabs>
          <w:tab w:val="right" w:leader="dot" w:pos="8898"/>
        </w:tabs>
        <w:spacing w:line="560" w:lineRule="exact"/>
        <w:rPr>
          <w:rFonts w:ascii="宋体" w:hAnsi="宋体" w:cstheme="minorBidi"/>
          <w:color w:val="auto"/>
          <w:sz w:val="24"/>
          <w:szCs w:val="24"/>
        </w:rPr>
      </w:pPr>
      <w:r>
        <w:rPr>
          <w:color w:val="auto"/>
        </w:rPr>
        <w:fldChar w:fldCharType="begin"/>
      </w:r>
      <w:r>
        <w:rPr>
          <w:color w:val="auto"/>
        </w:rPr>
        <w:instrText xml:space="preserve"> HYPERLINK "file:///C:\\Users\\Administrator\\Desktop\\7ea2d16dbbe347e7a9642bef572c7770.docx" \l "_Toc138068717" </w:instrText>
      </w:r>
      <w:r>
        <w:rPr>
          <w:color w:val="auto"/>
        </w:rPr>
        <w:fldChar w:fldCharType="separate"/>
      </w:r>
      <w:r>
        <w:rPr>
          <w:rStyle w:val="44"/>
          <w:rFonts w:hint="eastAsia" w:ascii="宋体" w:hAnsi="宋体"/>
          <w:color w:val="auto"/>
          <w:kern w:val="0"/>
          <w:sz w:val="24"/>
          <w:szCs w:val="24"/>
        </w:rPr>
        <w:t>第三章 供应商须知前附表</w:t>
      </w:r>
      <w:r>
        <w:rPr>
          <w:rStyle w:val="44"/>
          <w:rFonts w:hint="eastAsia" w:ascii="宋体" w:hAnsi="宋体"/>
          <w:color w:val="auto"/>
          <w:kern w:val="0"/>
          <w:sz w:val="24"/>
          <w:szCs w:val="24"/>
        </w:rPr>
        <w:fldChar w:fldCharType="end"/>
      </w:r>
    </w:p>
    <w:p w14:paraId="212F1036">
      <w:pPr>
        <w:pStyle w:val="27"/>
        <w:tabs>
          <w:tab w:val="right" w:leader="dot" w:pos="8898"/>
        </w:tabs>
        <w:spacing w:line="560" w:lineRule="exact"/>
        <w:rPr>
          <w:rFonts w:ascii="宋体" w:hAnsi="宋体" w:cstheme="minorBidi"/>
          <w:color w:val="auto"/>
          <w:sz w:val="24"/>
          <w:szCs w:val="24"/>
        </w:rPr>
      </w:pPr>
      <w:r>
        <w:rPr>
          <w:color w:val="auto"/>
        </w:rPr>
        <w:fldChar w:fldCharType="begin"/>
      </w:r>
      <w:r>
        <w:rPr>
          <w:color w:val="auto"/>
        </w:rPr>
        <w:instrText xml:space="preserve"> HYPERLINK "file:///C:\\Users\\Administrator\\Desktop\\7ea2d16dbbe347e7a9642bef572c7770.docx" \l "_Toc138068718" </w:instrText>
      </w:r>
      <w:r>
        <w:rPr>
          <w:color w:val="auto"/>
        </w:rPr>
        <w:fldChar w:fldCharType="separate"/>
      </w:r>
      <w:r>
        <w:rPr>
          <w:rStyle w:val="44"/>
          <w:rFonts w:hint="eastAsia" w:ascii="宋体" w:hAnsi="宋体"/>
          <w:color w:val="auto"/>
          <w:kern w:val="0"/>
          <w:sz w:val="24"/>
          <w:szCs w:val="24"/>
        </w:rPr>
        <w:t>第四章 供应商须知</w:t>
      </w:r>
      <w:r>
        <w:rPr>
          <w:rStyle w:val="44"/>
          <w:rFonts w:hint="eastAsia" w:ascii="宋体" w:hAnsi="宋体"/>
          <w:color w:val="auto"/>
          <w:kern w:val="0"/>
          <w:sz w:val="24"/>
          <w:szCs w:val="24"/>
        </w:rPr>
        <w:fldChar w:fldCharType="end"/>
      </w:r>
    </w:p>
    <w:p w14:paraId="19ED5A99">
      <w:pPr>
        <w:pStyle w:val="28"/>
        <w:tabs>
          <w:tab w:val="right" w:leader="dot" w:pos="8898"/>
        </w:tabs>
        <w:spacing w:line="560" w:lineRule="exact"/>
        <w:rPr>
          <w:rFonts w:ascii="宋体" w:hAnsi="宋体" w:cstheme="minorBidi"/>
          <w:i w:val="0"/>
          <w:iCs w:val="0"/>
          <w:color w:val="auto"/>
          <w:sz w:val="24"/>
        </w:rPr>
      </w:pPr>
      <w:r>
        <w:rPr>
          <w:color w:val="auto"/>
        </w:rPr>
        <w:fldChar w:fldCharType="begin"/>
      </w:r>
      <w:r>
        <w:rPr>
          <w:color w:val="auto"/>
        </w:rPr>
        <w:instrText xml:space="preserve"> HYPERLINK "file:///C:\\Users\\Administrator\\Desktop\\7ea2d16dbbe347e7a9642bef572c7770.docx" \l "_Toc138068719" </w:instrText>
      </w:r>
      <w:r>
        <w:rPr>
          <w:color w:val="auto"/>
        </w:rPr>
        <w:fldChar w:fldCharType="separate"/>
      </w:r>
      <w:r>
        <w:rPr>
          <w:rStyle w:val="44"/>
          <w:rFonts w:hint="eastAsia" w:ascii="宋体" w:hAnsi="宋体" w:cs="宋体"/>
          <w:i w:val="0"/>
          <w:color w:val="auto"/>
          <w:kern w:val="0"/>
          <w:sz w:val="24"/>
        </w:rPr>
        <w:t>一、概念释义</w:t>
      </w:r>
      <w:r>
        <w:rPr>
          <w:rStyle w:val="44"/>
          <w:rFonts w:hint="eastAsia" w:ascii="宋体" w:hAnsi="宋体" w:cs="宋体"/>
          <w:i w:val="0"/>
          <w:color w:val="auto"/>
          <w:kern w:val="0"/>
          <w:sz w:val="24"/>
        </w:rPr>
        <w:fldChar w:fldCharType="end"/>
      </w:r>
    </w:p>
    <w:p w14:paraId="1B1CACF3">
      <w:pPr>
        <w:pStyle w:val="28"/>
        <w:tabs>
          <w:tab w:val="right" w:leader="dot" w:pos="8898"/>
        </w:tabs>
        <w:spacing w:line="560" w:lineRule="exact"/>
        <w:rPr>
          <w:rFonts w:ascii="宋体" w:hAnsi="宋体" w:cstheme="minorBidi"/>
          <w:i w:val="0"/>
          <w:iCs w:val="0"/>
          <w:color w:val="auto"/>
          <w:sz w:val="24"/>
        </w:rPr>
      </w:pPr>
      <w:r>
        <w:rPr>
          <w:color w:val="auto"/>
        </w:rPr>
        <w:fldChar w:fldCharType="begin"/>
      </w:r>
      <w:r>
        <w:rPr>
          <w:color w:val="auto"/>
        </w:rPr>
        <w:instrText xml:space="preserve"> HYPERLINK "file:///C:\\Users\\Administrator\\Desktop\\7ea2d16dbbe347e7a9642bef572c7770.docx" \l "_Toc138068720" </w:instrText>
      </w:r>
      <w:r>
        <w:rPr>
          <w:color w:val="auto"/>
        </w:rPr>
        <w:fldChar w:fldCharType="separate"/>
      </w:r>
      <w:r>
        <w:rPr>
          <w:rStyle w:val="44"/>
          <w:rFonts w:hint="eastAsia" w:ascii="宋体" w:hAnsi="宋体" w:cs="宋体"/>
          <w:i w:val="0"/>
          <w:color w:val="auto"/>
          <w:kern w:val="0"/>
          <w:sz w:val="24"/>
        </w:rPr>
        <w:t>二、磋商文件说明</w:t>
      </w:r>
      <w:r>
        <w:rPr>
          <w:rStyle w:val="44"/>
          <w:rFonts w:hint="eastAsia" w:ascii="宋体" w:hAnsi="宋体" w:cs="宋体"/>
          <w:i w:val="0"/>
          <w:color w:val="auto"/>
          <w:kern w:val="0"/>
          <w:sz w:val="24"/>
        </w:rPr>
        <w:fldChar w:fldCharType="end"/>
      </w:r>
    </w:p>
    <w:p w14:paraId="5E677F02">
      <w:pPr>
        <w:pStyle w:val="28"/>
        <w:tabs>
          <w:tab w:val="right" w:leader="dot" w:pos="8898"/>
        </w:tabs>
        <w:spacing w:line="560" w:lineRule="exact"/>
        <w:rPr>
          <w:rFonts w:ascii="宋体" w:hAnsi="宋体" w:cstheme="minorBidi"/>
          <w:i w:val="0"/>
          <w:iCs w:val="0"/>
          <w:color w:val="auto"/>
          <w:sz w:val="24"/>
        </w:rPr>
      </w:pPr>
      <w:r>
        <w:rPr>
          <w:color w:val="auto"/>
        </w:rPr>
        <w:fldChar w:fldCharType="begin"/>
      </w:r>
      <w:r>
        <w:rPr>
          <w:color w:val="auto"/>
        </w:rPr>
        <w:instrText xml:space="preserve"> HYPERLINK "file:///C:\\Users\\Administrator\\Desktop\\7ea2d16dbbe347e7a9642bef572c7770.docx" \l "_Toc138068721" </w:instrText>
      </w:r>
      <w:r>
        <w:rPr>
          <w:color w:val="auto"/>
        </w:rPr>
        <w:fldChar w:fldCharType="separate"/>
      </w:r>
      <w:r>
        <w:rPr>
          <w:rStyle w:val="44"/>
          <w:rFonts w:hint="eastAsia" w:ascii="宋体" w:hAnsi="宋体" w:cs="宋体"/>
          <w:i w:val="0"/>
          <w:color w:val="auto"/>
          <w:kern w:val="0"/>
          <w:sz w:val="24"/>
        </w:rPr>
        <w:t>三、响应文件的编制</w:t>
      </w:r>
      <w:r>
        <w:rPr>
          <w:rStyle w:val="44"/>
          <w:rFonts w:hint="eastAsia" w:ascii="宋体" w:hAnsi="宋体" w:cs="宋体"/>
          <w:i w:val="0"/>
          <w:color w:val="auto"/>
          <w:kern w:val="0"/>
          <w:sz w:val="24"/>
        </w:rPr>
        <w:fldChar w:fldCharType="end"/>
      </w:r>
    </w:p>
    <w:p w14:paraId="1E39525F">
      <w:pPr>
        <w:pStyle w:val="28"/>
        <w:tabs>
          <w:tab w:val="right" w:leader="dot" w:pos="8898"/>
        </w:tabs>
        <w:spacing w:line="560" w:lineRule="exact"/>
        <w:rPr>
          <w:rFonts w:ascii="宋体" w:hAnsi="宋体" w:cstheme="minorBidi"/>
          <w:i w:val="0"/>
          <w:iCs w:val="0"/>
          <w:color w:val="auto"/>
          <w:sz w:val="24"/>
        </w:rPr>
      </w:pPr>
      <w:r>
        <w:rPr>
          <w:color w:val="auto"/>
        </w:rPr>
        <w:fldChar w:fldCharType="begin"/>
      </w:r>
      <w:r>
        <w:rPr>
          <w:color w:val="auto"/>
        </w:rPr>
        <w:instrText xml:space="preserve"> HYPERLINK "file:///C:\\Users\\Administrator\\Desktop\\7ea2d16dbbe347e7a9642bef572c7770.docx" \l "_Toc138068722" </w:instrText>
      </w:r>
      <w:r>
        <w:rPr>
          <w:color w:val="auto"/>
        </w:rPr>
        <w:fldChar w:fldCharType="separate"/>
      </w:r>
      <w:r>
        <w:rPr>
          <w:rStyle w:val="44"/>
          <w:rFonts w:hint="eastAsia" w:ascii="宋体" w:hAnsi="宋体" w:cs="宋体"/>
          <w:i w:val="0"/>
          <w:color w:val="auto"/>
          <w:kern w:val="0"/>
          <w:sz w:val="24"/>
        </w:rPr>
        <w:t>四、响应文件的提交</w:t>
      </w:r>
      <w:r>
        <w:rPr>
          <w:rStyle w:val="44"/>
          <w:rFonts w:hint="eastAsia" w:ascii="宋体" w:hAnsi="宋体" w:cs="宋体"/>
          <w:i w:val="0"/>
          <w:color w:val="auto"/>
          <w:kern w:val="0"/>
          <w:sz w:val="24"/>
        </w:rPr>
        <w:fldChar w:fldCharType="end"/>
      </w:r>
    </w:p>
    <w:p w14:paraId="5F0492D5">
      <w:pPr>
        <w:pStyle w:val="28"/>
        <w:tabs>
          <w:tab w:val="right" w:leader="dot" w:pos="8898"/>
        </w:tabs>
        <w:spacing w:line="560" w:lineRule="exact"/>
        <w:rPr>
          <w:rFonts w:ascii="宋体" w:hAnsi="宋体" w:cstheme="minorBidi"/>
          <w:i w:val="0"/>
          <w:iCs w:val="0"/>
          <w:color w:val="auto"/>
          <w:sz w:val="24"/>
        </w:rPr>
      </w:pPr>
      <w:r>
        <w:rPr>
          <w:color w:val="auto"/>
        </w:rPr>
        <w:fldChar w:fldCharType="begin"/>
      </w:r>
      <w:r>
        <w:rPr>
          <w:color w:val="auto"/>
        </w:rPr>
        <w:instrText xml:space="preserve"> HYPERLINK "file:///C:\\Users\\Administrator\\Desktop\\7ea2d16dbbe347e7a9642bef572c7770.docx" \l "_Toc138068723" </w:instrText>
      </w:r>
      <w:r>
        <w:rPr>
          <w:color w:val="auto"/>
        </w:rPr>
        <w:fldChar w:fldCharType="separate"/>
      </w:r>
      <w:r>
        <w:rPr>
          <w:rStyle w:val="44"/>
          <w:rFonts w:hint="eastAsia" w:ascii="宋体" w:hAnsi="宋体" w:cs="宋体"/>
          <w:i w:val="0"/>
          <w:color w:val="auto"/>
          <w:kern w:val="0"/>
          <w:sz w:val="24"/>
        </w:rPr>
        <w:t>五、响应文件开启和磋商</w:t>
      </w:r>
      <w:r>
        <w:rPr>
          <w:rStyle w:val="44"/>
          <w:rFonts w:hint="eastAsia" w:ascii="宋体" w:hAnsi="宋体" w:cs="宋体"/>
          <w:i w:val="0"/>
          <w:color w:val="auto"/>
          <w:kern w:val="0"/>
          <w:sz w:val="24"/>
        </w:rPr>
        <w:fldChar w:fldCharType="end"/>
      </w:r>
    </w:p>
    <w:p w14:paraId="2FBBB29F">
      <w:pPr>
        <w:pStyle w:val="28"/>
        <w:tabs>
          <w:tab w:val="right" w:leader="dot" w:pos="8898"/>
        </w:tabs>
        <w:spacing w:line="560" w:lineRule="exact"/>
        <w:rPr>
          <w:rFonts w:ascii="宋体" w:hAnsi="宋体" w:cstheme="minorBidi"/>
          <w:i w:val="0"/>
          <w:iCs w:val="0"/>
          <w:color w:val="auto"/>
          <w:sz w:val="24"/>
        </w:rPr>
      </w:pPr>
      <w:r>
        <w:rPr>
          <w:color w:val="auto"/>
        </w:rPr>
        <w:fldChar w:fldCharType="begin"/>
      </w:r>
      <w:r>
        <w:rPr>
          <w:color w:val="auto"/>
        </w:rPr>
        <w:instrText xml:space="preserve"> HYPERLINK "file:///C:\\Users\\Administrator\\Desktop\\7ea2d16dbbe347e7a9642bef572c7770.docx" \l "_Toc138068724" </w:instrText>
      </w:r>
      <w:r>
        <w:rPr>
          <w:color w:val="auto"/>
        </w:rPr>
        <w:fldChar w:fldCharType="separate"/>
      </w:r>
      <w:r>
        <w:rPr>
          <w:rStyle w:val="44"/>
          <w:rFonts w:hint="eastAsia" w:ascii="宋体" w:hAnsi="宋体" w:cs="宋体"/>
          <w:i w:val="0"/>
          <w:color w:val="auto"/>
          <w:kern w:val="0"/>
          <w:sz w:val="24"/>
        </w:rPr>
        <w:t>六、定标和授予合同</w:t>
      </w:r>
      <w:r>
        <w:rPr>
          <w:rStyle w:val="44"/>
          <w:rFonts w:hint="eastAsia" w:ascii="宋体" w:hAnsi="宋体" w:cs="宋体"/>
          <w:i w:val="0"/>
          <w:color w:val="auto"/>
          <w:kern w:val="0"/>
          <w:sz w:val="24"/>
        </w:rPr>
        <w:fldChar w:fldCharType="end"/>
      </w:r>
    </w:p>
    <w:p w14:paraId="7715E3A1">
      <w:pPr>
        <w:pStyle w:val="27"/>
        <w:tabs>
          <w:tab w:val="right" w:leader="dot" w:pos="8898"/>
        </w:tabs>
        <w:spacing w:line="560" w:lineRule="exact"/>
        <w:rPr>
          <w:rFonts w:ascii="宋体" w:hAnsi="宋体" w:cstheme="minorBidi"/>
          <w:color w:val="auto"/>
          <w:sz w:val="24"/>
          <w:szCs w:val="24"/>
        </w:rPr>
      </w:pPr>
      <w:r>
        <w:rPr>
          <w:color w:val="auto"/>
        </w:rPr>
        <w:fldChar w:fldCharType="begin"/>
      </w:r>
      <w:r>
        <w:rPr>
          <w:color w:val="auto"/>
        </w:rPr>
        <w:instrText xml:space="preserve"> HYPERLINK "file:///C:\\Users\\Administrator\\Desktop\\7ea2d16dbbe347e7a9642bef572c7770.docx" \l "_Toc138068725" </w:instrText>
      </w:r>
      <w:r>
        <w:rPr>
          <w:color w:val="auto"/>
        </w:rPr>
        <w:fldChar w:fldCharType="separate"/>
      </w:r>
      <w:r>
        <w:rPr>
          <w:rStyle w:val="44"/>
          <w:rFonts w:hint="eastAsia" w:ascii="宋体" w:hAnsi="宋体"/>
          <w:color w:val="auto"/>
          <w:kern w:val="0"/>
          <w:sz w:val="24"/>
          <w:szCs w:val="24"/>
        </w:rPr>
        <w:t>第五章 政府采购政策功能</w:t>
      </w:r>
      <w:r>
        <w:rPr>
          <w:rStyle w:val="44"/>
          <w:rFonts w:hint="eastAsia" w:ascii="宋体" w:hAnsi="宋体"/>
          <w:color w:val="auto"/>
          <w:kern w:val="0"/>
          <w:sz w:val="24"/>
          <w:szCs w:val="24"/>
        </w:rPr>
        <w:fldChar w:fldCharType="end"/>
      </w:r>
    </w:p>
    <w:p w14:paraId="35D7C4E1">
      <w:pPr>
        <w:pStyle w:val="27"/>
        <w:tabs>
          <w:tab w:val="right" w:leader="dot" w:pos="8898"/>
        </w:tabs>
        <w:spacing w:line="560" w:lineRule="exact"/>
        <w:rPr>
          <w:rFonts w:ascii="宋体" w:hAnsi="宋体" w:cstheme="minorBidi"/>
          <w:color w:val="auto"/>
          <w:sz w:val="24"/>
          <w:szCs w:val="24"/>
        </w:rPr>
      </w:pPr>
      <w:r>
        <w:rPr>
          <w:color w:val="auto"/>
        </w:rPr>
        <w:fldChar w:fldCharType="begin"/>
      </w:r>
      <w:r>
        <w:rPr>
          <w:color w:val="auto"/>
        </w:rPr>
        <w:instrText xml:space="preserve"> HYPERLINK "file:///C:\\Users\\Administrator\\Desktop\\7ea2d16dbbe347e7a9642bef572c7770.docx" \l "_Toc138068726" </w:instrText>
      </w:r>
      <w:r>
        <w:rPr>
          <w:color w:val="auto"/>
        </w:rPr>
        <w:fldChar w:fldCharType="separate"/>
      </w:r>
      <w:r>
        <w:rPr>
          <w:rStyle w:val="44"/>
          <w:rFonts w:hint="eastAsia" w:ascii="宋体" w:hAnsi="宋体"/>
          <w:color w:val="auto"/>
          <w:kern w:val="0"/>
          <w:sz w:val="24"/>
          <w:szCs w:val="24"/>
        </w:rPr>
        <w:t>第六章 对响应文件审查与评审</w:t>
      </w:r>
      <w:r>
        <w:rPr>
          <w:rStyle w:val="44"/>
          <w:rFonts w:hint="eastAsia" w:ascii="宋体" w:hAnsi="宋体"/>
          <w:color w:val="auto"/>
          <w:kern w:val="0"/>
          <w:sz w:val="24"/>
          <w:szCs w:val="24"/>
        </w:rPr>
        <w:fldChar w:fldCharType="end"/>
      </w:r>
    </w:p>
    <w:p w14:paraId="00B51400">
      <w:pPr>
        <w:pStyle w:val="27"/>
        <w:tabs>
          <w:tab w:val="right" w:leader="dot" w:pos="8898"/>
        </w:tabs>
        <w:spacing w:line="560" w:lineRule="exact"/>
        <w:rPr>
          <w:rFonts w:ascii="宋体" w:hAnsi="宋体" w:cstheme="minorBidi"/>
          <w:color w:val="auto"/>
          <w:sz w:val="24"/>
          <w:szCs w:val="24"/>
        </w:rPr>
      </w:pPr>
      <w:r>
        <w:rPr>
          <w:color w:val="auto"/>
        </w:rPr>
        <w:fldChar w:fldCharType="begin"/>
      </w:r>
      <w:r>
        <w:rPr>
          <w:color w:val="auto"/>
        </w:rPr>
        <w:instrText xml:space="preserve"> HYPERLINK "file:///C:\\Users\\Administrator\\Desktop\\7ea2d16dbbe347e7a9642bef572c7770.docx" \l "_Toc138068727" </w:instrText>
      </w:r>
      <w:r>
        <w:rPr>
          <w:color w:val="auto"/>
        </w:rPr>
        <w:fldChar w:fldCharType="separate"/>
      </w:r>
      <w:r>
        <w:rPr>
          <w:rStyle w:val="44"/>
          <w:rFonts w:hint="eastAsia" w:ascii="宋体" w:hAnsi="宋体"/>
          <w:color w:val="auto"/>
          <w:kern w:val="0"/>
          <w:sz w:val="24"/>
          <w:szCs w:val="24"/>
        </w:rPr>
        <w:t>第七章 合同条款及格式</w:t>
      </w:r>
      <w:r>
        <w:rPr>
          <w:rStyle w:val="44"/>
          <w:rFonts w:hint="eastAsia" w:ascii="宋体" w:hAnsi="宋体"/>
          <w:color w:val="auto"/>
          <w:kern w:val="0"/>
          <w:sz w:val="24"/>
          <w:szCs w:val="24"/>
        </w:rPr>
        <w:fldChar w:fldCharType="end"/>
      </w:r>
    </w:p>
    <w:p w14:paraId="7C5FA5F0">
      <w:pPr>
        <w:pStyle w:val="27"/>
        <w:tabs>
          <w:tab w:val="right" w:leader="dot" w:pos="8898"/>
        </w:tabs>
        <w:spacing w:line="560" w:lineRule="exact"/>
        <w:rPr>
          <w:rFonts w:ascii="宋体" w:hAnsi="宋体" w:cstheme="minorBidi"/>
          <w:color w:val="auto"/>
          <w:sz w:val="24"/>
          <w:szCs w:val="24"/>
        </w:rPr>
      </w:pPr>
      <w:r>
        <w:rPr>
          <w:color w:val="auto"/>
        </w:rPr>
        <w:fldChar w:fldCharType="begin"/>
      </w:r>
      <w:r>
        <w:rPr>
          <w:color w:val="auto"/>
        </w:rPr>
        <w:instrText xml:space="preserve"> HYPERLINK "file:///C:\\Users\\Administrator\\Desktop\\7ea2d16dbbe347e7a9642bef572c7770.docx" \l "_Toc138068728" </w:instrText>
      </w:r>
      <w:r>
        <w:rPr>
          <w:color w:val="auto"/>
        </w:rPr>
        <w:fldChar w:fldCharType="separate"/>
      </w:r>
      <w:r>
        <w:rPr>
          <w:rStyle w:val="44"/>
          <w:rFonts w:hint="eastAsia" w:ascii="宋体" w:hAnsi="宋体"/>
          <w:color w:val="auto"/>
          <w:kern w:val="0"/>
          <w:sz w:val="24"/>
          <w:szCs w:val="24"/>
        </w:rPr>
        <w:t>第八章 响应文件有关格式</w:t>
      </w:r>
      <w:r>
        <w:rPr>
          <w:rStyle w:val="44"/>
          <w:rFonts w:hint="eastAsia" w:ascii="宋体" w:hAnsi="宋体"/>
          <w:color w:val="auto"/>
          <w:kern w:val="0"/>
          <w:sz w:val="24"/>
          <w:szCs w:val="24"/>
        </w:rPr>
        <w:fldChar w:fldCharType="end"/>
      </w:r>
    </w:p>
    <w:p w14:paraId="05A29411">
      <w:pPr>
        <w:pStyle w:val="28"/>
        <w:tabs>
          <w:tab w:val="right" w:leader="dot" w:pos="8898"/>
        </w:tabs>
        <w:spacing w:line="560" w:lineRule="exact"/>
        <w:rPr>
          <w:rFonts w:ascii="宋体" w:hAnsi="宋体"/>
          <w:color w:val="auto"/>
        </w:rPr>
      </w:pPr>
      <w:r>
        <w:rPr>
          <w:rFonts w:hint="eastAsia" w:ascii="宋体" w:hAnsi="宋体"/>
          <w:i w:val="0"/>
          <w:color w:val="auto"/>
          <w:sz w:val="24"/>
        </w:rPr>
        <w:fldChar w:fldCharType="end"/>
      </w:r>
    </w:p>
    <w:p w14:paraId="137617FC">
      <w:pPr>
        <w:spacing w:line="360" w:lineRule="auto"/>
        <w:rPr>
          <w:rFonts w:ascii="宋体" w:hAnsi="宋体"/>
          <w:color w:val="auto"/>
        </w:rPr>
      </w:pPr>
      <w:r>
        <w:rPr>
          <w:rFonts w:hint="eastAsia" w:ascii="宋体" w:hAnsi="宋体" w:cs="宋体"/>
          <w:color w:val="auto"/>
          <w:spacing w:val="9"/>
          <w:sz w:val="31"/>
          <w:szCs w:val="31"/>
        </w:rPr>
        <w:br w:type="page"/>
      </w:r>
    </w:p>
    <w:p w14:paraId="5242361C">
      <w:pPr>
        <w:spacing w:line="360" w:lineRule="auto"/>
        <w:jc w:val="center"/>
        <w:outlineLvl w:val="0"/>
        <w:rPr>
          <w:rFonts w:ascii="宋体" w:hAnsi="宋体"/>
          <w:b/>
          <w:color w:val="auto"/>
          <w:kern w:val="0"/>
          <w:sz w:val="32"/>
          <w:szCs w:val="32"/>
        </w:rPr>
      </w:pPr>
      <w:bookmarkStart w:id="0" w:name="_Toc138068715"/>
      <w:r>
        <w:rPr>
          <w:rFonts w:hint="eastAsia" w:ascii="宋体" w:hAnsi="宋体"/>
          <w:b/>
          <w:color w:val="auto"/>
          <w:kern w:val="0"/>
          <w:sz w:val="32"/>
          <w:szCs w:val="32"/>
        </w:rPr>
        <w:t>第一章 磋商邀请</w:t>
      </w:r>
      <w:bookmarkEnd w:id="0"/>
    </w:p>
    <w:p w14:paraId="0187C57C">
      <w:pPr>
        <w:spacing w:line="360" w:lineRule="auto"/>
        <w:jc w:val="left"/>
        <w:rPr>
          <w:rFonts w:hint="eastAsia" w:ascii="宋体" w:hAnsi="宋体" w:eastAsia="宋体" w:cs="宋体"/>
          <w:b/>
          <w:color w:val="auto"/>
          <w:kern w:val="0"/>
          <w:sz w:val="24"/>
          <w:szCs w:val="24"/>
        </w:rPr>
      </w:pPr>
      <w:bookmarkStart w:id="1" w:name="OLE_LINK19"/>
      <w:bookmarkStart w:id="2" w:name="OLE_LINK20"/>
      <w:r>
        <w:rPr>
          <w:rFonts w:hint="eastAsia" w:ascii="宋体" w:hAnsi="宋体" w:eastAsia="宋体" w:cs="宋体"/>
          <w:b/>
          <w:color w:val="auto"/>
          <w:kern w:val="0"/>
          <w:sz w:val="24"/>
          <w:szCs w:val="24"/>
        </w:rPr>
        <w:t>项目概况：</w:t>
      </w:r>
    </w:p>
    <w:p w14:paraId="3588416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rPr>
        <w:t>“</w:t>
      </w:r>
      <w:r>
        <w:rPr>
          <w:rFonts w:hint="eastAsia" w:ascii="宋体" w:hAnsi="宋体" w:cs="宋体"/>
          <w:bCs/>
          <w:color w:val="auto"/>
          <w:kern w:val="0"/>
          <w:sz w:val="24"/>
          <w:szCs w:val="24"/>
          <w:lang w:val="en-US" w:eastAsia="zh-CN"/>
        </w:rPr>
        <w:t>襄城县颍桥回族镇人民政府2024年襄城县农村人居环境整治提升项目（颍桥回族镇建设街村工程）项目</w:t>
      </w:r>
      <w:r>
        <w:rPr>
          <w:rFonts w:hint="eastAsia" w:ascii="宋体" w:hAnsi="宋体" w:eastAsia="宋体" w:cs="宋体"/>
          <w:bCs/>
          <w:color w:val="auto"/>
          <w:kern w:val="0"/>
          <w:sz w:val="24"/>
          <w:szCs w:val="24"/>
        </w:rPr>
        <w:t>”的潜在投标人应在《全国公共资源交易平台（河南省·许昌市）》（http://117.159.53.11:60632/）获取招标文件，</w:t>
      </w:r>
      <w:r>
        <w:rPr>
          <w:rFonts w:hint="eastAsia" w:ascii="宋体" w:hAnsi="宋体" w:eastAsia="宋体" w:cs="宋体"/>
          <w:b/>
          <w:bCs w:val="0"/>
          <w:color w:val="auto"/>
          <w:kern w:val="0"/>
          <w:sz w:val="24"/>
          <w:szCs w:val="24"/>
          <w:highlight w:val="none"/>
        </w:rPr>
        <w:t>并于202</w:t>
      </w:r>
      <w:r>
        <w:rPr>
          <w:rFonts w:hint="eastAsia" w:ascii="宋体" w:hAnsi="宋体" w:eastAsia="宋体" w:cs="宋体"/>
          <w:b/>
          <w:bCs w:val="0"/>
          <w:color w:val="auto"/>
          <w:kern w:val="0"/>
          <w:sz w:val="24"/>
          <w:szCs w:val="24"/>
          <w:highlight w:val="none"/>
          <w:lang w:val="en-US" w:eastAsia="zh-CN"/>
        </w:rPr>
        <w:t>5</w:t>
      </w:r>
      <w:r>
        <w:rPr>
          <w:rFonts w:hint="eastAsia" w:ascii="宋体" w:hAnsi="宋体" w:eastAsia="宋体" w:cs="宋体"/>
          <w:b/>
          <w:bCs w:val="0"/>
          <w:color w:val="auto"/>
          <w:kern w:val="0"/>
          <w:sz w:val="24"/>
          <w:szCs w:val="24"/>
          <w:highlight w:val="none"/>
        </w:rPr>
        <w:t>年</w:t>
      </w:r>
      <w:r>
        <w:rPr>
          <w:rFonts w:hint="eastAsia" w:ascii="宋体" w:hAnsi="宋体" w:cs="宋体"/>
          <w:b/>
          <w:bCs w:val="0"/>
          <w:color w:val="auto"/>
          <w:kern w:val="0"/>
          <w:sz w:val="24"/>
          <w:szCs w:val="24"/>
          <w:highlight w:val="none"/>
          <w:lang w:val="en-US" w:eastAsia="zh-CN"/>
        </w:rPr>
        <w:t>02</w:t>
      </w:r>
      <w:r>
        <w:rPr>
          <w:rFonts w:hint="eastAsia" w:ascii="宋体" w:hAnsi="宋体" w:eastAsia="宋体" w:cs="宋体"/>
          <w:b/>
          <w:bCs w:val="0"/>
          <w:color w:val="auto"/>
          <w:kern w:val="0"/>
          <w:sz w:val="24"/>
          <w:szCs w:val="24"/>
          <w:highlight w:val="none"/>
        </w:rPr>
        <w:t>月</w:t>
      </w:r>
      <w:r>
        <w:rPr>
          <w:rFonts w:hint="eastAsia" w:ascii="宋体" w:hAnsi="宋体" w:cs="宋体"/>
          <w:b/>
          <w:bCs w:val="0"/>
          <w:color w:val="auto"/>
          <w:kern w:val="0"/>
          <w:sz w:val="24"/>
          <w:szCs w:val="24"/>
          <w:highlight w:val="none"/>
          <w:lang w:val="en-US" w:eastAsia="zh-CN"/>
        </w:rPr>
        <w:t>25</w:t>
      </w:r>
      <w:r>
        <w:rPr>
          <w:rFonts w:hint="eastAsia" w:ascii="宋体" w:hAnsi="宋体" w:eastAsia="宋体" w:cs="宋体"/>
          <w:b/>
          <w:bCs w:val="0"/>
          <w:color w:val="auto"/>
          <w:kern w:val="0"/>
          <w:sz w:val="24"/>
          <w:szCs w:val="24"/>
          <w:highlight w:val="none"/>
        </w:rPr>
        <w:t>日09时</w:t>
      </w:r>
      <w:r>
        <w:rPr>
          <w:rFonts w:hint="eastAsia" w:ascii="宋体" w:hAnsi="宋体" w:eastAsia="宋体" w:cs="宋体"/>
          <w:b/>
          <w:bCs w:val="0"/>
          <w:color w:val="auto"/>
          <w:kern w:val="0"/>
          <w:sz w:val="24"/>
          <w:szCs w:val="24"/>
          <w:highlight w:val="none"/>
          <w:lang w:val="en-US" w:eastAsia="zh-CN"/>
        </w:rPr>
        <w:t>0</w:t>
      </w:r>
      <w:r>
        <w:rPr>
          <w:rFonts w:hint="eastAsia" w:ascii="宋体" w:hAnsi="宋体" w:eastAsia="宋体" w:cs="宋体"/>
          <w:b/>
          <w:bCs w:val="0"/>
          <w:color w:val="auto"/>
          <w:kern w:val="0"/>
          <w:sz w:val="24"/>
          <w:szCs w:val="24"/>
          <w:highlight w:val="none"/>
        </w:rPr>
        <w:t>0分</w:t>
      </w:r>
      <w:r>
        <w:rPr>
          <w:rFonts w:hint="eastAsia" w:ascii="宋体" w:hAnsi="宋体" w:eastAsia="宋体" w:cs="宋体"/>
          <w:bCs/>
          <w:color w:val="auto"/>
          <w:kern w:val="0"/>
          <w:sz w:val="24"/>
          <w:szCs w:val="24"/>
          <w:highlight w:val="none"/>
        </w:rPr>
        <w:t>（北京时间）前递交响应文件。</w:t>
      </w:r>
    </w:p>
    <w:p w14:paraId="203B03AC">
      <w:pPr>
        <w:spacing w:line="360" w:lineRule="auto"/>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一、项目基本情况</w:t>
      </w:r>
    </w:p>
    <w:p w14:paraId="10A74E9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rPr>
        <w:t>1、项目编号：襄财磋商采购-</w:t>
      </w:r>
      <w:r>
        <w:rPr>
          <w:rFonts w:hint="eastAsia" w:ascii="宋体" w:hAnsi="宋体" w:cs="宋体"/>
          <w:bCs/>
          <w:color w:val="auto"/>
          <w:kern w:val="0"/>
          <w:sz w:val="24"/>
          <w:szCs w:val="24"/>
          <w:lang w:eastAsia="zh-CN"/>
        </w:rPr>
        <w:t>2025-7</w:t>
      </w:r>
    </w:p>
    <w:p w14:paraId="25E605B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2、项目名称：</w:t>
      </w:r>
      <w:r>
        <w:rPr>
          <w:rFonts w:hint="eastAsia" w:ascii="宋体" w:hAnsi="宋体" w:cs="宋体"/>
          <w:bCs/>
          <w:color w:val="auto"/>
          <w:kern w:val="0"/>
          <w:sz w:val="24"/>
          <w:szCs w:val="24"/>
          <w:lang w:val="en-US" w:eastAsia="zh-CN"/>
        </w:rPr>
        <w:t>襄城县颍桥回族镇人民政府2024年襄城县农村人居环境整治提升项目（颍桥回族镇建设街村工程）项目</w:t>
      </w:r>
    </w:p>
    <w:p w14:paraId="668A624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3、采购方式：竞争性磋商</w:t>
      </w:r>
    </w:p>
    <w:p w14:paraId="63E76E5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4、预算金额：</w:t>
      </w:r>
      <w:r>
        <w:rPr>
          <w:rFonts w:hint="eastAsia" w:ascii="宋体" w:hAnsi="宋体" w:eastAsia="宋体" w:cs="宋体"/>
          <w:bCs/>
          <w:color w:val="auto"/>
          <w:kern w:val="0"/>
          <w:sz w:val="24"/>
          <w:szCs w:val="24"/>
          <w:lang w:val="en-US" w:eastAsia="zh-CN"/>
        </w:rPr>
        <w:t>2432200.01</w:t>
      </w:r>
      <w:r>
        <w:rPr>
          <w:rFonts w:hint="eastAsia" w:ascii="宋体" w:hAnsi="宋体" w:eastAsia="宋体" w:cs="宋体"/>
          <w:bCs/>
          <w:color w:val="auto"/>
          <w:kern w:val="0"/>
          <w:sz w:val="24"/>
          <w:szCs w:val="24"/>
        </w:rPr>
        <w:t>元；最高限价：</w:t>
      </w:r>
      <w:r>
        <w:rPr>
          <w:rFonts w:hint="eastAsia" w:ascii="宋体" w:hAnsi="宋体" w:eastAsia="宋体" w:cs="宋体"/>
          <w:bCs/>
          <w:color w:val="auto"/>
          <w:kern w:val="0"/>
          <w:sz w:val="24"/>
          <w:szCs w:val="24"/>
          <w:lang w:val="en-US" w:eastAsia="zh-CN"/>
        </w:rPr>
        <w:t>2432200.01</w:t>
      </w:r>
      <w:r>
        <w:rPr>
          <w:rFonts w:hint="eastAsia" w:ascii="宋体" w:hAnsi="宋体" w:eastAsia="宋体" w:cs="宋体"/>
          <w:bCs/>
          <w:color w:val="auto"/>
          <w:kern w:val="0"/>
          <w:sz w:val="24"/>
          <w:szCs w:val="24"/>
        </w:rPr>
        <w:t>元</w:t>
      </w:r>
    </w:p>
    <w:tbl>
      <w:tblPr>
        <w:tblStyle w:val="34"/>
        <w:tblW w:w="4998" w:type="pct"/>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02"/>
        <w:gridCol w:w="3117"/>
        <w:gridCol w:w="1195"/>
        <w:gridCol w:w="1786"/>
        <w:gridCol w:w="2378"/>
      </w:tblGrid>
      <w:tr w14:paraId="0536D1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0" w:hRule="atLeast"/>
          <w:tblCellSpacing w:w="0" w:type="dxa"/>
          <w:jc w:val="center"/>
        </w:trPr>
        <w:tc>
          <w:tcPr>
            <w:tcW w:w="332" w:type="pct"/>
            <w:tcBorders>
              <w:tl2br w:val="nil"/>
              <w:tr2bl w:val="nil"/>
            </w:tcBorders>
            <w:shd w:val="clear" w:color="auto" w:fill="auto"/>
            <w:vAlign w:val="bottom"/>
          </w:tcPr>
          <w:p w14:paraId="546CA1FF">
            <w:pPr>
              <w:widowControl/>
              <w:spacing w:line="432"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序号</w:t>
            </w:r>
          </w:p>
        </w:tc>
        <w:tc>
          <w:tcPr>
            <w:tcW w:w="1716" w:type="pct"/>
            <w:tcBorders>
              <w:tl2br w:val="nil"/>
              <w:tr2bl w:val="nil"/>
            </w:tcBorders>
            <w:shd w:val="clear" w:color="auto" w:fill="auto"/>
            <w:vAlign w:val="bottom"/>
          </w:tcPr>
          <w:p w14:paraId="0E7BC21A">
            <w:pPr>
              <w:widowControl/>
              <w:spacing w:line="432"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包号</w:t>
            </w:r>
          </w:p>
        </w:tc>
        <w:tc>
          <w:tcPr>
            <w:tcW w:w="658" w:type="pct"/>
            <w:tcBorders>
              <w:tl2br w:val="nil"/>
              <w:tr2bl w:val="nil"/>
            </w:tcBorders>
            <w:shd w:val="clear" w:color="auto" w:fill="auto"/>
            <w:vAlign w:val="bottom"/>
          </w:tcPr>
          <w:p w14:paraId="10367674">
            <w:pPr>
              <w:widowControl/>
              <w:spacing w:line="432"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包名称</w:t>
            </w:r>
          </w:p>
        </w:tc>
        <w:tc>
          <w:tcPr>
            <w:tcW w:w="983" w:type="pct"/>
            <w:tcBorders>
              <w:tl2br w:val="nil"/>
              <w:tr2bl w:val="nil"/>
            </w:tcBorders>
            <w:shd w:val="clear" w:color="auto" w:fill="auto"/>
            <w:vAlign w:val="bottom"/>
          </w:tcPr>
          <w:p w14:paraId="30B1E93D">
            <w:pPr>
              <w:widowControl/>
              <w:spacing w:line="432"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包预算（元）</w:t>
            </w:r>
          </w:p>
        </w:tc>
        <w:tc>
          <w:tcPr>
            <w:tcW w:w="1309" w:type="pct"/>
            <w:tcBorders>
              <w:tl2br w:val="nil"/>
              <w:tr2bl w:val="nil"/>
            </w:tcBorders>
            <w:shd w:val="clear" w:color="auto" w:fill="auto"/>
            <w:vAlign w:val="bottom"/>
          </w:tcPr>
          <w:p w14:paraId="6209C719">
            <w:pPr>
              <w:widowControl/>
              <w:spacing w:line="432"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包最高限价（元）</w:t>
            </w:r>
          </w:p>
        </w:tc>
      </w:tr>
      <w:tr w14:paraId="19E090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30" w:hRule="atLeast"/>
          <w:tblCellSpacing w:w="0" w:type="dxa"/>
          <w:jc w:val="center"/>
        </w:trPr>
        <w:tc>
          <w:tcPr>
            <w:tcW w:w="332" w:type="pct"/>
            <w:tcBorders>
              <w:tl2br w:val="nil"/>
              <w:tr2bl w:val="nil"/>
            </w:tcBorders>
            <w:shd w:val="clear" w:color="auto" w:fill="auto"/>
            <w:vAlign w:val="center"/>
          </w:tcPr>
          <w:p w14:paraId="1F176857">
            <w:pPr>
              <w:widowControl/>
              <w:spacing w:line="432"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1716" w:type="pct"/>
            <w:tcBorders>
              <w:tl2br w:val="nil"/>
              <w:tr2bl w:val="nil"/>
            </w:tcBorders>
            <w:shd w:val="clear" w:color="auto" w:fill="auto"/>
            <w:vAlign w:val="center"/>
          </w:tcPr>
          <w:p w14:paraId="1CD5663E">
            <w:pPr>
              <w:widowControl/>
              <w:spacing w:line="43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襄财磋商采购-</w:t>
            </w:r>
            <w:r>
              <w:rPr>
                <w:rFonts w:hint="eastAsia" w:ascii="宋体" w:hAnsi="宋体" w:cs="宋体"/>
                <w:color w:val="auto"/>
                <w:sz w:val="24"/>
                <w:szCs w:val="24"/>
                <w:lang w:eastAsia="zh-CN"/>
              </w:rPr>
              <w:t>2025-7</w:t>
            </w:r>
            <w:r>
              <w:rPr>
                <w:rFonts w:hint="eastAsia" w:ascii="宋体" w:hAnsi="宋体" w:eastAsia="宋体" w:cs="宋体"/>
                <w:color w:val="auto"/>
                <w:sz w:val="24"/>
                <w:szCs w:val="24"/>
                <w:highlight w:val="none"/>
                <w:shd w:val="clear"/>
              </w:rPr>
              <w:t>-1</w:t>
            </w:r>
          </w:p>
        </w:tc>
        <w:tc>
          <w:tcPr>
            <w:tcW w:w="658" w:type="pct"/>
            <w:tcBorders>
              <w:tl2br w:val="nil"/>
              <w:tr2bl w:val="nil"/>
            </w:tcBorders>
            <w:shd w:val="clear" w:color="auto" w:fill="auto"/>
            <w:vAlign w:val="center"/>
          </w:tcPr>
          <w:p w14:paraId="7B502E7A">
            <w:pPr>
              <w:widowControl/>
              <w:spacing w:line="43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第一标段</w:t>
            </w:r>
          </w:p>
        </w:tc>
        <w:tc>
          <w:tcPr>
            <w:tcW w:w="983" w:type="pct"/>
            <w:tcBorders>
              <w:tl2br w:val="nil"/>
              <w:tr2bl w:val="nil"/>
            </w:tcBorders>
            <w:shd w:val="clear" w:color="auto" w:fill="auto"/>
            <w:vAlign w:val="center"/>
          </w:tcPr>
          <w:p w14:paraId="0B6794E1">
            <w:pPr>
              <w:widowControl/>
              <w:spacing w:line="432"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2432200.01</w:t>
            </w:r>
          </w:p>
        </w:tc>
        <w:tc>
          <w:tcPr>
            <w:tcW w:w="1309" w:type="pct"/>
            <w:tcBorders>
              <w:tl2br w:val="nil"/>
              <w:tr2bl w:val="nil"/>
            </w:tcBorders>
            <w:shd w:val="clear" w:color="auto" w:fill="auto"/>
            <w:vAlign w:val="center"/>
          </w:tcPr>
          <w:p w14:paraId="585C3FEB">
            <w:pPr>
              <w:widowControl/>
              <w:spacing w:line="432"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2432200.01</w:t>
            </w:r>
          </w:p>
        </w:tc>
      </w:tr>
    </w:tbl>
    <w:p w14:paraId="56E983D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lang w:val="en-US" w:eastAsia="zh-CN"/>
        </w:rPr>
        <w:t>5、</w:t>
      </w:r>
      <w:r>
        <w:rPr>
          <w:rFonts w:hint="eastAsia" w:ascii="宋体" w:hAnsi="宋体" w:eastAsia="宋体" w:cs="宋体"/>
          <w:bCs/>
          <w:color w:val="auto"/>
          <w:kern w:val="0"/>
          <w:sz w:val="24"/>
          <w:szCs w:val="24"/>
        </w:rPr>
        <w:t>采购需求（包括但不限于标的的名称、数量、简要技术需求或服务要求等）本项目主要包括以下部分：</w:t>
      </w:r>
      <w:r>
        <w:rPr>
          <w:rFonts w:hint="eastAsia" w:ascii="宋体" w:hAnsi="宋体" w:cs="宋体"/>
          <w:bCs/>
          <w:color w:val="auto"/>
          <w:kern w:val="0"/>
          <w:sz w:val="24"/>
          <w:szCs w:val="24"/>
          <w:lang w:val="en-US" w:eastAsia="zh-CN"/>
        </w:rPr>
        <w:t>襄城县颍桥回族镇人民政府2024年襄城县农村人居环境整治提升项目（颍桥回族镇建设街村工程）项目</w:t>
      </w:r>
      <w:r>
        <w:rPr>
          <w:rFonts w:hint="eastAsia" w:ascii="宋体" w:hAnsi="宋体" w:eastAsia="宋体" w:cs="宋体"/>
          <w:bCs/>
          <w:color w:val="auto"/>
          <w:kern w:val="0"/>
          <w:sz w:val="24"/>
          <w:szCs w:val="24"/>
        </w:rPr>
        <w:t>（具体详见采购清单）</w:t>
      </w:r>
    </w:p>
    <w:p w14:paraId="2F9243D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6、合同履行期限：自合同生效之日起</w:t>
      </w:r>
      <w:r>
        <w:rPr>
          <w:rFonts w:hint="eastAsia" w:ascii="宋体" w:hAnsi="宋体" w:eastAsia="宋体" w:cs="宋体"/>
          <w:bCs/>
          <w:color w:val="auto"/>
          <w:kern w:val="0"/>
          <w:sz w:val="24"/>
          <w:szCs w:val="24"/>
          <w:lang w:val="en-US" w:eastAsia="zh-CN"/>
        </w:rPr>
        <w:t>70</w:t>
      </w:r>
      <w:r>
        <w:rPr>
          <w:rFonts w:hint="eastAsia" w:ascii="宋体" w:hAnsi="宋体" w:eastAsia="宋体" w:cs="宋体"/>
          <w:bCs/>
          <w:color w:val="auto"/>
          <w:kern w:val="0"/>
          <w:sz w:val="24"/>
          <w:szCs w:val="24"/>
        </w:rPr>
        <w:t>日历天。</w:t>
      </w:r>
    </w:p>
    <w:p w14:paraId="587B15A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7、本项目是否接受联合体投标：否</w:t>
      </w:r>
    </w:p>
    <w:p w14:paraId="2826622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8、是否接受进口产品：否</w:t>
      </w:r>
    </w:p>
    <w:p w14:paraId="784648F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9、是否专门面向中小企业：是</w:t>
      </w:r>
    </w:p>
    <w:p w14:paraId="1F4140A8">
      <w:pPr>
        <w:spacing w:line="360" w:lineRule="auto"/>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二、申请人资格要求</w:t>
      </w:r>
    </w:p>
    <w:p w14:paraId="708640A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1、满足《中华人民共和国政府采购法》第二十二条规定；</w:t>
      </w:r>
    </w:p>
    <w:p w14:paraId="50E5DEC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2、落实政府采购政策满足的资格要求：</w:t>
      </w:r>
    </w:p>
    <w:p w14:paraId="0E31CAE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本项目属于专门面向中小企业采购的项目。</w:t>
      </w:r>
    </w:p>
    <w:p w14:paraId="58E5202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3、本项目的特定资格要求</w:t>
      </w:r>
      <w:r>
        <w:rPr>
          <w:rFonts w:hint="eastAsia" w:ascii="宋体" w:hAnsi="宋体" w:cs="宋体"/>
          <w:bCs/>
          <w:color w:val="auto"/>
          <w:kern w:val="0"/>
          <w:sz w:val="24"/>
          <w:szCs w:val="24"/>
          <w:lang w:val="en-US" w:eastAsia="zh-CN"/>
        </w:rPr>
        <w:t>：</w:t>
      </w:r>
    </w:p>
    <w:p w14:paraId="3528F86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供应商须具备市政公用工程施工总承包贰级及以上（含贰级）资质（未换发新资质证书的按照原相关规定执行，即未换发新资质证书的须具备市政公用工程施工总承包叁级及以上（含叁级）资质，且资质证书在有效期之内），且具有有效的安全生产许可证；其中投标人拟派项目经理须具备市政公用工程专业贰级及以上（含贰级）注册建造师执业资格，具备有效的安全生产考核合格证，且未担任其他在施建设工程项目的项目经理。</w:t>
      </w:r>
    </w:p>
    <w:p w14:paraId="72E75EF0">
      <w:pPr>
        <w:numPr>
          <w:ilvl w:val="0"/>
          <w:numId w:val="1"/>
        </w:numPr>
        <w:spacing w:line="360" w:lineRule="auto"/>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磋商文件的获取</w:t>
      </w:r>
    </w:p>
    <w:p w14:paraId="7640759A">
      <w:pPr>
        <w:spacing w:line="360" w:lineRule="auto"/>
        <w:ind w:firstLine="480" w:firstLineChars="200"/>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1.时间：202</w:t>
      </w:r>
      <w:r>
        <w:rPr>
          <w:rFonts w:hint="eastAsia" w:ascii="宋体" w:hAnsi="宋体" w:eastAsia="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rPr>
        <w:t>年</w:t>
      </w:r>
      <w:r>
        <w:rPr>
          <w:rFonts w:hint="eastAsia" w:ascii="宋体" w:hAnsi="宋体" w:cs="宋体"/>
          <w:bCs/>
          <w:color w:val="auto"/>
          <w:kern w:val="0"/>
          <w:sz w:val="24"/>
          <w:szCs w:val="24"/>
          <w:highlight w:val="none"/>
          <w:lang w:val="en-US" w:eastAsia="zh-CN"/>
        </w:rPr>
        <w:t>02</w:t>
      </w:r>
      <w:r>
        <w:rPr>
          <w:rFonts w:hint="eastAsia" w:ascii="宋体" w:hAnsi="宋体" w:eastAsia="宋体" w:cs="宋体"/>
          <w:bCs/>
          <w:color w:val="auto"/>
          <w:kern w:val="0"/>
          <w:sz w:val="24"/>
          <w:szCs w:val="24"/>
          <w:highlight w:val="none"/>
        </w:rPr>
        <w:t>月</w:t>
      </w:r>
      <w:r>
        <w:rPr>
          <w:rFonts w:hint="eastAsia" w:ascii="宋体" w:hAnsi="宋体" w:cs="宋体"/>
          <w:bCs/>
          <w:color w:val="auto"/>
          <w:kern w:val="0"/>
          <w:sz w:val="24"/>
          <w:szCs w:val="24"/>
          <w:highlight w:val="none"/>
          <w:lang w:val="en-US" w:eastAsia="zh-CN"/>
        </w:rPr>
        <w:t>11</w:t>
      </w:r>
      <w:bookmarkStart w:id="30" w:name="_GoBack"/>
      <w:bookmarkEnd w:id="30"/>
      <w:r>
        <w:rPr>
          <w:rFonts w:hint="eastAsia" w:ascii="宋体" w:hAnsi="宋体" w:eastAsia="宋体" w:cs="宋体"/>
          <w:bCs/>
          <w:color w:val="auto"/>
          <w:kern w:val="0"/>
          <w:sz w:val="24"/>
          <w:szCs w:val="24"/>
          <w:highlight w:val="none"/>
        </w:rPr>
        <w:t>日至202</w:t>
      </w:r>
      <w:r>
        <w:rPr>
          <w:rFonts w:hint="eastAsia" w:ascii="宋体" w:hAnsi="宋体" w:eastAsia="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rPr>
        <w:t>年</w:t>
      </w:r>
      <w:r>
        <w:rPr>
          <w:rFonts w:hint="eastAsia" w:ascii="宋体" w:hAnsi="宋体" w:cs="宋体"/>
          <w:bCs/>
          <w:color w:val="auto"/>
          <w:kern w:val="0"/>
          <w:sz w:val="24"/>
          <w:szCs w:val="24"/>
          <w:highlight w:val="none"/>
          <w:lang w:val="en-US" w:eastAsia="zh-CN"/>
        </w:rPr>
        <w:t>02</w:t>
      </w:r>
      <w:r>
        <w:rPr>
          <w:rFonts w:hint="eastAsia" w:ascii="宋体" w:hAnsi="宋体" w:eastAsia="宋体" w:cs="宋体"/>
          <w:bCs/>
          <w:color w:val="auto"/>
          <w:kern w:val="0"/>
          <w:sz w:val="24"/>
          <w:szCs w:val="24"/>
          <w:highlight w:val="none"/>
        </w:rPr>
        <w:t>月</w:t>
      </w:r>
      <w:r>
        <w:rPr>
          <w:rFonts w:hint="eastAsia" w:ascii="宋体" w:hAnsi="宋体" w:cs="宋体"/>
          <w:bCs/>
          <w:color w:val="auto"/>
          <w:kern w:val="0"/>
          <w:sz w:val="24"/>
          <w:szCs w:val="24"/>
          <w:highlight w:val="none"/>
          <w:lang w:val="en-US" w:eastAsia="zh-CN"/>
        </w:rPr>
        <w:t>25</w:t>
      </w:r>
      <w:r>
        <w:rPr>
          <w:rFonts w:hint="eastAsia" w:ascii="宋体" w:hAnsi="宋体" w:eastAsia="宋体" w:cs="宋体"/>
          <w:bCs/>
          <w:color w:val="auto"/>
          <w:kern w:val="0"/>
          <w:sz w:val="24"/>
          <w:szCs w:val="24"/>
          <w:highlight w:val="none"/>
        </w:rPr>
        <w:t>日，每天上午00:00至11:59，下午12:00至23:59（北京时间，法定节假日除外。）</w:t>
      </w:r>
    </w:p>
    <w:p w14:paraId="748B5242">
      <w:pPr>
        <w:spacing w:line="360" w:lineRule="auto"/>
        <w:ind w:firstLine="480" w:firstLineChars="200"/>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2.地点：《全国公共资源交易平台（河南省·许昌市）》（http://117.159.53.11:60632/）。</w:t>
      </w:r>
    </w:p>
    <w:p w14:paraId="2A0DD3E0">
      <w:pPr>
        <w:spacing w:line="360" w:lineRule="auto"/>
        <w:ind w:firstLine="480" w:firstLineChars="200"/>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3.方式：线上下载</w:t>
      </w:r>
    </w:p>
    <w:p w14:paraId="38CE33A5">
      <w:pPr>
        <w:spacing w:line="360" w:lineRule="auto"/>
        <w:ind w:firstLine="480" w:firstLineChars="200"/>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4.售价：0元</w:t>
      </w:r>
    </w:p>
    <w:bookmarkEnd w:id="1"/>
    <w:bookmarkEnd w:id="2"/>
    <w:p w14:paraId="2A2C18CA">
      <w:pPr>
        <w:spacing w:line="360" w:lineRule="auto"/>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四、响应文件提交</w:t>
      </w:r>
    </w:p>
    <w:p w14:paraId="5C79655F">
      <w:pPr>
        <w:spacing w:line="360" w:lineRule="auto"/>
        <w:ind w:firstLine="480" w:firstLineChars="200"/>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1.截止时间：202</w:t>
      </w:r>
      <w:r>
        <w:rPr>
          <w:rFonts w:hint="eastAsia" w:ascii="宋体" w:hAnsi="宋体" w:eastAsia="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rPr>
        <w:t>年</w:t>
      </w:r>
      <w:r>
        <w:rPr>
          <w:rFonts w:hint="eastAsia" w:ascii="宋体" w:hAnsi="宋体" w:cs="宋体"/>
          <w:bCs/>
          <w:color w:val="auto"/>
          <w:kern w:val="0"/>
          <w:sz w:val="24"/>
          <w:szCs w:val="24"/>
          <w:highlight w:val="none"/>
          <w:lang w:val="en-US" w:eastAsia="zh-CN"/>
        </w:rPr>
        <w:t>02</w:t>
      </w:r>
      <w:r>
        <w:rPr>
          <w:rFonts w:hint="eastAsia" w:ascii="宋体" w:hAnsi="宋体" w:eastAsia="宋体" w:cs="宋体"/>
          <w:bCs/>
          <w:color w:val="auto"/>
          <w:kern w:val="0"/>
          <w:sz w:val="24"/>
          <w:szCs w:val="24"/>
          <w:highlight w:val="none"/>
        </w:rPr>
        <w:t>月</w:t>
      </w:r>
      <w:r>
        <w:rPr>
          <w:rFonts w:hint="eastAsia" w:ascii="宋体" w:hAnsi="宋体" w:cs="宋体"/>
          <w:bCs/>
          <w:color w:val="auto"/>
          <w:kern w:val="0"/>
          <w:sz w:val="24"/>
          <w:szCs w:val="24"/>
          <w:highlight w:val="none"/>
          <w:lang w:val="en-US" w:eastAsia="zh-CN"/>
        </w:rPr>
        <w:t>25</w:t>
      </w:r>
      <w:r>
        <w:rPr>
          <w:rFonts w:hint="eastAsia" w:ascii="宋体" w:hAnsi="宋体" w:eastAsia="宋体" w:cs="宋体"/>
          <w:bCs/>
          <w:color w:val="auto"/>
          <w:kern w:val="0"/>
          <w:sz w:val="24"/>
          <w:szCs w:val="24"/>
          <w:highlight w:val="none"/>
        </w:rPr>
        <w:t>日09时</w:t>
      </w:r>
      <w:r>
        <w:rPr>
          <w:rFonts w:hint="eastAsia" w:ascii="宋体" w:hAnsi="宋体" w:eastAsia="宋体" w:cs="宋体"/>
          <w:bCs/>
          <w:color w:val="auto"/>
          <w:kern w:val="0"/>
          <w:sz w:val="24"/>
          <w:szCs w:val="24"/>
          <w:highlight w:val="none"/>
          <w:lang w:val="en-US" w:eastAsia="zh-CN"/>
        </w:rPr>
        <w:t>0</w:t>
      </w:r>
      <w:r>
        <w:rPr>
          <w:rFonts w:hint="eastAsia" w:ascii="宋体" w:hAnsi="宋体" w:eastAsia="宋体" w:cs="宋体"/>
          <w:bCs/>
          <w:color w:val="auto"/>
          <w:kern w:val="0"/>
          <w:sz w:val="24"/>
          <w:szCs w:val="24"/>
          <w:highlight w:val="none"/>
        </w:rPr>
        <w:t>0分（北京时间）</w:t>
      </w:r>
    </w:p>
    <w:p w14:paraId="3D018BA8">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地点：本项目为全流程电子化交易项目，投标人必须通过许昌公共资源交易系统下载“新点投标文件制作软件（河南省版）”的最新版本制作并上传加密电子响应文件（后缀格式为.XCSTF）。截至投标截止时间，交易系统投标通道将关闭，投标人未完成电子响应文件上传的，投标将被拒绝。</w:t>
      </w:r>
    </w:p>
    <w:p w14:paraId="49E6F76D">
      <w:pPr>
        <w:spacing w:line="360" w:lineRule="auto"/>
        <w:jc w:val="left"/>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五、响应文件开启</w:t>
      </w:r>
    </w:p>
    <w:p w14:paraId="01DE34A9">
      <w:pPr>
        <w:spacing w:line="360" w:lineRule="auto"/>
        <w:ind w:firstLine="480" w:firstLineChars="200"/>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1.时间：2025年</w:t>
      </w:r>
      <w:r>
        <w:rPr>
          <w:rFonts w:hint="eastAsia" w:ascii="宋体" w:hAnsi="宋体" w:cs="宋体"/>
          <w:bCs/>
          <w:color w:val="auto"/>
          <w:kern w:val="0"/>
          <w:sz w:val="24"/>
          <w:szCs w:val="24"/>
          <w:highlight w:val="none"/>
          <w:lang w:val="en-US" w:eastAsia="zh-CN"/>
        </w:rPr>
        <w:t>02</w:t>
      </w:r>
      <w:r>
        <w:rPr>
          <w:rFonts w:hint="eastAsia" w:ascii="宋体" w:hAnsi="宋体" w:eastAsia="宋体" w:cs="宋体"/>
          <w:bCs/>
          <w:color w:val="auto"/>
          <w:kern w:val="0"/>
          <w:sz w:val="24"/>
          <w:szCs w:val="24"/>
          <w:highlight w:val="none"/>
        </w:rPr>
        <w:t>月</w:t>
      </w:r>
      <w:r>
        <w:rPr>
          <w:rFonts w:hint="eastAsia" w:ascii="宋体" w:hAnsi="宋体" w:cs="宋体"/>
          <w:bCs/>
          <w:color w:val="auto"/>
          <w:kern w:val="0"/>
          <w:sz w:val="24"/>
          <w:szCs w:val="24"/>
          <w:highlight w:val="none"/>
          <w:lang w:val="en-US" w:eastAsia="zh-CN"/>
        </w:rPr>
        <w:t>25</w:t>
      </w:r>
      <w:r>
        <w:rPr>
          <w:rFonts w:hint="eastAsia" w:ascii="宋体" w:hAnsi="宋体" w:eastAsia="宋体" w:cs="宋体"/>
          <w:bCs/>
          <w:color w:val="auto"/>
          <w:kern w:val="0"/>
          <w:sz w:val="24"/>
          <w:szCs w:val="24"/>
          <w:highlight w:val="none"/>
        </w:rPr>
        <w:t>日09时</w:t>
      </w:r>
      <w:r>
        <w:rPr>
          <w:rFonts w:hint="eastAsia" w:ascii="宋体" w:hAnsi="宋体" w:eastAsia="宋体" w:cs="宋体"/>
          <w:bCs/>
          <w:color w:val="auto"/>
          <w:kern w:val="0"/>
          <w:sz w:val="24"/>
          <w:szCs w:val="24"/>
          <w:highlight w:val="none"/>
          <w:lang w:val="en-US" w:eastAsia="zh-CN"/>
        </w:rPr>
        <w:t>0</w:t>
      </w:r>
      <w:r>
        <w:rPr>
          <w:rFonts w:hint="eastAsia" w:ascii="宋体" w:hAnsi="宋体" w:eastAsia="宋体" w:cs="宋体"/>
          <w:bCs/>
          <w:color w:val="auto"/>
          <w:kern w:val="0"/>
          <w:sz w:val="24"/>
          <w:szCs w:val="24"/>
          <w:highlight w:val="none"/>
        </w:rPr>
        <w:t>0分（北京时间）</w:t>
      </w:r>
    </w:p>
    <w:p w14:paraId="54D28D78">
      <w:pPr>
        <w:spacing w:line="360" w:lineRule="auto"/>
        <w:ind w:firstLine="480" w:firstLineChars="200"/>
        <w:jc w:val="left"/>
        <w:rPr>
          <w:rFonts w:hint="eastAsia" w:ascii="宋体" w:hAnsi="宋体" w:eastAsia="宋体" w:cs="宋体"/>
          <w:b/>
          <w:color w:val="auto"/>
          <w:kern w:val="0"/>
          <w:sz w:val="24"/>
          <w:szCs w:val="24"/>
          <w:lang w:eastAsia="zh-CN"/>
        </w:rPr>
      </w:pPr>
      <w:r>
        <w:rPr>
          <w:rFonts w:hint="eastAsia" w:ascii="宋体" w:hAnsi="宋体" w:eastAsia="宋体" w:cs="宋体"/>
          <w:bCs/>
          <w:color w:val="auto"/>
          <w:kern w:val="0"/>
          <w:sz w:val="24"/>
          <w:szCs w:val="24"/>
        </w:rPr>
        <w:t>2.地点：项目采用远程不见面开标，投标人无须到现场，开标时间前，投标人使用CA数字证书登录全国公共资源交易平台（河南省·许昌市）—进入公共资源交易系统（http://117.159.53.11:60632/）—点击“项目信息—项目名称”—在系统操作导航栏点击“开标—不见面开标大厅（http://117.159.53.11:60632/BidOpening）”，在规定的开标时间内进行解密开标。</w:t>
      </w:r>
    </w:p>
    <w:p w14:paraId="1523592A">
      <w:pPr>
        <w:spacing w:line="360" w:lineRule="auto"/>
        <w:jc w:val="left"/>
        <w:rPr>
          <w:rFonts w:hint="eastAsia" w:ascii="宋体" w:hAnsi="宋体" w:eastAsia="宋体" w:cs="宋体"/>
          <w:b/>
          <w:color w:val="auto"/>
          <w:kern w:val="0"/>
          <w:sz w:val="24"/>
          <w:szCs w:val="24"/>
          <w:lang w:eastAsia="zh-CN"/>
        </w:rPr>
      </w:pPr>
      <w:r>
        <w:rPr>
          <w:rFonts w:hint="eastAsia" w:ascii="宋体" w:hAnsi="宋体" w:eastAsia="宋体" w:cs="宋体"/>
          <w:b/>
          <w:color w:val="auto"/>
          <w:kern w:val="0"/>
          <w:sz w:val="24"/>
          <w:szCs w:val="24"/>
        </w:rPr>
        <w:t>六、发布公告的媒介及招标公告期限</w:t>
      </w:r>
    </w:p>
    <w:p w14:paraId="1A3C32D7">
      <w:pPr>
        <w:spacing w:line="360" w:lineRule="auto"/>
        <w:ind w:firstLine="480" w:firstLineChars="200"/>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本次招标公告在《河南省政府采购网》、《许昌市政府采购网》、《全国公共资源交易平台（河南省·许昌市）》上发布</w:t>
      </w:r>
      <w:r>
        <w:rPr>
          <w:rFonts w:hint="eastAsia" w:ascii="宋体" w:hAnsi="宋体" w:cs="宋体"/>
          <w:bCs/>
          <w:color w:val="auto"/>
          <w:kern w:val="0"/>
          <w:sz w:val="24"/>
          <w:szCs w:val="24"/>
          <w:lang w:eastAsia="zh-CN"/>
        </w:rPr>
        <w:t>，</w:t>
      </w:r>
      <w:r>
        <w:rPr>
          <w:rFonts w:hint="eastAsia" w:ascii="宋体" w:hAnsi="宋体" w:eastAsia="宋体" w:cs="宋体"/>
          <w:bCs/>
          <w:color w:val="auto"/>
          <w:kern w:val="0"/>
          <w:sz w:val="24"/>
          <w:szCs w:val="24"/>
        </w:rPr>
        <w:t>招标公告期限为三个工作日。</w:t>
      </w:r>
    </w:p>
    <w:p w14:paraId="5D9663E5">
      <w:pPr>
        <w:spacing w:line="360" w:lineRule="auto"/>
        <w:jc w:val="left"/>
        <w:rPr>
          <w:rFonts w:hint="eastAsia" w:ascii="宋体" w:hAnsi="宋体" w:eastAsia="宋体" w:cs="宋体"/>
          <w:b/>
          <w:color w:val="auto"/>
          <w:kern w:val="0"/>
          <w:sz w:val="24"/>
          <w:szCs w:val="24"/>
          <w:lang w:eastAsia="zh-CN"/>
        </w:rPr>
      </w:pPr>
      <w:r>
        <w:rPr>
          <w:rFonts w:hint="eastAsia" w:ascii="宋体" w:hAnsi="宋体" w:eastAsia="宋体" w:cs="宋体"/>
          <w:b/>
          <w:color w:val="auto"/>
          <w:kern w:val="0"/>
          <w:sz w:val="24"/>
          <w:szCs w:val="24"/>
        </w:rPr>
        <w:t>七、其他补充事宜</w:t>
      </w:r>
    </w:p>
    <w:p w14:paraId="06B754F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1、本项目为全流程电子化交易项目，投标人须提交电子投标文件。</w:t>
      </w:r>
    </w:p>
    <w:p w14:paraId="7393960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（1）加密电子投标文件（后缀格式为.XCSTF）须在投标截止时间（开标时间）前通过《全国公共资源交易平台（河南省·许昌市）》公共资源交易系统成功上传。</w:t>
      </w:r>
    </w:p>
    <w:p w14:paraId="142FFB1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开标时间前，投标人使用CA数字证书或移动数字证书登录《全国公共资源交易平台（河南省·许昌市）》进入公共资源交易系统（http://117.159.53.11:60632/）按照开标时间准时参加线上开标，进行远程解密、在线询问等。</w:t>
      </w:r>
    </w:p>
    <w:p w14:paraId="42262EE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2、本项目采用电子系统进行招投标，请在投标前详细阅读《全国公共资源交易平台（河南省·许昌市）》首页“服务指南”栏目的《必看！新交易平台使用手册》及其附件。</w:t>
      </w:r>
    </w:p>
    <w:p w14:paraId="3184A18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3、投标投标人在电子系统使用过程中遇到涉及系统使用的问题，可致电0374-2961598进行咨询。</w:t>
      </w:r>
    </w:p>
    <w:p w14:paraId="650842E6">
      <w:pPr>
        <w:spacing w:line="360" w:lineRule="auto"/>
        <w:jc w:val="left"/>
        <w:rPr>
          <w:rFonts w:hint="eastAsia" w:ascii="宋体" w:hAnsi="宋体" w:eastAsia="宋体" w:cs="宋体"/>
          <w:b/>
          <w:color w:val="auto"/>
          <w:kern w:val="0"/>
          <w:sz w:val="24"/>
          <w:szCs w:val="24"/>
          <w:lang w:eastAsia="zh-CN"/>
        </w:rPr>
      </w:pPr>
      <w:r>
        <w:rPr>
          <w:rFonts w:hint="eastAsia" w:ascii="宋体" w:hAnsi="宋体" w:eastAsia="宋体" w:cs="宋体"/>
          <w:b/>
          <w:color w:val="auto"/>
          <w:kern w:val="0"/>
          <w:sz w:val="24"/>
          <w:szCs w:val="24"/>
        </w:rPr>
        <w:t>八、凡对本次招标提出询问，请按照以下方式联系</w:t>
      </w:r>
    </w:p>
    <w:p w14:paraId="13DA1B30">
      <w:pPr>
        <w:spacing w:line="360" w:lineRule="auto"/>
        <w:ind w:firstLine="480" w:firstLineChars="200"/>
        <w:jc w:val="lef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rPr>
        <w:t>1.采购人：</w:t>
      </w:r>
      <w:r>
        <w:rPr>
          <w:rFonts w:hint="eastAsia" w:ascii="宋体" w:hAnsi="宋体" w:eastAsia="宋体" w:cs="宋体"/>
          <w:bCs/>
          <w:color w:val="auto"/>
          <w:kern w:val="0"/>
          <w:sz w:val="24"/>
          <w:szCs w:val="24"/>
          <w:lang w:val="en-US" w:eastAsia="zh-CN"/>
        </w:rPr>
        <w:t>襄城县颍桥回族镇人民政府</w:t>
      </w:r>
    </w:p>
    <w:p w14:paraId="6D753BE4">
      <w:pPr>
        <w:spacing w:line="360" w:lineRule="auto"/>
        <w:ind w:firstLine="480" w:firstLineChars="200"/>
        <w:jc w:val="lef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rPr>
        <w:t>地址：</w:t>
      </w:r>
      <w:r>
        <w:rPr>
          <w:rFonts w:hint="eastAsia" w:ascii="宋体" w:hAnsi="宋体" w:eastAsia="宋体" w:cs="宋体"/>
          <w:bCs/>
          <w:color w:val="auto"/>
          <w:kern w:val="0"/>
          <w:sz w:val="24"/>
          <w:szCs w:val="24"/>
          <w:lang w:val="en-US" w:eastAsia="zh-CN"/>
        </w:rPr>
        <w:t>襄城县颍桥回族镇</w:t>
      </w:r>
    </w:p>
    <w:p w14:paraId="05C1C9E2">
      <w:pPr>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联系人：王先生</w:t>
      </w:r>
    </w:p>
    <w:p w14:paraId="51778BEF">
      <w:pPr>
        <w:numPr>
          <w:ilvl w:val="0"/>
          <w:numId w:val="0"/>
        </w:numPr>
        <w:spacing w:line="360" w:lineRule="auto"/>
        <w:ind w:firstLine="480" w:firstLineChars="200"/>
        <w:jc w:val="lef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rPr>
        <w:t>电话：</w:t>
      </w:r>
      <w:r>
        <w:rPr>
          <w:rFonts w:hint="eastAsia" w:ascii="宋体" w:hAnsi="宋体" w:eastAsia="宋体" w:cs="宋体"/>
          <w:bCs/>
          <w:color w:val="auto"/>
          <w:kern w:val="0"/>
          <w:sz w:val="24"/>
          <w:szCs w:val="24"/>
          <w:lang w:val="en-US" w:eastAsia="zh-CN"/>
        </w:rPr>
        <w:t>19836112086</w:t>
      </w:r>
    </w:p>
    <w:p w14:paraId="13CADF2A">
      <w:pPr>
        <w:numPr>
          <w:ilvl w:val="0"/>
          <w:numId w:val="0"/>
        </w:numPr>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采购代理机构：</w:t>
      </w:r>
    </w:p>
    <w:p w14:paraId="0590EF95">
      <w:pPr>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名称：</w:t>
      </w:r>
      <w:r>
        <w:rPr>
          <w:rFonts w:hint="eastAsia" w:ascii="宋体" w:hAnsi="宋体" w:eastAsia="宋体" w:cs="宋体"/>
          <w:bCs/>
          <w:color w:val="auto"/>
          <w:kern w:val="0"/>
          <w:sz w:val="24"/>
          <w:szCs w:val="24"/>
          <w:lang w:val="en-US" w:eastAsia="zh-CN"/>
        </w:rPr>
        <w:t>中世景弘工程项目管理有限公司</w:t>
      </w:r>
    </w:p>
    <w:p w14:paraId="310E2BED">
      <w:pPr>
        <w:spacing w:line="360" w:lineRule="auto"/>
        <w:ind w:firstLine="480" w:firstLineChars="200"/>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地址：</w:t>
      </w:r>
      <w:r>
        <w:rPr>
          <w:rFonts w:hint="eastAsia" w:ascii="宋体" w:hAnsi="宋体" w:eastAsia="宋体" w:cs="宋体"/>
          <w:bCs/>
          <w:color w:val="auto"/>
          <w:kern w:val="0"/>
          <w:sz w:val="24"/>
          <w:szCs w:val="24"/>
          <w:lang w:eastAsia="zh-CN"/>
        </w:rPr>
        <w:t>河南自贸实验区郑州片区（郑东）心怡路东、站西二路南易元国际B座1325</w:t>
      </w:r>
    </w:p>
    <w:p w14:paraId="0EBEB75A">
      <w:pPr>
        <w:spacing w:line="360" w:lineRule="auto"/>
        <w:ind w:firstLine="480" w:firstLineChars="200"/>
        <w:jc w:val="lef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rPr>
        <w:t>联系人</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王女士</w:t>
      </w:r>
    </w:p>
    <w:p w14:paraId="26715B91">
      <w:pPr>
        <w:spacing w:line="360" w:lineRule="auto"/>
        <w:ind w:firstLine="480" w:firstLineChars="200"/>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联系方式：</w:t>
      </w:r>
      <w:r>
        <w:rPr>
          <w:rFonts w:hint="eastAsia" w:ascii="宋体" w:hAnsi="宋体" w:eastAsia="宋体" w:cs="宋体"/>
          <w:bCs/>
          <w:color w:val="auto"/>
          <w:kern w:val="0"/>
          <w:sz w:val="24"/>
          <w:szCs w:val="24"/>
          <w:lang w:eastAsia="zh-CN"/>
        </w:rPr>
        <w:t>18236267218</w:t>
      </w:r>
    </w:p>
    <w:p w14:paraId="5DBB6292">
      <w:pPr>
        <w:spacing w:line="360" w:lineRule="auto"/>
        <w:ind w:firstLine="480" w:firstLineChars="200"/>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3.项目联系方式</w:t>
      </w:r>
      <w:r>
        <w:rPr>
          <w:rFonts w:hint="eastAsia" w:ascii="宋体" w:hAnsi="宋体" w:eastAsia="宋体" w:cs="宋体"/>
          <w:bCs/>
          <w:color w:val="auto"/>
          <w:kern w:val="0"/>
          <w:sz w:val="24"/>
          <w:szCs w:val="24"/>
          <w:lang w:eastAsia="zh-CN"/>
        </w:rPr>
        <w:t>：</w:t>
      </w:r>
    </w:p>
    <w:p w14:paraId="6AE3998D">
      <w:pPr>
        <w:spacing w:line="360" w:lineRule="auto"/>
        <w:ind w:firstLine="480" w:firstLineChars="200"/>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项目联系人</w:t>
      </w:r>
      <w:r>
        <w:rPr>
          <w:rFonts w:hint="eastAsia" w:ascii="宋体" w:hAnsi="宋体" w:eastAsia="宋体" w:cs="宋体"/>
          <w:bCs/>
          <w:color w:val="auto"/>
          <w:kern w:val="0"/>
          <w:sz w:val="24"/>
          <w:szCs w:val="24"/>
          <w:lang w:eastAsia="zh-CN"/>
        </w:rPr>
        <w:t>：王女士</w:t>
      </w:r>
    </w:p>
    <w:p w14:paraId="20A8E9E6">
      <w:pPr>
        <w:spacing w:line="360" w:lineRule="auto"/>
        <w:ind w:firstLine="480" w:firstLineChars="200"/>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联系方式：</w:t>
      </w:r>
      <w:r>
        <w:rPr>
          <w:rFonts w:hint="eastAsia" w:ascii="宋体" w:hAnsi="宋体" w:eastAsia="宋体" w:cs="宋体"/>
          <w:bCs/>
          <w:color w:val="auto"/>
          <w:kern w:val="0"/>
          <w:sz w:val="24"/>
          <w:szCs w:val="24"/>
          <w:lang w:eastAsia="zh-CN"/>
        </w:rPr>
        <w:t>18236267218</w:t>
      </w:r>
    </w:p>
    <w:p w14:paraId="10860E92">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4"/>
          <w:szCs w:val="24"/>
        </w:rPr>
      </w:pPr>
    </w:p>
    <w:p w14:paraId="6F03B079">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4"/>
          <w:szCs w:val="24"/>
        </w:rPr>
      </w:pPr>
    </w:p>
    <w:p w14:paraId="046ACAC0">
      <w:pP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br w:type="page"/>
      </w:r>
    </w:p>
    <w:p w14:paraId="6E32D714">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温馨提示：</w:t>
      </w:r>
    </w:p>
    <w:p w14:paraId="58914A72">
      <w:pPr>
        <w:pStyle w:val="16"/>
        <w:keepNext w:val="0"/>
        <w:keepLines w:val="0"/>
        <w:pageBreakBefore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本项目为全流程电子化交易项目，请注意以下事项。</w:t>
      </w:r>
    </w:p>
    <w:p w14:paraId="1EFF7CED">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1.供应商参加本项目投标，需提前自行联系CA服务机构办理数字认证证书并进行电子签章。</w:t>
      </w:r>
    </w:p>
    <w:p w14:paraId="7D640270">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2.磋商文件下载、响应文件制作、提交、远程不见面开标（电子投标文件的解密）环节，供应商须使用同一个CA数字证书（证书须在有效期内并可正常使用）。</w:t>
      </w:r>
    </w:p>
    <w:p w14:paraId="5E7CC88D">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3.电子响应文件的制作</w:t>
      </w:r>
    </w:p>
    <w:p w14:paraId="7ADC72A2">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3.1供应商登录《全国公共资源交易平台（河南省•许昌市）》（http://117.159.53.11:60632/）下载“新点投标文件制作软件（河南省版）”（在“投标人”登录页面右下方“投标文件制作工具下载”）制作电子投标文件。</w:t>
      </w:r>
    </w:p>
    <w:p w14:paraId="05CD867A">
      <w:pPr>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3.2供应商对同一项目多个标段进行投标的，应分别下载所投标段的招标文件，按标段制作投标文件。一个标段对应生成2份电子投标文件（后缀格式为.XCSTF和.nXCSTF）</w:t>
      </w:r>
      <w:r>
        <w:rPr>
          <w:rFonts w:hint="eastAsia" w:ascii="宋体" w:hAnsi="宋体" w:cs="宋体"/>
          <w:bCs/>
          <w:color w:val="auto"/>
          <w:kern w:val="0"/>
          <w:sz w:val="24"/>
          <w:szCs w:val="24"/>
          <w:lang w:eastAsia="zh-CN"/>
        </w:rPr>
        <w:t>，</w:t>
      </w:r>
      <w:r>
        <w:rPr>
          <w:rFonts w:hint="eastAsia" w:ascii="宋体" w:hAnsi="宋体" w:eastAsia="宋体" w:cs="宋体"/>
          <w:bCs/>
          <w:color w:val="auto"/>
          <w:kern w:val="0"/>
          <w:sz w:val="24"/>
          <w:szCs w:val="24"/>
        </w:rPr>
        <w:t>其中后缀格式为“.XCSTF”的加密电子投标文件用于上传至交易系统中投标，后缀格式为“.nXCSTF”的不加密电子投标文件用于查看投标文件内容或导出PDF格式投标文件。</w:t>
      </w:r>
    </w:p>
    <w:p w14:paraId="523D3310">
      <w:pPr>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4.加密电子响应文件的提交</w:t>
      </w:r>
    </w:p>
    <w:p w14:paraId="4C0FF4E4">
      <w:pPr>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4.1供应商对同一项目多个标段进行响应的，加密电子响应文件应按标段分别提交。</w:t>
      </w:r>
    </w:p>
    <w:p w14:paraId="377318AC">
      <w:pPr>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4.2加密电子投标文件成功提交后，可登录《全国公共资源交易平台（河南省•许昌市）》（http://117.159.53.11:60632/）许昌市公共资源电子交易系统，在上传电子投标文件的页面进行模拟解密，以验证是否能够成功解密。</w:t>
      </w:r>
    </w:p>
    <w:p w14:paraId="16229843">
      <w:pPr>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5.远程不见面开标（电子响应文件的解密）</w:t>
      </w:r>
    </w:p>
    <w:p w14:paraId="69CE0BB2">
      <w:pPr>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5.1本项目采用远程“不见面”开标方式，5.1投标前请详细阅读《全国公共资源交易平台（河南省•许昌市）》（http://117.159.53.11:60632/）“服务指南”——“办事指南”栏目下《新交易平台使用手册》中的相关内容。</w:t>
      </w:r>
    </w:p>
    <w:p w14:paraId="1AFE8DBF">
      <w:pPr>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5.2供应商应按《新交易平台使用手册》提前设置好浏览器，并于开标时间前登录本项目网上开标大厅，按照规定的开标时间准时参加网上开标。</w:t>
      </w:r>
    </w:p>
    <w:p w14:paraId="720A9BFC">
      <w:pPr>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5.3根据开标大厅界面右侧“公告栏”中的系统提示，供应商应在“标书解密”环节完成解密操作（自代理机构点击“开启投标解密”按钮后供应商解密，系统初设解密时间为30分钟，供应商应在30分钟内完成解密。如因网络、系统原因未完成解密的，招标人（代理机构）报经相关监督管理部门同意后可适当延长解密时间）。供应商未解密或因供应商原因解密失败的，其响应文件将被拒绝。</w:t>
      </w:r>
    </w:p>
    <w:p w14:paraId="2FF5126F">
      <w:pPr>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5.4开标活动结束时，供应商应在《开标情况记录表》上进行电子签章。供应商未签章的，视同认可开标结果。</w:t>
      </w:r>
    </w:p>
    <w:p w14:paraId="420BFD73">
      <w:pPr>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5.5供应商对开标过程和开标记录如有疑义，可在本项目开标大厅界面右下方“发起异议”中在线提出异议。</w:t>
      </w:r>
    </w:p>
    <w:p w14:paraId="45AB343E">
      <w:pPr>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6.评标依据</w:t>
      </w:r>
    </w:p>
    <w:p w14:paraId="7BBAF1E3">
      <w:pPr>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6.1全流程电子化交易（不见面开标）项目，磋商小组以成功上传、解密的电子响应文件为依据评审。</w:t>
      </w:r>
    </w:p>
    <w:p w14:paraId="0434BE37">
      <w:pPr>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6.2评审期间，供应商（参加磋商的法定代表人或其授权代表）应保持通讯手机畅通，并根据磋商小组要求在规定时间内提供：</w:t>
      </w:r>
    </w:p>
    <w:p w14:paraId="146FFFA3">
      <w:pPr>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（1）最后报价（加盖公章，或者由法定代表人或其授权的代表签字）；</w:t>
      </w:r>
    </w:p>
    <w:p w14:paraId="472B4E48">
      <w:pPr>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提交方式：供应商须使用CA数字证书登录《全国公共资源交易平台（河南省•许昌市）》（http://117.159.53.11:60632/）许昌市公共资源电子交易系统进行最后报价，最后报价应包括：①总报价②分项报价。</w:t>
      </w:r>
    </w:p>
    <w:p w14:paraId="4126CDD5">
      <w:pPr>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注：①磋商小组要求供应商提交最后报价时，在磋商小组规定时间内，供应商应提交最后报价（包括总报价及分项报价）。最后报价是供应商响应文件的有效组成部分。</w:t>
      </w:r>
    </w:p>
    <w:p w14:paraId="276F94AD">
      <w:pPr>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②磋商文件第二章“采购需求”中“采购清单”以工程量清单提供的，供应商应以工程量清单方式提交最后报价。</w:t>
      </w:r>
    </w:p>
    <w:p w14:paraId="4D62C1F7">
      <w:pPr>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③请供应商根据项目情况，可提前准备分项报价。</w:t>
      </w:r>
    </w:p>
    <w:p w14:paraId="01C7D4A2">
      <w:pPr>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全国公共资源交易平台(河南省▪许昌市)》——“许昌市公共资源电子交易系统”提供（操作流程详见“服务指南-办事指南-新交易平台使用手册-交易乙方（投标人、供应商等）操作手册”）。</w:t>
      </w:r>
    </w:p>
    <w:p w14:paraId="0EE4AB8D">
      <w:pPr>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6.3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集中采购机构不承担任何责任。</w:t>
      </w:r>
    </w:p>
    <w:p w14:paraId="7CA16E20">
      <w:pPr>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7.相关事项</w:t>
      </w:r>
    </w:p>
    <w:p w14:paraId="405F9733">
      <w:pPr>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7.1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3A8C4D1A">
      <w:pPr>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7.2《全国公共资源交易平台（河南省•许昌市）》（http://117.159.53.11:60632/）采购公告栏提供的招标文件仅供浏览。供应商下载招标文件应使用CA数字证书从《全国公共资源交易平台（河南省•许昌市）》（http://117.159.53.11:60632/）的“投标人”入口登录后获取。</w:t>
      </w:r>
    </w:p>
    <w:p w14:paraId="2853E617">
      <w:pPr>
        <w:spacing w:line="360" w:lineRule="auto"/>
        <w:ind w:firstLine="482" w:firstLineChars="200"/>
        <w:jc w:val="left"/>
        <w:rPr>
          <w:rFonts w:hint="eastAsia" w:ascii="宋体" w:hAnsi="宋体" w:eastAsia="宋体" w:cs="宋体"/>
          <w:b/>
          <w:bCs w:val="0"/>
          <w:color w:val="auto"/>
          <w:kern w:val="0"/>
          <w:sz w:val="24"/>
          <w:szCs w:val="24"/>
        </w:rPr>
      </w:pPr>
      <w:r>
        <w:rPr>
          <w:rFonts w:hint="eastAsia" w:ascii="宋体" w:hAnsi="宋体" w:eastAsia="宋体" w:cs="宋体"/>
          <w:b/>
          <w:bCs w:val="0"/>
          <w:color w:val="auto"/>
          <w:kern w:val="0"/>
          <w:sz w:val="24"/>
          <w:szCs w:val="24"/>
        </w:rPr>
        <w:t>备注：交易平台技术咨询电话：0374-2961598     清单技术支持：18236016896</w:t>
      </w:r>
    </w:p>
    <w:p w14:paraId="109B12C2">
      <w:pPr>
        <w:spacing w:line="360" w:lineRule="auto"/>
        <w:ind w:firstLine="480" w:firstLineChars="200"/>
        <w:jc w:val="left"/>
        <w:rPr>
          <w:rFonts w:hint="eastAsia" w:ascii="宋体" w:hAnsi="宋体" w:eastAsia="宋体" w:cs="宋体"/>
          <w:bCs/>
          <w:color w:val="auto"/>
          <w:kern w:val="0"/>
          <w:sz w:val="24"/>
          <w:szCs w:val="24"/>
        </w:rPr>
      </w:pPr>
    </w:p>
    <w:p w14:paraId="07CB6B94">
      <w:pPr>
        <w:spacing w:line="360" w:lineRule="auto"/>
        <w:ind w:firstLine="482" w:firstLineChars="200"/>
        <w:rPr>
          <w:rFonts w:hint="eastAsia" w:ascii="宋体" w:hAnsi="宋体" w:eastAsia="宋体" w:cs="宋体"/>
          <w:b/>
          <w:color w:val="auto"/>
          <w:kern w:val="0"/>
          <w:sz w:val="24"/>
          <w:szCs w:val="24"/>
        </w:rPr>
      </w:pPr>
    </w:p>
    <w:p w14:paraId="70D229AF">
      <w:pPr>
        <w:spacing w:line="360" w:lineRule="auto"/>
        <w:ind w:firstLine="643" w:firstLineChars="200"/>
        <w:rPr>
          <w:rFonts w:ascii="宋体" w:hAnsi="宋体"/>
          <w:b/>
          <w:color w:val="auto"/>
          <w:kern w:val="0"/>
          <w:sz w:val="32"/>
          <w:szCs w:val="32"/>
        </w:rPr>
      </w:pPr>
      <w:r>
        <w:rPr>
          <w:rFonts w:hint="eastAsia" w:ascii="宋体" w:hAnsi="宋体"/>
          <w:b/>
          <w:color w:val="auto"/>
          <w:kern w:val="0"/>
          <w:sz w:val="32"/>
          <w:szCs w:val="32"/>
        </w:rPr>
        <w:br w:type="page"/>
      </w:r>
    </w:p>
    <w:p w14:paraId="7315E8B4">
      <w:pPr>
        <w:spacing w:line="360" w:lineRule="auto"/>
        <w:jc w:val="center"/>
        <w:outlineLvl w:val="0"/>
        <w:rPr>
          <w:rFonts w:ascii="宋体" w:hAnsi="宋体"/>
          <w:b/>
          <w:color w:val="auto"/>
          <w:kern w:val="0"/>
          <w:sz w:val="32"/>
          <w:szCs w:val="32"/>
        </w:rPr>
      </w:pPr>
      <w:bookmarkStart w:id="3" w:name="_Toc138068716"/>
      <w:r>
        <w:rPr>
          <w:rFonts w:hint="eastAsia" w:ascii="宋体" w:hAnsi="宋体"/>
          <w:b/>
          <w:color w:val="auto"/>
          <w:kern w:val="0"/>
          <w:sz w:val="32"/>
          <w:szCs w:val="32"/>
        </w:rPr>
        <w:t>第二章 采购需求</w:t>
      </w:r>
      <w:bookmarkEnd w:id="3"/>
    </w:p>
    <w:p w14:paraId="2785479E">
      <w:pPr>
        <w:spacing w:line="360" w:lineRule="auto"/>
        <w:rPr>
          <w:rFonts w:ascii="宋体" w:hAnsi="宋体" w:cs="仿宋"/>
          <w:b/>
          <w:bCs/>
          <w:color w:val="auto"/>
          <w:spacing w:val="9"/>
          <w:sz w:val="24"/>
          <w:szCs w:val="24"/>
        </w:rPr>
      </w:pPr>
      <w:bookmarkStart w:id="4" w:name="_Toc95233838"/>
      <w:bookmarkStart w:id="5" w:name="_Toc138068717"/>
      <w:r>
        <w:rPr>
          <w:rFonts w:hint="eastAsia" w:ascii="宋体" w:hAnsi="宋体" w:cs="仿宋"/>
          <w:b/>
          <w:bCs/>
          <w:color w:val="auto"/>
          <w:spacing w:val="9"/>
          <w:sz w:val="24"/>
          <w:szCs w:val="24"/>
        </w:rPr>
        <w:t>一、项目概况</w:t>
      </w:r>
    </w:p>
    <w:bookmarkEnd w:id="4"/>
    <w:p w14:paraId="07F2C9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olor w:val="auto"/>
          <w:sz w:val="24"/>
          <w:szCs w:val="24"/>
        </w:rPr>
      </w:pPr>
      <w:r>
        <w:rPr>
          <w:rFonts w:hint="eastAsia" w:ascii="新宋体" w:hAnsi="新宋体" w:eastAsia="新宋体"/>
          <w:color w:val="auto"/>
          <w:sz w:val="24"/>
          <w:szCs w:val="24"/>
        </w:rPr>
        <w:t>本项目主要包括：</w:t>
      </w:r>
      <w:r>
        <w:rPr>
          <w:rFonts w:hint="eastAsia" w:ascii="新宋体" w:hAnsi="新宋体" w:eastAsia="新宋体"/>
          <w:color w:val="auto"/>
          <w:sz w:val="24"/>
          <w:szCs w:val="24"/>
          <w:lang w:val="en-US" w:eastAsia="zh-CN"/>
        </w:rPr>
        <w:t>襄城县颍桥回族镇人民政府2024年襄城县农村人居环境整治提升项目（颍桥回族镇建设街村工程）项目2432200.01</w:t>
      </w:r>
      <w:r>
        <w:rPr>
          <w:rFonts w:hint="eastAsia" w:ascii="新宋体" w:hAnsi="新宋体" w:eastAsia="新宋体"/>
          <w:color w:val="auto"/>
          <w:sz w:val="24"/>
          <w:szCs w:val="24"/>
        </w:rPr>
        <w:t>元，具体内容详见工程量清单（详见附件）。</w:t>
      </w:r>
    </w:p>
    <w:p w14:paraId="3EF96D3A">
      <w:pPr>
        <w:spacing w:line="360" w:lineRule="auto"/>
        <w:rPr>
          <w:rFonts w:hint="eastAsia" w:ascii="宋体" w:hAnsi="宋体" w:cs="仿宋"/>
          <w:b/>
          <w:bCs/>
          <w:color w:val="auto"/>
          <w:spacing w:val="9"/>
          <w:sz w:val="24"/>
          <w:szCs w:val="24"/>
        </w:rPr>
      </w:pPr>
      <w:r>
        <w:rPr>
          <w:rFonts w:hint="eastAsia" w:ascii="宋体" w:hAnsi="宋体" w:cs="仿宋"/>
          <w:b/>
          <w:bCs/>
          <w:color w:val="auto"/>
          <w:spacing w:val="9"/>
          <w:sz w:val="24"/>
          <w:szCs w:val="24"/>
          <w:lang w:val="en-US" w:eastAsia="zh-CN"/>
        </w:rPr>
        <w:t>二、工程量清单：</w:t>
      </w:r>
    </w:p>
    <w:p w14:paraId="47B68D5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olor w:val="auto"/>
          <w:sz w:val="24"/>
          <w:szCs w:val="24"/>
        </w:rPr>
      </w:pPr>
      <w:r>
        <w:rPr>
          <w:rFonts w:hint="eastAsia" w:ascii="新宋体" w:hAnsi="新宋体" w:eastAsia="新宋体"/>
          <w:color w:val="auto"/>
          <w:sz w:val="24"/>
          <w:szCs w:val="24"/>
          <w:lang w:val="en-US" w:eastAsia="zh-CN"/>
        </w:rPr>
        <w:t>详见附件。</w:t>
      </w:r>
    </w:p>
    <w:p w14:paraId="74290547">
      <w:pPr>
        <w:spacing w:line="360" w:lineRule="auto"/>
        <w:rPr>
          <w:rFonts w:ascii="宋体" w:hAnsi="宋体" w:cs="宋体"/>
          <w:b/>
          <w:color w:val="auto"/>
          <w:sz w:val="24"/>
          <w:szCs w:val="24"/>
          <w:highlight w:val="none"/>
          <w:lang w:val="zh-CN"/>
        </w:rPr>
      </w:pPr>
      <w:r>
        <w:rPr>
          <w:rFonts w:hint="eastAsia" w:ascii="宋体" w:hAnsi="宋体" w:cs="宋体"/>
          <w:b/>
          <w:color w:val="auto"/>
          <w:sz w:val="24"/>
          <w:szCs w:val="24"/>
          <w:highlight w:val="none"/>
          <w:lang w:val="en-US" w:eastAsia="zh-CN"/>
        </w:rPr>
        <w:t>三</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zh-CN"/>
        </w:rPr>
        <w:t>采购标的执行标准（技术标准和要求）：</w:t>
      </w:r>
    </w:p>
    <w:p w14:paraId="70857E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olor w:val="auto"/>
          <w:sz w:val="24"/>
          <w:szCs w:val="24"/>
        </w:rPr>
      </w:pPr>
      <w:r>
        <w:rPr>
          <w:rFonts w:hint="eastAsia" w:ascii="新宋体" w:hAnsi="新宋体" w:eastAsia="新宋体"/>
          <w:color w:val="auto"/>
          <w:sz w:val="24"/>
          <w:szCs w:val="24"/>
        </w:rPr>
        <w:t>2.1投标报价应根据招标文件中的有关计价要求，并按照下列依据自主报价。</w:t>
      </w:r>
    </w:p>
    <w:p w14:paraId="1287AF0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新宋体" w:hAnsi="新宋体" w:eastAsia="新宋体"/>
          <w:color w:val="auto"/>
          <w:sz w:val="24"/>
          <w:szCs w:val="24"/>
          <w:lang w:val="en-US" w:eastAsia="zh-CN"/>
        </w:rPr>
      </w:pPr>
      <w:r>
        <w:rPr>
          <w:rFonts w:hint="eastAsia" w:ascii="新宋体" w:hAnsi="新宋体" w:eastAsia="新宋体"/>
          <w:color w:val="auto"/>
          <w:sz w:val="24"/>
          <w:szCs w:val="24"/>
          <w:lang w:val="en-US" w:eastAsia="zh-CN"/>
        </w:rPr>
        <w:t>2.2襄城县颍桥回族镇人民政府2024年襄城县农村人居环境整治提升项目（颍桥回族镇建设街村工程）项目预算书、设计图纸、情况说明；</w:t>
      </w:r>
    </w:p>
    <w:p w14:paraId="133B0F2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olor w:val="auto"/>
          <w:sz w:val="24"/>
          <w:szCs w:val="24"/>
          <w:lang w:val="en-US" w:eastAsia="zh-CN"/>
        </w:rPr>
      </w:pPr>
      <w:r>
        <w:rPr>
          <w:rFonts w:hint="eastAsia" w:ascii="新宋体" w:hAnsi="新宋体" w:eastAsia="新宋体"/>
          <w:color w:val="auto"/>
          <w:sz w:val="24"/>
          <w:szCs w:val="24"/>
          <w:lang w:val="en-US" w:eastAsia="zh-CN"/>
        </w:rPr>
        <w:t>2.2.1工程量清单根据《建设工程工程量清单计价规范》GB50500-2013；</w:t>
      </w:r>
    </w:p>
    <w:p w14:paraId="2EC759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olor w:val="auto"/>
          <w:sz w:val="24"/>
          <w:szCs w:val="24"/>
          <w:lang w:val="en-US" w:eastAsia="zh-CN"/>
        </w:rPr>
      </w:pPr>
      <w:r>
        <w:rPr>
          <w:rFonts w:hint="eastAsia" w:ascii="新宋体" w:hAnsi="新宋体" w:eastAsia="新宋体"/>
          <w:color w:val="auto"/>
          <w:sz w:val="24"/>
          <w:szCs w:val="24"/>
          <w:lang w:val="en-US" w:eastAsia="zh-CN"/>
        </w:rPr>
        <w:t>2.2.2依据《建设工程工程量清单计价规范》GB50500-2013、《房屋建筑与装饰工程工程量计算规范》GB50854-2013、《通用安装工程工程量计算规范》GB50856-2013；定额采用《河南省房屋建筑与装饰工程预算定额》(HA01-31-2016)、《河南省通用安装工程预算定额》(HA02-31-2016)、《&lt;河南省房屋建筑与装饰工程预算定额(HA01-31-2016)&gt;&lt;河南省通用安装工程预算定额(HA02-31-2016)&gt;综合解释》以及相关造价文件进行审核；</w:t>
      </w:r>
    </w:p>
    <w:p w14:paraId="0B1030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olor w:val="auto"/>
          <w:sz w:val="24"/>
          <w:szCs w:val="24"/>
          <w:lang w:val="en-US" w:eastAsia="zh-CN"/>
        </w:rPr>
      </w:pPr>
      <w:r>
        <w:rPr>
          <w:rFonts w:hint="eastAsia" w:ascii="新宋体" w:hAnsi="新宋体" w:eastAsia="新宋体"/>
          <w:color w:val="auto"/>
          <w:sz w:val="24"/>
          <w:szCs w:val="24"/>
          <w:lang w:val="en-US" w:eastAsia="zh-CN"/>
        </w:rPr>
        <w:t>2.2.3人工费、机械费、管理费均按河南省豫建消技【2024】年15号文件规定计入；</w:t>
      </w:r>
    </w:p>
    <w:p w14:paraId="0F54A6A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olor w:val="auto"/>
          <w:sz w:val="24"/>
          <w:szCs w:val="24"/>
          <w:lang w:val="en-US" w:eastAsia="zh-CN"/>
        </w:rPr>
      </w:pPr>
      <w:r>
        <w:rPr>
          <w:rFonts w:hint="eastAsia" w:ascii="新宋体" w:hAnsi="新宋体" w:eastAsia="新宋体"/>
          <w:color w:val="auto"/>
          <w:sz w:val="24"/>
          <w:szCs w:val="24"/>
          <w:lang w:val="en-US" w:eastAsia="zh-CN"/>
        </w:rPr>
        <w:t>2.2.4措施费中夜间施工增加费、二次搬运费、冬雨季施工增加费均计入；</w:t>
      </w:r>
    </w:p>
    <w:p w14:paraId="5FA2F8F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olor w:val="auto"/>
          <w:sz w:val="24"/>
          <w:szCs w:val="24"/>
          <w:lang w:val="en-US" w:eastAsia="zh-CN"/>
        </w:rPr>
      </w:pPr>
      <w:r>
        <w:rPr>
          <w:rFonts w:hint="eastAsia" w:ascii="新宋体" w:hAnsi="新宋体" w:eastAsia="新宋体"/>
          <w:color w:val="auto"/>
          <w:sz w:val="24"/>
          <w:szCs w:val="24"/>
          <w:lang w:val="en-US" w:eastAsia="zh-CN"/>
        </w:rPr>
        <w:t>2.2.5增值税税率9%按财政部税务总局海关总署公告2019年第39号文件规定计入</w:t>
      </w:r>
    </w:p>
    <w:p w14:paraId="6E8F2BB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olor w:val="auto"/>
          <w:sz w:val="24"/>
          <w:szCs w:val="24"/>
          <w:lang w:val="en-US" w:eastAsia="zh-CN"/>
        </w:rPr>
      </w:pPr>
      <w:r>
        <w:rPr>
          <w:rFonts w:hint="eastAsia" w:ascii="新宋体" w:hAnsi="新宋体" w:eastAsia="新宋体"/>
          <w:color w:val="auto"/>
          <w:sz w:val="24"/>
          <w:szCs w:val="24"/>
          <w:lang w:val="en-US" w:eastAsia="zh-CN"/>
        </w:rPr>
        <w:t>2.2.6主要材料价格参照《许昌信息价》2024年第五期及11月份材料信息价，其不足部分采取市场询价。</w:t>
      </w:r>
    </w:p>
    <w:p w14:paraId="734D46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olor w:val="auto"/>
          <w:sz w:val="24"/>
          <w:szCs w:val="24"/>
          <w:lang w:val="en-US" w:eastAsia="zh-CN"/>
        </w:rPr>
      </w:pPr>
      <w:r>
        <w:rPr>
          <w:rFonts w:hint="eastAsia" w:ascii="新宋体" w:hAnsi="新宋体" w:eastAsia="新宋体"/>
          <w:color w:val="auto"/>
          <w:sz w:val="24"/>
          <w:szCs w:val="24"/>
          <w:lang w:val="en-US" w:eastAsia="zh-CN"/>
        </w:rPr>
        <w:t>2.2.7其他计算依据参考现行的文件。</w:t>
      </w:r>
    </w:p>
    <w:p w14:paraId="464DA1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olor w:val="auto"/>
          <w:sz w:val="24"/>
          <w:szCs w:val="24"/>
        </w:rPr>
      </w:pPr>
      <w:r>
        <w:rPr>
          <w:rFonts w:hint="eastAsia" w:ascii="新宋体" w:hAnsi="新宋体" w:eastAsia="新宋体"/>
          <w:color w:val="auto"/>
          <w:sz w:val="24"/>
          <w:szCs w:val="24"/>
        </w:rPr>
        <w:t>2.3工程量清单中标价的单价或金额，应包括所需人工、材料费、施工机械使用费和管理费及利润，以及一定范围内的风险费用。所谓“一定范围内的风险”是指合同约定的风险。</w:t>
      </w:r>
    </w:p>
    <w:p w14:paraId="65443A2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olor w:val="auto"/>
          <w:sz w:val="24"/>
          <w:szCs w:val="24"/>
        </w:rPr>
      </w:pPr>
      <w:r>
        <w:rPr>
          <w:rFonts w:hint="eastAsia" w:ascii="新宋体" w:hAnsi="新宋体" w:eastAsia="新宋体"/>
          <w:color w:val="auto"/>
          <w:sz w:val="24"/>
          <w:szCs w:val="24"/>
        </w:rPr>
        <w:t>2.4已标价工程量清单中投标人没有填入单价或价格的子目，其费用视为已分摊在工程量清单中其他已标价的相关子目的单价或价格之中。</w:t>
      </w:r>
    </w:p>
    <w:p w14:paraId="7CC2FE8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olor w:val="auto"/>
          <w:sz w:val="24"/>
          <w:szCs w:val="24"/>
        </w:rPr>
      </w:pPr>
      <w:r>
        <w:rPr>
          <w:rFonts w:hint="eastAsia" w:ascii="新宋体" w:hAnsi="新宋体" w:eastAsia="新宋体"/>
          <w:color w:val="auto"/>
          <w:sz w:val="24"/>
          <w:szCs w:val="24"/>
        </w:rPr>
        <w:t>2.5“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14:paraId="433C71E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olor w:val="auto"/>
          <w:sz w:val="24"/>
          <w:szCs w:val="24"/>
        </w:rPr>
      </w:pPr>
      <w:r>
        <w:rPr>
          <w:rFonts w:hint="eastAsia" w:ascii="新宋体" w:hAnsi="新宋体" w:eastAsia="新宋体"/>
          <w:color w:val="auto"/>
          <w:sz w:val="24"/>
          <w:szCs w:val="24"/>
        </w:rPr>
        <w:t>2.6分部分项工程项目按下列要求报价：</w:t>
      </w:r>
    </w:p>
    <w:p w14:paraId="6F0797D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olor w:val="auto"/>
          <w:sz w:val="24"/>
          <w:szCs w:val="24"/>
        </w:rPr>
      </w:pPr>
      <w:r>
        <w:rPr>
          <w:rFonts w:hint="eastAsia" w:ascii="新宋体" w:hAnsi="新宋体" w:eastAsia="新宋体"/>
          <w:color w:val="auto"/>
          <w:sz w:val="24"/>
          <w:szCs w:val="24"/>
        </w:rPr>
        <w:t>2.6.1分部分项工程量清单计价应依据计价规范中关于综合单价的组成内容确定报价。</w:t>
      </w:r>
    </w:p>
    <w:p w14:paraId="00E7D98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olor w:val="auto"/>
          <w:sz w:val="24"/>
          <w:szCs w:val="24"/>
        </w:rPr>
      </w:pPr>
      <w:r>
        <w:rPr>
          <w:rFonts w:hint="eastAsia" w:ascii="新宋体" w:hAnsi="新宋体" w:eastAsia="新宋体"/>
          <w:color w:val="auto"/>
          <w:sz w:val="24"/>
          <w:szCs w:val="24"/>
        </w:rPr>
        <w:t>2.6.2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14:paraId="3A22DBF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olor w:val="auto"/>
          <w:sz w:val="24"/>
          <w:szCs w:val="24"/>
        </w:rPr>
      </w:pPr>
      <w:r>
        <w:rPr>
          <w:rFonts w:hint="eastAsia" w:ascii="新宋体" w:hAnsi="新宋体" w:eastAsia="新宋体"/>
          <w:color w:val="auto"/>
          <w:sz w:val="24"/>
          <w:szCs w:val="24"/>
        </w:rPr>
        <w:t>2.6.3如果分部分项工程量清单中涉及“发包人提供的材料和工程设备一览表”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14:paraId="4A51BC4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olor w:val="auto"/>
          <w:sz w:val="24"/>
          <w:szCs w:val="24"/>
        </w:rPr>
      </w:pPr>
      <w:r>
        <w:rPr>
          <w:rFonts w:hint="eastAsia" w:ascii="新宋体" w:hAnsi="新宋体" w:eastAsia="新宋体"/>
          <w:color w:val="auto"/>
          <w:sz w:val="24"/>
          <w:szCs w:val="24"/>
        </w:rPr>
        <w:t>2.6.4“分部分项工程量清单与计价表”所列各子目的综合单价组成中，各子目的人工、材料和机械台班消耗量由投标人按照其自身情况做充分的、竞争性考虑。材料消耗量包括损耗量。</w:t>
      </w:r>
    </w:p>
    <w:p w14:paraId="53BAA8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olor w:val="auto"/>
          <w:sz w:val="24"/>
          <w:szCs w:val="24"/>
        </w:rPr>
      </w:pPr>
      <w:r>
        <w:rPr>
          <w:rFonts w:hint="eastAsia" w:ascii="新宋体" w:hAnsi="新宋体" w:eastAsia="新宋体"/>
          <w:color w:val="auto"/>
          <w:sz w:val="24"/>
          <w:szCs w:val="24"/>
        </w:rPr>
        <w:t>2.6.5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14:paraId="514AE07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olor w:val="auto"/>
          <w:sz w:val="24"/>
          <w:szCs w:val="24"/>
        </w:rPr>
      </w:pPr>
      <w:r>
        <w:rPr>
          <w:rFonts w:hint="eastAsia" w:ascii="新宋体" w:hAnsi="新宋体" w:eastAsia="新宋体"/>
          <w:color w:val="auto"/>
          <w:sz w:val="24"/>
          <w:szCs w:val="24"/>
        </w:rPr>
        <w:t>2.7措施项目按下列要求报价：</w:t>
      </w:r>
    </w:p>
    <w:p w14:paraId="18B5FF4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olor w:val="auto"/>
          <w:sz w:val="24"/>
          <w:szCs w:val="24"/>
        </w:rPr>
      </w:pPr>
      <w:r>
        <w:rPr>
          <w:rFonts w:hint="eastAsia" w:ascii="新宋体" w:hAnsi="新宋体" w:eastAsia="新宋体"/>
          <w:color w:val="auto"/>
          <w:sz w:val="24"/>
          <w:szCs w:val="24"/>
        </w:rPr>
        <w:t>2.7.1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14:paraId="091E2D7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olor w:val="auto"/>
          <w:sz w:val="24"/>
          <w:szCs w:val="24"/>
        </w:rPr>
      </w:pPr>
      <w:r>
        <w:rPr>
          <w:rFonts w:hint="eastAsia" w:ascii="新宋体" w:hAnsi="新宋体" w:eastAsia="新宋体"/>
          <w:color w:val="auto"/>
          <w:sz w:val="24"/>
          <w:szCs w:val="24"/>
        </w:rPr>
        <w:t>2.7.2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14:paraId="6962B6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olor w:val="auto"/>
          <w:sz w:val="24"/>
          <w:szCs w:val="24"/>
        </w:rPr>
      </w:pPr>
      <w:r>
        <w:rPr>
          <w:rFonts w:hint="eastAsia" w:ascii="新宋体" w:hAnsi="新宋体" w:eastAsia="新宋体"/>
          <w:color w:val="auto"/>
          <w:sz w:val="24"/>
          <w:szCs w:val="24"/>
        </w:rPr>
        <w:t>2.7.3“措施项目清单与计价表”中所填写的报价金额，应全面涵盖招标文件约定的投标人中标后施工、竣工、交付本工程并维修其任何缺陷所需要履行的责任和义务的全部费用。</w:t>
      </w:r>
    </w:p>
    <w:p w14:paraId="39B0EAE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olor w:val="auto"/>
          <w:sz w:val="24"/>
          <w:szCs w:val="24"/>
        </w:rPr>
      </w:pPr>
      <w:r>
        <w:rPr>
          <w:rFonts w:hint="eastAsia" w:ascii="新宋体" w:hAnsi="新宋体" w:eastAsia="新宋体"/>
          <w:color w:val="auto"/>
          <w:sz w:val="24"/>
          <w:szCs w:val="24"/>
        </w:rPr>
        <w:t>2.7.4对于“措施项目清单与计价表”中所填写的报价金额，应按照“措施项目清单报价分析表”对措施项目报价的组成进行详细的列项和分析。</w:t>
      </w:r>
    </w:p>
    <w:p w14:paraId="01C19C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olor w:val="auto"/>
          <w:sz w:val="24"/>
          <w:szCs w:val="24"/>
        </w:rPr>
      </w:pPr>
      <w:r>
        <w:rPr>
          <w:rFonts w:hint="eastAsia" w:ascii="新宋体" w:hAnsi="新宋体" w:eastAsia="新宋体"/>
          <w:color w:val="auto"/>
          <w:sz w:val="24"/>
          <w:szCs w:val="24"/>
        </w:rPr>
        <w:t>2.8其他项目清单费应按下列规定报价：</w:t>
      </w:r>
    </w:p>
    <w:p w14:paraId="701937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olor w:val="auto"/>
          <w:sz w:val="24"/>
          <w:szCs w:val="24"/>
        </w:rPr>
      </w:pPr>
      <w:r>
        <w:rPr>
          <w:rFonts w:hint="eastAsia" w:ascii="新宋体" w:hAnsi="新宋体" w:eastAsia="新宋体"/>
          <w:color w:val="auto"/>
          <w:sz w:val="24"/>
          <w:szCs w:val="24"/>
        </w:rPr>
        <w:t>2.8.1暂列金额按“暂列金额明细表”中列出的金额报价，此处的暂列金额是招标人在招标文件中统一给定的，并不包括本章第2.8.3项的计日工金额。</w:t>
      </w:r>
    </w:p>
    <w:p w14:paraId="503508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olor w:val="auto"/>
          <w:sz w:val="24"/>
          <w:szCs w:val="24"/>
        </w:rPr>
      </w:pPr>
      <w:r>
        <w:rPr>
          <w:rFonts w:hint="eastAsia" w:ascii="新宋体" w:hAnsi="新宋体" w:eastAsia="新宋体"/>
          <w:color w:val="auto"/>
          <w:sz w:val="24"/>
          <w:szCs w:val="24"/>
        </w:rPr>
        <w:t>2.8.2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14:paraId="14AF89C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olor w:val="auto"/>
          <w:sz w:val="24"/>
          <w:szCs w:val="24"/>
        </w:rPr>
      </w:pPr>
      <w:r>
        <w:rPr>
          <w:rFonts w:hint="eastAsia" w:ascii="新宋体" w:hAnsi="新宋体" w:eastAsia="新宋体"/>
          <w:color w:val="auto"/>
          <w:sz w:val="24"/>
          <w:szCs w:val="24"/>
        </w:rPr>
        <w:t>2.8.3计日工按“计日工表”中列出的子目和估算数量，自主确定综合单价并计算计日工金额。计日工综合单价均不包括规费和税金，其中：</w:t>
      </w:r>
    </w:p>
    <w:p w14:paraId="3CAC3B7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olor w:val="auto"/>
          <w:sz w:val="24"/>
          <w:szCs w:val="24"/>
        </w:rPr>
      </w:pPr>
      <w:r>
        <w:rPr>
          <w:rFonts w:hint="eastAsia" w:ascii="新宋体" w:hAnsi="新宋体" w:eastAsia="新宋体"/>
          <w:color w:val="auto"/>
          <w:sz w:val="24"/>
          <w:szCs w:val="24"/>
        </w:rPr>
        <w:t>(1)劳务单价应当包括工人工资、交通费用、各种补贴、劳动安全保护、社保费用、手提手动和电动工器具、施工场地内已经搭设的脚手架、水电和低值易耗品费用、现场管理费用、企业管理费和利润；</w:t>
      </w:r>
    </w:p>
    <w:p w14:paraId="7D225C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olor w:val="auto"/>
          <w:sz w:val="24"/>
          <w:szCs w:val="24"/>
        </w:rPr>
      </w:pPr>
      <w:r>
        <w:rPr>
          <w:rFonts w:hint="eastAsia" w:ascii="新宋体" w:hAnsi="新宋体" w:eastAsia="新宋体"/>
          <w:color w:val="auto"/>
          <w:sz w:val="24"/>
          <w:szCs w:val="24"/>
        </w:rPr>
        <w:t>(2)材料价格包括材料运到现场的价格以及现场搬运、仓储、二次搬运、损耗、保险、企业管理费和利润；</w:t>
      </w:r>
    </w:p>
    <w:p w14:paraId="03FD94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olor w:val="auto"/>
          <w:sz w:val="24"/>
          <w:szCs w:val="24"/>
        </w:rPr>
      </w:pPr>
      <w:r>
        <w:rPr>
          <w:rFonts w:hint="eastAsia" w:ascii="新宋体" w:hAnsi="新宋体" w:eastAsia="新宋体"/>
          <w:color w:val="auto"/>
          <w:sz w:val="24"/>
          <w:szCs w:val="24"/>
        </w:rPr>
        <w:t>(3)施工机械限于在施工场地(现场)的机械设备，其价格包括租赁或折旧、维修、维护和燃油等消耗品以及操作人员费用，包括承包人企业管理费和利润，但不包括规费和税金。辅助人员按劳务价格另计。</w:t>
      </w:r>
    </w:p>
    <w:p w14:paraId="78E746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olor w:val="auto"/>
          <w:sz w:val="24"/>
          <w:szCs w:val="24"/>
        </w:rPr>
      </w:pPr>
      <w:r>
        <w:rPr>
          <w:rFonts w:hint="eastAsia" w:ascii="新宋体" w:hAnsi="新宋体" w:eastAsia="新宋体"/>
          <w:color w:val="auto"/>
          <w:sz w:val="24"/>
          <w:szCs w:val="24"/>
        </w:rPr>
        <w:t>2.8.4总承包服务费根据招标文件中列出的内容和要求，依据项目特点自行考虑。</w:t>
      </w:r>
    </w:p>
    <w:p w14:paraId="4ECF3E2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olor w:val="auto"/>
          <w:sz w:val="24"/>
          <w:szCs w:val="24"/>
        </w:rPr>
      </w:pPr>
      <w:r>
        <w:rPr>
          <w:rFonts w:hint="eastAsia" w:ascii="新宋体" w:hAnsi="新宋体" w:eastAsia="新宋体"/>
          <w:color w:val="auto"/>
          <w:sz w:val="24"/>
          <w:szCs w:val="24"/>
        </w:rPr>
        <w:t>2.9规费和税金应按“规费、税金项目清单与计价表”所列项目并根据国家、省级或行业建设主管部门的有关规定列项和计算，不得作为竞争性费用。</w:t>
      </w:r>
    </w:p>
    <w:p w14:paraId="0090D5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olor w:val="auto"/>
          <w:sz w:val="24"/>
          <w:szCs w:val="24"/>
        </w:rPr>
      </w:pPr>
      <w:r>
        <w:rPr>
          <w:rFonts w:hint="eastAsia" w:ascii="新宋体" w:hAnsi="新宋体" w:eastAsia="新宋体"/>
          <w:color w:val="auto"/>
          <w:sz w:val="24"/>
          <w:szCs w:val="24"/>
        </w:rPr>
        <w:t>2.10除招标文件有强制性规定外，投标报价由投标人自主确定，但不得低于其成本。</w:t>
      </w:r>
    </w:p>
    <w:p w14:paraId="05EC40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olor w:val="auto"/>
          <w:sz w:val="24"/>
          <w:szCs w:val="24"/>
        </w:rPr>
      </w:pPr>
      <w:r>
        <w:rPr>
          <w:rFonts w:hint="eastAsia" w:ascii="新宋体" w:hAnsi="新宋体" w:eastAsia="新宋体"/>
          <w:color w:val="auto"/>
          <w:sz w:val="24"/>
          <w:szCs w:val="24"/>
        </w:rPr>
        <w:t>2.11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14:paraId="642345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olor w:val="auto"/>
          <w:sz w:val="24"/>
          <w:szCs w:val="24"/>
        </w:rPr>
      </w:pPr>
      <w:r>
        <w:rPr>
          <w:rFonts w:hint="eastAsia" w:ascii="新宋体" w:hAnsi="新宋体" w:eastAsia="新宋体"/>
          <w:color w:val="auto"/>
          <w:sz w:val="24"/>
          <w:szCs w:val="24"/>
        </w:rPr>
        <w:t>2.12管理费应由投标人在保证不低于其成本的基础上做竞争性考虑；利润由投标人根据自身情况和综合实力做竞争性考虑。</w:t>
      </w:r>
    </w:p>
    <w:p w14:paraId="6B9C97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olor w:val="auto"/>
          <w:sz w:val="24"/>
          <w:szCs w:val="24"/>
        </w:rPr>
      </w:pPr>
      <w:r>
        <w:rPr>
          <w:rFonts w:hint="eastAsia" w:ascii="新宋体" w:hAnsi="新宋体" w:eastAsia="新宋体"/>
          <w:color w:val="auto"/>
          <w:sz w:val="24"/>
          <w:szCs w:val="24"/>
        </w:rPr>
        <w:t>2.13投标报价中应考虑招标文件中要求投标人承担的风险范围以及相关的费用。</w:t>
      </w:r>
    </w:p>
    <w:p w14:paraId="32AC453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olor w:val="auto"/>
          <w:sz w:val="24"/>
          <w:szCs w:val="24"/>
        </w:rPr>
      </w:pPr>
      <w:r>
        <w:rPr>
          <w:rFonts w:hint="eastAsia" w:ascii="新宋体" w:hAnsi="新宋体" w:eastAsia="新宋体"/>
          <w:color w:val="auto"/>
          <w:sz w:val="24"/>
          <w:szCs w:val="24"/>
        </w:rPr>
        <w:t>2.14投标总价为投标人在投标文件中提出的各项支付金额的总和，为实施、完成招标工程并修补缺陷以及履行招标文件中约定的风险范围内的所有责任和义务所发生的全部费用。</w:t>
      </w:r>
    </w:p>
    <w:p w14:paraId="07D882E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仿宋_GB2312"/>
          <w:color w:val="auto"/>
          <w:sz w:val="24"/>
          <w:szCs w:val="24"/>
        </w:rPr>
      </w:pPr>
      <w:r>
        <w:rPr>
          <w:rFonts w:hint="eastAsia" w:ascii="宋体" w:hAnsi="宋体" w:cs="仿宋_GB2312"/>
          <w:b/>
          <w:color w:val="auto"/>
          <w:sz w:val="24"/>
          <w:szCs w:val="24"/>
        </w:rPr>
        <w:t>四、</w:t>
      </w:r>
      <w:r>
        <w:rPr>
          <w:rFonts w:hint="eastAsia" w:ascii="宋体" w:hAnsi="宋体" w:cs="黑体"/>
          <w:b/>
          <w:bCs/>
          <w:color w:val="auto"/>
          <w:sz w:val="24"/>
          <w:szCs w:val="24"/>
        </w:rPr>
        <w:t>标准、期限等要求</w:t>
      </w:r>
    </w:p>
    <w:p w14:paraId="2C0F0785">
      <w:pPr>
        <w:pStyle w:val="58"/>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仿宋_GB2312"/>
          <w:color w:val="auto"/>
          <w:sz w:val="24"/>
          <w:szCs w:val="24"/>
        </w:rPr>
      </w:pPr>
      <w:r>
        <w:rPr>
          <w:rFonts w:hint="eastAsia" w:ascii="宋体" w:hAnsi="宋体" w:cs="仿宋_GB2312"/>
          <w:color w:val="auto"/>
          <w:sz w:val="24"/>
          <w:szCs w:val="24"/>
        </w:rPr>
        <w:t>1、合同履行期限：自合同生效之日起</w:t>
      </w:r>
      <w:r>
        <w:rPr>
          <w:rFonts w:hint="eastAsia" w:ascii="宋体" w:hAnsi="宋体" w:cs="仿宋_GB2312"/>
          <w:color w:val="auto"/>
          <w:sz w:val="24"/>
          <w:szCs w:val="24"/>
          <w:lang w:val="en-US" w:eastAsia="zh-CN"/>
        </w:rPr>
        <w:t>70</w:t>
      </w:r>
      <w:r>
        <w:rPr>
          <w:rFonts w:hint="eastAsia" w:ascii="宋体" w:hAnsi="宋体" w:cs="仿宋_GB2312"/>
          <w:color w:val="auto"/>
          <w:sz w:val="24"/>
          <w:szCs w:val="24"/>
        </w:rPr>
        <w:t>日历天；</w:t>
      </w:r>
    </w:p>
    <w:p w14:paraId="48047334">
      <w:pPr>
        <w:pStyle w:val="58"/>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仿宋_GB2312"/>
          <w:color w:val="auto"/>
          <w:sz w:val="24"/>
          <w:szCs w:val="24"/>
        </w:rPr>
      </w:pPr>
      <w:r>
        <w:rPr>
          <w:rFonts w:hint="eastAsia" w:ascii="宋体" w:hAnsi="宋体" w:cs="仿宋_GB2312"/>
          <w:color w:val="auto"/>
          <w:sz w:val="24"/>
          <w:szCs w:val="24"/>
        </w:rPr>
        <w:t>2、质量要求：</w:t>
      </w:r>
      <w:r>
        <w:rPr>
          <w:rFonts w:hint="eastAsia" w:ascii="宋体" w:hAnsi="宋体" w:cs="黑体"/>
          <w:bCs/>
          <w:color w:val="auto"/>
          <w:sz w:val="24"/>
          <w:szCs w:val="24"/>
        </w:rPr>
        <w:t>合格（符合国家现行的验收规范和标准）。</w:t>
      </w:r>
    </w:p>
    <w:p w14:paraId="0D9E7AAA">
      <w:pPr>
        <w:pStyle w:val="58"/>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仿宋_GB2312"/>
          <w:color w:val="auto"/>
          <w:sz w:val="24"/>
          <w:szCs w:val="24"/>
        </w:rPr>
      </w:pPr>
      <w:r>
        <w:rPr>
          <w:rFonts w:hint="eastAsia" w:ascii="宋体" w:hAnsi="宋体" w:cs="仿宋_GB2312"/>
          <w:color w:val="auto"/>
          <w:sz w:val="24"/>
          <w:szCs w:val="24"/>
        </w:rPr>
        <w:t>3、履约地点：采购人指定地点。</w:t>
      </w:r>
    </w:p>
    <w:p w14:paraId="40118BF4">
      <w:pPr>
        <w:pStyle w:val="58"/>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olor w:val="auto"/>
          <w:sz w:val="24"/>
          <w:szCs w:val="24"/>
        </w:rPr>
      </w:pPr>
      <w:r>
        <w:rPr>
          <w:rFonts w:hint="eastAsia" w:ascii="宋体" w:hAnsi="宋体" w:cs="仿宋_GB2312"/>
          <w:color w:val="auto"/>
          <w:sz w:val="24"/>
          <w:szCs w:val="24"/>
        </w:rPr>
        <w:t>4、质保期：按国家、行业相关规定执行。</w:t>
      </w:r>
    </w:p>
    <w:p w14:paraId="5E1DE2E2">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right="1470"/>
        <w:textAlignment w:val="auto"/>
        <w:rPr>
          <w:rFonts w:hint="eastAsia" w:ascii="宋体" w:hAnsi="宋体" w:cs="宋体"/>
          <w:b/>
          <w:color w:val="auto"/>
          <w:spacing w:val="10"/>
          <w:position w:val="1"/>
          <w:sz w:val="24"/>
          <w:szCs w:val="23"/>
          <w:lang w:val="en-US" w:eastAsia="zh-CN"/>
        </w:rPr>
      </w:pPr>
      <w:r>
        <w:rPr>
          <w:rFonts w:hint="eastAsia" w:ascii="宋体" w:hAnsi="宋体" w:cs="宋体"/>
          <w:b/>
          <w:color w:val="auto"/>
          <w:spacing w:val="10"/>
          <w:position w:val="1"/>
          <w:sz w:val="24"/>
          <w:szCs w:val="23"/>
          <w:lang w:val="en-US" w:eastAsia="zh-CN"/>
        </w:rPr>
        <w:t>五、验收标准</w:t>
      </w:r>
    </w:p>
    <w:p w14:paraId="126365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rPr>
      </w:pPr>
      <w:r>
        <w:rPr>
          <w:rFonts w:hint="eastAsia" w:ascii="宋体" w:hAnsi="宋体"/>
          <w:color w:val="auto"/>
          <w:sz w:val="24"/>
          <w:szCs w:val="24"/>
        </w:rPr>
        <w:t>由采购人成立验收小组</w:t>
      </w:r>
      <w:r>
        <w:rPr>
          <w:rFonts w:hint="eastAsia" w:ascii="宋体" w:hAnsi="宋体"/>
          <w:color w:val="auto"/>
          <w:sz w:val="24"/>
          <w:szCs w:val="24"/>
          <w:lang w:eastAsia="zh-CN"/>
        </w:rPr>
        <w:t>，</w:t>
      </w:r>
      <w:r>
        <w:rPr>
          <w:rFonts w:hint="eastAsia" w:ascii="宋体" w:hAnsi="宋体"/>
          <w:color w:val="auto"/>
          <w:sz w:val="24"/>
          <w:szCs w:val="24"/>
        </w:rPr>
        <w:t>按照采购合同的约定对中标人履约情况进行验收。验收时</w:t>
      </w:r>
      <w:r>
        <w:rPr>
          <w:rFonts w:hint="eastAsia" w:ascii="宋体" w:hAnsi="宋体"/>
          <w:color w:val="auto"/>
          <w:sz w:val="24"/>
          <w:szCs w:val="24"/>
          <w:lang w:eastAsia="zh-CN"/>
        </w:rPr>
        <w:t>，</w:t>
      </w:r>
      <w:r>
        <w:rPr>
          <w:rFonts w:hint="eastAsia" w:ascii="宋体" w:hAnsi="宋体"/>
          <w:color w:val="auto"/>
          <w:sz w:val="24"/>
          <w:szCs w:val="24"/>
        </w:rPr>
        <w:t>按照采购合同的约定对每一项技术、服务、安全标准的履约情况进行确认。验收结束后</w:t>
      </w:r>
      <w:r>
        <w:rPr>
          <w:rFonts w:hint="eastAsia" w:ascii="宋体" w:hAnsi="宋体"/>
          <w:color w:val="auto"/>
          <w:sz w:val="24"/>
          <w:szCs w:val="24"/>
          <w:lang w:eastAsia="zh-CN"/>
        </w:rPr>
        <w:t>，</w:t>
      </w:r>
      <w:r>
        <w:rPr>
          <w:rFonts w:hint="eastAsia" w:ascii="宋体" w:hAnsi="宋体"/>
          <w:color w:val="auto"/>
          <w:sz w:val="24"/>
          <w:szCs w:val="24"/>
        </w:rPr>
        <w:t>出具验收书</w:t>
      </w:r>
      <w:r>
        <w:rPr>
          <w:rFonts w:hint="eastAsia" w:ascii="宋体" w:hAnsi="宋体"/>
          <w:color w:val="auto"/>
          <w:sz w:val="24"/>
          <w:szCs w:val="24"/>
          <w:lang w:eastAsia="zh-CN"/>
        </w:rPr>
        <w:t>，</w:t>
      </w:r>
      <w:r>
        <w:rPr>
          <w:rFonts w:hint="eastAsia" w:ascii="宋体" w:hAnsi="宋体"/>
          <w:color w:val="auto"/>
          <w:sz w:val="24"/>
          <w:szCs w:val="24"/>
        </w:rPr>
        <w:t>列明各项标准的验收情况及项目总体评价</w:t>
      </w:r>
      <w:r>
        <w:rPr>
          <w:rFonts w:hint="eastAsia" w:ascii="宋体" w:hAnsi="宋体"/>
          <w:color w:val="auto"/>
          <w:sz w:val="24"/>
          <w:szCs w:val="24"/>
          <w:lang w:eastAsia="zh-CN"/>
        </w:rPr>
        <w:t>，</w:t>
      </w:r>
      <w:r>
        <w:rPr>
          <w:rFonts w:hint="eastAsia" w:ascii="宋体" w:hAnsi="宋体"/>
          <w:color w:val="auto"/>
          <w:sz w:val="24"/>
          <w:szCs w:val="24"/>
        </w:rPr>
        <w:t>由验收双方共同签署。</w:t>
      </w:r>
    </w:p>
    <w:p w14:paraId="773C7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rPr>
      </w:pPr>
      <w:r>
        <w:rPr>
          <w:rFonts w:hint="eastAsia" w:ascii="宋体" w:hAnsi="宋体"/>
          <w:color w:val="auto"/>
          <w:sz w:val="24"/>
          <w:szCs w:val="24"/>
        </w:rPr>
        <w:t>1、按照国家相关标准、行业标准、地方标准或者其他标准、规范验收；</w:t>
      </w:r>
    </w:p>
    <w:p w14:paraId="2AACFF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rPr>
      </w:pPr>
      <w:r>
        <w:rPr>
          <w:rFonts w:hint="eastAsia" w:ascii="宋体" w:hAnsi="宋体"/>
          <w:color w:val="auto"/>
          <w:sz w:val="24"/>
          <w:szCs w:val="24"/>
        </w:rPr>
        <w:t>2、按照招标文件要求、投标文件响应和承诺验收。</w:t>
      </w:r>
    </w:p>
    <w:p w14:paraId="47FDCF4F">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right="1470"/>
        <w:textAlignment w:val="auto"/>
        <w:rPr>
          <w:rFonts w:hint="eastAsia" w:ascii="宋体" w:hAnsi="宋体" w:cs="宋体"/>
          <w:b/>
          <w:color w:val="auto"/>
          <w:spacing w:val="10"/>
          <w:position w:val="1"/>
          <w:sz w:val="24"/>
          <w:szCs w:val="23"/>
          <w:lang w:val="en-US" w:eastAsia="zh-CN"/>
        </w:rPr>
      </w:pPr>
      <w:r>
        <w:rPr>
          <w:rFonts w:hint="eastAsia" w:ascii="宋体" w:hAnsi="宋体" w:cs="宋体"/>
          <w:b/>
          <w:color w:val="auto"/>
          <w:spacing w:val="10"/>
          <w:position w:val="1"/>
          <w:sz w:val="24"/>
          <w:szCs w:val="23"/>
          <w:lang w:val="en-US" w:eastAsia="zh-CN"/>
        </w:rPr>
        <w:t>六、采购标的的其他技术、服务等要求</w:t>
      </w:r>
    </w:p>
    <w:p w14:paraId="414188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rPr>
      </w:pPr>
      <w:r>
        <w:rPr>
          <w:rFonts w:hint="eastAsia" w:ascii="宋体" w:hAnsi="宋体"/>
          <w:color w:val="auto"/>
          <w:sz w:val="24"/>
          <w:szCs w:val="24"/>
        </w:rPr>
        <w:t>1、供应商应就该项目完整响应（报价含人工费、材料费、设备费、税费、利润等综合费用），否则为无效响应。</w:t>
      </w:r>
    </w:p>
    <w:p w14:paraId="77F6A3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rPr>
      </w:pPr>
      <w:r>
        <w:rPr>
          <w:rFonts w:hint="eastAsia" w:ascii="宋体" w:hAnsi="宋体"/>
          <w:color w:val="auto"/>
          <w:sz w:val="24"/>
          <w:szCs w:val="24"/>
        </w:rPr>
        <w:t>2、成交供应商应遵守国家有关法律、法规及执业规范，应遵守审计部门、财政部门的相关制度规定，并由采购人对其进行日常考核。</w:t>
      </w:r>
    </w:p>
    <w:p w14:paraId="4BE6A0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pacing w:val="0"/>
          <w:position w:val="0"/>
          <w:sz w:val="24"/>
          <w:szCs w:val="24"/>
        </w:rPr>
      </w:pPr>
      <w:r>
        <w:rPr>
          <w:rFonts w:hint="eastAsia" w:ascii="宋体" w:hAnsi="宋体"/>
          <w:color w:val="auto"/>
          <w:sz w:val="24"/>
          <w:szCs w:val="24"/>
        </w:rPr>
        <w:t>3、成交供应商未达到作业计划标准及工作违规或引起纠纷、被上级部门处罚等不</w:t>
      </w:r>
      <w:r>
        <w:rPr>
          <w:rFonts w:hint="eastAsia" w:ascii="宋体" w:hAnsi="宋体"/>
          <w:color w:val="auto"/>
          <w:spacing w:val="0"/>
          <w:position w:val="0"/>
          <w:sz w:val="24"/>
          <w:szCs w:val="24"/>
        </w:rPr>
        <w:t>良后果，造成重大经济损失或服务严重失误，招标方有权终止本合同，并追究成交供应商的经济责任；</w:t>
      </w:r>
    </w:p>
    <w:p w14:paraId="0D9A6B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pacing w:val="0"/>
          <w:position w:val="0"/>
          <w:sz w:val="24"/>
          <w:szCs w:val="24"/>
        </w:rPr>
      </w:pPr>
      <w:r>
        <w:rPr>
          <w:rFonts w:hint="eastAsia" w:ascii="宋体" w:hAnsi="宋体"/>
          <w:color w:val="auto"/>
          <w:spacing w:val="0"/>
          <w:position w:val="0"/>
          <w:sz w:val="24"/>
          <w:szCs w:val="24"/>
        </w:rPr>
        <w:t>4、本次采购某些技术标准与国家所要求的标准不统一或有不兼容的地方，均以国家强制性标准或最新出台的标准为准。</w:t>
      </w:r>
    </w:p>
    <w:p w14:paraId="0BC685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pacing w:val="0"/>
          <w:position w:val="0"/>
          <w:sz w:val="24"/>
          <w:szCs w:val="24"/>
        </w:rPr>
      </w:pPr>
      <w:r>
        <w:rPr>
          <w:rFonts w:hint="eastAsia" w:ascii="宋体" w:hAnsi="宋体"/>
          <w:color w:val="auto"/>
          <w:spacing w:val="0"/>
          <w:position w:val="0"/>
          <w:sz w:val="24"/>
          <w:szCs w:val="24"/>
        </w:rPr>
        <w:t>5、成交后不得转包、分包，一经发现和证实，将取消其成交供应商资格并承担由此造成的损失。</w:t>
      </w:r>
    </w:p>
    <w:p w14:paraId="2FFDE0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pacing w:val="0"/>
          <w:position w:val="0"/>
          <w:sz w:val="24"/>
          <w:szCs w:val="24"/>
        </w:rPr>
      </w:pPr>
      <w:r>
        <w:rPr>
          <w:rFonts w:hint="eastAsia" w:ascii="宋体" w:hAnsi="宋体"/>
          <w:color w:val="auto"/>
          <w:spacing w:val="0"/>
          <w:position w:val="0"/>
          <w:sz w:val="24"/>
          <w:szCs w:val="24"/>
        </w:rPr>
        <w:t>6、技术标准和要求：以本工程施工图纸和适用的国家、行业以及地方规范、标准和规程为准。</w:t>
      </w:r>
    </w:p>
    <w:p w14:paraId="2DE1FB03">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right="1470"/>
        <w:textAlignment w:val="auto"/>
        <w:rPr>
          <w:rFonts w:hint="eastAsia" w:ascii="宋体" w:hAnsi="宋体" w:cs="宋体"/>
          <w:b/>
          <w:color w:val="auto"/>
          <w:spacing w:val="0"/>
          <w:position w:val="0"/>
          <w:sz w:val="24"/>
          <w:szCs w:val="23"/>
          <w:lang w:val="en-US" w:eastAsia="zh-CN"/>
        </w:rPr>
      </w:pPr>
      <w:r>
        <w:rPr>
          <w:rFonts w:hint="eastAsia" w:ascii="宋体" w:hAnsi="宋体" w:cs="宋体"/>
          <w:b/>
          <w:color w:val="auto"/>
          <w:spacing w:val="0"/>
          <w:position w:val="0"/>
          <w:sz w:val="24"/>
          <w:szCs w:val="23"/>
          <w:lang w:val="en-US" w:eastAsia="zh-CN"/>
        </w:rPr>
        <w:t>七、本项目预算金额及最高限价：</w:t>
      </w:r>
    </w:p>
    <w:p w14:paraId="0B6CBED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pacing w:val="0"/>
          <w:position w:val="0"/>
          <w:sz w:val="24"/>
          <w:szCs w:val="23"/>
        </w:rPr>
      </w:pPr>
      <w:r>
        <w:rPr>
          <w:rFonts w:hint="eastAsia" w:ascii="宋体" w:hAnsi="宋体" w:cs="宋体"/>
          <w:b/>
          <w:color w:val="auto"/>
          <w:spacing w:val="0"/>
          <w:position w:val="0"/>
          <w:sz w:val="24"/>
          <w:szCs w:val="23"/>
        </w:rPr>
        <w:t>预算金额：</w:t>
      </w:r>
      <w:r>
        <w:rPr>
          <w:rFonts w:hint="eastAsia" w:ascii="宋体" w:hAnsi="宋体" w:cs="宋体"/>
          <w:b/>
          <w:color w:val="auto"/>
          <w:spacing w:val="0"/>
          <w:position w:val="0"/>
          <w:sz w:val="24"/>
          <w:szCs w:val="23"/>
          <w:lang w:val="en-US" w:eastAsia="zh-CN"/>
        </w:rPr>
        <w:t>2432200.01</w:t>
      </w:r>
      <w:r>
        <w:rPr>
          <w:rFonts w:hint="eastAsia" w:ascii="宋体" w:hAnsi="宋体" w:cs="宋体"/>
          <w:b/>
          <w:color w:val="auto"/>
          <w:spacing w:val="0"/>
          <w:position w:val="0"/>
          <w:sz w:val="24"/>
          <w:szCs w:val="23"/>
        </w:rPr>
        <w:t>元；最高限价：2432200.01元</w:t>
      </w:r>
      <w:r>
        <w:rPr>
          <w:rFonts w:hint="eastAsia" w:ascii="宋体" w:hAnsi="宋体" w:cs="宋体"/>
          <w:b/>
          <w:color w:val="auto"/>
          <w:spacing w:val="0"/>
          <w:position w:val="0"/>
          <w:sz w:val="24"/>
          <w:szCs w:val="23"/>
          <w:lang w:eastAsia="zh-CN"/>
        </w:rPr>
        <w:t>（</w:t>
      </w:r>
      <w:r>
        <w:rPr>
          <w:rFonts w:hint="eastAsia" w:ascii="宋体" w:hAnsi="宋体" w:cs="宋体"/>
          <w:b/>
          <w:bCs/>
          <w:color w:val="auto"/>
          <w:spacing w:val="0"/>
          <w:position w:val="0"/>
          <w:sz w:val="24"/>
          <w:szCs w:val="23"/>
        </w:rPr>
        <w:t>超出最高限价的投标无效）</w:t>
      </w:r>
    </w:p>
    <w:p w14:paraId="4814270F">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color w:val="auto"/>
          <w:spacing w:val="0"/>
          <w:position w:val="0"/>
          <w:sz w:val="24"/>
          <w:szCs w:val="23"/>
        </w:rPr>
      </w:pPr>
      <w:r>
        <w:rPr>
          <w:rFonts w:hint="eastAsia" w:ascii="宋体" w:hAnsi="宋体" w:cs="宋体"/>
          <w:b/>
          <w:color w:val="auto"/>
          <w:spacing w:val="0"/>
          <w:position w:val="0"/>
          <w:sz w:val="24"/>
          <w:szCs w:val="23"/>
          <w:lang w:val="en-US" w:eastAsia="zh-CN"/>
        </w:rPr>
        <w:t>八</w:t>
      </w:r>
      <w:r>
        <w:rPr>
          <w:rFonts w:hint="eastAsia" w:ascii="宋体" w:hAnsi="宋体" w:cs="宋体"/>
          <w:b/>
          <w:color w:val="auto"/>
          <w:spacing w:val="0"/>
          <w:position w:val="0"/>
          <w:sz w:val="24"/>
          <w:szCs w:val="23"/>
        </w:rPr>
        <w:t>、采购资金支付</w:t>
      </w:r>
    </w:p>
    <w:p w14:paraId="2186DE6D">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rPr>
          <w:rFonts w:ascii="宋体" w:hAnsi="宋体" w:cs="宋体"/>
          <w:color w:val="auto"/>
          <w:spacing w:val="0"/>
          <w:position w:val="0"/>
          <w:sz w:val="24"/>
          <w:szCs w:val="23"/>
        </w:rPr>
      </w:pPr>
      <w:r>
        <w:rPr>
          <w:rFonts w:hint="eastAsia" w:ascii="宋体" w:hAnsi="宋体" w:cs="宋体"/>
          <w:color w:val="auto"/>
          <w:spacing w:val="0"/>
          <w:position w:val="0"/>
          <w:sz w:val="24"/>
          <w:szCs w:val="23"/>
        </w:rPr>
        <w:t>1、支付方式：银行转账。</w:t>
      </w:r>
    </w:p>
    <w:p w14:paraId="49899C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pacing w:val="0"/>
          <w:position w:val="0"/>
          <w:sz w:val="24"/>
          <w:szCs w:val="23"/>
        </w:rPr>
      </w:pPr>
      <w:r>
        <w:rPr>
          <w:rFonts w:hint="eastAsia" w:ascii="宋体" w:hAnsi="宋体" w:cs="宋体"/>
          <w:color w:val="auto"/>
          <w:spacing w:val="0"/>
          <w:position w:val="0"/>
          <w:sz w:val="24"/>
          <w:szCs w:val="23"/>
        </w:rPr>
        <w:t>2、支付时间及条件：项目完工且竣工验收合格后，支付已完成项目总金额的97%，剩余3%为质保金，于质保期满（一年）后付清。</w:t>
      </w:r>
    </w:p>
    <w:p w14:paraId="596FE9DE">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宋体" w:hAnsi="宋体"/>
          <w:b/>
          <w:color w:val="auto"/>
          <w:kern w:val="0"/>
          <w:sz w:val="32"/>
          <w:szCs w:val="32"/>
          <w:highlight w:val="green"/>
        </w:rPr>
      </w:pPr>
      <w:r>
        <w:rPr>
          <w:rFonts w:hint="eastAsia" w:ascii="宋体" w:hAnsi="宋体"/>
          <w:b/>
          <w:color w:val="auto"/>
          <w:kern w:val="0"/>
          <w:sz w:val="32"/>
          <w:szCs w:val="32"/>
          <w:highlight w:val="green"/>
        </w:rPr>
        <w:br w:type="page"/>
      </w:r>
    </w:p>
    <w:p w14:paraId="0C59C59F">
      <w:pPr>
        <w:spacing w:line="360" w:lineRule="auto"/>
        <w:jc w:val="center"/>
        <w:outlineLvl w:val="0"/>
        <w:rPr>
          <w:rFonts w:ascii="宋体" w:hAnsi="宋体"/>
          <w:b/>
          <w:color w:val="auto"/>
          <w:kern w:val="0"/>
          <w:sz w:val="32"/>
          <w:szCs w:val="32"/>
        </w:rPr>
      </w:pPr>
      <w:r>
        <w:rPr>
          <w:rFonts w:hint="eastAsia" w:ascii="宋体" w:hAnsi="宋体"/>
          <w:b/>
          <w:color w:val="auto"/>
          <w:kern w:val="0"/>
          <w:sz w:val="32"/>
          <w:szCs w:val="32"/>
        </w:rPr>
        <w:t>第三章</w:t>
      </w:r>
      <w:r>
        <w:rPr>
          <w:rFonts w:hint="eastAsia" w:ascii="宋体" w:hAnsi="宋体"/>
          <w:b/>
          <w:color w:val="auto"/>
          <w:kern w:val="0"/>
          <w:sz w:val="32"/>
          <w:szCs w:val="32"/>
          <w:lang w:val="en-US" w:eastAsia="zh-CN"/>
        </w:rPr>
        <w:t xml:space="preserve"> </w:t>
      </w:r>
      <w:r>
        <w:rPr>
          <w:rFonts w:hint="eastAsia" w:ascii="宋体" w:hAnsi="宋体"/>
          <w:b/>
          <w:color w:val="auto"/>
          <w:kern w:val="0"/>
          <w:sz w:val="32"/>
          <w:szCs w:val="32"/>
        </w:rPr>
        <w:t>供应商须知前附表</w:t>
      </w:r>
      <w:bookmarkEnd w:id="5"/>
    </w:p>
    <w:p w14:paraId="2AAF49C1">
      <w:pPr>
        <w:widowControl/>
        <w:spacing w:line="360" w:lineRule="auto"/>
        <w:rPr>
          <w:rFonts w:ascii="宋体" w:hAnsi="宋体"/>
          <w:b/>
          <w:color w:val="auto"/>
          <w:kern w:val="0"/>
          <w:sz w:val="24"/>
          <w:szCs w:val="24"/>
        </w:rPr>
      </w:pPr>
      <w:r>
        <w:rPr>
          <w:rFonts w:hint="eastAsia" w:ascii="宋体" w:hAnsi="宋体"/>
          <w:b/>
          <w:color w:val="auto"/>
          <w:sz w:val="24"/>
          <w:szCs w:val="24"/>
        </w:rPr>
        <w:t>磋商文件</w:t>
      </w:r>
      <w:r>
        <w:rPr>
          <w:rFonts w:hint="eastAsia" w:ascii="宋体" w:hAnsi="宋体" w:cs="微软雅黑"/>
          <w:b/>
          <w:color w:val="auto"/>
          <w:sz w:val="24"/>
          <w:szCs w:val="24"/>
        </w:rPr>
        <w:t>中凡标有★条款均为实质性要求条款，响应文件须完全响应，未实质响应的，按照无效响应处理。</w:t>
      </w:r>
    </w:p>
    <w:tbl>
      <w:tblPr>
        <w:tblStyle w:val="34"/>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85"/>
        <w:gridCol w:w="7244"/>
      </w:tblGrid>
      <w:tr w14:paraId="0605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13161DB">
            <w:pPr>
              <w:autoSpaceDE w:val="0"/>
              <w:autoSpaceDN w:val="0"/>
              <w:adjustRightInd w:val="0"/>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序号</w:t>
            </w:r>
          </w:p>
        </w:tc>
        <w:tc>
          <w:tcPr>
            <w:tcW w:w="1685" w:type="dxa"/>
            <w:tcBorders>
              <w:top w:val="single" w:color="auto" w:sz="4" w:space="0"/>
              <w:left w:val="nil"/>
              <w:bottom w:val="single" w:color="auto" w:sz="4" w:space="0"/>
              <w:right w:val="single" w:color="auto" w:sz="4" w:space="0"/>
            </w:tcBorders>
            <w:vAlign w:val="center"/>
          </w:tcPr>
          <w:p w14:paraId="6E35151A">
            <w:pPr>
              <w:autoSpaceDE w:val="0"/>
              <w:autoSpaceDN w:val="0"/>
              <w:adjustRightInd w:val="0"/>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条款名称</w:t>
            </w:r>
          </w:p>
        </w:tc>
        <w:tc>
          <w:tcPr>
            <w:tcW w:w="7244" w:type="dxa"/>
            <w:tcBorders>
              <w:top w:val="single" w:color="auto" w:sz="4" w:space="0"/>
              <w:left w:val="nil"/>
              <w:bottom w:val="single" w:color="auto" w:sz="4" w:space="0"/>
              <w:right w:val="single" w:color="auto" w:sz="4" w:space="0"/>
            </w:tcBorders>
            <w:vAlign w:val="center"/>
          </w:tcPr>
          <w:p w14:paraId="5943AC04">
            <w:pPr>
              <w:autoSpaceDE w:val="0"/>
              <w:autoSpaceDN w:val="0"/>
              <w:adjustRightInd w:val="0"/>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说明和要求</w:t>
            </w:r>
          </w:p>
        </w:tc>
      </w:tr>
      <w:tr w14:paraId="2CF0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C7D11B1">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w:t>
            </w:r>
          </w:p>
        </w:tc>
        <w:tc>
          <w:tcPr>
            <w:tcW w:w="1685" w:type="dxa"/>
            <w:tcBorders>
              <w:top w:val="single" w:color="auto" w:sz="4" w:space="0"/>
              <w:left w:val="nil"/>
              <w:bottom w:val="single" w:color="auto" w:sz="4" w:space="0"/>
              <w:right w:val="single" w:color="auto" w:sz="4" w:space="0"/>
            </w:tcBorders>
            <w:vAlign w:val="center"/>
          </w:tcPr>
          <w:p w14:paraId="0B2A8D23">
            <w:pPr>
              <w:adjustRightInd w:val="0"/>
              <w:snapToGrid w:val="0"/>
              <w:spacing w:line="360" w:lineRule="auto"/>
              <w:jc w:val="center"/>
              <w:rPr>
                <w:rFonts w:ascii="宋体" w:hAnsi="宋体" w:cs="宋体"/>
                <w:bCs/>
                <w:color w:val="auto"/>
                <w:sz w:val="24"/>
                <w:szCs w:val="24"/>
              </w:rPr>
            </w:pPr>
            <w:r>
              <w:rPr>
                <w:rFonts w:hint="eastAsia" w:ascii="宋体" w:hAnsi="宋体" w:cs="宋体"/>
                <w:color w:val="auto"/>
                <w:sz w:val="24"/>
                <w:szCs w:val="24"/>
              </w:rPr>
              <w:t>采购项目</w:t>
            </w:r>
          </w:p>
        </w:tc>
        <w:tc>
          <w:tcPr>
            <w:tcW w:w="7244" w:type="dxa"/>
            <w:tcBorders>
              <w:top w:val="single" w:color="auto" w:sz="4" w:space="0"/>
              <w:left w:val="nil"/>
              <w:bottom w:val="single" w:color="auto" w:sz="4" w:space="0"/>
              <w:right w:val="single" w:color="auto" w:sz="4" w:space="0"/>
            </w:tcBorders>
            <w:vAlign w:val="center"/>
          </w:tcPr>
          <w:p w14:paraId="1BD57179">
            <w:pPr>
              <w:spacing w:line="360" w:lineRule="auto"/>
              <w:rPr>
                <w:rFonts w:hint="default" w:ascii="宋体" w:hAnsi="宋体" w:eastAsia="宋体" w:cs="宋体"/>
                <w:color w:val="auto"/>
                <w:sz w:val="24"/>
                <w:szCs w:val="24"/>
                <w:lang w:val="en-US" w:eastAsia="zh-CN"/>
              </w:rPr>
            </w:pPr>
            <w:r>
              <w:rPr>
                <w:rFonts w:hint="eastAsia" w:ascii="宋体" w:hAnsi="宋体" w:cs="宋体"/>
                <w:color w:val="auto"/>
                <w:sz w:val="24"/>
                <w:szCs w:val="24"/>
              </w:rPr>
              <w:t>项目名称：</w:t>
            </w:r>
            <w:r>
              <w:rPr>
                <w:rFonts w:hint="eastAsia" w:ascii="宋体" w:hAnsi="宋体" w:cs="宋体"/>
                <w:color w:val="auto"/>
                <w:sz w:val="24"/>
                <w:szCs w:val="24"/>
                <w:lang w:val="en-US" w:eastAsia="zh-CN"/>
              </w:rPr>
              <w:t>襄城县颍桥回族镇人民政府2024年襄城县农村人居环境整治提升项目（颍桥回族镇建设街村工程）项目</w:t>
            </w:r>
          </w:p>
          <w:p w14:paraId="54A0EF2E">
            <w:pPr>
              <w:spacing w:line="360" w:lineRule="auto"/>
              <w:rPr>
                <w:rFonts w:hint="eastAsia" w:ascii="宋体" w:hAnsi="宋体" w:eastAsia="宋体" w:cs="宋体"/>
                <w:color w:val="auto"/>
                <w:sz w:val="24"/>
                <w:szCs w:val="24"/>
                <w:lang w:val="en-US" w:eastAsia="zh-CN"/>
              </w:rPr>
            </w:pPr>
            <w:r>
              <w:rPr>
                <w:rFonts w:hint="eastAsia" w:ascii="宋体" w:hAnsi="宋体" w:cs="宋体"/>
                <w:color w:val="auto"/>
                <w:sz w:val="24"/>
                <w:szCs w:val="24"/>
              </w:rPr>
              <w:t>项目编号</w:t>
            </w:r>
            <w:r>
              <w:rPr>
                <w:rFonts w:hint="eastAsia" w:ascii="宋体" w:hAnsi="宋体" w:cs="宋体"/>
                <w:color w:val="auto"/>
                <w:sz w:val="24"/>
                <w:szCs w:val="24"/>
                <w:highlight w:val="none"/>
                <w:shd w:val="clear"/>
              </w:rPr>
              <w:t>：襄财磋商采购-</w:t>
            </w:r>
            <w:r>
              <w:rPr>
                <w:rFonts w:hint="eastAsia" w:ascii="宋体" w:hAnsi="宋体" w:cs="宋体"/>
                <w:color w:val="auto"/>
                <w:sz w:val="24"/>
                <w:szCs w:val="24"/>
                <w:highlight w:val="none"/>
                <w:shd w:val="clear"/>
                <w:lang w:eastAsia="zh-CN"/>
              </w:rPr>
              <w:t>2025-7</w:t>
            </w:r>
          </w:p>
        </w:tc>
      </w:tr>
      <w:tr w14:paraId="52AF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535D8B8">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2</w:t>
            </w:r>
          </w:p>
        </w:tc>
        <w:tc>
          <w:tcPr>
            <w:tcW w:w="1685" w:type="dxa"/>
            <w:tcBorders>
              <w:top w:val="single" w:color="auto" w:sz="4" w:space="0"/>
              <w:left w:val="nil"/>
              <w:bottom w:val="single" w:color="auto" w:sz="4" w:space="0"/>
              <w:right w:val="single" w:color="auto" w:sz="4" w:space="0"/>
            </w:tcBorders>
            <w:vAlign w:val="center"/>
          </w:tcPr>
          <w:p w14:paraId="4F3DC971">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采购人</w:t>
            </w:r>
          </w:p>
        </w:tc>
        <w:tc>
          <w:tcPr>
            <w:tcW w:w="7244" w:type="dxa"/>
            <w:tcBorders>
              <w:top w:val="single" w:color="auto" w:sz="4" w:space="0"/>
              <w:left w:val="nil"/>
              <w:bottom w:val="single" w:color="auto" w:sz="4" w:space="0"/>
              <w:right w:val="single" w:color="auto" w:sz="4" w:space="0"/>
            </w:tcBorders>
            <w:vAlign w:val="center"/>
          </w:tcPr>
          <w:p w14:paraId="638BDC7E">
            <w:pPr>
              <w:spacing w:line="360" w:lineRule="auto"/>
              <w:rPr>
                <w:rFonts w:hint="eastAsia" w:ascii="宋体" w:hAnsi="宋体" w:cs="宋体"/>
                <w:color w:val="auto"/>
                <w:kern w:val="0"/>
                <w:sz w:val="24"/>
                <w:szCs w:val="24"/>
                <w:lang w:val="en-US" w:eastAsia="zh-CN"/>
              </w:rPr>
            </w:pPr>
            <w:r>
              <w:rPr>
                <w:rFonts w:hint="eastAsia" w:ascii="宋体" w:hAnsi="宋体" w:cs="宋体"/>
                <w:color w:val="auto"/>
                <w:kern w:val="0"/>
                <w:sz w:val="24"/>
                <w:szCs w:val="24"/>
              </w:rPr>
              <w:t>采购人：襄城县</w:t>
            </w:r>
            <w:r>
              <w:rPr>
                <w:rFonts w:hint="eastAsia" w:ascii="宋体" w:hAnsi="宋体" w:cs="宋体"/>
                <w:color w:val="auto"/>
                <w:kern w:val="0"/>
                <w:sz w:val="24"/>
                <w:szCs w:val="24"/>
                <w:lang w:val="en-US" w:eastAsia="zh-CN"/>
              </w:rPr>
              <w:t>颍桥回族镇人民政府</w:t>
            </w:r>
          </w:p>
          <w:p w14:paraId="0427A9AA">
            <w:pPr>
              <w:spacing w:line="360" w:lineRule="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地址：</w:t>
            </w:r>
            <w:r>
              <w:rPr>
                <w:rFonts w:hint="eastAsia" w:ascii="宋体" w:hAnsi="宋体" w:cs="宋体"/>
                <w:color w:val="auto"/>
                <w:kern w:val="0"/>
                <w:sz w:val="24"/>
                <w:szCs w:val="24"/>
                <w:lang w:val="en-US" w:eastAsia="zh-CN"/>
              </w:rPr>
              <w:t>襄城县颍桥回族镇</w:t>
            </w:r>
          </w:p>
          <w:p w14:paraId="0B4BF13B">
            <w:pPr>
              <w:spacing w:line="360" w:lineRule="auto"/>
              <w:rPr>
                <w:rFonts w:ascii="宋体" w:hAnsi="宋体" w:cs="宋体"/>
                <w:color w:val="auto"/>
                <w:kern w:val="0"/>
                <w:sz w:val="24"/>
                <w:szCs w:val="24"/>
              </w:rPr>
            </w:pPr>
            <w:r>
              <w:rPr>
                <w:rFonts w:hint="eastAsia" w:ascii="宋体" w:hAnsi="宋体" w:cs="宋体"/>
                <w:color w:val="auto"/>
                <w:kern w:val="0"/>
                <w:sz w:val="24"/>
                <w:szCs w:val="24"/>
              </w:rPr>
              <w:t>联系人：王先生</w:t>
            </w:r>
          </w:p>
          <w:p w14:paraId="50BAA058">
            <w:pPr>
              <w:spacing w:line="360" w:lineRule="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电话：</w:t>
            </w:r>
            <w:r>
              <w:rPr>
                <w:rFonts w:hint="eastAsia" w:ascii="宋体" w:hAnsi="宋体" w:cs="宋体"/>
                <w:color w:val="auto"/>
                <w:kern w:val="0"/>
                <w:sz w:val="24"/>
                <w:szCs w:val="24"/>
                <w:lang w:val="en-US" w:eastAsia="zh-CN"/>
              </w:rPr>
              <w:t>19836112086</w:t>
            </w:r>
          </w:p>
        </w:tc>
      </w:tr>
      <w:tr w14:paraId="10B0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1ABE388">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3</w:t>
            </w:r>
          </w:p>
        </w:tc>
        <w:tc>
          <w:tcPr>
            <w:tcW w:w="1685" w:type="dxa"/>
            <w:tcBorders>
              <w:top w:val="single" w:color="auto" w:sz="4" w:space="0"/>
              <w:left w:val="nil"/>
              <w:bottom w:val="single" w:color="auto" w:sz="4" w:space="0"/>
              <w:right w:val="single" w:color="auto" w:sz="4" w:space="0"/>
            </w:tcBorders>
            <w:vAlign w:val="center"/>
          </w:tcPr>
          <w:p w14:paraId="58FFDF90">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代理机构</w:t>
            </w:r>
          </w:p>
        </w:tc>
        <w:tc>
          <w:tcPr>
            <w:tcW w:w="7244" w:type="dxa"/>
            <w:tcBorders>
              <w:top w:val="single" w:color="auto" w:sz="4" w:space="0"/>
              <w:left w:val="nil"/>
              <w:bottom w:val="single" w:color="auto" w:sz="4" w:space="0"/>
              <w:right w:val="single" w:color="auto" w:sz="4" w:space="0"/>
            </w:tcBorders>
            <w:vAlign w:val="center"/>
          </w:tcPr>
          <w:p w14:paraId="330EED18">
            <w:pPr>
              <w:spacing w:line="360" w:lineRule="auto"/>
              <w:rPr>
                <w:rFonts w:hint="default" w:ascii="宋体" w:hAnsi="宋体" w:eastAsia="宋体" w:cs="宋体"/>
                <w:bCs/>
                <w:color w:val="auto"/>
                <w:sz w:val="24"/>
                <w:szCs w:val="24"/>
                <w:lang w:val="en-US" w:eastAsia="zh-CN"/>
              </w:rPr>
            </w:pPr>
            <w:r>
              <w:rPr>
                <w:rFonts w:hint="eastAsia" w:ascii="宋体" w:hAnsi="宋体" w:cs="宋体"/>
                <w:bCs/>
                <w:color w:val="auto"/>
                <w:sz w:val="24"/>
                <w:szCs w:val="24"/>
              </w:rPr>
              <w:t>采购代理机构：</w:t>
            </w:r>
            <w:r>
              <w:rPr>
                <w:rFonts w:hint="eastAsia" w:ascii="宋体" w:hAnsi="宋体" w:cs="宋体"/>
                <w:bCs/>
                <w:color w:val="auto"/>
                <w:sz w:val="24"/>
                <w:szCs w:val="24"/>
                <w:lang w:val="en-US" w:eastAsia="zh-CN"/>
              </w:rPr>
              <w:t>中世景弘工程项目管理有限公司</w:t>
            </w:r>
          </w:p>
          <w:p w14:paraId="39CEA70E">
            <w:pPr>
              <w:spacing w:line="360" w:lineRule="auto"/>
              <w:rPr>
                <w:rFonts w:hint="eastAsia" w:ascii="宋体" w:hAnsi="宋体" w:eastAsia="宋体" w:cs="宋体"/>
                <w:bCs/>
                <w:color w:val="auto"/>
                <w:sz w:val="24"/>
                <w:szCs w:val="24"/>
                <w:lang w:eastAsia="zh-CN"/>
              </w:rPr>
            </w:pPr>
            <w:r>
              <w:rPr>
                <w:rFonts w:hint="eastAsia" w:ascii="宋体" w:hAnsi="宋体" w:cs="宋体"/>
                <w:bCs/>
                <w:color w:val="auto"/>
                <w:sz w:val="24"/>
                <w:szCs w:val="24"/>
              </w:rPr>
              <w:t>地址：</w:t>
            </w:r>
            <w:r>
              <w:rPr>
                <w:rFonts w:hint="eastAsia" w:ascii="宋体" w:hAnsi="宋体" w:cs="宋体"/>
                <w:bCs/>
                <w:color w:val="auto"/>
                <w:sz w:val="24"/>
                <w:szCs w:val="24"/>
                <w:lang w:eastAsia="zh-CN"/>
              </w:rPr>
              <w:t>河南自贸实验区郑州片区（郑东）心怡路东、站西二路南易元国际B座1325</w:t>
            </w:r>
          </w:p>
          <w:p w14:paraId="79B34069">
            <w:pPr>
              <w:spacing w:line="360" w:lineRule="auto"/>
              <w:rPr>
                <w:rFonts w:hint="eastAsia" w:ascii="宋体" w:hAnsi="宋体" w:eastAsia="宋体" w:cs="宋体"/>
                <w:bCs/>
                <w:color w:val="auto"/>
                <w:sz w:val="24"/>
                <w:szCs w:val="24"/>
                <w:lang w:eastAsia="zh-CN"/>
              </w:rPr>
            </w:pPr>
            <w:r>
              <w:rPr>
                <w:rFonts w:hint="eastAsia" w:ascii="宋体" w:hAnsi="宋体" w:cs="宋体"/>
                <w:bCs/>
                <w:color w:val="auto"/>
                <w:sz w:val="24"/>
                <w:szCs w:val="24"/>
              </w:rPr>
              <w:t>联系人</w:t>
            </w:r>
            <w:r>
              <w:rPr>
                <w:rFonts w:hint="eastAsia" w:ascii="宋体" w:hAnsi="宋体" w:cs="宋体"/>
                <w:bCs/>
                <w:color w:val="auto"/>
                <w:sz w:val="24"/>
                <w:szCs w:val="24"/>
                <w:lang w:eastAsia="zh-CN"/>
              </w:rPr>
              <w:t>：王女士</w:t>
            </w:r>
          </w:p>
          <w:p w14:paraId="6083C338">
            <w:pPr>
              <w:spacing w:line="360" w:lineRule="auto"/>
              <w:rPr>
                <w:rFonts w:hint="eastAsia" w:ascii="宋体" w:hAnsi="宋体" w:eastAsia="宋体" w:cs="宋体"/>
                <w:bCs/>
                <w:color w:val="auto"/>
                <w:sz w:val="24"/>
                <w:szCs w:val="24"/>
                <w:lang w:eastAsia="zh-CN"/>
              </w:rPr>
            </w:pPr>
            <w:r>
              <w:rPr>
                <w:rFonts w:hint="eastAsia" w:ascii="宋体" w:hAnsi="宋体" w:cs="宋体"/>
                <w:bCs/>
                <w:color w:val="auto"/>
                <w:sz w:val="24"/>
                <w:szCs w:val="24"/>
              </w:rPr>
              <w:t>联系方式：</w:t>
            </w:r>
            <w:r>
              <w:rPr>
                <w:rFonts w:hint="eastAsia" w:ascii="宋体" w:hAnsi="宋体" w:cs="宋体"/>
                <w:bCs/>
                <w:color w:val="auto"/>
                <w:sz w:val="24"/>
                <w:szCs w:val="24"/>
                <w:lang w:eastAsia="zh-CN"/>
              </w:rPr>
              <w:t>18236267218</w:t>
            </w:r>
          </w:p>
        </w:tc>
      </w:tr>
      <w:tr w14:paraId="14A00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vMerge w:val="restart"/>
            <w:tcBorders>
              <w:top w:val="single" w:color="auto" w:sz="4" w:space="0"/>
              <w:left w:val="single" w:color="auto" w:sz="4" w:space="0"/>
              <w:right w:val="single" w:color="auto" w:sz="4" w:space="0"/>
            </w:tcBorders>
            <w:vAlign w:val="center"/>
          </w:tcPr>
          <w:p w14:paraId="653CFCCF">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4</w:t>
            </w:r>
          </w:p>
        </w:tc>
        <w:tc>
          <w:tcPr>
            <w:tcW w:w="1685" w:type="dxa"/>
            <w:vMerge w:val="restart"/>
            <w:tcBorders>
              <w:top w:val="single" w:color="auto" w:sz="4" w:space="0"/>
              <w:left w:val="nil"/>
              <w:right w:val="single" w:color="auto" w:sz="4" w:space="0"/>
            </w:tcBorders>
            <w:vAlign w:val="center"/>
          </w:tcPr>
          <w:p w14:paraId="5AE72979">
            <w:pPr>
              <w:autoSpaceDE w:val="0"/>
              <w:autoSpaceDN w:val="0"/>
              <w:adjustRightInd w:val="0"/>
              <w:spacing w:line="360" w:lineRule="auto"/>
              <w:jc w:val="center"/>
              <w:rPr>
                <w:rFonts w:ascii="宋体" w:hAnsi="宋体" w:cs="宋体"/>
                <w:color w:val="auto"/>
                <w:sz w:val="24"/>
                <w:szCs w:val="24"/>
              </w:rPr>
            </w:pPr>
            <w:r>
              <w:rPr>
                <w:rFonts w:hint="eastAsia" w:ascii="宋体" w:hAnsi="宋体" w:cs="宋体"/>
                <w:b/>
                <w:color w:val="auto"/>
                <w:sz w:val="24"/>
                <w:szCs w:val="24"/>
              </w:rPr>
              <w:t>★</w:t>
            </w:r>
            <w:r>
              <w:rPr>
                <w:rFonts w:hint="eastAsia" w:ascii="宋体" w:hAnsi="宋体" w:cs="宋体"/>
                <w:color w:val="auto"/>
                <w:sz w:val="24"/>
                <w:szCs w:val="24"/>
              </w:rPr>
              <w:t>供应商资格</w:t>
            </w:r>
          </w:p>
        </w:tc>
        <w:tc>
          <w:tcPr>
            <w:tcW w:w="7244" w:type="dxa"/>
            <w:tcBorders>
              <w:top w:val="single" w:color="auto" w:sz="4" w:space="0"/>
              <w:left w:val="nil"/>
              <w:bottom w:val="single" w:color="auto" w:sz="4" w:space="0"/>
              <w:right w:val="single" w:color="auto" w:sz="4" w:space="0"/>
            </w:tcBorders>
            <w:vAlign w:val="center"/>
          </w:tcPr>
          <w:p w14:paraId="15EB10AC">
            <w:pPr>
              <w:autoSpaceDE w:val="0"/>
              <w:autoSpaceDN w:val="0"/>
              <w:spacing w:line="360" w:lineRule="auto"/>
              <w:contextualSpacing/>
              <w:rPr>
                <w:rFonts w:hint="eastAsia" w:ascii="宋体" w:hAnsi="宋体" w:cs="宋体"/>
                <w:b/>
                <w:bCs/>
                <w:color w:val="auto"/>
                <w:kern w:val="0"/>
                <w:sz w:val="24"/>
                <w:szCs w:val="24"/>
              </w:rPr>
            </w:pPr>
            <w:r>
              <w:rPr>
                <w:rFonts w:hint="eastAsia" w:ascii="宋体" w:hAnsi="宋体" w:cs="宋体"/>
                <w:b/>
                <w:bCs/>
                <w:color w:val="auto"/>
                <w:kern w:val="0"/>
                <w:sz w:val="24"/>
                <w:szCs w:val="24"/>
              </w:rPr>
              <w:t>一、中小企业或者残疾人福利性单位声明函</w:t>
            </w:r>
          </w:p>
          <w:p w14:paraId="18CDD943">
            <w:pPr>
              <w:autoSpaceDE w:val="0"/>
              <w:autoSpaceDN w:val="0"/>
              <w:spacing w:line="360" w:lineRule="auto"/>
              <w:contextualSpacing/>
              <w:rPr>
                <w:rFonts w:hint="eastAsia" w:ascii="宋体" w:hAnsi="宋体" w:cs="宋体"/>
                <w:b w:val="0"/>
                <w:bCs w:val="0"/>
                <w:color w:val="auto"/>
                <w:kern w:val="0"/>
                <w:sz w:val="24"/>
                <w:szCs w:val="24"/>
              </w:rPr>
            </w:pPr>
            <w:r>
              <w:rPr>
                <w:rFonts w:hint="eastAsia" w:ascii="宋体" w:hAnsi="宋体" w:cs="宋体"/>
                <w:b w:val="0"/>
                <w:bCs w:val="0"/>
                <w:color w:val="auto"/>
                <w:kern w:val="0"/>
                <w:sz w:val="24"/>
                <w:szCs w:val="24"/>
              </w:rPr>
              <w:t>（1）中、小、微型企业出具《中小企业声明函》</w:t>
            </w:r>
          </w:p>
          <w:p w14:paraId="0AF1F65F">
            <w:pPr>
              <w:autoSpaceDE w:val="0"/>
              <w:autoSpaceDN w:val="0"/>
              <w:spacing w:line="360" w:lineRule="auto"/>
              <w:contextualSpacing/>
              <w:rPr>
                <w:rFonts w:hint="eastAsia" w:ascii="宋体" w:hAnsi="宋体" w:cs="宋体"/>
                <w:b w:val="0"/>
                <w:bCs w:val="0"/>
                <w:color w:val="auto"/>
                <w:kern w:val="0"/>
                <w:sz w:val="24"/>
                <w:szCs w:val="24"/>
              </w:rPr>
            </w:pPr>
            <w:r>
              <w:rPr>
                <w:rFonts w:hint="eastAsia" w:ascii="宋体" w:hAnsi="宋体" w:cs="宋体"/>
                <w:b w:val="0"/>
                <w:bCs w:val="0"/>
                <w:color w:val="auto"/>
                <w:kern w:val="0"/>
                <w:sz w:val="24"/>
                <w:szCs w:val="24"/>
              </w:rPr>
              <w:t>（2）残疾人福利性单位出具《残疾人福利企业声明函》</w:t>
            </w:r>
          </w:p>
          <w:p w14:paraId="464170CD">
            <w:pPr>
              <w:autoSpaceDE w:val="0"/>
              <w:autoSpaceDN w:val="0"/>
              <w:spacing w:line="360" w:lineRule="auto"/>
              <w:contextualSpacing/>
              <w:rPr>
                <w:rFonts w:hint="eastAsia" w:ascii="宋体" w:hAnsi="宋体" w:cs="宋体"/>
                <w:b w:val="0"/>
                <w:bCs w:val="0"/>
                <w:color w:val="auto"/>
                <w:kern w:val="0"/>
                <w:sz w:val="24"/>
                <w:szCs w:val="24"/>
              </w:rPr>
            </w:pPr>
            <w:r>
              <w:rPr>
                <w:rFonts w:hint="eastAsia" w:ascii="宋体" w:hAnsi="宋体" w:cs="宋体"/>
                <w:b w:val="0"/>
                <w:bCs w:val="0"/>
                <w:color w:val="auto"/>
                <w:kern w:val="0"/>
                <w:sz w:val="24"/>
                <w:szCs w:val="24"/>
              </w:rPr>
              <w:t>（3）监狱企业提供由省级以上监狱管理局、戒毒管理局(含新疆生</w:t>
            </w:r>
          </w:p>
          <w:p w14:paraId="3550E8A1">
            <w:pPr>
              <w:autoSpaceDE w:val="0"/>
              <w:autoSpaceDN w:val="0"/>
              <w:spacing w:line="360" w:lineRule="auto"/>
              <w:contextualSpacing/>
              <w:rPr>
                <w:rFonts w:hint="eastAsia" w:ascii="宋体" w:hAnsi="宋体" w:cs="宋体"/>
                <w:b w:val="0"/>
                <w:bCs w:val="0"/>
                <w:color w:val="auto"/>
                <w:kern w:val="0"/>
                <w:sz w:val="24"/>
                <w:szCs w:val="24"/>
              </w:rPr>
            </w:pPr>
            <w:r>
              <w:rPr>
                <w:rFonts w:hint="eastAsia" w:ascii="宋体" w:hAnsi="宋体" w:cs="宋体"/>
                <w:b w:val="0"/>
                <w:bCs w:val="0"/>
                <w:color w:val="auto"/>
                <w:kern w:val="0"/>
                <w:sz w:val="24"/>
                <w:szCs w:val="24"/>
              </w:rPr>
              <w:t>产建设兵团)出具的属于监狱企业的证明文件</w:t>
            </w:r>
          </w:p>
          <w:p w14:paraId="7D41889B">
            <w:pPr>
              <w:autoSpaceDE w:val="0"/>
              <w:autoSpaceDN w:val="0"/>
              <w:spacing w:line="360" w:lineRule="auto"/>
              <w:contextualSpacing/>
              <w:rPr>
                <w:rFonts w:ascii="宋体" w:hAnsi="宋体" w:cs="宋体"/>
                <w:b/>
                <w:bCs/>
                <w:color w:val="auto"/>
                <w:kern w:val="0"/>
                <w:sz w:val="24"/>
                <w:szCs w:val="24"/>
              </w:rPr>
            </w:pPr>
            <w:r>
              <w:rPr>
                <w:rFonts w:hint="eastAsia" w:ascii="宋体" w:hAnsi="宋体" w:cs="宋体"/>
                <w:b/>
                <w:bCs/>
                <w:color w:val="auto"/>
                <w:kern w:val="0"/>
                <w:sz w:val="24"/>
                <w:szCs w:val="24"/>
                <w:lang w:val="en-US" w:eastAsia="zh-CN"/>
              </w:rPr>
              <w:t>二、</w:t>
            </w:r>
            <w:r>
              <w:rPr>
                <w:rFonts w:hint="eastAsia" w:ascii="宋体" w:hAnsi="宋体" w:cs="宋体"/>
                <w:b/>
                <w:bCs/>
                <w:color w:val="auto"/>
                <w:kern w:val="0"/>
                <w:sz w:val="24"/>
                <w:szCs w:val="24"/>
              </w:rPr>
              <w:t>符合《政府采购法》第二十二条规定</w:t>
            </w:r>
          </w:p>
          <w:p w14:paraId="3E8E2895">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1．具有独立承担民事责任的能力；</w:t>
            </w:r>
          </w:p>
          <w:p w14:paraId="3BFA8B43">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2．具有良好的商业信誉和健全的财务会计制度；</w:t>
            </w:r>
          </w:p>
          <w:p w14:paraId="2EAB3BEF">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3．具有履行合同所必需的设备和专业技术能力；</w:t>
            </w:r>
          </w:p>
          <w:p w14:paraId="3B580F30">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4．具有依法缴纳税收和社会保障资金的良好记录；</w:t>
            </w:r>
          </w:p>
          <w:p w14:paraId="306A7EF2">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5．参加政府采购活动前三年内，在经营活动中没有重大违法记录；</w:t>
            </w:r>
          </w:p>
        </w:tc>
      </w:tr>
      <w:tr w14:paraId="5BE08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vMerge w:val="continue"/>
            <w:tcBorders>
              <w:left w:val="single" w:color="auto" w:sz="4" w:space="0"/>
              <w:right w:val="single" w:color="auto" w:sz="4" w:space="0"/>
            </w:tcBorders>
            <w:vAlign w:val="center"/>
          </w:tcPr>
          <w:p w14:paraId="1A5374C9">
            <w:pPr>
              <w:autoSpaceDE w:val="0"/>
              <w:autoSpaceDN w:val="0"/>
              <w:adjustRightInd w:val="0"/>
              <w:snapToGrid w:val="0"/>
              <w:spacing w:line="360" w:lineRule="auto"/>
              <w:jc w:val="center"/>
              <w:rPr>
                <w:rFonts w:ascii="宋体" w:hAnsi="宋体" w:cs="宋体"/>
                <w:color w:val="auto"/>
                <w:sz w:val="24"/>
                <w:szCs w:val="24"/>
              </w:rPr>
            </w:pPr>
          </w:p>
        </w:tc>
        <w:tc>
          <w:tcPr>
            <w:tcW w:w="1685" w:type="dxa"/>
            <w:vMerge w:val="continue"/>
            <w:tcBorders>
              <w:left w:val="nil"/>
              <w:right w:val="single" w:color="auto" w:sz="4" w:space="0"/>
            </w:tcBorders>
            <w:vAlign w:val="center"/>
          </w:tcPr>
          <w:p w14:paraId="0B9FEB79">
            <w:pPr>
              <w:autoSpaceDE w:val="0"/>
              <w:autoSpaceDN w:val="0"/>
              <w:adjustRightInd w:val="0"/>
              <w:spacing w:line="360" w:lineRule="auto"/>
              <w:jc w:val="center"/>
              <w:rPr>
                <w:rFonts w:ascii="宋体" w:hAnsi="宋体" w:cs="宋体"/>
                <w:b/>
                <w:color w:val="auto"/>
                <w:sz w:val="24"/>
                <w:szCs w:val="24"/>
              </w:rPr>
            </w:pPr>
          </w:p>
        </w:tc>
        <w:tc>
          <w:tcPr>
            <w:tcW w:w="7244" w:type="dxa"/>
            <w:tcBorders>
              <w:top w:val="single" w:color="auto" w:sz="4" w:space="0"/>
              <w:left w:val="nil"/>
              <w:bottom w:val="single" w:color="auto" w:sz="4" w:space="0"/>
              <w:right w:val="single" w:color="auto" w:sz="4" w:space="0"/>
            </w:tcBorders>
            <w:vAlign w:val="center"/>
          </w:tcPr>
          <w:p w14:paraId="6F2773E6">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注：</w:t>
            </w:r>
          </w:p>
          <w:p w14:paraId="2F41019B">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1、供应商在投标时，提供《襄城县政府采购供应商信用承诺函》（详见招标文件第八章</w:t>
            </w:r>
            <w:r>
              <w:rPr>
                <w:rFonts w:hint="eastAsia" w:ascii="宋体" w:hAnsi="宋体" w:cs="宋体"/>
                <w:color w:val="auto"/>
                <w:kern w:val="0"/>
                <w:sz w:val="24"/>
                <w:szCs w:val="24"/>
                <w:lang w:val="en-US" w:eastAsia="zh-CN"/>
              </w:rPr>
              <w:t>3.5</w:t>
            </w:r>
            <w:r>
              <w:rPr>
                <w:rFonts w:hint="eastAsia" w:ascii="宋体" w:hAnsi="宋体" w:cs="宋体"/>
                <w:color w:val="auto"/>
                <w:kern w:val="0"/>
                <w:sz w:val="24"/>
                <w:szCs w:val="24"/>
              </w:rPr>
              <w:t>格式），无需再提交上述证明材料。</w:t>
            </w:r>
          </w:p>
          <w:p w14:paraId="59BFCA7B">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2、采购人有权在签订合同前要求中标供应商提供相关证明材料以核实中标供应商承诺事项的真实性。</w:t>
            </w:r>
          </w:p>
          <w:p w14:paraId="71B9AFE3">
            <w:pPr>
              <w:autoSpaceDE w:val="0"/>
              <w:autoSpaceDN w:val="0"/>
              <w:spacing w:line="360" w:lineRule="auto"/>
              <w:contextualSpacing/>
              <w:rPr>
                <w:rFonts w:ascii="宋体" w:hAnsi="宋体" w:cs="宋体"/>
                <w:color w:val="auto"/>
                <w:sz w:val="24"/>
                <w:szCs w:val="24"/>
              </w:rPr>
            </w:pPr>
            <w:r>
              <w:rPr>
                <w:rFonts w:hint="eastAsia" w:ascii="宋体" w:hAnsi="宋体" w:cs="宋体"/>
                <w:color w:val="auto"/>
                <w:kern w:val="0"/>
                <w:sz w:val="24"/>
                <w:szCs w:val="24"/>
              </w:rPr>
              <w:t>3、供应商对信用承诺内容的真实性、合法性、有效性负责。如作出虚假信用承诺，视同为“提供虚假材料谋取中标”的违法行为。</w:t>
            </w:r>
          </w:p>
        </w:tc>
      </w:tr>
      <w:tr w14:paraId="583C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vMerge w:val="continue"/>
            <w:tcBorders>
              <w:left w:val="single" w:color="auto" w:sz="4" w:space="0"/>
              <w:bottom w:val="single" w:color="auto" w:sz="4" w:space="0"/>
              <w:right w:val="single" w:color="auto" w:sz="4" w:space="0"/>
            </w:tcBorders>
            <w:vAlign w:val="center"/>
          </w:tcPr>
          <w:p w14:paraId="49FC56BE">
            <w:pPr>
              <w:autoSpaceDE w:val="0"/>
              <w:autoSpaceDN w:val="0"/>
              <w:adjustRightInd w:val="0"/>
              <w:snapToGrid w:val="0"/>
              <w:spacing w:line="360" w:lineRule="auto"/>
              <w:jc w:val="center"/>
              <w:rPr>
                <w:rFonts w:ascii="宋体" w:hAnsi="宋体" w:cs="宋体"/>
                <w:color w:val="auto"/>
                <w:sz w:val="24"/>
                <w:szCs w:val="24"/>
              </w:rPr>
            </w:pPr>
          </w:p>
        </w:tc>
        <w:tc>
          <w:tcPr>
            <w:tcW w:w="1685" w:type="dxa"/>
            <w:vMerge w:val="continue"/>
            <w:tcBorders>
              <w:left w:val="nil"/>
              <w:bottom w:val="single" w:color="auto" w:sz="4" w:space="0"/>
              <w:right w:val="single" w:color="auto" w:sz="4" w:space="0"/>
            </w:tcBorders>
            <w:vAlign w:val="center"/>
          </w:tcPr>
          <w:p w14:paraId="2887D6DD">
            <w:pPr>
              <w:autoSpaceDE w:val="0"/>
              <w:autoSpaceDN w:val="0"/>
              <w:adjustRightInd w:val="0"/>
              <w:spacing w:line="360" w:lineRule="auto"/>
              <w:jc w:val="center"/>
              <w:rPr>
                <w:rFonts w:ascii="宋体" w:hAnsi="宋体" w:cs="宋体"/>
                <w:b/>
                <w:color w:val="auto"/>
                <w:sz w:val="24"/>
                <w:szCs w:val="24"/>
              </w:rPr>
            </w:pPr>
          </w:p>
        </w:tc>
        <w:tc>
          <w:tcPr>
            <w:tcW w:w="7244" w:type="dxa"/>
            <w:tcBorders>
              <w:top w:val="single" w:color="auto" w:sz="4" w:space="0"/>
              <w:left w:val="nil"/>
              <w:bottom w:val="single" w:color="auto" w:sz="4" w:space="0"/>
              <w:right w:val="single" w:color="auto" w:sz="4" w:space="0"/>
            </w:tcBorders>
            <w:vAlign w:val="center"/>
          </w:tcPr>
          <w:p w14:paraId="7DE59E47">
            <w:pPr>
              <w:autoSpaceDE w:val="0"/>
              <w:autoSpaceDN w:val="0"/>
              <w:spacing w:line="360" w:lineRule="auto"/>
              <w:contextualSpacing/>
              <w:rPr>
                <w:rFonts w:ascii="宋体" w:hAnsi="宋体" w:cs="宋体"/>
                <w:color w:val="auto"/>
                <w:kern w:val="0"/>
                <w:sz w:val="24"/>
                <w:szCs w:val="24"/>
              </w:rPr>
            </w:pPr>
            <w:r>
              <w:rPr>
                <w:rFonts w:hint="eastAsia" w:ascii="宋体" w:hAnsi="宋体" w:cs="宋体"/>
                <w:b/>
                <w:bCs/>
                <w:color w:val="auto"/>
                <w:kern w:val="0"/>
                <w:sz w:val="24"/>
                <w:szCs w:val="24"/>
              </w:rPr>
              <w:t>本项目的特定资格要求：</w:t>
            </w:r>
            <w:r>
              <w:rPr>
                <w:rFonts w:hint="eastAsia" w:ascii="宋体" w:hAnsi="宋体" w:cs="宋体"/>
                <w:color w:val="auto"/>
                <w:kern w:val="0"/>
                <w:sz w:val="24"/>
                <w:szCs w:val="24"/>
              </w:rPr>
              <w:t>（详见第六章</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资格审查与评标）。</w:t>
            </w:r>
          </w:p>
          <w:p w14:paraId="6C26EB25">
            <w:pPr>
              <w:autoSpaceDE w:val="0"/>
              <w:autoSpaceDN w:val="0"/>
              <w:spacing w:line="360" w:lineRule="auto"/>
              <w:contextualSpacing/>
              <w:rPr>
                <w:rFonts w:ascii="宋体" w:hAnsi="宋体" w:cs="宋体"/>
                <w:color w:val="auto"/>
                <w:sz w:val="24"/>
                <w:szCs w:val="24"/>
              </w:rPr>
            </w:pPr>
            <w:r>
              <w:rPr>
                <w:rFonts w:hint="eastAsia" w:ascii="宋体" w:hAnsi="宋体" w:cs="宋体"/>
                <w:color w:val="auto"/>
                <w:kern w:val="0"/>
                <w:sz w:val="24"/>
                <w:szCs w:val="24"/>
              </w:rPr>
              <w:t>注：需提供以上证件原件扫描件（或彩色图片）</w:t>
            </w:r>
          </w:p>
        </w:tc>
      </w:tr>
      <w:tr w14:paraId="3DD1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4A8A6B9">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5</w:t>
            </w:r>
          </w:p>
        </w:tc>
        <w:tc>
          <w:tcPr>
            <w:tcW w:w="1685" w:type="dxa"/>
            <w:tcBorders>
              <w:top w:val="single" w:color="auto" w:sz="4" w:space="0"/>
              <w:left w:val="nil"/>
              <w:bottom w:val="single" w:color="auto" w:sz="4" w:space="0"/>
              <w:right w:val="single" w:color="auto" w:sz="4" w:space="0"/>
            </w:tcBorders>
            <w:vAlign w:val="center"/>
          </w:tcPr>
          <w:p w14:paraId="2CBBAF48">
            <w:pPr>
              <w:autoSpaceDE w:val="0"/>
              <w:autoSpaceDN w:val="0"/>
              <w:adjustRightInd w:val="0"/>
              <w:spacing w:line="360" w:lineRule="auto"/>
              <w:jc w:val="center"/>
              <w:rPr>
                <w:rFonts w:ascii="宋体" w:hAnsi="宋体" w:cs="宋体"/>
                <w:bCs/>
                <w:color w:val="auto"/>
                <w:sz w:val="24"/>
                <w:szCs w:val="24"/>
              </w:rPr>
            </w:pPr>
            <w:r>
              <w:rPr>
                <w:rFonts w:hint="eastAsia" w:ascii="宋体" w:hAnsi="宋体" w:cs="宋体"/>
                <w:b/>
                <w:color w:val="auto"/>
                <w:sz w:val="24"/>
                <w:szCs w:val="24"/>
              </w:rPr>
              <w:t>★</w:t>
            </w:r>
            <w:r>
              <w:rPr>
                <w:rFonts w:hint="eastAsia" w:ascii="宋体" w:hAnsi="宋体" w:cs="宋体"/>
                <w:bCs/>
                <w:color w:val="auto"/>
                <w:sz w:val="24"/>
                <w:szCs w:val="24"/>
              </w:rPr>
              <w:t>联合体投标</w:t>
            </w:r>
          </w:p>
        </w:tc>
        <w:tc>
          <w:tcPr>
            <w:tcW w:w="7244" w:type="dxa"/>
            <w:tcBorders>
              <w:top w:val="single" w:color="auto" w:sz="4" w:space="0"/>
              <w:left w:val="nil"/>
              <w:bottom w:val="single" w:color="auto" w:sz="4" w:space="0"/>
              <w:right w:val="single" w:color="auto" w:sz="4" w:space="0"/>
            </w:tcBorders>
            <w:vAlign w:val="center"/>
          </w:tcPr>
          <w:p w14:paraId="17FA256D">
            <w:pPr>
              <w:autoSpaceDE w:val="0"/>
              <w:autoSpaceDN w:val="0"/>
              <w:adjustRightInd w:val="0"/>
              <w:spacing w:line="360" w:lineRule="auto"/>
              <w:rPr>
                <w:rFonts w:ascii="宋体" w:hAnsi="宋体" w:cs="宋体"/>
                <w:bCs/>
                <w:color w:val="auto"/>
                <w:sz w:val="24"/>
                <w:szCs w:val="24"/>
              </w:rPr>
            </w:pPr>
            <w:r>
              <w:rPr>
                <w:rFonts w:hint="eastAsia" w:ascii="宋体" w:hAnsi="宋体" w:cs="宋体"/>
                <w:color w:val="auto"/>
                <w:kern w:val="0"/>
                <w:sz w:val="24"/>
                <w:szCs w:val="24"/>
              </w:rPr>
              <w:t>本项目</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5"/>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s="宋体"/>
                <w:color w:val="auto"/>
                <w:kern w:val="0"/>
                <w:sz w:val="24"/>
                <w:szCs w:val="24"/>
              </w:rPr>
              <w:t xml:space="preserve">不接受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s="宋体"/>
                <w:bCs/>
                <w:color w:val="auto"/>
                <w:sz w:val="24"/>
                <w:szCs w:val="24"/>
              </w:rPr>
              <w:t>接受</w:t>
            </w:r>
            <w:r>
              <w:rPr>
                <w:rFonts w:hint="eastAsia" w:ascii="宋体" w:hAnsi="宋体" w:cs="宋体"/>
                <w:color w:val="auto"/>
                <w:kern w:val="0"/>
                <w:sz w:val="24"/>
                <w:szCs w:val="24"/>
              </w:rPr>
              <w:t>联合体投标</w:t>
            </w:r>
          </w:p>
        </w:tc>
      </w:tr>
      <w:tr w14:paraId="4F62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6889EBE">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6</w:t>
            </w:r>
          </w:p>
        </w:tc>
        <w:tc>
          <w:tcPr>
            <w:tcW w:w="1685" w:type="dxa"/>
            <w:tcBorders>
              <w:top w:val="single" w:color="auto" w:sz="4" w:space="0"/>
              <w:left w:val="nil"/>
              <w:bottom w:val="single" w:color="auto" w:sz="4" w:space="0"/>
              <w:right w:val="single" w:color="auto" w:sz="4" w:space="0"/>
            </w:tcBorders>
            <w:vAlign w:val="center"/>
          </w:tcPr>
          <w:p w14:paraId="625C29AA">
            <w:pPr>
              <w:autoSpaceDE w:val="0"/>
              <w:autoSpaceDN w:val="0"/>
              <w:adjustRightInd w:val="0"/>
              <w:spacing w:line="360" w:lineRule="auto"/>
              <w:jc w:val="center"/>
              <w:rPr>
                <w:rFonts w:ascii="宋体" w:hAnsi="宋体" w:cs="宋体"/>
                <w:bCs/>
                <w:color w:val="auto"/>
                <w:sz w:val="24"/>
                <w:szCs w:val="24"/>
              </w:rPr>
            </w:pPr>
            <w:r>
              <w:rPr>
                <w:rFonts w:hint="eastAsia" w:ascii="宋体" w:hAnsi="宋体" w:cs="宋体"/>
                <w:b/>
                <w:color w:val="auto"/>
                <w:sz w:val="24"/>
                <w:szCs w:val="24"/>
              </w:rPr>
              <w:t>★</w:t>
            </w:r>
            <w:r>
              <w:rPr>
                <w:rFonts w:hint="eastAsia" w:ascii="宋体" w:hAnsi="宋体" w:cs="宋体"/>
                <w:bCs/>
                <w:color w:val="auto"/>
                <w:sz w:val="24"/>
                <w:szCs w:val="24"/>
              </w:rPr>
              <w:t>最高限价</w:t>
            </w:r>
          </w:p>
        </w:tc>
        <w:tc>
          <w:tcPr>
            <w:tcW w:w="7244" w:type="dxa"/>
            <w:tcBorders>
              <w:top w:val="single" w:color="auto" w:sz="4" w:space="0"/>
              <w:left w:val="nil"/>
              <w:bottom w:val="single" w:color="auto" w:sz="4" w:space="0"/>
              <w:right w:val="single" w:color="auto" w:sz="4" w:space="0"/>
            </w:tcBorders>
            <w:vAlign w:val="center"/>
          </w:tcPr>
          <w:p w14:paraId="32AD6705">
            <w:pPr>
              <w:autoSpaceDE w:val="0"/>
              <w:autoSpaceDN w:val="0"/>
              <w:spacing w:beforeLines="20" w:line="360" w:lineRule="auto"/>
              <w:rPr>
                <w:rFonts w:hint="eastAsia" w:ascii="宋体" w:hAnsi="宋体" w:eastAsia="宋体" w:cs="宋体"/>
                <w:b/>
                <w:bCs/>
                <w:color w:val="auto"/>
                <w:sz w:val="24"/>
                <w:szCs w:val="24"/>
                <w:lang w:eastAsia="zh-CN"/>
              </w:rPr>
            </w:pPr>
            <w:r>
              <w:rPr>
                <w:rFonts w:hint="eastAsia" w:ascii="宋体" w:hAnsi="宋体" w:cs="宋体"/>
                <w:b/>
                <w:bCs/>
                <w:color w:val="auto"/>
                <w:sz w:val="24"/>
                <w:szCs w:val="24"/>
                <w:lang w:val="en-US" w:eastAsia="zh-CN"/>
              </w:rPr>
              <w:t>2432200.01</w:t>
            </w:r>
            <w:r>
              <w:rPr>
                <w:rFonts w:hint="eastAsia" w:ascii="宋体" w:hAnsi="宋体" w:cs="宋体"/>
                <w:b/>
                <w:bCs/>
                <w:color w:val="auto"/>
                <w:sz w:val="24"/>
                <w:szCs w:val="24"/>
              </w:rPr>
              <w:t>元</w:t>
            </w:r>
            <w:r>
              <w:rPr>
                <w:rFonts w:hint="eastAsia" w:ascii="宋体" w:hAnsi="宋体" w:cs="宋体"/>
                <w:b/>
                <w:bCs/>
                <w:color w:val="auto"/>
                <w:sz w:val="24"/>
                <w:szCs w:val="24"/>
                <w:lang w:eastAsia="zh-CN"/>
              </w:rPr>
              <w:t>，超出预算金额的磋商响应无效。</w:t>
            </w:r>
          </w:p>
        </w:tc>
      </w:tr>
      <w:tr w14:paraId="3DB5F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9591C2B">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7</w:t>
            </w:r>
          </w:p>
        </w:tc>
        <w:tc>
          <w:tcPr>
            <w:tcW w:w="1685" w:type="dxa"/>
            <w:tcBorders>
              <w:top w:val="single" w:color="auto" w:sz="4" w:space="0"/>
              <w:left w:val="nil"/>
              <w:bottom w:val="single" w:color="auto" w:sz="4" w:space="0"/>
              <w:right w:val="single" w:color="auto" w:sz="4" w:space="0"/>
            </w:tcBorders>
            <w:vAlign w:val="center"/>
          </w:tcPr>
          <w:p w14:paraId="32612106">
            <w:pPr>
              <w:autoSpaceDE w:val="0"/>
              <w:autoSpaceDN w:val="0"/>
              <w:adjustRightInd w:val="0"/>
              <w:snapToGrid w:val="0"/>
              <w:spacing w:line="360" w:lineRule="auto"/>
              <w:jc w:val="center"/>
              <w:rPr>
                <w:rFonts w:ascii="宋体" w:hAnsi="宋体" w:cs="宋体"/>
                <w:bCs/>
                <w:color w:val="auto"/>
                <w:sz w:val="24"/>
                <w:szCs w:val="24"/>
              </w:rPr>
            </w:pPr>
            <w:r>
              <w:rPr>
                <w:rFonts w:hint="eastAsia" w:ascii="宋体" w:hAnsi="宋体" w:cs="宋体"/>
                <w:bCs/>
                <w:color w:val="auto"/>
                <w:sz w:val="24"/>
                <w:szCs w:val="24"/>
              </w:rPr>
              <w:t>现场考察</w:t>
            </w:r>
          </w:p>
        </w:tc>
        <w:tc>
          <w:tcPr>
            <w:tcW w:w="7244" w:type="dxa"/>
            <w:tcBorders>
              <w:top w:val="single" w:color="auto" w:sz="4" w:space="0"/>
              <w:left w:val="nil"/>
              <w:bottom w:val="single" w:color="auto" w:sz="4" w:space="0"/>
              <w:right w:val="single" w:color="auto" w:sz="4" w:space="0"/>
            </w:tcBorders>
            <w:vAlign w:val="center"/>
          </w:tcPr>
          <w:p w14:paraId="41656AE7">
            <w:pPr>
              <w:autoSpaceDE w:val="0"/>
              <w:autoSpaceDN w:val="0"/>
              <w:adjustRightInd w:val="0"/>
              <w:snapToGrid w:val="0"/>
              <w:spacing w:line="360" w:lineRule="auto"/>
              <w:ind w:right="-11"/>
              <w:rPr>
                <w:rFonts w:ascii="宋体" w:hAnsi="宋体" w:cs="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s="宋体"/>
                <w:color w:val="auto"/>
                <w:sz w:val="24"/>
                <w:szCs w:val="24"/>
              </w:rPr>
              <w:t>不组织</w:t>
            </w:r>
          </w:p>
        </w:tc>
      </w:tr>
      <w:tr w14:paraId="06EA6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8272655">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8</w:t>
            </w:r>
          </w:p>
        </w:tc>
        <w:tc>
          <w:tcPr>
            <w:tcW w:w="1685" w:type="dxa"/>
            <w:tcBorders>
              <w:top w:val="single" w:color="auto" w:sz="4" w:space="0"/>
              <w:left w:val="nil"/>
              <w:bottom w:val="single" w:color="auto" w:sz="4" w:space="0"/>
              <w:right w:val="single" w:color="auto" w:sz="4" w:space="0"/>
            </w:tcBorders>
            <w:vAlign w:val="center"/>
          </w:tcPr>
          <w:p w14:paraId="657AF72A">
            <w:pPr>
              <w:autoSpaceDE w:val="0"/>
              <w:autoSpaceDN w:val="0"/>
              <w:adjustRightInd w:val="0"/>
              <w:snapToGrid w:val="0"/>
              <w:spacing w:line="360" w:lineRule="auto"/>
              <w:jc w:val="center"/>
              <w:rPr>
                <w:rFonts w:ascii="宋体" w:hAnsi="宋体" w:cs="宋体"/>
                <w:bCs/>
                <w:color w:val="auto"/>
                <w:sz w:val="24"/>
                <w:szCs w:val="24"/>
              </w:rPr>
            </w:pPr>
            <w:r>
              <w:rPr>
                <w:rFonts w:hint="eastAsia" w:ascii="宋体" w:hAnsi="宋体" w:cs="宋体"/>
                <w:bCs/>
                <w:color w:val="auto"/>
                <w:sz w:val="24"/>
                <w:szCs w:val="24"/>
              </w:rPr>
              <w:t>磋商前答疑会</w:t>
            </w:r>
          </w:p>
        </w:tc>
        <w:tc>
          <w:tcPr>
            <w:tcW w:w="7244" w:type="dxa"/>
            <w:tcBorders>
              <w:top w:val="single" w:color="auto" w:sz="4" w:space="0"/>
              <w:left w:val="nil"/>
              <w:bottom w:val="single" w:color="auto" w:sz="4" w:space="0"/>
              <w:right w:val="single" w:color="auto" w:sz="4" w:space="0"/>
            </w:tcBorders>
            <w:vAlign w:val="center"/>
          </w:tcPr>
          <w:p w14:paraId="1B432AD6">
            <w:pPr>
              <w:autoSpaceDE w:val="0"/>
              <w:autoSpaceDN w:val="0"/>
              <w:adjustRightInd w:val="0"/>
              <w:snapToGrid w:val="0"/>
              <w:spacing w:line="360" w:lineRule="auto"/>
              <w:ind w:right="-11"/>
              <w:rPr>
                <w:rFonts w:ascii="宋体" w:hAnsi="宋体" w:cs="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s="宋体"/>
                <w:color w:val="auto"/>
                <w:sz w:val="24"/>
                <w:szCs w:val="24"/>
              </w:rPr>
              <w:t>不召开</w:t>
            </w:r>
          </w:p>
        </w:tc>
      </w:tr>
      <w:tr w14:paraId="789F9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6FCB4F0">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9</w:t>
            </w:r>
          </w:p>
        </w:tc>
        <w:tc>
          <w:tcPr>
            <w:tcW w:w="1685" w:type="dxa"/>
            <w:tcBorders>
              <w:top w:val="single" w:color="auto" w:sz="4" w:space="0"/>
              <w:left w:val="nil"/>
              <w:bottom w:val="single" w:color="auto" w:sz="4" w:space="0"/>
              <w:right w:val="single" w:color="auto" w:sz="4" w:space="0"/>
            </w:tcBorders>
            <w:vAlign w:val="center"/>
          </w:tcPr>
          <w:p w14:paraId="6864C3F9">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进口产品参与</w:t>
            </w:r>
          </w:p>
        </w:tc>
        <w:tc>
          <w:tcPr>
            <w:tcW w:w="7244" w:type="dxa"/>
            <w:tcBorders>
              <w:top w:val="single" w:color="auto" w:sz="4" w:space="0"/>
              <w:left w:val="nil"/>
              <w:bottom w:val="single" w:color="auto" w:sz="4" w:space="0"/>
              <w:right w:val="single" w:color="auto" w:sz="4" w:space="0"/>
            </w:tcBorders>
            <w:vAlign w:val="center"/>
          </w:tcPr>
          <w:p w14:paraId="2E39198A">
            <w:pPr>
              <w:autoSpaceDE w:val="0"/>
              <w:autoSpaceDN w:val="0"/>
              <w:adjustRightInd w:val="0"/>
              <w:snapToGrid w:val="0"/>
              <w:spacing w:line="360" w:lineRule="auto"/>
              <w:ind w:right="-11"/>
              <w:rPr>
                <w:rFonts w:ascii="宋体" w:hAnsi="宋体" w:cs="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s="宋体"/>
                <w:color w:val="auto"/>
                <w:sz w:val="24"/>
                <w:szCs w:val="24"/>
              </w:rPr>
              <w:t xml:space="preserve">不允许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s="宋体"/>
                <w:color w:val="auto"/>
                <w:sz w:val="24"/>
                <w:szCs w:val="24"/>
              </w:rPr>
              <w:t>允许</w:t>
            </w:r>
          </w:p>
        </w:tc>
      </w:tr>
      <w:tr w14:paraId="569C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6A29DE7">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10</w:t>
            </w:r>
          </w:p>
        </w:tc>
        <w:tc>
          <w:tcPr>
            <w:tcW w:w="1685" w:type="dxa"/>
            <w:tcBorders>
              <w:top w:val="single" w:color="auto" w:sz="4" w:space="0"/>
              <w:left w:val="nil"/>
              <w:bottom w:val="single" w:color="auto" w:sz="4" w:space="0"/>
              <w:right w:val="single" w:color="auto" w:sz="4" w:space="0"/>
            </w:tcBorders>
            <w:vAlign w:val="center"/>
          </w:tcPr>
          <w:p w14:paraId="2EB46436">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cs="宋体"/>
                <w:b/>
                <w:color w:val="auto"/>
                <w:sz w:val="24"/>
                <w:szCs w:val="24"/>
              </w:rPr>
              <w:t>★</w:t>
            </w:r>
            <w:r>
              <w:rPr>
                <w:rFonts w:hint="eastAsia" w:ascii="宋体" w:hAnsi="宋体" w:cs="宋体"/>
                <w:color w:val="auto"/>
                <w:sz w:val="24"/>
                <w:szCs w:val="24"/>
              </w:rPr>
              <w:t>磋商有效期</w:t>
            </w:r>
          </w:p>
        </w:tc>
        <w:tc>
          <w:tcPr>
            <w:tcW w:w="7244" w:type="dxa"/>
            <w:tcBorders>
              <w:top w:val="single" w:color="auto" w:sz="4" w:space="0"/>
              <w:left w:val="nil"/>
              <w:bottom w:val="single" w:color="auto" w:sz="4" w:space="0"/>
              <w:right w:val="single" w:color="auto" w:sz="4" w:space="0"/>
            </w:tcBorders>
            <w:vAlign w:val="center"/>
          </w:tcPr>
          <w:p w14:paraId="0083EFC1">
            <w:pPr>
              <w:autoSpaceDE w:val="0"/>
              <w:autoSpaceDN w:val="0"/>
              <w:adjustRightInd w:val="0"/>
              <w:snapToGrid w:val="0"/>
              <w:spacing w:line="360" w:lineRule="auto"/>
              <w:ind w:right="-11"/>
              <w:rPr>
                <w:rFonts w:ascii="宋体" w:hAnsi="宋体" w:cs="宋体"/>
                <w:color w:val="auto"/>
                <w:sz w:val="24"/>
                <w:szCs w:val="24"/>
              </w:rPr>
            </w:pPr>
            <w:r>
              <w:rPr>
                <w:rFonts w:hint="eastAsia" w:ascii="宋体" w:hAnsi="宋体" w:cs="宋体"/>
                <w:color w:val="auto"/>
                <w:sz w:val="24"/>
                <w:szCs w:val="24"/>
              </w:rPr>
              <w:t>60天（自提交响应文件的截止之日起算）</w:t>
            </w:r>
          </w:p>
          <w:p w14:paraId="2D9F07C3">
            <w:pPr>
              <w:autoSpaceDE w:val="0"/>
              <w:autoSpaceDN w:val="0"/>
              <w:adjustRightInd w:val="0"/>
              <w:snapToGrid w:val="0"/>
              <w:spacing w:line="360" w:lineRule="auto"/>
              <w:ind w:right="-11"/>
              <w:rPr>
                <w:rFonts w:ascii="宋体" w:hAnsi="宋体" w:cs="宋体"/>
                <w:color w:val="auto"/>
                <w:sz w:val="24"/>
                <w:szCs w:val="24"/>
              </w:rPr>
            </w:pPr>
            <w:r>
              <w:rPr>
                <w:rFonts w:hint="eastAsia" w:ascii="宋体" w:hAnsi="宋体" w:cs="宋体"/>
                <w:color w:val="auto"/>
                <w:sz w:val="24"/>
                <w:szCs w:val="24"/>
              </w:rPr>
              <w:t>成交供应商有效期延至合同验收之日，成交供应商全部合同义务履行完毕为止。</w:t>
            </w:r>
          </w:p>
        </w:tc>
      </w:tr>
      <w:tr w14:paraId="32C4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D39A351">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11</w:t>
            </w:r>
          </w:p>
        </w:tc>
        <w:tc>
          <w:tcPr>
            <w:tcW w:w="1685" w:type="dxa"/>
            <w:tcBorders>
              <w:top w:val="single" w:color="auto" w:sz="4" w:space="0"/>
              <w:left w:val="nil"/>
              <w:bottom w:val="single" w:color="auto" w:sz="4" w:space="0"/>
              <w:right w:val="single" w:color="auto" w:sz="4" w:space="0"/>
            </w:tcBorders>
            <w:vAlign w:val="center"/>
          </w:tcPr>
          <w:p w14:paraId="39BC0BD5">
            <w:pPr>
              <w:autoSpaceDE w:val="0"/>
              <w:autoSpaceDN w:val="0"/>
              <w:adjustRightInd w:val="0"/>
              <w:snapToGrid w:val="0"/>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成交供应商将本项目非主体、非关键性工作分包</w:t>
            </w:r>
          </w:p>
        </w:tc>
        <w:tc>
          <w:tcPr>
            <w:tcW w:w="7244" w:type="dxa"/>
            <w:tcBorders>
              <w:top w:val="single" w:color="auto" w:sz="4" w:space="0"/>
              <w:left w:val="nil"/>
              <w:bottom w:val="single" w:color="auto" w:sz="4" w:space="0"/>
              <w:right w:val="single" w:color="auto" w:sz="4" w:space="0"/>
            </w:tcBorders>
            <w:vAlign w:val="center"/>
          </w:tcPr>
          <w:p w14:paraId="71F76223">
            <w:pPr>
              <w:autoSpaceDE w:val="0"/>
              <w:autoSpaceDN w:val="0"/>
              <w:adjustRightInd w:val="0"/>
              <w:snapToGrid w:val="0"/>
              <w:spacing w:line="360" w:lineRule="auto"/>
              <w:ind w:right="-11"/>
              <w:rPr>
                <w:rFonts w:ascii="宋体" w:hAnsi="宋体" w:cs="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s="宋体"/>
                <w:color w:val="auto"/>
                <w:sz w:val="24"/>
                <w:szCs w:val="24"/>
              </w:rPr>
              <w:t>不允许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s="宋体"/>
                <w:color w:val="auto"/>
                <w:sz w:val="24"/>
                <w:szCs w:val="24"/>
              </w:rPr>
              <w:t>允许</w:t>
            </w:r>
          </w:p>
        </w:tc>
      </w:tr>
      <w:tr w14:paraId="33057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5D9C1BE">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12</w:t>
            </w:r>
          </w:p>
        </w:tc>
        <w:tc>
          <w:tcPr>
            <w:tcW w:w="1685" w:type="dxa"/>
            <w:tcBorders>
              <w:top w:val="single" w:color="auto" w:sz="4" w:space="0"/>
              <w:left w:val="nil"/>
              <w:bottom w:val="single" w:color="auto" w:sz="4" w:space="0"/>
              <w:right w:val="single" w:color="auto" w:sz="4" w:space="0"/>
            </w:tcBorders>
            <w:vAlign w:val="center"/>
          </w:tcPr>
          <w:p w14:paraId="1A4E3DB3">
            <w:pPr>
              <w:autoSpaceDE w:val="0"/>
              <w:autoSpaceDN w:val="0"/>
              <w:adjustRightInd w:val="0"/>
              <w:snapToGrid w:val="0"/>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响应文件提交截止、磋商响应截止及磋商时间</w:t>
            </w:r>
          </w:p>
        </w:tc>
        <w:tc>
          <w:tcPr>
            <w:tcW w:w="7244" w:type="dxa"/>
            <w:tcBorders>
              <w:top w:val="single" w:color="auto" w:sz="4" w:space="0"/>
              <w:left w:val="nil"/>
              <w:bottom w:val="single" w:color="auto" w:sz="4" w:space="0"/>
              <w:right w:val="single" w:color="auto" w:sz="4" w:space="0"/>
            </w:tcBorders>
            <w:vAlign w:val="center"/>
          </w:tcPr>
          <w:p w14:paraId="2B6DC52C">
            <w:pPr>
              <w:widowControl/>
              <w:spacing w:line="360" w:lineRule="auto"/>
              <w:rPr>
                <w:rFonts w:ascii="宋体" w:hAnsi="宋体" w:cs="宋体"/>
                <w:color w:val="auto"/>
                <w:sz w:val="24"/>
                <w:szCs w:val="24"/>
              </w:rPr>
            </w:pPr>
            <w:r>
              <w:rPr>
                <w:rFonts w:hint="eastAsia" w:ascii="宋体" w:hAnsi="宋体" w:cs="宋体"/>
                <w:bCs/>
                <w:color w:val="auto"/>
                <w:sz w:val="24"/>
                <w:szCs w:val="24"/>
              </w:rPr>
              <w:t>详见磋商邀请公告</w:t>
            </w:r>
          </w:p>
        </w:tc>
      </w:tr>
      <w:tr w14:paraId="2988E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0CE76E5">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13</w:t>
            </w:r>
          </w:p>
        </w:tc>
        <w:tc>
          <w:tcPr>
            <w:tcW w:w="1685" w:type="dxa"/>
            <w:tcBorders>
              <w:top w:val="single" w:color="auto" w:sz="4" w:space="0"/>
              <w:left w:val="nil"/>
              <w:bottom w:val="single" w:color="auto" w:sz="4" w:space="0"/>
              <w:right w:val="single" w:color="auto" w:sz="4" w:space="0"/>
            </w:tcBorders>
            <w:vAlign w:val="center"/>
          </w:tcPr>
          <w:p w14:paraId="06A2DC22">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响应文件</w:t>
            </w:r>
          </w:p>
          <w:p w14:paraId="35970059">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及磋商地点</w:t>
            </w:r>
          </w:p>
        </w:tc>
        <w:tc>
          <w:tcPr>
            <w:tcW w:w="7244" w:type="dxa"/>
            <w:tcBorders>
              <w:top w:val="single" w:color="auto" w:sz="4" w:space="0"/>
              <w:left w:val="nil"/>
              <w:bottom w:val="single" w:color="auto" w:sz="4" w:space="0"/>
              <w:right w:val="single" w:color="auto" w:sz="4" w:space="0"/>
            </w:tcBorders>
            <w:vAlign w:val="center"/>
          </w:tcPr>
          <w:p w14:paraId="7F9252B3">
            <w:pPr>
              <w:autoSpaceDE w:val="0"/>
              <w:autoSpaceDN w:val="0"/>
              <w:adjustRightInd w:val="0"/>
              <w:spacing w:line="360" w:lineRule="auto"/>
              <w:rPr>
                <w:rFonts w:ascii="宋体" w:hAnsi="宋体" w:cs="宋体"/>
                <w:bCs/>
                <w:color w:val="auto"/>
                <w:sz w:val="24"/>
                <w:szCs w:val="24"/>
              </w:rPr>
            </w:pPr>
            <w:r>
              <w:rPr>
                <w:rFonts w:hint="eastAsia" w:ascii="宋体" w:hAnsi="宋体" w:cs="宋体"/>
                <w:color w:val="auto"/>
                <w:sz w:val="24"/>
                <w:szCs w:val="24"/>
              </w:rPr>
              <w:t>开标地点：</w:t>
            </w:r>
            <w:r>
              <w:rPr>
                <w:rFonts w:hint="eastAsia" w:ascii="宋体" w:hAnsi="宋体" w:cs="宋体"/>
                <w:color w:val="auto"/>
                <w:kern w:val="0"/>
                <w:sz w:val="24"/>
                <w:szCs w:val="24"/>
              </w:rPr>
              <w:t>襄城县公共资源交易中心（八七路东段电子商务产业园）12楼</w:t>
            </w:r>
            <w:r>
              <w:rPr>
                <w:rFonts w:hint="eastAsia" w:ascii="宋体" w:hAnsi="宋体" w:cs="宋体"/>
                <w:color w:val="auto"/>
                <w:kern w:val="0"/>
                <w:sz w:val="24"/>
                <w:szCs w:val="24"/>
                <w:highlight w:val="none"/>
              </w:rPr>
              <w:t>开标</w:t>
            </w:r>
            <w:r>
              <w:rPr>
                <w:rFonts w:hint="eastAsia" w:ascii="宋体" w:hAnsi="宋体" w:cs="宋体"/>
                <w:color w:val="auto"/>
                <w:kern w:val="0"/>
                <w:sz w:val="24"/>
                <w:szCs w:val="24"/>
                <w:highlight w:val="none"/>
                <w:lang w:val="en-US" w:eastAsia="zh-CN"/>
              </w:rPr>
              <w:t>一</w:t>
            </w:r>
            <w:r>
              <w:rPr>
                <w:rFonts w:hint="eastAsia" w:ascii="宋体" w:hAnsi="宋体" w:cs="宋体"/>
                <w:color w:val="auto"/>
                <w:kern w:val="0"/>
                <w:sz w:val="24"/>
                <w:szCs w:val="24"/>
                <w:highlight w:val="none"/>
              </w:rPr>
              <w:t>室（本</w:t>
            </w:r>
            <w:r>
              <w:rPr>
                <w:rFonts w:hint="eastAsia" w:ascii="宋体" w:hAnsi="宋体" w:cs="宋体"/>
                <w:color w:val="auto"/>
                <w:kern w:val="0"/>
                <w:sz w:val="24"/>
                <w:szCs w:val="24"/>
              </w:rPr>
              <w:t>项目采用远程不见面开标，投标人无须到交易中心现场）。</w:t>
            </w:r>
          </w:p>
        </w:tc>
      </w:tr>
      <w:tr w14:paraId="317E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F4F35FF">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14</w:t>
            </w:r>
          </w:p>
        </w:tc>
        <w:tc>
          <w:tcPr>
            <w:tcW w:w="1685" w:type="dxa"/>
            <w:tcBorders>
              <w:top w:val="single" w:color="auto" w:sz="4" w:space="0"/>
              <w:left w:val="nil"/>
              <w:bottom w:val="single" w:color="auto" w:sz="4" w:space="0"/>
              <w:right w:val="single" w:color="auto" w:sz="4" w:space="0"/>
            </w:tcBorders>
            <w:vAlign w:val="center"/>
          </w:tcPr>
          <w:p w14:paraId="4E10F3C0">
            <w:pPr>
              <w:autoSpaceDE w:val="0"/>
              <w:autoSpaceDN w:val="0"/>
              <w:adjustRightInd w:val="0"/>
              <w:spacing w:line="360" w:lineRule="auto"/>
              <w:jc w:val="center"/>
              <w:rPr>
                <w:rFonts w:ascii="宋体" w:hAnsi="宋体" w:cs="宋体"/>
                <w:bCs/>
                <w:color w:val="auto"/>
                <w:sz w:val="24"/>
                <w:szCs w:val="24"/>
              </w:rPr>
            </w:pPr>
            <w:r>
              <w:rPr>
                <w:rFonts w:hint="eastAsia" w:ascii="宋体" w:hAnsi="宋体" w:cs="宋体"/>
                <w:color w:val="auto"/>
                <w:kern w:val="0"/>
                <w:sz w:val="24"/>
                <w:szCs w:val="24"/>
              </w:rPr>
              <w:t>磋商保证金</w:t>
            </w:r>
          </w:p>
        </w:tc>
        <w:tc>
          <w:tcPr>
            <w:tcW w:w="7244" w:type="dxa"/>
            <w:tcBorders>
              <w:top w:val="single" w:color="auto" w:sz="4" w:space="0"/>
              <w:left w:val="nil"/>
              <w:bottom w:val="single" w:color="auto" w:sz="4" w:space="0"/>
              <w:right w:val="single" w:color="auto" w:sz="4" w:space="0"/>
            </w:tcBorders>
            <w:vAlign w:val="center"/>
          </w:tcPr>
          <w:p w14:paraId="174A4CAD">
            <w:pPr>
              <w:tabs>
                <w:tab w:val="left" w:pos="1260"/>
              </w:tabs>
              <w:autoSpaceDE w:val="0"/>
              <w:autoSpaceDN w:val="0"/>
              <w:adjustRightInd w:val="0"/>
              <w:spacing w:line="360" w:lineRule="auto"/>
              <w:contextualSpacing/>
              <w:rPr>
                <w:rFonts w:ascii="宋体" w:hAnsi="宋体" w:cs="宋体"/>
                <w:color w:val="auto"/>
                <w:sz w:val="24"/>
                <w:szCs w:val="24"/>
                <w:lang w:val="zh-CN"/>
              </w:rPr>
            </w:pPr>
            <w:r>
              <w:rPr>
                <w:rFonts w:hint="eastAsia" w:ascii="宋体" w:hAnsi="宋体" w:cs="宋体"/>
                <w:color w:val="auto"/>
                <w:sz w:val="24"/>
                <w:szCs w:val="24"/>
                <w:lang w:val="zh-CN"/>
              </w:rPr>
              <w:t>本项目不收取。</w:t>
            </w:r>
          </w:p>
          <w:p w14:paraId="735CE563">
            <w:pPr>
              <w:pStyle w:val="81"/>
              <w:spacing w:line="360" w:lineRule="auto"/>
              <w:rPr>
                <w:rFonts w:ascii="宋体" w:hAnsi="宋体" w:cs="宋体"/>
                <w:bCs/>
                <w:color w:val="auto"/>
                <w:sz w:val="24"/>
              </w:rPr>
            </w:pPr>
            <w:r>
              <w:rPr>
                <w:rFonts w:hint="eastAsia" w:ascii="宋体" w:hAnsi="宋体" w:cs="宋体"/>
                <w:color w:val="auto"/>
                <w:sz w:val="24"/>
                <w:lang w:val="zh-CN"/>
              </w:rPr>
              <w:t>投标人应提供投标承诺函。</w:t>
            </w:r>
          </w:p>
        </w:tc>
      </w:tr>
      <w:tr w14:paraId="2309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FE156AC">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15</w:t>
            </w:r>
          </w:p>
        </w:tc>
        <w:tc>
          <w:tcPr>
            <w:tcW w:w="1685" w:type="dxa"/>
            <w:tcBorders>
              <w:top w:val="single" w:color="auto" w:sz="4" w:space="0"/>
              <w:left w:val="nil"/>
              <w:bottom w:val="single" w:color="auto" w:sz="4" w:space="0"/>
              <w:right w:val="single" w:color="auto" w:sz="4" w:space="0"/>
            </w:tcBorders>
            <w:vAlign w:val="center"/>
          </w:tcPr>
          <w:p w14:paraId="3D67CE87">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公告发布</w:t>
            </w:r>
          </w:p>
        </w:tc>
        <w:tc>
          <w:tcPr>
            <w:tcW w:w="7244" w:type="dxa"/>
            <w:tcBorders>
              <w:top w:val="single" w:color="auto" w:sz="4" w:space="0"/>
              <w:left w:val="nil"/>
              <w:bottom w:val="single" w:color="auto" w:sz="4" w:space="0"/>
              <w:right w:val="single" w:color="auto" w:sz="4" w:space="0"/>
            </w:tcBorders>
            <w:vAlign w:val="center"/>
          </w:tcPr>
          <w:p w14:paraId="22FBE66A">
            <w:pPr>
              <w:autoSpaceDE w:val="0"/>
              <w:autoSpaceDN w:val="0"/>
              <w:adjustRightInd w:val="0"/>
              <w:snapToGrid w:val="0"/>
              <w:spacing w:line="360" w:lineRule="auto"/>
              <w:rPr>
                <w:rFonts w:ascii="宋体" w:hAnsi="宋体" w:cs="宋体"/>
                <w:bCs/>
                <w:color w:val="auto"/>
                <w:sz w:val="24"/>
                <w:szCs w:val="24"/>
              </w:rPr>
            </w:pPr>
            <w:r>
              <w:rPr>
                <w:rFonts w:hint="eastAsia" w:ascii="宋体" w:hAnsi="宋体" w:cs="宋体"/>
                <w:color w:val="auto"/>
                <w:sz w:val="24"/>
                <w:szCs w:val="24"/>
              </w:rPr>
              <w:t>磋商公告、成交公告、变更（更正）公告、现场勘察答复等相关信息同时在以下网站发布：《河南省政府采购网》、、《许昌市政府采购网》、《全国公共资源交易平台（河南省·许昌市）》</w:t>
            </w:r>
          </w:p>
        </w:tc>
      </w:tr>
      <w:tr w14:paraId="20711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BF461C9">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16</w:t>
            </w:r>
          </w:p>
        </w:tc>
        <w:tc>
          <w:tcPr>
            <w:tcW w:w="1685" w:type="dxa"/>
            <w:tcBorders>
              <w:top w:val="single" w:color="auto" w:sz="4" w:space="0"/>
              <w:left w:val="nil"/>
              <w:bottom w:val="single" w:color="auto" w:sz="4" w:space="0"/>
              <w:right w:val="single" w:color="auto" w:sz="4" w:space="0"/>
            </w:tcBorders>
            <w:vAlign w:val="center"/>
          </w:tcPr>
          <w:p w14:paraId="189D7DA7">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kern w:val="0"/>
                <w:sz w:val="24"/>
                <w:szCs w:val="24"/>
              </w:rPr>
              <w:t>采购人澄清或修改磋商文件时间</w:t>
            </w:r>
          </w:p>
        </w:tc>
        <w:tc>
          <w:tcPr>
            <w:tcW w:w="7244" w:type="dxa"/>
            <w:tcBorders>
              <w:top w:val="single" w:color="auto" w:sz="4" w:space="0"/>
              <w:left w:val="nil"/>
              <w:bottom w:val="single" w:color="auto" w:sz="4" w:space="0"/>
              <w:right w:val="single" w:color="auto" w:sz="4" w:space="0"/>
            </w:tcBorders>
            <w:vAlign w:val="center"/>
          </w:tcPr>
          <w:p w14:paraId="33574DFE">
            <w:pPr>
              <w:autoSpaceDE w:val="0"/>
              <w:autoSpaceDN w:val="0"/>
              <w:adjustRightInd w:val="0"/>
              <w:spacing w:line="360" w:lineRule="auto"/>
              <w:rPr>
                <w:rFonts w:ascii="宋体" w:hAnsi="宋体" w:cs="宋体"/>
                <w:bCs/>
                <w:color w:val="auto"/>
                <w:sz w:val="24"/>
                <w:szCs w:val="24"/>
              </w:rPr>
            </w:pPr>
            <w:r>
              <w:rPr>
                <w:rFonts w:hint="eastAsia" w:ascii="宋体" w:hAnsi="宋体" w:cs="宋体"/>
                <w:color w:val="auto"/>
                <w:kern w:val="0"/>
                <w:sz w:val="24"/>
                <w:szCs w:val="24"/>
              </w:rPr>
              <w:t>磋商响应截止时间5日前（澄清内容可能影响响应文件编制的）</w:t>
            </w:r>
          </w:p>
        </w:tc>
      </w:tr>
      <w:tr w14:paraId="416D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9EA12A6">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17</w:t>
            </w:r>
          </w:p>
        </w:tc>
        <w:tc>
          <w:tcPr>
            <w:tcW w:w="1685" w:type="dxa"/>
            <w:tcBorders>
              <w:top w:val="single" w:color="auto" w:sz="4" w:space="0"/>
              <w:left w:val="nil"/>
              <w:bottom w:val="single" w:color="auto" w:sz="4" w:space="0"/>
              <w:right w:val="single" w:color="auto" w:sz="4" w:space="0"/>
            </w:tcBorders>
            <w:vAlign w:val="center"/>
          </w:tcPr>
          <w:p w14:paraId="2E71EAD8">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kern w:val="0"/>
                <w:sz w:val="24"/>
                <w:szCs w:val="24"/>
              </w:rPr>
              <w:t>供应商对磋商文件质疑截止时间</w:t>
            </w:r>
          </w:p>
        </w:tc>
        <w:tc>
          <w:tcPr>
            <w:tcW w:w="7244" w:type="dxa"/>
            <w:tcBorders>
              <w:top w:val="single" w:color="auto" w:sz="4" w:space="0"/>
              <w:left w:val="nil"/>
              <w:bottom w:val="single" w:color="auto" w:sz="4" w:space="0"/>
              <w:right w:val="single" w:color="auto" w:sz="4" w:space="0"/>
            </w:tcBorders>
            <w:vAlign w:val="center"/>
          </w:tcPr>
          <w:p w14:paraId="665758D5">
            <w:pPr>
              <w:autoSpaceDE w:val="0"/>
              <w:autoSpaceDN w:val="0"/>
              <w:adjustRightInd w:val="0"/>
              <w:spacing w:line="360" w:lineRule="auto"/>
              <w:rPr>
                <w:rFonts w:ascii="宋体" w:hAnsi="宋体" w:cs="宋体"/>
                <w:bCs/>
                <w:color w:val="auto"/>
                <w:sz w:val="24"/>
                <w:szCs w:val="24"/>
              </w:rPr>
            </w:pPr>
            <w:r>
              <w:rPr>
                <w:rFonts w:hint="eastAsia" w:ascii="宋体" w:hAnsi="宋体" w:cs="宋体"/>
                <w:bCs/>
                <w:color w:val="auto"/>
                <w:sz w:val="24"/>
                <w:szCs w:val="24"/>
              </w:rPr>
              <w:t>磋商公告截止之日起7个工作日</w:t>
            </w:r>
          </w:p>
        </w:tc>
      </w:tr>
      <w:tr w14:paraId="63CE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102793D">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18</w:t>
            </w:r>
          </w:p>
        </w:tc>
        <w:tc>
          <w:tcPr>
            <w:tcW w:w="1685" w:type="dxa"/>
            <w:tcBorders>
              <w:top w:val="single" w:color="auto" w:sz="4" w:space="0"/>
              <w:left w:val="nil"/>
              <w:bottom w:val="single" w:color="auto" w:sz="4" w:space="0"/>
              <w:right w:val="single" w:color="auto" w:sz="4" w:space="0"/>
            </w:tcBorders>
            <w:vAlign w:val="center"/>
          </w:tcPr>
          <w:p w14:paraId="200C050B">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kern w:val="0"/>
                <w:sz w:val="24"/>
                <w:szCs w:val="24"/>
              </w:rPr>
              <w:t>响应文件份数</w:t>
            </w:r>
          </w:p>
        </w:tc>
        <w:tc>
          <w:tcPr>
            <w:tcW w:w="7244" w:type="dxa"/>
            <w:tcBorders>
              <w:top w:val="single" w:color="auto" w:sz="4" w:space="0"/>
              <w:left w:val="nil"/>
              <w:bottom w:val="single" w:color="auto" w:sz="4" w:space="0"/>
              <w:right w:val="single" w:color="auto" w:sz="4" w:space="0"/>
            </w:tcBorders>
            <w:vAlign w:val="center"/>
          </w:tcPr>
          <w:p w14:paraId="65496BC8">
            <w:pPr>
              <w:autoSpaceDE w:val="0"/>
              <w:autoSpaceDN w:val="0"/>
              <w:adjustRightInd w:val="0"/>
              <w:spacing w:line="360" w:lineRule="auto"/>
              <w:rPr>
                <w:rFonts w:ascii="宋体" w:hAnsi="宋体" w:cs="宋体"/>
                <w:color w:val="auto"/>
                <w:kern w:val="0"/>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s="宋体"/>
                <w:color w:val="auto"/>
                <w:kern w:val="0"/>
                <w:sz w:val="24"/>
                <w:szCs w:val="24"/>
              </w:rPr>
              <w:t>电子响应文件：电子响应文件：成功上传至《全国公共资源交易平台（河南省·许昌市）》公共资源交易系统加密电子响应文件1份（后缀格式为.XCSTF）。</w:t>
            </w:r>
          </w:p>
          <w:p w14:paraId="468E6E68">
            <w:pPr>
              <w:pStyle w:val="16"/>
              <w:spacing w:line="360" w:lineRule="auto"/>
              <w:rPr>
                <w:rFonts w:ascii="宋体" w:hAnsi="宋体" w:cs="宋体"/>
                <w:bCs/>
                <w:color w:val="auto"/>
                <w:sz w:val="24"/>
                <w:szCs w:val="24"/>
              </w:rPr>
            </w:pPr>
            <w:r>
              <w:rPr>
                <w:rFonts w:hint="eastAsia" w:ascii="宋体" w:hAnsi="宋体" w:cs="宋体"/>
                <w:b/>
                <w:bCs/>
                <w:color w:val="auto"/>
                <w:sz w:val="24"/>
                <w:szCs w:val="24"/>
              </w:rPr>
              <w:t>注：投标人登录《全国公共资源交易平台（河南省·许昌市）》下载“新点投标文件制作软件（河南省版）”的最新版本制作电子响应文件。</w:t>
            </w:r>
          </w:p>
        </w:tc>
      </w:tr>
      <w:tr w14:paraId="0BC76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027894A">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19</w:t>
            </w:r>
          </w:p>
        </w:tc>
        <w:tc>
          <w:tcPr>
            <w:tcW w:w="1685" w:type="dxa"/>
            <w:tcBorders>
              <w:top w:val="single" w:color="auto" w:sz="4" w:space="0"/>
              <w:left w:val="nil"/>
              <w:bottom w:val="single" w:color="auto" w:sz="4" w:space="0"/>
              <w:right w:val="single" w:color="auto" w:sz="4" w:space="0"/>
            </w:tcBorders>
            <w:vAlign w:val="center"/>
          </w:tcPr>
          <w:p w14:paraId="0C860275">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响应文件的</w:t>
            </w:r>
          </w:p>
          <w:p w14:paraId="0CAA132B">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签署盖章</w:t>
            </w:r>
          </w:p>
        </w:tc>
        <w:tc>
          <w:tcPr>
            <w:tcW w:w="7244" w:type="dxa"/>
            <w:tcBorders>
              <w:top w:val="single" w:color="auto" w:sz="4" w:space="0"/>
              <w:left w:val="nil"/>
              <w:bottom w:val="single" w:color="auto" w:sz="4" w:space="0"/>
              <w:right w:val="single" w:color="auto" w:sz="4" w:space="0"/>
            </w:tcBorders>
            <w:vAlign w:val="center"/>
          </w:tcPr>
          <w:p w14:paraId="4D80E9DD">
            <w:pPr>
              <w:autoSpaceDE w:val="0"/>
              <w:autoSpaceDN w:val="0"/>
              <w:adjustRightInd w:val="0"/>
              <w:snapToGrid w:val="0"/>
              <w:spacing w:line="360" w:lineRule="auto"/>
              <w:rPr>
                <w:rFonts w:ascii="宋体" w:hAnsi="宋体" w:cs="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s="宋体"/>
                <w:color w:val="auto"/>
                <w:sz w:val="24"/>
                <w:szCs w:val="24"/>
              </w:rPr>
              <w:t>电子响应文件：按磋商文件要求加盖供应商电子印章和法人电子印章。</w:t>
            </w:r>
          </w:p>
        </w:tc>
      </w:tr>
      <w:tr w14:paraId="017B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1565A9C">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20</w:t>
            </w:r>
          </w:p>
        </w:tc>
        <w:tc>
          <w:tcPr>
            <w:tcW w:w="1685" w:type="dxa"/>
            <w:tcBorders>
              <w:top w:val="single" w:color="auto" w:sz="4" w:space="0"/>
              <w:left w:val="nil"/>
              <w:bottom w:val="single" w:color="auto" w:sz="4" w:space="0"/>
              <w:right w:val="single" w:color="auto" w:sz="4" w:space="0"/>
            </w:tcBorders>
            <w:vAlign w:val="center"/>
          </w:tcPr>
          <w:p w14:paraId="2BE34D43">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磋商小组组建</w:t>
            </w:r>
          </w:p>
        </w:tc>
        <w:tc>
          <w:tcPr>
            <w:tcW w:w="7244" w:type="dxa"/>
            <w:tcBorders>
              <w:top w:val="single" w:color="auto" w:sz="4" w:space="0"/>
              <w:left w:val="nil"/>
              <w:bottom w:val="single" w:color="auto" w:sz="4" w:space="0"/>
              <w:right w:val="single" w:color="auto" w:sz="4" w:space="0"/>
            </w:tcBorders>
            <w:vAlign w:val="center"/>
          </w:tcPr>
          <w:p w14:paraId="4B0D7A81">
            <w:pPr>
              <w:autoSpaceDE w:val="0"/>
              <w:autoSpaceDN w:val="0"/>
              <w:adjustRightInd w:val="0"/>
              <w:snapToGrid w:val="0"/>
              <w:spacing w:line="360" w:lineRule="auto"/>
              <w:rPr>
                <w:rFonts w:ascii="宋体" w:hAnsi="宋体" w:cs="宋体"/>
                <w:color w:val="auto"/>
                <w:sz w:val="24"/>
                <w:szCs w:val="24"/>
                <w:lang w:val="zh-CN"/>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s="宋体"/>
                <w:color w:val="auto"/>
                <w:sz w:val="24"/>
                <w:szCs w:val="24"/>
                <w:lang w:val="zh-CN"/>
              </w:rPr>
              <w:t>由采购人代表和评审专家共3人组成，其中评审专家的人数不少于磋商小组成员总数的三分之二。评审专家从政府采购评审专家库中随机抽取。</w:t>
            </w:r>
          </w:p>
          <w:p w14:paraId="27CAF8A0">
            <w:pPr>
              <w:autoSpaceDE w:val="0"/>
              <w:autoSpaceDN w:val="0"/>
              <w:adjustRightInd w:val="0"/>
              <w:snapToGrid w:val="0"/>
              <w:spacing w:line="360" w:lineRule="auto"/>
              <w:rPr>
                <w:rFonts w:ascii="宋体" w:hAnsi="宋体" w:cs="宋体"/>
                <w:bCs/>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s="宋体"/>
                <w:color w:val="auto"/>
                <w:sz w:val="24"/>
                <w:szCs w:val="24"/>
                <w:lang w:val="zh-CN"/>
              </w:rPr>
              <w:t>由评审专家组成。评审专家从政府采购评审专家库中随机抽取。</w:t>
            </w:r>
          </w:p>
        </w:tc>
      </w:tr>
      <w:tr w14:paraId="42C68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A1AE5B4">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21</w:t>
            </w:r>
          </w:p>
        </w:tc>
        <w:tc>
          <w:tcPr>
            <w:tcW w:w="1685" w:type="dxa"/>
            <w:tcBorders>
              <w:top w:val="single" w:color="auto" w:sz="4" w:space="0"/>
              <w:left w:val="nil"/>
              <w:bottom w:val="single" w:color="auto" w:sz="4" w:space="0"/>
              <w:right w:val="single" w:color="auto" w:sz="4" w:space="0"/>
            </w:tcBorders>
            <w:vAlign w:val="center"/>
          </w:tcPr>
          <w:p w14:paraId="02E42829">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评审方法</w:t>
            </w:r>
          </w:p>
        </w:tc>
        <w:tc>
          <w:tcPr>
            <w:tcW w:w="7244" w:type="dxa"/>
            <w:tcBorders>
              <w:top w:val="single" w:color="auto" w:sz="4" w:space="0"/>
              <w:left w:val="nil"/>
              <w:bottom w:val="single" w:color="auto" w:sz="4" w:space="0"/>
              <w:right w:val="single" w:color="auto" w:sz="4" w:space="0"/>
            </w:tcBorders>
            <w:vAlign w:val="center"/>
          </w:tcPr>
          <w:p w14:paraId="38B7FCF2">
            <w:pPr>
              <w:autoSpaceDE w:val="0"/>
              <w:autoSpaceDN w:val="0"/>
              <w:adjustRightInd w:val="0"/>
              <w:snapToGrid w:val="0"/>
              <w:spacing w:line="360" w:lineRule="auto"/>
              <w:rPr>
                <w:rFonts w:ascii="宋体" w:hAnsi="宋体" w:cs="宋体"/>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 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color w:val="auto"/>
                <w:sz w:val="24"/>
                <w:szCs w:val="24"/>
              </w:rPr>
              <w:t>综合评分法□最低评标价法</w:t>
            </w:r>
          </w:p>
        </w:tc>
      </w:tr>
      <w:tr w14:paraId="1768A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9ACDD29">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22</w:t>
            </w:r>
          </w:p>
        </w:tc>
        <w:tc>
          <w:tcPr>
            <w:tcW w:w="1685" w:type="dxa"/>
            <w:tcBorders>
              <w:top w:val="single" w:color="auto" w:sz="4" w:space="0"/>
              <w:left w:val="nil"/>
              <w:bottom w:val="single" w:color="auto" w:sz="4" w:space="0"/>
              <w:right w:val="single" w:color="auto" w:sz="4" w:space="0"/>
            </w:tcBorders>
            <w:vAlign w:val="center"/>
          </w:tcPr>
          <w:p w14:paraId="3D4B3A6B">
            <w:pPr>
              <w:adjustRightInd w:val="0"/>
              <w:snapToGrid w:val="0"/>
              <w:spacing w:line="360" w:lineRule="auto"/>
              <w:ind w:right="-23" w:rightChars="-11"/>
              <w:jc w:val="center"/>
              <w:rPr>
                <w:rFonts w:ascii="宋体" w:hAnsi="宋体" w:cs="宋体"/>
                <w:bCs/>
                <w:color w:val="auto"/>
                <w:sz w:val="24"/>
                <w:szCs w:val="24"/>
                <w:lang w:val="zh-CN"/>
              </w:rPr>
            </w:pPr>
            <w:r>
              <w:rPr>
                <w:rFonts w:hint="eastAsia" w:ascii="宋体" w:hAnsi="宋体" w:cs="宋体"/>
                <w:bCs/>
                <w:color w:val="auto"/>
                <w:sz w:val="24"/>
                <w:szCs w:val="24"/>
                <w:lang w:val="zh-CN"/>
              </w:rPr>
              <w:t>履约担保</w:t>
            </w:r>
          </w:p>
        </w:tc>
        <w:tc>
          <w:tcPr>
            <w:tcW w:w="7244" w:type="dxa"/>
            <w:tcBorders>
              <w:top w:val="single" w:color="auto" w:sz="4" w:space="0"/>
              <w:left w:val="nil"/>
              <w:bottom w:val="single" w:color="auto" w:sz="4" w:space="0"/>
              <w:right w:val="single" w:color="auto" w:sz="4" w:space="0"/>
            </w:tcBorders>
            <w:vAlign w:val="center"/>
          </w:tcPr>
          <w:p w14:paraId="4DAA48F0">
            <w:pPr>
              <w:adjustRightInd w:val="0"/>
              <w:snapToGrid w:val="0"/>
              <w:spacing w:line="360" w:lineRule="auto"/>
              <w:ind w:right="-23" w:rightChars="-11"/>
              <w:jc w:val="left"/>
              <w:rPr>
                <w:rFonts w:ascii="宋体" w:hAnsi="宋体" w:cs="宋体"/>
                <w:bCs/>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 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rPr>
              <w:t>无要求。按照《许昌市财政局关于加大政府采购支持中小企业力度有关事项的通知》(许财购【2022】5号）文的要求，不收取履约保证金。</w:t>
            </w:r>
          </w:p>
        </w:tc>
      </w:tr>
      <w:tr w14:paraId="0D086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F435765">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23</w:t>
            </w:r>
          </w:p>
        </w:tc>
        <w:tc>
          <w:tcPr>
            <w:tcW w:w="1685" w:type="dxa"/>
            <w:tcBorders>
              <w:top w:val="single" w:color="auto" w:sz="4" w:space="0"/>
              <w:left w:val="nil"/>
              <w:bottom w:val="single" w:color="auto" w:sz="4" w:space="0"/>
              <w:right w:val="single" w:color="auto" w:sz="4" w:space="0"/>
            </w:tcBorders>
            <w:vAlign w:val="center"/>
          </w:tcPr>
          <w:p w14:paraId="7F8C2CED">
            <w:pPr>
              <w:autoSpaceDE w:val="0"/>
              <w:autoSpaceDN w:val="0"/>
              <w:adjustRightInd w:val="0"/>
              <w:snapToGrid w:val="0"/>
              <w:spacing w:line="360" w:lineRule="auto"/>
              <w:jc w:val="center"/>
              <w:rPr>
                <w:rFonts w:ascii="宋体" w:hAnsi="宋体" w:cs="宋体"/>
                <w:bCs/>
                <w:color w:val="auto"/>
                <w:sz w:val="24"/>
                <w:szCs w:val="24"/>
              </w:rPr>
            </w:pPr>
            <w:r>
              <w:rPr>
                <w:rFonts w:hint="eastAsia" w:ascii="宋体" w:hAnsi="宋体" w:cs="宋体"/>
                <w:bCs/>
                <w:color w:val="auto"/>
                <w:sz w:val="24"/>
                <w:szCs w:val="24"/>
              </w:rPr>
              <w:t>代理服务费</w:t>
            </w:r>
          </w:p>
        </w:tc>
        <w:tc>
          <w:tcPr>
            <w:tcW w:w="7244" w:type="dxa"/>
            <w:tcBorders>
              <w:top w:val="single" w:color="auto" w:sz="4" w:space="0"/>
              <w:left w:val="nil"/>
              <w:bottom w:val="single" w:color="auto" w:sz="4" w:space="0"/>
              <w:right w:val="single" w:color="auto" w:sz="4" w:space="0"/>
            </w:tcBorders>
            <w:vAlign w:val="center"/>
          </w:tcPr>
          <w:p w14:paraId="7825E7A5">
            <w:pPr>
              <w:adjustRightInd w:val="0"/>
              <w:snapToGrid w:val="0"/>
              <w:spacing w:line="360" w:lineRule="auto"/>
              <w:ind w:right="-23" w:rightChars="-11"/>
              <w:jc w:val="left"/>
              <w:rPr>
                <w:rFonts w:ascii="宋体" w:hAnsi="宋体" w:cs="宋体"/>
                <w:bCs/>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 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rPr>
              <w:t>收取，成交通知书发出前，由</w:t>
            </w:r>
            <w:r>
              <w:rPr>
                <w:rFonts w:hint="eastAsia" w:ascii="宋体" w:hAnsi="宋体" w:cs="宋体"/>
                <w:b/>
                <w:color w:val="auto"/>
                <w:sz w:val="24"/>
                <w:szCs w:val="24"/>
                <w:u w:val="single"/>
              </w:rPr>
              <w:t>成交供应商</w:t>
            </w:r>
            <w:r>
              <w:rPr>
                <w:rFonts w:hint="eastAsia" w:ascii="宋体" w:hAnsi="宋体" w:cs="宋体"/>
                <w:bCs/>
                <w:color w:val="auto"/>
                <w:sz w:val="24"/>
                <w:szCs w:val="24"/>
              </w:rPr>
              <w:t>按照河南省招投标协会豫招协[2023]002号文，按照差额定率累进法计取，一次性以现金或转账形式交纳。</w:t>
            </w:r>
          </w:p>
        </w:tc>
      </w:tr>
      <w:tr w14:paraId="4976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7C6D11C">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24</w:t>
            </w:r>
          </w:p>
        </w:tc>
        <w:tc>
          <w:tcPr>
            <w:tcW w:w="1685" w:type="dxa"/>
            <w:tcBorders>
              <w:top w:val="single" w:color="auto" w:sz="4" w:space="0"/>
              <w:left w:val="nil"/>
              <w:bottom w:val="single" w:color="auto" w:sz="4" w:space="0"/>
              <w:right w:val="single" w:color="auto" w:sz="4" w:space="0"/>
            </w:tcBorders>
            <w:vAlign w:val="center"/>
          </w:tcPr>
          <w:p w14:paraId="445AEB51">
            <w:pPr>
              <w:autoSpaceDE w:val="0"/>
              <w:autoSpaceDN w:val="0"/>
              <w:adjustRightInd w:val="0"/>
              <w:snapToGrid w:val="0"/>
              <w:spacing w:line="360" w:lineRule="auto"/>
              <w:jc w:val="center"/>
              <w:rPr>
                <w:rFonts w:ascii="宋体" w:hAnsi="宋体" w:cs="宋体"/>
                <w:bCs/>
                <w:color w:val="auto"/>
                <w:sz w:val="24"/>
                <w:szCs w:val="24"/>
              </w:rPr>
            </w:pPr>
            <w:r>
              <w:rPr>
                <w:rFonts w:hint="eastAsia" w:ascii="宋体" w:hAnsi="宋体" w:cs="宋体"/>
                <w:bCs/>
                <w:color w:val="auto"/>
                <w:sz w:val="24"/>
                <w:szCs w:val="24"/>
              </w:rPr>
              <w:t>成交供应商资格核验</w:t>
            </w:r>
          </w:p>
        </w:tc>
        <w:tc>
          <w:tcPr>
            <w:tcW w:w="7244" w:type="dxa"/>
            <w:tcBorders>
              <w:top w:val="single" w:color="auto" w:sz="4" w:space="0"/>
              <w:left w:val="nil"/>
              <w:bottom w:val="single" w:color="auto" w:sz="4" w:space="0"/>
              <w:right w:val="single" w:color="auto" w:sz="4" w:space="0"/>
            </w:tcBorders>
            <w:vAlign w:val="center"/>
          </w:tcPr>
          <w:p w14:paraId="5C3A3083">
            <w:pPr>
              <w:autoSpaceDE w:val="0"/>
              <w:autoSpaceDN w:val="0"/>
              <w:adjustRightInd w:val="0"/>
              <w:spacing w:line="360" w:lineRule="auto"/>
              <w:contextualSpacing/>
              <w:rPr>
                <w:rFonts w:ascii="宋体" w:hAnsi="宋体" w:cs="宋体"/>
                <w:color w:val="auto"/>
                <w:sz w:val="24"/>
                <w:szCs w:val="24"/>
              </w:rPr>
            </w:pPr>
            <w:r>
              <w:rPr>
                <w:rFonts w:hint="eastAsia" w:ascii="宋体" w:hAnsi="宋体" w:cs="宋体"/>
                <w:color w:val="auto"/>
                <w:sz w:val="24"/>
                <w:szCs w:val="24"/>
              </w:rPr>
              <w:t>供应商在中标后，应将由《襄城县政府采购供应商信用承诺函》替代的证明材料提交采购人核验，经核验无误后，发出中标通知书。</w:t>
            </w:r>
          </w:p>
          <w:p w14:paraId="3F2DC532">
            <w:pPr>
              <w:autoSpaceDE w:val="0"/>
              <w:autoSpaceDN w:val="0"/>
              <w:adjustRightInd w:val="0"/>
              <w:spacing w:line="360" w:lineRule="auto"/>
              <w:contextualSpacing/>
              <w:rPr>
                <w:rFonts w:ascii="宋体" w:hAnsi="宋体" w:cs="宋体"/>
                <w:b/>
                <w:color w:val="auto"/>
                <w:sz w:val="24"/>
                <w:szCs w:val="24"/>
              </w:rPr>
            </w:pPr>
            <w:r>
              <w:rPr>
                <w:rFonts w:hint="eastAsia" w:ascii="宋体" w:hAnsi="宋体" w:cs="宋体"/>
                <w:b/>
                <w:color w:val="auto"/>
                <w:sz w:val="24"/>
                <w:szCs w:val="24"/>
              </w:rPr>
              <w:t>一、法人或者其他组织的营业执照等证明文件，自然人的身份证明</w:t>
            </w:r>
          </w:p>
          <w:p w14:paraId="464900C8">
            <w:pPr>
              <w:autoSpaceDE w:val="0"/>
              <w:autoSpaceDN w:val="0"/>
              <w:adjustRightInd w:val="0"/>
              <w:spacing w:line="360" w:lineRule="auto"/>
              <w:contextualSpacing/>
              <w:rPr>
                <w:rFonts w:ascii="宋体" w:hAnsi="宋体" w:cs="宋体"/>
                <w:color w:val="auto"/>
                <w:sz w:val="24"/>
                <w:szCs w:val="24"/>
              </w:rPr>
            </w:pPr>
            <w:r>
              <w:rPr>
                <w:rFonts w:hint="eastAsia" w:ascii="宋体" w:hAnsi="宋体" w:cs="宋体"/>
                <w:color w:val="auto"/>
                <w:sz w:val="24"/>
                <w:szCs w:val="24"/>
              </w:rPr>
              <w:t>1、企业法人营业执照或营业执照。（企业投标提供）</w:t>
            </w:r>
          </w:p>
          <w:p w14:paraId="3DA7DCA6">
            <w:pPr>
              <w:autoSpaceDE w:val="0"/>
              <w:autoSpaceDN w:val="0"/>
              <w:adjustRightInd w:val="0"/>
              <w:spacing w:line="360" w:lineRule="auto"/>
              <w:contextualSpacing/>
              <w:rPr>
                <w:rFonts w:ascii="宋体" w:hAnsi="宋体" w:cs="宋体"/>
                <w:color w:val="auto"/>
                <w:sz w:val="24"/>
                <w:szCs w:val="24"/>
              </w:rPr>
            </w:pPr>
            <w:r>
              <w:rPr>
                <w:rFonts w:hint="eastAsia" w:ascii="宋体" w:hAnsi="宋体" w:cs="宋体"/>
                <w:color w:val="auto"/>
                <w:sz w:val="24"/>
                <w:szCs w:val="24"/>
              </w:rPr>
              <w:t>2、事业单位法人证书。（事业单位投标提供）</w:t>
            </w:r>
          </w:p>
          <w:p w14:paraId="4B0771BB">
            <w:pPr>
              <w:autoSpaceDE w:val="0"/>
              <w:autoSpaceDN w:val="0"/>
              <w:adjustRightInd w:val="0"/>
              <w:spacing w:line="360" w:lineRule="auto"/>
              <w:contextualSpacing/>
              <w:rPr>
                <w:rFonts w:ascii="宋体" w:hAnsi="宋体" w:cs="宋体"/>
                <w:color w:val="auto"/>
                <w:sz w:val="24"/>
                <w:szCs w:val="24"/>
              </w:rPr>
            </w:pPr>
            <w:r>
              <w:rPr>
                <w:rFonts w:hint="eastAsia" w:ascii="宋体" w:hAnsi="宋体" w:cs="宋体"/>
                <w:color w:val="auto"/>
                <w:sz w:val="24"/>
                <w:szCs w:val="24"/>
              </w:rPr>
              <w:t>3、执业许可证。（非企业专业服务机构投标提供）</w:t>
            </w:r>
          </w:p>
          <w:p w14:paraId="59AE2144">
            <w:pPr>
              <w:autoSpaceDE w:val="0"/>
              <w:autoSpaceDN w:val="0"/>
              <w:adjustRightInd w:val="0"/>
              <w:spacing w:line="360" w:lineRule="auto"/>
              <w:contextualSpacing/>
              <w:rPr>
                <w:rFonts w:ascii="宋体" w:hAnsi="宋体" w:cs="宋体"/>
                <w:color w:val="auto"/>
                <w:sz w:val="24"/>
                <w:szCs w:val="24"/>
              </w:rPr>
            </w:pPr>
            <w:r>
              <w:rPr>
                <w:rFonts w:hint="eastAsia" w:ascii="宋体" w:hAnsi="宋体" w:cs="宋体"/>
                <w:color w:val="auto"/>
                <w:sz w:val="24"/>
                <w:szCs w:val="24"/>
              </w:rPr>
              <w:t>4、个体工商户营业执照。（个体工商户投标提供）</w:t>
            </w:r>
          </w:p>
          <w:p w14:paraId="7AA157E5">
            <w:pPr>
              <w:autoSpaceDE w:val="0"/>
              <w:autoSpaceDN w:val="0"/>
              <w:adjustRightInd w:val="0"/>
              <w:spacing w:line="360" w:lineRule="auto"/>
              <w:contextualSpacing/>
              <w:rPr>
                <w:rFonts w:ascii="宋体" w:hAnsi="宋体" w:cs="宋体"/>
                <w:color w:val="auto"/>
                <w:sz w:val="24"/>
                <w:szCs w:val="24"/>
              </w:rPr>
            </w:pPr>
            <w:r>
              <w:rPr>
                <w:rFonts w:hint="eastAsia" w:ascii="宋体" w:hAnsi="宋体" w:cs="宋体"/>
                <w:color w:val="auto"/>
                <w:sz w:val="24"/>
                <w:szCs w:val="24"/>
              </w:rPr>
              <w:t>5、自然人身份证明。（自然人投标提供）</w:t>
            </w:r>
          </w:p>
          <w:p w14:paraId="4AF4C7C0">
            <w:pPr>
              <w:autoSpaceDE w:val="0"/>
              <w:autoSpaceDN w:val="0"/>
              <w:adjustRightInd w:val="0"/>
              <w:spacing w:line="360" w:lineRule="auto"/>
              <w:contextualSpacing/>
              <w:rPr>
                <w:rFonts w:ascii="宋体" w:hAnsi="宋体" w:cs="宋体"/>
                <w:color w:val="auto"/>
                <w:sz w:val="24"/>
                <w:szCs w:val="24"/>
              </w:rPr>
            </w:pPr>
            <w:r>
              <w:rPr>
                <w:rFonts w:hint="eastAsia" w:ascii="宋体" w:hAnsi="宋体" w:cs="宋体"/>
                <w:color w:val="auto"/>
                <w:sz w:val="24"/>
                <w:szCs w:val="24"/>
              </w:rPr>
              <w:t>6、民办非企业单位登记证书。（民办非企业单位投标提供）</w:t>
            </w:r>
          </w:p>
          <w:p w14:paraId="0EA7A187">
            <w:pPr>
              <w:autoSpaceDE w:val="0"/>
              <w:autoSpaceDN w:val="0"/>
              <w:adjustRightInd w:val="0"/>
              <w:spacing w:line="360" w:lineRule="auto"/>
              <w:contextualSpacing/>
              <w:rPr>
                <w:rFonts w:ascii="宋体" w:hAnsi="宋体" w:cs="宋体"/>
                <w:b/>
                <w:color w:val="auto"/>
                <w:sz w:val="24"/>
                <w:szCs w:val="24"/>
              </w:rPr>
            </w:pPr>
            <w:r>
              <w:rPr>
                <w:rFonts w:hint="eastAsia" w:ascii="宋体" w:hAnsi="宋体" w:cs="宋体"/>
                <w:b/>
                <w:color w:val="auto"/>
                <w:sz w:val="24"/>
                <w:szCs w:val="24"/>
              </w:rPr>
              <w:t>二、财务状况报告相关材料</w:t>
            </w:r>
          </w:p>
          <w:p w14:paraId="73A1E62A">
            <w:pPr>
              <w:autoSpaceDE w:val="0"/>
              <w:autoSpaceDN w:val="0"/>
              <w:adjustRightInd w:val="0"/>
              <w:spacing w:line="360" w:lineRule="auto"/>
              <w:contextualSpacing/>
              <w:rPr>
                <w:rFonts w:ascii="宋体" w:hAnsi="宋体" w:cs="宋体"/>
                <w:color w:val="auto"/>
                <w:sz w:val="24"/>
                <w:szCs w:val="24"/>
              </w:rPr>
            </w:pPr>
            <w:r>
              <w:rPr>
                <w:rFonts w:hint="eastAsia" w:ascii="宋体" w:hAnsi="宋体" w:cs="宋体"/>
                <w:color w:val="auto"/>
                <w:sz w:val="24"/>
                <w:szCs w:val="24"/>
              </w:rPr>
              <w:t>1、投标人是法人（法人包括企业法人、机关法人、事业单位法人和社会团体法人），提供本单位：</w:t>
            </w:r>
          </w:p>
          <w:p w14:paraId="75EEB4C8">
            <w:pPr>
              <w:autoSpaceDE w:val="0"/>
              <w:autoSpaceDN w:val="0"/>
              <w:adjustRightInd w:val="0"/>
              <w:spacing w:line="360" w:lineRule="auto"/>
              <w:contextualSpacing/>
              <w:rPr>
                <w:rFonts w:ascii="宋体" w:hAnsi="宋体" w:cs="宋体"/>
                <w:color w:val="auto"/>
                <w:sz w:val="24"/>
                <w:szCs w:val="24"/>
              </w:rPr>
            </w:pPr>
            <w:r>
              <w:rPr>
                <w:rFonts w:hint="eastAsia" w:ascii="宋体" w:hAnsi="宋体" w:cs="宋体"/>
                <w:color w:val="auto"/>
                <w:sz w:val="24"/>
                <w:szCs w:val="24"/>
              </w:rPr>
              <w:t>①2023年度经审计的财务报告，包括资产负债表、利润表、现金流量表、所有者权益变动表及其附注；</w:t>
            </w:r>
          </w:p>
          <w:p w14:paraId="6B58BBE3">
            <w:pPr>
              <w:autoSpaceDE w:val="0"/>
              <w:autoSpaceDN w:val="0"/>
              <w:adjustRightInd w:val="0"/>
              <w:spacing w:line="360" w:lineRule="auto"/>
              <w:contextualSpacing/>
              <w:rPr>
                <w:rFonts w:ascii="宋体" w:hAnsi="宋体" w:cs="宋体"/>
                <w:color w:val="auto"/>
                <w:sz w:val="24"/>
                <w:szCs w:val="24"/>
              </w:rPr>
            </w:pPr>
            <w:r>
              <w:rPr>
                <w:rFonts w:hint="eastAsia" w:ascii="宋体" w:hAnsi="宋体" w:cs="宋体"/>
                <w:color w:val="auto"/>
                <w:sz w:val="24"/>
                <w:szCs w:val="24"/>
              </w:rPr>
              <w:t>②基本开户银行出具的资信证明；</w:t>
            </w:r>
          </w:p>
          <w:p w14:paraId="2666ED8D">
            <w:pPr>
              <w:autoSpaceDE w:val="0"/>
              <w:autoSpaceDN w:val="0"/>
              <w:adjustRightInd w:val="0"/>
              <w:spacing w:line="360" w:lineRule="auto"/>
              <w:contextualSpacing/>
              <w:rPr>
                <w:rFonts w:ascii="宋体" w:hAnsi="宋体" w:cs="宋体"/>
                <w:color w:val="auto"/>
                <w:sz w:val="24"/>
                <w:szCs w:val="24"/>
              </w:rPr>
            </w:pPr>
            <w:r>
              <w:rPr>
                <w:rFonts w:hint="eastAsia" w:ascii="宋体" w:hAnsi="宋体" w:cs="宋体"/>
                <w:color w:val="auto"/>
                <w:sz w:val="24"/>
                <w:szCs w:val="24"/>
              </w:rPr>
              <w:t>③财政部门认可的政府采购专业担保机构的证明文件和担保机构出具的投标担保函。</w:t>
            </w:r>
          </w:p>
          <w:p w14:paraId="30E791FE">
            <w:pPr>
              <w:autoSpaceDE w:val="0"/>
              <w:autoSpaceDN w:val="0"/>
              <w:adjustRightInd w:val="0"/>
              <w:spacing w:line="360" w:lineRule="auto"/>
              <w:contextualSpacing/>
              <w:rPr>
                <w:rFonts w:ascii="宋体" w:hAnsi="宋体" w:cs="宋体"/>
                <w:color w:val="auto"/>
                <w:sz w:val="24"/>
                <w:szCs w:val="24"/>
              </w:rPr>
            </w:pPr>
            <w:r>
              <w:rPr>
                <w:rFonts w:hint="eastAsia" w:ascii="宋体" w:hAnsi="宋体" w:cs="宋体"/>
                <w:color w:val="auto"/>
                <w:sz w:val="24"/>
                <w:szCs w:val="24"/>
              </w:rPr>
              <w:t>注：仅需提供序号①～③其中之一即可。</w:t>
            </w:r>
          </w:p>
          <w:p w14:paraId="3514EADE">
            <w:pPr>
              <w:autoSpaceDE w:val="0"/>
              <w:autoSpaceDN w:val="0"/>
              <w:adjustRightInd w:val="0"/>
              <w:spacing w:line="360" w:lineRule="auto"/>
              <w:contextualSpacing/>
              <w:rPr>
                <w:rFonts w:ascii="宋体" w:hAnsi="宋体" w:cs="宋体"/>
                <w:color w:val="auto"/>
                <w:sz w:val="24"/>
                <w:szCs w:val="24"/>
              </w:rPr>
            </w:pPr>
            <w:r>
              <w:rPr>
                <w:rFonts w:hint="eastAsia" w:ascii="宋体" w:hAnsi="宋体" w:cs="宋体"/>
                <w:color w:val="auto"/>
                <w:sz w:val="24"/>
                <w:szCs w:val="24"/>
              </w:rPr>
              <w:t>2、投标人（其他组织和自然人）提供本单位：</w:t>
            </w:r>
          </w:p>
          <w:p w14:paraId="322FA358">
            <w:pPr>
              <w:autoSpaceDE w:val="0"/>
              <w:autoSpaceDN w:val="0"/>
              <w:adjustRightInd w:val="0"/>
              <w:spacing w:line="360" w:lineRule="auto"/>
              <w:contextualSpacing/>
              <w:rPr>
                <w:rFonts w:ascii="宋体" w:hAnsi="宋体" w:cs="宋体"/>
                <w:color w:val="auto"/>
                <w:sz w:val="24"/>
                <w:szCs w:val="24"/>
              </w:rPr>
            </w:pPr>
            <w:r>
              <w:rPr>
                <w:rFonts w:hint="eastAsia" w:ascii="宋体" w:hAnsi="宋体" w:cs="宋体"/>
                <w:color w:val="auto"/>
                <w:sz w:val="24"/>
                <w:szCs w:val="24"/>
              </w:rPr>
              <w:t>①2023年度经审计的财务报告，包括资产负债表、利润表、现金流量表、所有者权益变动表及其附注；</w:t>
            </w:r>
          </w:p>
          <w:p w14:paraId="3E08D7EF">
            <w:pPr>
              <w:autoSpaceDE w:val="0"/>
              <w:autoSpaceDN w:val="0"/>
              <w:adjustRightInd w:val="0"/>
              <w:spacing w:line="360" w:lineRule="auto"/>
              <w:contextualSpacing/>
              <w:rPr>
                <w:rFonts w:ascii="宋体" w:hAnsi="宋体" w:cs="宋体"/>
                <w:color w:val="auto"/>
                <w:sz w:val="24"/>
                <w:szCs w:val="24"/>
              </w:rPr>
            </w:pPr>
            <w:r>
              <w:rPr>
                <w:rFonts w:hint="eastAsia" w:ascii="宋体" w:hAnsi="宋体" w:cs="宋体"/>
                <w:color w:val="auto"/>
                <w:sz w:val="24"/>
                <w:szCs w:val="24"/>
              </w:rPr>
              <w:t>②银行出具的资信证明；</w:t>
            </w:r>
          </w:p>
          <w:p w14:paraId="3740E739">
            <w:pPr>
              <w:autoSpaceDE w:val="0"/>
              <w:autoSpaceDN w:val="0"/>
              <w:adjustRightInd w:val="0"/>
              <w:spacing w:line="360" w:lineRule="auto"/>
              <w:contextualSpacing/>
              <w:rPr>
                <w:rFonts w:ascii="宋体" w:hAnsi="宋体" w:cs="宋体"/>
                <w:color w:val="auto"/>
                <w:sz w:val="24"/>
                <w:szCs w:val="24"/>
              </w:rPr>
            </w:pPr>
            <w:r>
              <w:rPr>
                <w:rFonts w:hint="eastAsia" w:ascii="宋体" w:hAnsi="宋体" w:cs="宋体"/>
                <w:color w:val="auto"/>
                <w:sz w:val="24"/>
                <w:szCs w:val="24"/>
              </w:rPr>
              <w:t>③财政部门认可的政府采购专业担保机构的证明文件和担保机构出具的投标担保函。</w:t>
            </w:r>
          </w:p>
          <w:p w14:paraId="7E7890AE">
            <w:pPr>
              <w:autoSpaceDE w:val="0"/>
              <w:autoSpaceDN w:val="0"/>
              <w:adjustRightInd w:val="0"/>
              <w:spacing w:line="360" w:lineRule="auto"/>
              <w:contextualSpacing/>
              <w:rPr>
                <w:rFonts w:ascii="宋体" w:hAnsi="宋体" w:cs="宋体"/>
                <w:color w:val="auto"/>
                <w:sz w:val="24"/>
                <w:szCs w:val="24"/>
              </w:rPr>
            </w:pPr>
            <w:r>
              <w:rPr>
                <w:rFonts w:hint="eastAsia" w:ascii="宋体" w:hAnsi="宋体" w:cs="宋体"/>
                <w:color w:val="auto"/>
                <w:sz w:val="24"/>
                <w:szCs w:val="24"/>
              </w:rPr>
              <w:t>注：仅需提供序号①～③其中之一即可。</w:t>
            </w:r>
          </w:p>
          <w:p w14:paraId="183913AE">
            <w:pPr>
              <w:autoSpaceDE w:val="0"/>
              <w:autoSpaceDN w:val="0"/>
              <w:adjustRightInd w:val="0"/>
              <w:spacing w:line="360" w:lineRule="auto"/>
              <w:contextualSpacing/>
              <w:rPr>
                <w:rFonts w:ascii="宋体" w:hAnsi="宋体" w:cs="宋体"/>
                <w:b/>
                <w:color w:val="auto"/>
                <w:sz w:val="24"/>
                <w:szCs w:val="24"/>
              </w:rPr>
            </w:pPr>
            <w:r>
              <w:rPr>
                <w:rFonts w:hint="eastAsia" w:ascii="宋体" w:hAnsi="宋体" w:cs="宋体"/>
                <w:b/>
                <w:color w:val="auto"/>
                <w:sz w:val="24"/>
                <w:szCs w:val="24"/>
              </w:rPr>
              <w:t>三、依法缴纳税收相关材料</w:t>
            </w:r>
          </w:p>
          <w:p w14:paraId="65152A8B">
            <w:pPr>
              <w:autoSpaceDE w:val="0"/>
              <w:autoSpaceDN w:val="0"/>
              <w:adjustRightInd w:val="0"/>
              <w:spacing w:line="360" w:lineRule="auto"/>
              <w:contextualSpacing/>
              <w:rPr>
                <w:rFonts w:ascii="宋体" w:hAnsi="宋体" w:cs="宋体"/>
                <w:color w:val="auto"/>
                <w:sz w:val="24"/>
                <w:szCs w:val="24"/>
              </w:rPr>
            </w:pPr>
            <w:r>
              <w:rPr>
                <w:rFonts w:hint="eastAsia" w:ascii="宋体" w:hAnsi="宋体" w:cs="宋体"/>
                <w:color w:val="auto"/>
                <w:sz w:val="24"/>
                <w:szCs w:val="24"/>
              </w:rPr>
              <w:t>参加本次政府采购项目投标截止时间前六个月内任意一个月缴纳税收凭据。（依法免税的投标人，应提供相应文件证明依法免税）</w:t>
            </w:r>
          </w:p>
          <w:p w14:paraId="791C509B">
            <w:pPr>
              <w:autoSpaceDE w:val="0"/>
              <w:autoSpaceDN w:val="0"/>
              <w:adjustRightInd w:val="0"/>
              <w:spacing w:line="360" w:lineRule="auto"/>
              <w:contextualSpacing/>
              <w:rPr>
                <w:rFonts w:ascii="宋体" w:hAnsi="宋体" w:cs="宋体"/>
                <w:b/>
                <w:color w:val="auto"/>
                <w:sz w:val="24"/>
                <w:szCs w:val="24"/>
              </w:rPr>
            </w:pPr>
            <w:r>
              <w:rPr>
                <w:rFonts w:hint="eastAsia" w:ascii="宋体" w:hAnsi="宋体" w:cs="宋体"/>
                <w:b/>
                <w:color w:val="auto"/>
                <w:sz w:val="24"/>
                <w:szCs w:val="24"/>
              </w:rPr>
              <w:t>四、依法缴纳社会保障资金的证明材料</w:t>
            </w:r>
          </w:p>
          <w:p w14:paraId="1576332F">
            <w:pPr>
              <w:autoSpaceDE w:val="0"/>
              <w:autoSpaceDN w:val="0"/>
              <w:adjustRightInd w:val="0"/>
              <w:spacing w:line="360" w:lineRule="auto"/>
              <w:contextualSpacing/>
              <w:rPr>
                <w:rFonts w:ascii="宋体" w:hAnsi="宋体" w:cs="宋体"/>
                <w:color w:val="auto"/>
                <w:sz w:val="24"/>
                <w:szCs w:val="24"/>
              </w:rPr>
            </w:pPr>
            <w:r>
              <w:rPr>
                <w:rFonts w:hint="eastAsia" w:ascii="宋体" w:hAnsi="宋体" w:cs="宋体"/>
                <w:color w:val="auto"/>
                <w:sz w:val="24"/>
                <w:szCs w:val="24"/>
              </w:rPr>
              <w:t>参加本次政府采购项目投标截止时间前六个月内任意一个月缴纳社会保险凭据。（依法不需要缴纳社会保障资金的投标人，应提供相应文件证明依法不需要缴纳社会保障资金）</w:t>
            </w:r>
          </w:p>
          <w:p w14:paraId="6BDD982F">
            <w:pPr>
              <w:autoSpaceDE w:val="0"/>
              <w:autoSpaceDN w:val="0"/>
              <w:adjustRightInd w:val="0"/>
              <w:spacing w:line="360" w:lineRule="auto"/>
              <w:contextualSpacing/>
              <w:rPr>
                <w:rFonts w:ascii="宋体" w:hAnsi="宋体" w:cs="宋体"/>
                <w:b/>
                <w:color w:val="auto"/>
                <w:sz w:val="24"/>
                <w:szCs w:val="24"/>
              </w:rPr>
            </w:pPr>
            <w:r>
              <w:rPr>
                <w:rFonts w:hint="eastAsia" w:ascii="宋体" w:hAnsi="宋体" w:cs="宋体"/>
                <w:b/>
                <w:color w:val="auto"/>
                <w:sz w:val="24"/>
                <w:szCs w:val="24"/>
              </w:rPr>
              <w:t>五、履行合同所必须的设备和专业技术能力的证明材料</w:t>
            </w:r>
          </w:p>
          <w:p w14:paraId="31364B52">
            <w:pPr>
              <w:autoSpaceDE w:val="0"/>
              <w:autoSpaceDN w:val="0"/>
              <w:adjustRightInd w:val="0"/>
              <w:spacing w:line="360" w:lineRule="auto"/>
              <w:contextualSpacing/>
              <w:rPr>
                <w:rFonts w:ascii="宋体" w:hAnsi="宋体" w:cs="宋体"/>
                <w:color w:val="auto"/>
                <w:sz w:val="24"/>
                <w:szCs w:val="24"/>
              </w:rPr>
            </w:pPr>
            <w:r>
              <w:rPr>
                <w:rFonts w:hint="eastAsia" w:ascii="宋体" w:hAnsi="宋体" w:cs="宋体"/>
                <w:color w:val="auto"/>
                <w:sz w:val="24"/>
                <w:szCs w:val="24"/>
              </w:rPr>
              <w:t>1、相关设备的购置发票、专业技术人员职称证书、用工合同等；</w:t>
            </w:r>
          </w:p>
          <w:p w14:paraId="5E7C4EC5">
            <w:pPr>
              <w:autoSpaceDE w:val="0"/>
              <w:autoSpaceDN w:val="0"/>
              <w:adjustRightInd w:val="0"/>
              <w:spacing w:line="360" w:lineRule="auto"/>
              <w:contextualSpacing/>
              <w:rPr>
                <w:rFonts w:ascii="宋体" w:hAnsi="宋体" w:cs="宋体"/>
                <w:color w:val="auto"/>
                <w:sz w:val="24"/>
                <w:szCs w:val="24"/>
              </w:rPr>
            </w:pPr>
            <w:r>
              <w:rPr>
                <w:rFonts w:hint="eastAsia" w:ascii="宋体" w:hAnsi="宋体" w:cs="宋体"/>
                <w:color w:val="auto"/>
                <w:sz w:val="24"/>
                <w:szCs w:val="24"/>
              </w:rPr>
              <w:t>2、投标人具备履行合同所必须的设备和专业技术能力承诺函或声明（承诺函或声明格式自拟）。</w:t>
            </w:r>
          </w:p>
          <w:p w14:paraId="65DED4D2">
            <w:pPr>
              <w:autoSpaceDE w:val="0"/>
              <w:autoSpaceDN w:val="0"/>
              <w:adjustRightInd w:val="0"/>
              <w:spacing w:line="360" w:lineRule="auto"/>
              <w:contextualSpacing/>
              <w:rPr>
                <w:rFonts w:ascii="宋体" w:hAnsi="宋体" w:cs="宋体"/>
                <w:color w:val="auto"/>
                <w:sz w:val="24"/>
                <w:szCs w:val="24"/>
              </w:rPr>
            </w:pPr>
            <w:r>
              <w:rPr>
                <w:rFonts w:hint="eastAsia" w:ascii="宋体" w:hAnsi="宋体" w:cs="宋体"/>
                <w:color w:val="auto"/>
                <w:sz w:val="24"/>
                <w:szCs w:val="24"/>
              </w:rPr>
              <w:t>注：仅需提供序号1～2其中之一即可。</w:t>
            </w:r>
          </w:p>
          <w:p w14:paraId="5BB345FD">
            <w:pPr>
              <w:autoSpaceDE w:val="0"/>
              <w:autoSpaceDN w:val="0"/>
              <w:adjustRightInd w:val="0"/>
              <w:spacing w:line="360" w:lineRule="auto"/>
              <w:contextualSpacing/>
              <w:rPr>
                <w:rFonts w:ascii="宋体" w:hAnsi="宋体" w:cs="宋体"/>
                <w:b/>
                <w:color w:val="auto"/>
                <w:sz w:val="24"/>
                <w:szCs w:val="24"/>
              </w:rPr>
            </w:pPr>
            <w:r>
              <w:rPr>
                <w:rFonts w:hint="eastAsia" w:ascii="宋体" w:hAnsi="宋体" w:cs="宋体"/>
                <w:b/>
                <w:color w:val="auto"/>
                <w:sz w:val="24"/>
                <w:szCs w:val="24"/>
              </w:rPr>
              <w:t>六、参加政府采购活动前3年内在经营活动中没有重大违法记录的声明投标人“参加政府采购活动前3年内在经营活动中没有重大违法记录的书面声明”。重大违法记录，是指投标人因违法经营受到刑事处罚或者责令停产停业、吊销许可证或者执照、较大数额罚款等行政处罚。</w:t>
            </w:r>
          </w:p>
          <w:p w14:paraId="48CD0C18">
            <w:pPr>
              <w:autoSpaceDE w:val="0"/>
              <w:autoSpaceDN w:val="0"/>
              <w:adjustRightInd w:val="0"/>
              <w:spacing w:line="360" w:lineRule="auto"/>
              <w:contextualSpacing/>
              <w:rPr>
                <w:rFonts w:ascii="宋体" w:hAnsi="宋体" w:cs="宋体"/>
                <w:b/>
                <w:color w:val="auto"/>
                <w:sz w:val="24"/>
                <w:szCs w:val="24"/>
              </w:rPr>
            </w:pPr>
            <w:r>
              <w:rPr>
                <w:rFonts w:hint="eastAsia" w:ascii="宋体" w:hAnsi="宋体" w:cs="宋体"/>
                <w:b/>
                <w:color w:val="auto"/>
                <w:sz w:val="24"/>
                <w:szCs w:val="24"/>
              </w:rPr>
              <w:t>七、未被列入“信用中国”网站(www.creditchina.gov.cn)失信被执行人、重大税收违法失信主体的投标人；“中国政府采购网”(www.ccgp.gov.cn)政府采购严重违法失信行为记录名单的投标人；（联合体形式投标的，联合体成员存在不良信用记录，视同联合体存在不良信用记录）。</w:t>
            </w:r>
          </w:p>
          <w:p w14:paraId="27B5D7D9">
            <w:pPr>
              <w:autoSpaceDE w:val="0"/>
              <w:autoSpaceDN w:val="0"/>
              <w:adjustRightInd w:val="0"/>
              <w:spacing w:line="360" w:lineRule="auto"/>
              <w:contextualSpacing/>
              <w:rPr>
                <w:rFonts w:ascii="宋体" w:hAnsi="宋体" w:cs="宋体"/>
                <w:color w:val="auto"/>
                <w:sz w:val="24"/>
                <w:szCs w:val="24"/>
              </w:rPr>
            </w:pPr>
            <w:r>
              <w:rPr>
                <w:rFonts w:hint="eastAsia" w:ascii="宋体" w:hAnsi="宋体" w:cs="宋体"/>
                <w:color w:val="auto"/>
                <w:sz w:val="24"/>
                <w:szCs w:val="24"/>
              </w:rPr>
              <w:t>1、查询渠道：</w:t>
            </w:r>
          </w:p>
          <w:p w14:paraId="4DF18851">
            <w:pPr>
              <w:autoSpaceDE w:val="0"/>
              <w:autoSpaceDN w:val="0"/>
              <w:adjustRightInd w:val="0"/>
              <w:spacing w:line="360" w:lineRule="auto"/>
              <w:contextualSpacing/>
              <w:rPr>
                <w:rFonts w:ascii="宋体" w:hAnsi="宋体" w:cs="宋体"/>
                <w:color w:val="auto"/>
                <w:sz w:val="24"/>
                <w:szCs w:val="24"/>
              </w:rPr>
            </w:pPr>
            <w:r>
              <w:rPr>
                <w:rFonts w:hint="eastAsia" w:ascii="宋体" w:hAnsi="宋体" w:cs="宋体"/>
                <w:color w:val="auto"/>
                <w:sz w:val="24"/>
                <w:szCs w:val="24"/>
              </w:rPr>
              <w:t>①“信用中国”网站（www.creditchina.gov.cn）</w:t>
            </w:r>
          </w:p>
          <w:p w14:paraId="18AF34B4">
            <w:pPr>
              <w:autoSpaceDE w:val="0"/>
              <w:autoSpaceDN w:val="0"/>
              <w:adjustRightInd w:val="0"/>
              <w:spacing w:line="360" w:lineRule="auto"/>
              <w:contextualSpacing/>
              <w:rPr>
                <w:rFonts w:ascii="宋体" w:hAnsi="宋体" w:cs="宋体"/>
                <w:color w:val="auto"/>
                <w:sz w:val="24"/>
                <w:szCs w:val="24"/>
              </w:rPr>
            </w:pPr>
            <w:r>
              <w:rPr>
                <w:rFonts w:hint="eastAsia" w:ascii="宋体" w:hAnsi="宋体" w:cs="宋体"/>
                <w:color w:val="auto"/>
                <w:sz w:val="24"/>
                <w:szCs w:val="24"/>
              </w:rPr>
              <w:t>②“中国政府采购网”（www.ccgp.gov.cn）</w:t>
            </w:r>
          </w:p>
          <w:p w14:paraId="12F032C2">
            <w:pPr>
              <w:autoSpaceDE w:val="0"/>
              <w:autoSpaceDN w:val="0"/>
              <w:adjustRightInd w:val="0"/>
              <w:spacing w:line="360" w:lineRule="auto"/>
              <w:contextualSpacing/>
              <w:rPr>
                <w:rFonts w:ascii="宋体" w:hAnsi="宋体" w:cs="宋体"/>
                <w:color w:val="auto"/>
                <w:sz w:val="24"/>
                <w:szCs w:val="24"/>
              </w:rPr>
            </w:pPr>
            <w:r>
              <w:rPr>
                <w:rFonts w:hint="eastAsia" w:ascii="宋体" w:hAnsi="宋体" w:cs="宋体"/>
                <w:color w:val="auto"/>
                <w:sz w:val="24"/>
                <w:szCs w:val="24"/>
              </w:rPr>
              <w:t>2、截止时间：同投标截止时间；</w:t>
            </w:r>
          </w:p>
          <w:p w14:paraId="73F5B7D7">
            <w:pPr>
              <w:spacing w:line="360" w:lineRule="auto"/>
              <w:rPr>
                <w:rFonts w:ascii="宋体" w:hAnsi="宋体" w:cs="宋体"/>
                <w:bCs/>
                <w:color w:val="auto"/>
                <w:sz w:val="24"/>
                <w:szCs w:val="24"/>
              </w:rPr>
            </w:pPr>
            <w:r>
              <w:rPr>
                <w:rFonts w:hint="eastAsia" w:ascii="宋体" w:hAnsi="宋体" w:cs="宋体"/>
                <w:color w:val="auto"/>
                <w:sz w:val="24"/>
                <w:szCs w:val="24"/>
              </w:rPr>
              <w:t>3、信用信息的使用原则：经采购人认定的被列入失信被执行人、重大税收违法失信主体、政府采购严重违法失信行为记录名单的投标人，将拒绝其参与本次政府采购活动。</w:t>
            </w:r>
          </w:p>
        </w:tc>
      </w:tr>
      <w:tr w14:paraId="74FB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CFEFF3F">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25</w:t>
            </w:r>
          </w:p>
        </w:tc>
        <w:tc>
          <w:tcPr>
            <w:tcW w:w="1685" w:type="dxa"/>
            <w:tcBorders>
              <w:top w:val="single" w:color="auto" w:sz="4" w:space="0"/>
              <w:left w:val="nil"/>
              <w:bottom w:val="single" w:color="auto" w:sz="4" w:space="0"/>
              <w:right w:val="single" w:color="auto" w:sz="4" w:space="0"/>
            </w:tcBorders>
            <w:vAlign w:val="center"/>
          </w:tcPr>
          <w:p w14:paraId="7769DBA2">
            <w:pPr>
              <w:autoSpaceDE w:val="0"/>
              <w:autoSpaceDN w:val="0"/>
              <w:adjustRightInd w:val="0"/>
              <w:snapToGrid w:val="0"/>
              <w:spacing w:line="360" w:lineRule="auto"/>
              <w:jc w:val="center"/>
              <w:rPr>
                <w:rFonts w:ascii="宋体" w:hAnsi="宋体" w:cs="宋体"/>
                <w:bCs/>
                <w:color w:val="auto"/>
                <w:sz w:val="24"/>
                <w:szCs w:val="24"/>
              </w:rPr>
            </w:pPr>
            <w:r>
              <w:rPr>
                <w:rFonts w:hint="eastAsia" w:ascii="宋体" w:hAnsi="宋体" w:cs="宋体"/>
                <w:bCs/>
                <w:color w:val="auto"/>
                <w:sz w:val="24"/>
                <w:szCs w:val="24"/>
              </w:rPr>
              <w:t>电子化采购模式</w:t>
            </w:r>
          </w:p>
        </w:tc>
        <w:tc>
          <w:tcPr>
            <w:tcW w:w="7244" w:type="dxa"/>
            <w:tcBorders>
              <w:top w:val="single" w:color="auto" w:sz="4" w:space="0"/>
              <w:left w:val="nil"/>
              <w:bottom w:val="single" w:color="auto" w:sz="4" w:space="0"/>
              <w:right w:val="single" w:color="auto" w:sz="4" w:space="0"/>
            </w:tcBorders>
            <w:vAlign w:val="center"/>
          </w:tcPr>
          <w:p w14:paraId="467F12AA">
            <w:pPr>
              <w:autoSpaceDE w:val="0"/>
              <w:autoSpaceDN w:val="0"/>
              <w:adjustRightInd w:val="0"/>
              <w:snapToGrid w:val="0"/>
              <w:spacing w:line="360" w:lineRule="auto"/>
              <w:rPr>
                <w:rFonts w:ascii="宋体" w:hAnsi="宋体" w:cs="宋体"/>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 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rPr>
              <w:t>是。供应商投标时须成功上传、解密电子响应文件。供应商资质、业绩、荣誉及相关人员证明材料等资料原件不再提交（本招标文件第六章另有要求提供原件的除外）。</w:t>
            </w:r>
          </w:p>
        </w:tc>
      </w:tr>
      <w:tr w14:paraId="290D0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485E7E5">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26</w:t>
            </w:r>
          </w:p>
        </w:tc>
        <w:tc>
          <w:tcPr>
            <w:tcW w:w="1685" w:type="dxa"/>
            <w:tcBorders>
              <w:top w:val="single" w:color="auto" w:sz="4" w:space="0"/>
              <w:left w:val="nil"/>
              <w:bottom w:val="single" w:color="auto" w:sz="4" w:space="0"/>
              <w:right w:val="single" w:color="auto" w:sz="4" w:space="0"/>
            </w:tcBorders>
            <w:vAlign w:val="center"/>
          </w:tcPr>
          <w:p w14:paraId="55965247">
            <w:pPr>
              <w:autoSpaceDE w:val="0"/>
              <w:autoSpaceDN w:val="0"/>
              <w:adjustRightInd w:val="0"/>
              <w:snapToGrid w:val="0"/>
              <w:spacing w:line="360" w:lineRule="auto"/>
              <w:jc w:val="center"/>
              <w:rPr>
                <w:rFonts w:ascii="宋体" w:hAnsi="宋体" w:cs="宋体"/>
                <w:bCs/>
                <w:color w:val="auto"/>
                <w:sz w:val="24"/>
                <w:szCs w:val="24"/>
              </w:rPr>
            </w:pPr>
            <w:r>
              <w:rPr>
                <w:rFonts w:hint="eastAsia" w:ascii="宋体" w:hAnsi="宋体" w:cs="宋体"/>
                <w:bCs/>
                <w:color w:val="auto"/>
                <w:sz w:val="24"/>
                <w:szCs w:val="24"/>
              </w:rPr>
              <w:t>成交供应商需提交的资料</w:t>
            </w:r>
          </w:p>
        </w:tc>
        <w:tc>
          <w:tcPr>
            <w:tcW w:w="7244" w:type="dxa"/>
            <w:tcBorders>
              <w:top w:val="single" w:color="auto" w:sz="4" w:space="0"/>
              <w:left w:val="nil"/>
              <w:bottom w:val="single" w:color="auto" w:sz="4" w:space="0"/>
              <w:right w:val="single" w:color="auto" w:sz="4" w:space="0"/>
            </w:tcBorders>
            <w:vAlign w:val="center"/>
          </w:tcPr>
          <w:p w14:paraId="72C7EB7F">
            <w:pPr>
              <w:adjustRightInd w:val="0"/>
              <w:snapToGrid w:val="0"/>
              <w:spacing w:line="360" w:lineRule="auto"/>
              <w:ind w:right="-23" w:rightChars="-11"/>
              <w:jc w:val="left"/>
              <w:rPr>
                <w:rFonts w:ascii="宋体" w:hAnsi="宋体" w:cs="宋体"/>
                <w:color w:val="auto"/>
                <w:sz w:val="24"/>
                <w:szCs w:val="24"/>
              </w:rPr>
            </w:pPr>
            <w:r>
              <w:rPr>
                <w:rFonts w:hint="eastAsia" w:ascii="宋体" w:hAnsi="宋体" w:cs="宋体"/>
                <w:bCs/>
                <w:color w:val="auto"/>
                <w:sz w:val="24"/>
                <w:szCs w:val="24"/>
              </w:rPr>
              <w:t>成交供应商在接到成交通知时，须向代理公司发送投标报价及分项报价一览表（包含主要成交标的的名称、规格型号、数量、单价、服务要求等）电子文档，并同时电话告知。</w:t>
            </w:r>
          </w:p>
        </w:tc>
      </w:tr>
      <w:tr w14:paraId="36C1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4FE2F60">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27</w:t>
            </w:r>
          </w:p>
        </w:tc>
        <w:tc>
          <w:tcPr>
            <w:tcW w:w="1685" w:type="dxa"/>
            <w:tcBorders>
              <w:top w:val="single" w:color="auto" w:sz="4" w:space="0"/>
              <w:left w:val="nil"/>
              <w:bottom w:val="single" w:color="auto" w:sz="4" w:space="0"/>
              <w:right w:val="single" w:color="auto" w:sz="4" w:space="0"/>
            </w:tcBorders>
            <w:vAlign w:val="center"/>
          </w:tcPr>
          <w:p w14:paraId="05979C79">
            <w:pPr>
              <w:autoSpaceDE w:val="0"/>
              <w:autoSpaceDN w:val="0"/>
              <w:adjustRightInd w:val="0"/>
              <w:snapToGrid w:val="0"/>
              <w:spacing w:line="360" w:lineRule="auto"/>
              <w:jc w:val="center"/>
              <w:rPr>
                <w:rFonts w:ascii="宋体" w:hAnsi="宋体" w:cs="宋体"/>
                <w:b/>
                <w:bCs/>
                <w:color w:val="auto"/>
                <w:sz w:val="24"/>
                <w:szCs w:val="24"/>
              </w:rPr>
            </w:pPr>
            <w:r>
              <w:rPr>
                <w:rFonts w:hint="eastAsia" w:ascii="宋体" w:hAnsi="宋体" w:cs="宋体"/>
                <w:color w:val="auto"/>
                <w:sz w:val="24"/>
                <w:szCs w:val="24"/>
              </w:rPr>
              <w:t>特别提示</w:t>
            </w:r>
          </w:p>
        </w:tc>
        <w:tc>
          <w:tcPr>
            <w:tcW w:w="7244" w:type="dxa"/>
            <w:tcBorders>
              <w:top w:val="single" w:color="auto" w:sz="4" w:space="0"/>
              <w:left w:val="nil"/>
              <w:bottom w:val="single" w:color="auto" w:sz="4" w:space="0"/>
              <w:right w:val="single" w:color="auto" w:sz="4" w:space="0"/>
            </w:tcBorders>
            <w:vAlign w:val="center"/>
          </w:tcPr>
          <w:p w14:paraId="15509D49">
            <w:pPr>
              <w:autoSpaceDE w:val="0"/>
              <w:autoSpaceDN w:val="0"/>
              <w:adjustRightInd w:val="0"/>
              <w:snapToGrid w:val="0"/>
              <w:spacing w:line="360" w:lineRule="auto"/>
              <w:rPr>
                <w:rFonts w:hint="eastAsia" w:ascii="宋体" w:hAnsi="宋体" w:cs="宋体"/>
                <w:color w:val="auto"/>
                <w:sz w:val="24"/>
                <w:szCs w:val="24"/>
                <w:lang w:val="zh-CN"/>
              </w:rPr>
            </w:pPr>
            <w:r>
              <w:rPr>
                <w:rFonts w:hint="eastAsia" w:ascii="宋体" w:hAnsi="宋体" w:cs="宋体"/>
                <w:color w:val="auto"/>
                <w:sz w:val="24"/>
                <w:szCs w:val="24"/>
                <w:lang w:val="zh-CN"/>
              </w:rPr>
              <w:t>按照《关于推进全流程电子化交易和在线监管工作有关问题的通知》 （许公管办[2019]3号）规定：不同供应商电子响应文件制作硬件特征码（网卡MAC地址、CPU序号、硬盘序列号）均一致时，视为‘不同供应商的响应文件由同一单位或者个人编制’或‘不同供应商委托同一单位或者个人办理响应事宜’，其投标无效。</w:t>
            </w:r>
          </w:p>
          <w:p w14:paraId="6619AE11">
            <w:pPr>
              <w:autoSpaceDE w:val="0"/>
              <w:autoSpaceDN w:val="0"/>
              <w:adjustRightInd w:val="0"/>
              <w:snapToGrid w:val="0"/>
              <w:spacing w:line="360" w:lineRule="auto"/>
              <w:rPr>
                <w:rFonts w:ascii="宋体" w:hAnsi="宋体" w:cs="宋体"/>
                <w:b/>
                <w:color w:val="auto"/>
                <w:kern w:val="0"/>
                <w:sz w:val="24"/>
                <w:szCs w:val="24"/>
              </w:rPr>
            </w:pPr>
            <w:r>
              <w:rPr>
                <w:rFonts w:hint="eastAsia" w:ascii="宋体" w:hAnsi="宋体" w:cs="宋体"/>
                <w:color w:val="auto"/>
                <w:sz w:val="24"/>
                <w:szCs w:val="24"/>
                <w:lang w:val="zh-CN"/>
              </w:rPr>
              <w:t>评审专家应严格按照要求查看“硬件特征码”相关信息并进行评审，在评审报告中显示“不同供应商电子响应文件制作硬件特征码”是否雷同的分析及判定结果。</w:t>
            </w:r>
          </w:p>
        </w:tc>
      </w:tr>
      <w:tr w14:paraId="73D9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7F0AACC">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28</w:t>
            </w:r>
          </w:p>
        </w:tc>
        <w:tc>
          <w:tcPr>
            <w:tcW w:w="1685" w:type="dxa"/>
            <w:tcBorders>
              <w:top w:val="single" w:color="auto" w:sz="4" w:space="0"/>
              <w:left w:val="nil"/>
              <w:bottom w:val="single" w:color="auto" w:sz="4" w:space="0"/>
              <w:right w:val="single" w:color="auto" w:sz="4" w:space="0"/>
            </w:tcBorders>
            <w:vAlign w:val="center"/>
          </w:tcPr>
          <w:p w14:paraId="5DE31A2C">
            <w:pPr>
              <w:autoSpaceDE w:val="0"/>
              <w:autoSpaceDN w:val="0"/>
              <w:adjustRightInd w:val="0"/>
              <w:snapToGrid w:val="0"/>
              <w:spacing w:line="360" w:lineRule="auto"/>
              <w:jc w:val="center"/>
              <w:rPr>
                <w:rFonts w:ascii="宋体" w:hAnsi="宋体" w:cs="宋体"/>
                <w:b/>
                <w:bCs/>
                <w:color w:val="auto"/>
                <w:sz w:val="24"/>
                <w:szCs w:val="24"/>
              </w:rPr>
            </w:pPr>
            <w:r>
              <w:rPr>
                <w:rFonts w:hint="eastAsia" w:ascii="宋体" w:hAnsi="宋体" w:cs="宋体"/>
                <w:color w:val="auto"/>
                <w:sz w:val="24"/>
                <w:szCs w:val="24"/>
              </w:rPr>
              <w:t>中小企业有关政策</w:t>
            </w:r>
          </w:p>
        </w:tc>
        <w:tc>
          <w:tcPr>
            <w:tcW w:w="7244" w:type="dxa"/>
            <w:tcBorders>
              <w:top w:val="single" w:color="auto" w:sz="4" w:space="0"/>
              <w:left w:val="nil"/>
              <w:bottom w:val="single" w:color="auto" w:sz="4" w:space="0"/>
              <w:right w:val="single" w:color="auto" w:sz="4" w:space="0"/>
            </w:tcBorders>
          </w:tcPr>
          <w:p w14:paraId="35B0ADA5">
            <w:pPr>
              <w:autoSpaceDE w:val="0"/>
              <w:autoSpaceDN w:val="0"/>
              <w:adjustRightInd w:val="0"/>
              <w:snapToGrid w:val="0"/>
              <w:spacing w:line="360" w:lineRule="auto"/>
              <w:jc w:val="left"/>
              <w:rPr>
                <w:rFonts w:ascii="宋体" w:hAnsi="宋体" w:cs="宋体"/>
                <w:b/>
                <w:bCs/>
                <w:color w:val="auto"/>
                <w:kern w:val="0"/>
                <w:sz w:val="24"/>
                <w:szCs w:val="24"/>
              </w:rPr>
            </w:pPr>
            <w:r>
              <w:rPr>
                <w:rFonts w:hint="eastAsia" w:ascii="宋体" w:hAnsi="宋体" w:cs="宋体"/>
                <w:b/>
                <w:bCs/>
                <w:color w:val="auto"/>
                <w:kern w:val="0"/>
                <w:sz w:val="24"/>
                <w:szCs w:val="24"/>
              </w:rPr>
              <w:t>1、本项目专门面向中小企业采购，不再执行价格评审优惠的扶持政策，评审时不再对价格进行扣除。</w:t>
            </w:r>
          </w:p>
          <w:p w14:paraId="473694C3">
            <w:pPr>
              <w:autoSpaceDE w:val="0"/>
              <w:autoSpaceDN w:val="0"/>
              <w:adjustRightInd w:val="0"/>
              <w:snapToGrid w:val="0"/>
              <w:spacing w:line="360" w:lineRule="auto"/>
              <w:jc w:val="left"/>
              <w:rPr>
                <w:rFonts w:hint="eastAsia" w:ascii="宋体" w:hAnsi="宋体" w:eastAsia="宋体" w:cs="宋体"/>
                <w:color w:val="auto"/>
                <w:sz w:val="24"/>
                <w:szCs w:val="24"/>
                <w:lang w:eastAsia="zh-CN"/>
              </w:rPr>
            </w:pPr>
            <w:r>
              <w:rPr>
                <w:rFonts w:hint="eastAsia" w:ascii="宋体" w:hAnsi="宋体" w:cs="宋体"/>
                <w:color w:val="auto"/>
                <w:sz w:val="24"/>
                <w:szCs w:val="24"/>
              </w:rPr>
              <w:t>2、根据工信部等部委发布的《关于印发中小企业划型标准规定的通知》（工信部联企业〔2011〕300号），按照本次采购标的所属行业的划型标准，符合条件的中小企业应按照采购文件格式要求提供《中小企业声明函》，否则不得享受相关中小企业扶持政策。</w:t>
            </w:r>
          </w:p>
          <w:p w14:paraId="5EF08BDE">
            <w:pPr>
              <w:autoSpaceDE w:val="0"/>
              <w:autoSpaceDN w:val="0"/>
              <w:adjustRightInd w:val="0"/>
              <w:snapToGrid w:val="0"/>
              <w:spacing w:line="360" w:lineRule="auto"/>
              <w:jc w:val="left"/>
              <w:rPr>
                <w:rFonts w:ascii="宋体" w:hAnsi="宋体" w:cs="宋体"/>
                <w:b/>
                <w:bCs/>
                <w:color w:val="auto"/>
                <w:sz w:val="24"/>
                <w:szCs w:val="24"/>
              </w:rPr>
            </w:pPr>
            <w:r>
              <w:rPr>
                <w:rFonts w:hint="eastAsia" w:ascii="宋体" w:hAnsi="宋体" w:cs="宋体"/>
                <w:b/>
                <w:bCs/>
                <w:color w:val="auto"/>
                <w:sz w:val="24"/>
                <w:szCs w:val="24"/>
              </w:rPr>
              <w:t>3、本次采购标的对应的中小企业划分标准所属行业：建筑业。</w:t>
            </w:r>
          </w:p>
          <w:p w14:paraId="5C7E2E8D">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4、以联合体形式参加政府采购活动，联合体各方均为中小企业的，联合体视同中小企业。其中，联合体各方均为小微企业的，联合体视同小微企业。</w:t>
            </w:r>
          </w:p>
          <w:p w14:paraId="4E97DCA2">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5、提供由省级以上监狱管理局、戒毒管理局（含新疆生产建设兵团）出具的属于监狱企业证明文件的，视同为小型和微型企业。</w:t>
            </w:r>
          </w:p>
          <w:p w14:paraId="5BBDCA99">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6、符合享受政府采购支持政策的残疾人福利性单位条件且提供《残疾人福利性单位声明函》的，视同为小型和微型企业。</w:t>
            </w:r>
          </w:p>
          <w:p w14:paraId="0023FDB0">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7、小型和微型企业不包括民办非企业单位。</w:t>
            </w:r>
          </w:p>
          <w:p w14:paraId="58D75479">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8、符合中小企业划分标准的个体工商户，在政府采购活动中视同中小企业。</w:t>
            </w:r>
          </w:p>
        </w:tc>
      </w:tr>
      <w:tr w14:paraId="22F47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0D98F44">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29</w:t>
            </w:r>
          </w:p>
        </w:tc>
        <w:tc>
          <w:tcPr>
            <w:tcW w:w="1685" w:type="dxa"/>
            <w:tcBorders>
              <w:top w:val="single" w:color="auto" w:sz="4" w:space="0"/>
              <w:left w:val="nil"/>
              <w:bottom w:val="single" w:color="auto" w:sz="4" w:space="0"/>
              <w:right w:val="single" w:color="auto" w:sz="4" w:space="0"/>
            </w:tcBorders>
            <w:vAlign w:val="center"/>
          </w:tcPr>
          <w:p w14:paraId="27C31D86">
            <w:pPr>
              <w:autoSpaceDE w:val="0"/>
              <w:autoSpaceDN w:val="0"/>
              <w:adjustRightInd w:val="0"/>
              <w:snapToGrid w:val="0"/>
              <w:spacing w:line="360" w:lineRule="auto"/>
              <w:jc w:val="center"/>
              <w:rPr>
                <w:rFonts w:ascii="宋体" w:hAnsi="宋体" w:cs="宋体"/>
                <w:b/>
                <w:bCs/>
                <w:color w:val="auto"/>
                <w:sz w:val="24"/>
                <w:szCs w:val="24"/>
              </w:rPr>
            </w:pPr>
            <w:r>
              <w:rPr>
                <w:rFonts w:hint="eastAsia" w:ascii="宋体" w:hAnsi="宋体" w:cs="宋体"/>
                <w:color w:val="auto"/>
                <w:sz w:val="24"/>
                <w:szCs w:val="24"/>
              </w:rPr>
              <w:t>节能环保要求</w:t>
            </w:r>
          </w:p>
        </w:tc>
        <w:tc>
          <w:tcPr>
            <w:tcW w:w="7244" w:type="dxa"/>
            <w:tcBorders>
              <w:top w:val="single" w:color="auto" w:sz="4" w:space="0"/>
              <w:left w:val="nil"/>
              <w:bottom w:val="single" w:color="auto" w:sz="4" w:space="0"/>
              <w:right w:val="single" w:color="auto" w:sz="4" w:space="0"/>
            </w:tcBorders>
            <w:vAlign w:val="center"/>
          </w:tcPr>
          <w:p w14:paraId="2D3AF8A5">
            <w:pPr>
              <w:autoSpaceDE w:val="0"/>
              <w:autoSpaceDN w:val="0"/>
              <w:adjustRightInd w:val="0"/>
              <w:snapToGrid w:val="0"/>
              <w:spacing w:line="360" w:lineRule="auto"/>
              <w:rPr>
                <w:rFonts w:ascii="宋体" w:hAnsi="宋体" w:cs="宋体"/>
                <w:b/>
                <w:color w:val="auto"/>
                <w:sz w:val="24"/>
                <w:szCs w:val="24"/>
              </w:rPr>
            </w:pPr>
            <w:r>
              <w:rPr>
                <w:rFonts w:hint="eastAsia" w:ascii="宋体" w:hAnsi="宋体" w:cs="宋体"/>
                <w:color w:val="auto"/>
                <w:sz w:val="24"/>
                <w:szCs w:val="24"/>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0290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D26BA79">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30</w:t>
            </w:r>
          </w:p>
        </w:tc>
        <w:tc>
          <w:tcPr>
            <w:tcW w:w="1685" w:type="dxa"/>
            <w:tcBorders>
              <w:top w:val="single" w:color="auto" w:sz="4" w:space="0"/>
              <w:left w:val="nil"/>
              <w:bottom w:val="single" w:color="auto" w:sz="4" w:space="0"/>
              <w:right w:val="single" w:color="auto" w:sz="4" w:space="0"/>
            </w:tcBorders>
            <w:vAlign w:val="center"/>
          </w:tcPr>
          <w:p w14:paraId="2F976181">
            <w:pPr>
              <w:spacing w:line="360" w:lineRule="auto"/>
              <w:jc w:val="center"/>
              <w:rPr>
                <w:rFonts w:ascii="宋体" w:hAnsi="宋体" w:cs="宋体"/>
                <w:color w:val="auto"/>
                <w:sz w:val="24"/>
                <w:szCs w:val="24"/>
              </w:rPr>
            </w:pPr>
            <w:r>
              <w:rPr>
                <w:rFonts w:hint="eastAsia" w:ascii="宋体" w:hAnsi="宋体" w:cs="宋体"/>
                <w:color w:val="auto"/>
                <w:sz w:val="24"/>
                <w:szCs w:val="24"/>
                <w:lang w:val="zh-CN"/>
              </w:rPr>
              <w:t>网络关键设备、网络安全专用产品要求</w:t>
            </w:r>
          </w:p>
        </w:tc>
        <w:tc>
          <w:tcPr>
            <w:tcW w:w="7244" w:type="dxa"/>
            <w:tcBorders>
              <w:top w:val="single" w:color="auto" w:sz="4" w:space="0"/>
              <w:left w:val="nil"/>
              <w:bottom w:val="single" w:color="auto" w:sz="4" w:space="0"/>
              <w:right w:val="single" w:color="auto" w:sz="4" w:space="0"/>
            </w:tcBorders>
            <w:vAlign w:val="center"/>
          </w:tcPr>
          <w:p w14:paraId="54B73826">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1、本项目网络关键设备：无；网络安全专用产品：无</w:t>
            </w:r>
          </w:p>
          <w:p w14:paraId="5305FADE">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2、本项目中涉及网络关键设备或网络安全专用产品的，执行国家互联网信息办公室、工业和信息化部、公安部和国家认证认可监督管理委员会2023年第2号《关于调整&lt;网络关键设备和网络安全专用产品目录&gt;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13E2B1CE">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3、提供资料（下列资料任意一项）</w:t>
            </w:r>
          </w:p>
          <w:p w14:paraId="5759143D">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①网络关键设备和网络安全专用产品安全认证证书；</w:t>
            </w:r>
          </w:p>
          <w:p w14:paraId="3301EA23">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②网络关键设备安全检测证书、网络安全专用产品安全检测证书；③计算机信息系统安全专用产品销售许可证；</w:t>
            </w:r>
          </w:p>
          <w:p w14:paraId="53E19894">
            <w:pPr>
              <w:spacing w:line="360" w:lineRule="auto"/>
              <w:rPr>
                <w:rFonts w:ascii="宋体" w:hAnsi="宋体" w:cs="宋体"/>
                <w:color w:val="auto"/>
                <w:sz w:val="24"/>
                <w:szCs w:val="24"/>
              </w:rPr>
            </w:pPr>
            <w:r>
              <w:rPr>
                <w:rFonts w:hint="eastAsia" w:ascii="宋体" w:hAnsi="宋体" w:cs="宋体"/>
                <w:color w:val="auto"/>
                <w:sz w:val="24"/>
                <w:szCs w:val="24"/>
                <w:lang w:val="zh-CN"/>
              </w:rPr>
              <w:t>④中国网信网或工业和信息化部网站或公安部网站或国家认证认可监督管理委员会网站公布的认证、检测结果（提供公布安全认证、安全检测结果页面网址和安全认证、检测结果截图）。</w:t>
            </w:r>
          </w:p>
        </w:tc>
      </w:tr>
      <w:tr w14:paraId="5C74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4AB0AC3">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31</w:t>
            </w:r>
          </w:p>
        </w:tc>
        <w:tc>
          <w:tcPr>
            <w:tcW w:w="1685" w:type="dxa"/>
            <w:tcBorders>
              <w:top w:val="single" w:color="auto" w:sz="4" w:space="0"/>
              <w:left w:val="nil"/>
              <w:bottom w:val="single" w:color="auto" w:sz="4" w:space="0"/>
              <w:right w:val="single" w:color="auto" w:sz="4" w:space="0"/>
            </w:tcBorders>
            <w:vAlign w:val="center"/>
          </w:tcPr>
          <w:p w14:paraId="6C5F473C">
            <w:pPr>
              <w:spacing w:line="360" w:lineRule="auto"/>
              <w:jc w:val="center"/>
              <w:rPr>
                <w:rFonts w:ascii="宋体" w:hAnsi="宋体" w:cs="宋体"/>
                <w:color w:val="auto"/>
                <w:sz w:val="24"/>
                <w:szCs w:val="24"/>
              </w:rPr>
            </w:pPr>
            <w:r>
              <w:rPr>
                <w:rFonts w:hint="eastAsia" w:ascii="宋体" w:hAnsi="宋体" w:cs="宋体"/>
                <w:color w:val="auto"/>
                <w:sz w:val="24"/>
                <w:szCs w:val="24"/>
                <w:lang w:val="zh-CN"/>
              </w:rPr>
              <w:t>知识产权</w:t>
            </w:r>
          </w:p>
        </w:tc>
        <w:tc>
          <w:tcPr>
            <w:tcW w:w="7244" w:type="dxa"/>
            <w:tcBorders>
              <w:top w:val="single" w:color="auto" w:sz="4" w:space="0"/>
              <w:left w:val="nil"/>
              <w:bottom w:val="single" w:color="auto" w:sz="4" w:space="0"/>
              <w:right w:val="single" w:color="auto" w:sz="4" w:space="0"/>
            </w:tcBorders>
            <w:vAlign w:val="center"/>
          </w:tcPr>
          <w:p w14:paraId="1DB40F52">
            <w:pPr>
              <w:spacing w:line="360" w:lineRule="auto"/>
              <w:rPr>
                <w:rFonts w:ascii="宋体" w:hAnsi="宋体" w:cs="宋体"/>
                <w:color w:val="auto"/>
                <w:sz w:val="24"/>
                <w:szCs w:val="24"/>
              </w:rPr>
            </w:pPr>
            <w:r>
              <w:rPr>
                <w:rFonts w:hint="eastAsia" w:ascii="宋体" w:hAnsi="宋体" w:cs="宋体"/>
                <w:color w:val="auto"/>
                <w:sz w:val="24"/>
                <w:szCs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14:paraId="3D24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61C7584">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32</w:t>
            </w:r>
          </w:p>
        </w:tc>
        <w:tc>
          <w:tcPr>
            <w:tcW w:w="1685" w:type="dxa"/>
            <w:tcBorders>
              <w:top w:val="single" w:color="auto" w:sz="4" w:space="0"/>
              <w:left w:val="nil"/>
              <w:bottom w:val="single" w:color="auto" w:sz="4" w:space="0"/>
              <w:right w:val="single" w:color="auto" w:sz="4" w:space="0"/>
            </w:tcBorders>
            <w:vAlign w:val="center"/>
          </w:tcPr>
          <w:p w14:paraId="6B6071DD">
            <w:pPr>
              <w:spacing w:line="360" w:lineRule="auto"/>
              <w:jc w:val="center"/>
              <w:rPr>
                <w:rFonts w:ascii="宋体" w:hAnsi="宋体" w:cs="宋体"/>
                <w:color w:val="auto"/>
                <w:sz w:val="24"/>
                <w:szCs w:val="24"/>
              </w:rPr>
            </w:pPr>
            <w:r>
              <w:rPr>
                <w:rFonts w:hint="eastAsia" w:ascii="宋体" w:hAnsi="宋体" w:cs="宋体"/>
                <w:color w:val="auto"/>
                <w:sz w:val="24"/>
                <w:szCs w:val="24"/>
                <w:lang w:val="zh-CN"/>
              </w:rPr>
              <w:t>投标费用</w:t>
            </w:r>
          </w:p>
        </w:tc>
        <w:tc>
          <w:tcPr>
            <w:tcW w:w="7244" w:type="dxa"/>
            <w:tcBorders>
              <w:top w:val="single" w:color="auto" w:sz="4" w:space="0"/>
              <w:left w:val="nil"/>
              <w:bottom w:val="single" w:color="auto" w:sz="4" w:space="0"/>
              <w:right w:val="single" w:color="auto" w:sz="4" w:space="0"/>
            </w:tcBorders>
            <w:vAlign w:val="center"/>
          </w:tcPr>
          <w:p w14:paraId="53971E34">
            <w:pPr>
              <w:spacing w:line="360" w:lineRule="auto"/>
              <w:rPr>
                <w:rFonts w:ascii="宋体" w:hAnsi="宋体" w:cs="宋体"/>
                <w:color w:val="auto"/>
                <w:sz w:val="24"/>
                <w:szCs w:val="24"/>
              </w:rPr>
            </w:pPr>
            <w:r>
              <w:rPr>
                <w:rFonts w:hint="eastAsia" w:ascii="宋体" w:hAnsi="宋体" w:cs="宋体"/>
                <w:color w:val="auto"/>
                <w:sz w:val="24"/>
                <w:szCs w:val="24"/>
                <w:lang w:val="zh-CN"/>
              </w:rPr>
              <w:t>供应商应自行承担参加投标活动有关的全部费用，招标人和招招标代理机构在任何情况下均无义务和责任承担上述费用。</w:t>
            </w:r>
          </w:p>
        </w:tc>
      </w:tr>
      <w:tr w14:paraId="3D03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9409C3D">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33</w:t>
            </w:r>
          </w:p>
        </w:tc>
        <w:tc>
          <w:tcPr>
            <w:tcW w:w="1685" w:type="dxa"/>
            <w:tcBorders>
              <w:top w:val="single" w:color="auto" w:sz="4" w:space="0"/>
              <w:left w:val="nil"/>
              <w:bottom w:val="single" w:color="auto" w:sz="4" w:space="0"/>
              <w:right w:val="single" w:color="auto" w:sz="4" w:space="0"/>
            </w:tcBorders>
            <w:vAlign w:val="center"/>
          </w:tcPr>
          <w:p w14:paraId="4F8DD4CB">
            <w:pPr>
              <w:spacing w:line="360" w:lineRule="auto"/>
              <w:jc w:val="center"/>
              <w:rPr>
                <w:rFonts w:ascii="宋体" w:hAnsi="宋体" w:cs="宋体"/>
                <w:color w:val="auto"/>
                <w:sz w:val="24"/>
                <w:szCs w:val="24"/>
                <w:lang w:val="zh-CN"/>
              </w:rPr>
            </w:pPr>
            <w:r>
              <w:rPr>
                <w:rFonts w:hint="eastAsia" w:ascii="宋体" w:hAnsi="宋体" w:cs="宋体"/>
                <w:color w:val="auto"/>
                <w:sz w:val="24"/>
                <w:szCs w:val="24"/>
                <w:lang w:val="zh-CN"/>
              </w:rPr>
              <w:t>纪律和监督</w:t>
            </w:r>
          </w:p>
        </w:tc>
        <w:tc>
          <w:tcPr>
            <w:tcW w:w="7244" w:type="dxa"/>
            <w:tcBorders>
              <w:top w:val="single" w:color="auto" w:sz="4" w:space="0"/>
              <w:left w:val="nil"/>
              <w:bottom w:val="single" w:color="auto" w:sz="4" w:space="0"/>
              <w:right w:val="single" w:color="auto" w:sz="4" w:space="0"/>
            </w:tcBorders>
            <w:vAlign w:val="center"/>
          </w:tcPr>
          <w:p w14:paraId="04C9B1A9">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采购人不得泄漏招标投标活动中应当保密的情况和资料，不得与供应商串通损害国家利益、社会公共利益或者他人合法权益。</w:t>
            </w:r>
          </w:p>
        </w:tc>
      </w:tr>
      <w:tr w14:paraId="4457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9075F76">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34</w:t>
            </w:r>
          </w:p>
        </w:tc>
        <w:tc>
          <w:tcPr>
            <w:tcW w:w="1685" w:type="dxa"/>
            <w:tcBorders>
              <w:top w:val="single" w:color="auto" w:sz="4" w:space="0"/>
              <w:left w:val="nil"/>
              <w:bottom w:val="single" w:color="auto" w:sz="4" w:space="0"/>
              <w:right w:val="single" w:color="auto" w:sz="4" w:space="0"/>
            </w:tcBorders>
            <w:vAlign w:val="center"/>
          </w:tcPr>
          <w:p w14:paraId="6434A3E5">
            <w:pPr>
              <w:autoSpaceDE w:val="0"/>
              <w:autoSpaceDN w:val="0"/>
              <w:adjustRightInd w:val="0"/>
              <w:snapToGri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最后报价</w:t>
            </w:r>
          </w:p>
        </w:tc>
        <w:tc>
          <w:tcPr>
            <w:tcW w:w="7244" w:type="dxa"/>
            <w:tcBorders>
              <w:top w:val="single" w:color="auto" w:sz="4" w:space="0"/>
              <w:left w:val="nil"/>
              <w:bottom w:val="single" w:color="auto" w:sz="4" w:space="0"/>
              <w:right w:val="single" w:color="auto" w:sz="4" w:space="0"/>
            </w:tcBorders>
            <w:vAlign w:val="center"/>
          </w:tcPr>
          <w:p w14:paraId="63DA7CD6">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根据磋商小组要求，供应商须使用CA数字证书登录《全国公共资源交易平台(河南省▪许昌市)》公共资源交易系统进行最后报价，最后报价应包括：</w:t>
            </w:r>
          </w:p>
          <w:p w14:paraId="2FB9DF37">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①总报价②分项报价。</w:t>
            </w:r>
          </w:p>
          <w:p w14:paraId="6CCFFC83">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注：</w:t>
            </w:r>
          </w:p>
          <w:p w14:paraId="732D24D0">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①磋商小组要求供应商提交最后报价时，在磋商小组规定时间</w:t>
            </w:r>
          </w:p>
          <w:p w14:paraId="6D51EA37">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内，供应商应提交最后报价（包括总报价及分项报价）。最后报</w:t>
            </w:r>
          </w:p>
          <w:p w14:paraId="2C0E7D79">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价是供应商响应文件的有效组成部分。</w:t>
            </w:r>
          </w:p>
          <w:p w14:paraId="71CA6A6C">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②磋商文件第二章“采购需求”中“采购清单”以工程量清单提</w:t>
            </w:r>
          </w:p>
          <w:p w14:paraId="1CA4A1FE">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供的，供应商应以</w:t>
            </w:r>
            <w:r>
              <w:rPr>
                <w:rFonts w:hint="eastAsia" w:ascii="宋体" w:hAnsi="宋体" w:cs="宋体"/>
                <w:color w:val="auto"/>
                <w:sz w:val="24"/>
                <w:szCs w:val="24"/>
              </w:rPr>
              <w:t>已标价</w:t>
            </w:r>
            <w:r>
              <w:rPr>
                <w:rFonts w:hint="eastAsia" w:ascii="宋体" w:hAnsi="宋体" w:cs="宋体"/>
                <w:color w:val="auto"/>
                <w:sz w:val="24"/>
                <w:szCs w:val="24"/>
                <w:lang w:val="zh-CN"/>
              </w:rPr>
              <w:t>工程量清单方式提交最后报价。</w:t>
            </w:r>
          </w:p>
          <w:p w14:paraId="05F44116">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③请供应商根据项目情况，可提前准备分项报价（</w:t>
            </w:r>
            <w:r>
              <w:rPr>
                <w:rFonts w:hint="eastAsia" w:ascii="宋体" w:hAnsi="宋体" w:cs="宋体"/>
                <w:color w:val="auto"/>
                <w:sz w:val="24"/>
                <w:szCs w:val="24"/>
              </w:rPr>
              <w:t>已标价工程量清单</w:t>
            </w:r>
            <w:r>
              <w:rPr>
                <w:rFonts w:hint="eastAsia" w:ascii="宋体" w:hAnsi="宋体" w:cs="宋体"/>
                <w:color w:val="auto"/>
                <w:sz w:val="24"/>
                <w:szCs w:val="24"/>
                <w:lang w:val="zh-CN"/>
              </w:rPr>
              <w:t>）。</w:t>
            </w:r>
          </w:p>
          <w:p w14:paraId="4E8A05E0">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注：磋商小组要求供应商提交最后报价时，在磋商小组规定时间内，供应商未提交最后报价则以其初次提交响应文件报价为最后报价。</w:t>
            </w:r>
          </w:p>
        </w:tc>
      </w:tr>
      <w:tr w14:paraId="2F083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E615F3E">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35</w:t>
            </w:r>
          </w:p>
        </w:tc>
        <w:tc>
          <w:tcPr>
            <w:tcW w:w="1685" w:type="dxa"/>
            <w:tcBorders>
              <w:top w:val="single" w:color="auto" w:sz="4" w:space="0"/>
              <w:left w:val="nil"/>
              <w:bottom w:val="single" w:color="auto" w:sz="4" w:space="0"/>
              <w:right w:val="single" w:color="auto" w:sz="4" w:space="0"/>
            </w:tcBorders>
            <w:vAlign w:val="center"/>
          </w:tcPr>
          <w:p w14:paraId="5DDD3C55">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color w:val="auto"/>
                <w:sz w:val="24"/>
                <w:szCs w:val="24"/>
              </w:rPr>
              <w:t>解释权</w:t>
            </w:r>
          </w:p>
        </w:tc>
        <w:tc>
          <w:tcPr>
            <w:tcW w:w="7244" w:type="dxa"/>
            <w:tcBorders>
              <w:top w:val="single" w:color="auto" w:sz="4" w:space="0"/>
              <w:left w:val="nil"/>
              <w:bottom w:val="single" w:color="auto" w:sz="4" w:space="0"/>
              <w:right w:val="single" w:color="auto" w:sz="4" w:space="0"/>
            </w:tcBorders>
            <w:vAlign w:val="center"/>
          </w:tcPr>
          <w:p w14:paraId="18F88DB7">
            <w:pPr>
              <w:autoSpaceDE w:val="0"/>
              <w:autoSpaceDN w:val="0"/>
              <w:adjustRightInd w:val="0"/>
              <w:spacing w:line="360" w:lineRule="auto"/>
              <w:rPr>
                <w:rFonts w:ascii="宋体" w:hAnsi="宋体" w:cs="宋体"/>
                <w:color w:val="auto"/>
                <w:sz w:val="24"/>
                <w:szCs w:val="24"/>
              </w:rPr>
            </w:pPr>
            <w:r>
              <w:rPr>
                <w:rFonts w:hint="eastAsia" w:ascii="宋体" w:hAnsi="宋体" w:cs="宋体"/>
                <w:color w:val="auto"/>
                <w:sz w:val="24"/>
                <w:szCs w:val="24"/>
                <w:lang w:val="zh-CN"/>
              </w:rPr>
              <w:t>构成本招标文件的各个组成文件应互为解释，互为说明；如有不明确或不一致，构成合同文件组成内容的，以合同文件约定内容为准，且以专用合同条款约定的合同文件优先顺序解释；除</w:t>
            </w:r>
            <w:r>
              <w:rPr>
                <w:rFonts w:hint="eastAsia" w:ascii="宋体" w:hAnsi="宋体" w:cs="宋体"/>
                <w:color w:val="auto"/>
                <w:sz w:val="24"/>
                <w:szCs w:val="24"/>
              </w:rPr>
              <w:t>竞争性磋商</w:t>
            </w:r>
            <w:r>
              <w:rPr>
                <w:rFonts w:hint="eastAsia" w:ascii="宋体" w:hAnsi="宋体" w:cs="宋体"/>
                <w:color w:val="auto"/>
                <w:sz w:val="24"/>
                <w:szCs w:val="24"/>
                <w:lang w:val="zh-CN"/>
              </w:rPr>
              <w:t>文件中有特别规定外，仅适用于招标投标阶段的规定，按招标公告（磋商邀请）、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49769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8C4BC04">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36</w:t>
            </w:r>
          </w:p>
        </w:tc>
        <w:tc>
          <w:tcPr>
            <w:tcW w:w="1685" w:type="dxa"/>
            <w:tcBorders>
              <w:top w:val="single" w:color="auto" w:sz="4" w:space="0"/>
              <w:left w:val="nil"/>
              <w:bottom w:val="single" w:color="auto" w:sz="4" w:space="0"/>
              <w:right w:val="single" w:color="auto" w:sz="4" w:space="0"/>
            </w:tcBorders>
            <w:vAlign w:val="center"/>
          </w:tcPr>
          <w:p w14:paraId="3613EB5A">
            <w:pPr>
              <w:autoSpaceDE w:val="0"/>
              <w:autoSpaceDN w:val="0"/>
              <w:spacing w:line="360" w:lineRule="auto"/>
              <w:jc w:val="center"/>
              <w:rPr>
                <w:rFonts w:ascii="宋体" w:hAnsi="宋体" w:cs="宋体"/>
                <w:color w:val="auto"/>
                <w:sz w:val="24"/>
                <w:szCs w:val="24"/>
              </w:rPr>
            </w:pPr>
            <w:r>
              <w:rPr>
                <w:rFonts w:hint="eastAsia" w:ascii="宋体" w:hAnsi="宋体" w:cs="宋体"/>
                <w:bCs/>
                <w:color w:val="auto"/>
                <w:sz w:val="24"/>
                <w:szCs w:val="24"/>
                <w:lang w:val="zh-CN"/>
              </w:rPr>
              <w:t>质疑</w:t>
            </w:r>
          </w:p>
        </w:tc>
        <w:tc>
          <w:tcPr>
            <w:tcW w:w="7244" w:type="dxa"/>
            <w:tcBorders>
              <w:top w:val="single" w:color="auto" w:sz="4" w:space="0"/>
              <w:left w:val="nil"/>
              <w:bottom w:val="single" w:color="auto" w:sz="4" w:space="0"/>
              <w:right w:val="single" w:color="auto" w:sz="4" w:space="0"/>
            </w:tcBorders>
            <w:vAlign w:val="center"/>
          </w:tcPr>
          <w:p w14:paraId="32D13146">
            <w:pPr>
              <w:autoSpaceDE w:val="0"/>
              <w:autoSpaceDN w:val="0"/>
              <w:spacing w:line="360" w:lineRule="auto"/>
              <w:ind w:firstLine="240" w:firstLineChars="100"/>
              <w:rPr>
                <w:rFonts w:ascii="宋体" w:hAnsi="宋体" w:cs="宋体"/>
                <w:color w:val="auto"/>
                <w:sz w:val="24"/>
                <w:szCs w:val="24"/>
                <w:lang w:val="zh-CN"/>
              </w:rPr>
            </w:pPr>
            <w:r>
              <w:rPr>
                <w:rFonts w:hint="eastAsia" w:ascii="宋体" w:hAnsi="宋体" w:cs="宋体"/>
                <w:color w:val="auto"/>
                <w:sz w:val="24"/>
                <w:szCs w:val="24"/>
                <w:lang w:val="zh-CN"/>
              </w:rPr>
              <w:t>供应商对采购文件、评标结果有质疑的，应在法定质疑期内一次性提出针对同一采购程序环节的质疑。</w:t>
            </w:r>
          </w:p>
          <w:p w14:paraId="3A3A2440">
            <w:pPr>
              <w:autoSpaceDE w:val="0"/>
              <w:autoSpaceDN w:val="0"/>
              <w:spacing w:line="360" w:lineRule="auto"/>
              <w:ind w:firstLine="240" w:firstLineChars="100"/>
              <w:rPr>
                <w:rFonts w:ascii="宋体" w:hAnsi="宋体" w:cs="宋体"/>
                <w:color w:val="auto"/>
                <w:sz w:val="24"/>
                <w:szCs w:val="24"/>
                <w:lang w:val="zh-CN"/>
              </w:rPr>
            </w:pPr>
            <w:r>
              <w:rPr>
                <w:rFonts w:hint="eastAsia" w:ascii="宋体" w:hAnsi="宋体" w:cs="宋体"/>
                <w:color w:val="auto"/>
                <w:sz w:val="24"/>
                <w:szCs w:val="24"/>
                <w:lang w:val="zh-CN"/>
              </w:rPr>
              <w:t>提出质疑的供应商（以下简称质疑供应商）应当是参与所质疑项目采购活动的供应商，办理人员应为法人或授权委托代理人；未按照要求提交者将不予受理；</w:t>
            </w:r>
          </w:p>
        </w:tc>
      </w:tr>
      <w:tr w14:paraId="66E4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03CAB23">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37</w:t>
            </w:r>
          </w:p>
        </w:tc>
        <w:tc>
          <w:tcPr>
            <w:tcW w:w="1685" w:type="dxa"/>
            <w:tcBorders>
              <w:top w:val="single" w:color="auto" w:sz="4" w:space="0"/>
              <w:left w:val="nil"/>
              <w:bottom w:val="single" w:color="auto" w:sz="4" w:space="0"/>
              <w:right w:val="single" w:color="auto" w:sz="4" w:space="0"/>
            </w:tcBorders>
            <w:vAlign w:val="center"/>
          </w:tcPr>
          <w:p w14:paraId="1ED281E4">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kern w:val="0"/>
                <w:sz w:val="24"/>
                <w:szCs w:val="24"/>
              </w:rPr>
              <w:t>注意事项</w:t>
            </w:r>
          </w:p>
        </w:tc>
        <w:tc>
          <w:tcPr>
            <w:tcW w:w="7244" w:type="dxa"/>
            <w:tcBorders>
              <w:top w:val="single" w:color="auto" w:sz="4" w:space="0"/>
              <w:left w:val="nil"/>
              <w:bottom w:val="single" w:color="auto" w:sz="4" w:space="0"/>
              <w:right w:val="single" w:color="auto" w:sz="4" w:space="0"/>
            </w:tcBorders>
            <w:vAlign w:val="center"/>
          </w:tcPr>
          <w:p w14:paraId="1F57727B">
            <w:pPr>
              <w:autoSpaceDE w:val="0"/>
              <w:autoSpaceDN w:val="0"/>
              <w:spacing w:line="360" w:lineRule="auto"/>
              <w:contextualSpacing/>
              <w:rPr>
                <w:rFonts w:ascii="宋体" w:hAnsi="宋体" w:cs="宋体"/>
                <w:color w:val="auto"/>
                <w:sz w:val="24"/>
                <w:szCs w:val="24"/>
              </w:rPr>
            </w:pPr>
            <w:r>
              <w:rPr>
                <w:rFonts w:hint="eastAsia" w:ascii="宋体" w:hAnsi="宋体" w:cs="宋体"/>
                <w:color w:val="auto"/>
                <w:sz w:val="24"/>
                <w:szCs w:val="24"/>
              </w:rPr>
              <w:t>1.采购人在投标须知前附表规定的投标截止时间（开标时间）和地点开标，投标人的授权委托代理人必须</w:t>
            </w:r>
            <w:r>
              <w:rPr>
                <w:rFonts w:hint="eastAsia" w:ascii="宋体" w:hAnsi="宋体" w:eastAsia="宋体" w:cs="宋体"/>
                <w:bCs/>
                <w:color w:val="auto"/>
                <w:kern w:val="0"/>
                <w:sz w:val="24"/>
                <w:szCs w:val="24"/>
              </w:rPr>
              <w:t>按照规定的开标时间准时参加网上开标</w:t>
            </w:r>
            <w:r>
              <w:rPr>
                <w:rFonts w:hint="eastAsia" w:ascii="宋体" w:hAnsi="宋体" w:cs="宋体"/>
                <w:color w:val="auto"/>
                <w:sz w:val="24"/>
                <w:szCs w:val="24"/>
              </w:rPr>
              <w:t>。</w:t>
            </w:r>
          </w:p>
          <w:p w14:paraId="04525914">
            <w:pPr>
              <w:autoSpaceDE w:val="0"/>
              <w:autoSpaceDN w:val="0"/>
              <w:adjustRightInd w:val="0"/>
              <w:spacing w:line="360" w:lineRule="auto"/>
              <w:contextualSpacing/>
              <w:rPr>
                <w:rFonts w:ascii="宋体" w:hAnsi="宋体" w:cs="宋体"/>
                <w:color w:val="auto"/>
                <w:sz w:val="24"/>
                <w:szCs w:val="24"/>
                <w:lang w:val="zh-CN"/>
              </w:rPr>
            </w:pPr>
            <w:r>
              <w:rPr>
                <w:rFonts w:hint="eastAsia" w:ascii="宋体" w:hAnsi="宋体" w:cs="宋体"/>
                <w:color w:val="auto"/>
                <w:sz w:val="24"/>
                <w:szCs w:val="24"/>
              </w:rPr>
              <w:t>2.采购人有权对投标人所附其它相关材料进行核实查证，如发现中标企业存在弄虚作假情况的将取消其中标候选人资格。</w:t>
            </w:r>
          </w:p>
        </w:tc>
      </w:tr>
      <w:tr w14:paraId="6A29E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FFB0899">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38</w:t>
            </w:r>
          </w:p>
        </w:tc>
        <w:tc>
          <w:tcPr>
            <w:tcW w:w="1685" w:type="dxa"/>
            <w:tcBorders>
              <w:top w:val="single" w:color="auto" w:sz="4" w:space="0"/>
              <w:left w:val="nil"/>
              <w:bottom w:val="single" w:color="auto" w:sz="4" w:space="0"/>
              <w:right w:val="single" w:color="auto" w:sz="4" w:space="0"/>
            </w:tcBorders>
            <w:vAlign w:val="center"/>
          </w:tcPr>
          <w:p w14:paraId="73C8C0DC">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投标人不能存在的情形</w:t>
            </w:r>
          </w:p>
        </w:tc>
        <w:tc>
          <w:tcPr>
            <w:tcW w:w="7244" w:type="dxa"/>
            <w:tcBorders>
              <w:top w:val="single" w:color="auto" w:sz="4" w:space="0"/>
              <w:left w:val="nil"/>
              <w:bottom w:val="single" w:color="auto" w:sz="4" w:space="0"/>
              <w:right w:val="single" w:color="auto" w:sz="4" w:space="0"/>
            </w:tcBorders>
          </w:tcPr>
          <w:p w14:paraId="3C7D0B9B">
            <w:pPr>
              <w:autoSpaceDE w:val="0"/>
              <w:autoSpaceDN w:val="0"/>
              <w:spacing w:line="360" w:lineRule="auto"/>
              <w:ind w:firstLine="240" w:firstLineChars="100"/>
              <w:rPr>
                <w:rFonts w:ascii="宋体" w:hAnsi="宋体" w:cs="宋体"/>
                <w:color w:val="auto"/>
                <w:sz w:val="24"/>
                <w:szCs w:val="24"/>
              </w:rPr>
            </w:pPr>
            <w:r>
              <w:rPr>
                <w:rFonts w:hint="eastAsia" w:ascii="宋体" w:hAnsi="宋体" w:cs="宋体"/>
                <w:color w:val="auto"/>
                <w:sz w:val="24"/>
                <w:szCs w:val="24"/>
                <w:lang w:val="zh-CN"/>
              </w:rPr>
              <w:t>如对招标文件有异议，已经在投标截止时间届满前依法进行维权救济，不存在对招标文件及招标程序有异议的同时又参加投标以求侥幸中标或者为实现其他非法目的的行为。</w:t>
            </w:r>
          </w:p>
        </w:tc>
      </w:tr>
      <w:tr w14:paraId="0BCB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466210D">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39</w:t>
            </w:r>
          </w:p>
        </w:tc>
        <w:tc>
          <w:tcPr>
            <w:tcW w:w="1685" w:type="dxa"/>
            <w:tcBorders>
              <w:top w:val="single" w:color="auto" w:sz="4" w:space="0"/>
              <w:left w:val="nil"/>
              <w:bottom w:val="single" w:color="auto" w:sz="4" w:space="0"/>
              <w:right w:val="single" w:color="auto" w:sz="4" w:space="0"/>
            </w:tcBorders>
            <w:vAlign w:val="center"/>
          </w:tcPr>
          <w:p w14:paraId="5FBCAA7C">
            <w:pPr>
              <w:autoSpaceDE w:val="0"/>
              <w:autoSpaceDN w:val="0"/>
              <w:adjustRightInd w:val="0"/>
              <w:spacing w:line="360" w:lineRule="auto"/>
              <w:jc w:val="center"/>
              <w:rPr>
                <w:rFonts w:ascii="宋体" w:hAnsi="宋体" w:cs="宋体"/>
                <w:color w:val="auto"/>
                <w:sz w:val="24"/>
                <w:szCs w:val="24"/>
                <w:lang w:val="zh-CN" w:bidi="zh-CN"/>
              </w:rPr>
            </w:pPr>
            <w:r>
              <w:rPr>
                <w:rFonts w:hint="eastAsia" w:ascii="宋体" w:hAnsi="宋体" w:cs="宋体"/>
                <w:color w:val="auto"/>
                <w:sz w:val="24"/>
                <w:szCs w:val="24"/>
              </w:rPr>
              <w:t>质疑及投诉渠道</w:t>
            </w:r>
          </w:p>
        </w:tc>
        <w:tc>
          <w:tcPr>
            <w:tcW w:w="7244" w:type="dxa"/>
            <w:tcBorders>
              <w:top w:val="single" w:color="auto" w:sz="4" w:space="0"/>
              <w:left w:val="nil"/>
              <w:bottom w:val="single" w:color="auto" w:sz="4" w:space="0"/>
              <w:right w:val="single" w:color="auto" w:sz="4" w:space="0"/>
            </w:tcBorders>
            <w:vAlign w:val="center"/>
          </w:tcPr>
          <w:p w14:paraId="34CC1F75">
            <w:pPr>
              <w:autoSpaceDE w:val="0"/>
              <w:autoSpaceDN w:val="0"/>
              <w:adjustRightInd w:val="0"/>
              <w:spacing w:line="360" w:lineRule="auto"/>
              <w:contextualSpacing/>
              <w:rPr>
                <w:rFonts w:ascii="宋体" w:hAnsi="宋体" w:cs="宋体"/>
                <w:color w:val="auto"/>
                <w:sz w:val="24"/>
                <w:szCs w:val="24"/>
              </w:rPr>
            </w:pPr>
            <w:r>
              <w:rPr>
                <w:rFonts w:hint="eastAsia" w:ascii="宋体" w:hAnsi="宋体" w:cs="宋体"/>
                <w:color w:val="auto"/>
                <w:sz w:val="24"/>
                <w:szCs w:val="24"/>
              </w:rPr>
              <w:t>1.供应商认为采购文件、采购过程、中标或者成交结果使自己的权益受到损害的，可以在知道或者应知其权益受到损害之日起7个工作日内，以书面形式向采购人、采购代理机构提出质疑。</w:t>
            </w:r>
          </w:p>
          <w:p w14:paraId="14937003">
            <w:pPr>
              <w:autoSpaceDE w:val="0"/>
              <w:autoSpaceDN w:val="0"/>
              <w:adjustRightInd w:val="0"/>
              <w:spacing w:line="360" w:lineRule="auto"/>
              <w:contextualSpacing/>
              <w:rPr>
                <w:rFonts w:ascii="宋体" w:hAnsi="宋体" w:cs="宋体"/>
                <w:color w:val="auto"/>
                <w:sz w:val="24"/>
                <w:szCs w:val="24"/>
              </w:rPr>
            </w:pPr>
            <w:r>
              <w:rPr>
                <w:rFonts w:hint="eastAsia" w:ascii="宋体" w:hAnsi="宋体" w:cs="宋体"/>
                <w:color w:val="auto"/>
                <w:sz w:val="24"/>
                <w:szCs w:val="24"/>
              </w:rPr>
              <w:t>2.供应商应在法定质疑期内一次性提出针对同一采购程序环节的质疑。</w:t>
            </w:r>
          </w:p>
          <w:p w14:paraId="3C0F001A">
            <w:pPr>
              <w:autoSpaceDE w:val="0"/>
              <w:autoSpaceDN w:val="0"/>
              <w:adjustRightInd w:val="0"/>
              <w:spacing w:line="360" w:lineRule="auto"/>
              <w:contextualSpacing/>
              <w:rPr>
                <w:rFonts w:ascii="宋体" w:hAnsi="宋体" w:cs="宋体"/>
                <w:color w:val="auto"/>
                <w:sz w:val="24"/>
                <w:szCs w:val="24"/>
              </w:rPr>
            </w:pPr>
            <w:r>
              <w:rPr>
                <w:rFonts w:hint="eastAsia" w:ascii="宋体" w:hAnsi="宋体" w:cs="宋体"/>
                <w:color w:val="auto"/>
                <w:sz w:val="24"/>
                <w:szCs w:val="24"/>
              </w:rPr>
              <w:t>3.提出质疑的供应商(以下简称质疑供应商)应当是参与所质疑项目采购活动的供应商。</w:t>
            </w:r>
          </w:p>
          <w:p w14:paraId="47BB1884">
            <w:pPr>
              <w:autoSpaceDE w:val="0"/>
              <w:autoSpaceDN w:val="0"/>
              <w:adjustRightInd w:val="0"/>
              <w:spacing w:line="360" w:lineRule="auto"/>
              <w:contextualSpacing/>
              <w:rPr>
                <w:rFonts w:ascii="宋体" w:hAnsi="宋体" w:cs="宋体"/>
                <w:color w:val="auto"/>
                <w:sz w:val="24"/>
                <w:szCs w:val="24"/>
              </w:rPr>
            </w:pPr>
            <w:r>
              <w:rPr>
                <w:rFonts w:hint="eastAsia" w:ascii="宋体" w:hAnsi="宋体" w:cs="宋体"/>
                <w:color w:val="auto"/>
                <w:sz w:val="24"/>
                <w:szCs w:val="24"/>
              </w:rPr>
              <w:t>潜在供应商已依法获取其可质疑的采购文件的，可以对该文件提出质疑。对采购文件提出质疑的，应当在获取采购文件或者采购文件公告期限届满之日起7个工作日内提出。</w:t>
            </w:r>
          </w:p>
          <w:p w14:paraId="20109973">
            <w:pPr>
              <w:autoSpaceDE w:val="0"/>
              <w:autoSpaceDN w:val="0"/>
              <w:adjustRightInd w:val="0"/>
              <w:spacing w:line="360" w:lineRule="auto"/>
              <w:contextualSpacing/>
              <w:rPr>
                <w:rFonts w:ascii="宋体" w:hAnsi="宋体" w:cs="宋体"/>
                <w:color w:val="auto"/>
                <w:sz w:val="24"/>
                <w:szCs w:val="24"/>
              </w:rPr>
            </w:pPr>
            <w:r>
              <w:rPr>
                <w:rFonts w:hint="eastAsia" w:ascii="宋体" w:hAnsi="宋体" w:cs="宋体"/>
                <w:color w:val="auto"/>
                <w:sz w:val="24"/>
                <w:szCs w:val="24"/>
              </w:rPr>
              <w:t>4.供应商提出质疑应当提交质疑函和必要的证明材料。</w:t>
            </w:r>
          </w:p>
          <w:p w14:paraId="03D75467">
            <w:pPr>
              <w:autoSpaceDE w:val="0"/>
              <w:autoSpaceDN w:val="0"/>
              <w:adjustRightInd w:val="0"/>
              <w:spacing w:line="360" w:lineRule="auto"/>
              <w:contextualSpacing/>
              <w:rPr>
                <w:rFonts w:ascii="宋体" w:hAnsi="宋体" w:cs="宋体"/>
                <w:color w:val="auto"/>
                <w:sz w:val="24"/>
                <w:szCs w:val="24"/>
              </w:rPr>
            </w:pPr>
            <w:r>
              <w:rPr>
                <w:rFonts w:hint="eastAsia" w:ascii="宋体" w:hAnsi="宋体" w:cs="宋体"/>
                <w:color w:val="auto"/>
                <w:sz w:val="24"/>
                <w:szCs w:val="24"/>
              </w:rPr>
              <w:t>5.质疑供应商对采购人、采购代理机构的答复不满意，或者采购人、采购代理机构未在规定时间内作出答复的，可以在答复期满后15个工作日内向财政部门提起投诉。</w:t>
            </w:r>
          </w:p>
          <w:p w14:paraId="37AA345F">
            <w:pPr>
              <w:autoSpaceDE w:val="0"/>
              <w:autoSpaceDN w:val="0"/>
              <w:adjustRightInd w:val="0"/>
              <w:spacing w:line="360" w:lineRule="auto"/>
              <w:contextualSpacing/>
              <w:rPr>
                <w:rFonts w:hint="eastAsia" w:ascii="宋体" w:hAnsi="宋体" w:eastAsia="宋体" w:cs="宋体"/>
                <w:color w:val="auto"/>
                <w:sz w:val="24"/>
                <w:szCs w:val="24"/>
                <w:lang w:eastAsia="zh-CN"/>
              </w:rPr>
            </w:pPr>
            <w:r>
              <w:rPr>
                <w:rFonts w:hint="eastAsia" w:ascii="宋体" w:hAnsi="宋体" w:cs="宋体"/>
                <w:color w:val="auto"/>
                <w:sz w:val="24"/>
                <w:szCs w:val="24"/>
              </w:rPr>
              <w:t>6.投诉人投诉时</w:t>
            </w:r>
            <w:r>
              <w:rPr>
                <w:rFonts w:hint="eastAsia" w:ascii="宋体" w:hAnsi="宋体" w:cs="宋体"/>
                <w:color w:val="auto"/>
                <w:sz w:val="24"/>
                <w:szCs w:val="24"/>
                <w:lang w:eastAsia="zh-CN"/>
              </w:rPr>
              <w:t>，</w:t>
            </w:r>
            <w:r>
              <w:rPr>
                <w:rFonts w:hint="eastAsia" w:ascii="宋体" w:hAnsi="宋体" w:cs="宋体"/>
                <w:color w:val="auto"/>
                <w:sz w:val="24"/>
                <w:szCs w:val="24"/>
              </w:rPr>
              <w:t>应当提交投诉书和必要的证明材料，并按照被投诉采购人、采购代理机构(以下简称被投诉人)和与投诉事项有关的供应商数量提供投诉书的副本。</w:t>
            </w:r>
          </w:p>
        </w:tc>
      </w:tr>
      <w:tr w14:paraId="0353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35" w:type="dxa"/>
            <w:gridSpan w:val="3"/>
            <w:tcBorders>
              <w:top w:val="single" w:color="auto" w:sz="4" w:space="0"/>
              <w:left w:val="single" w:color="auto" w:sz="4" w:space="0"/>
              <w:bottom w:val="single" w:color="auto" w:sz="4" w:space="0"/>
              <w:right w:val="single" w:color="auto" w:sz="4" w:space="0"/>
            </w:tcBorders>
            <w:vAlign w:val="center"/>
          </w:tcPr>
          <w:p w14:paraId="701D2AAA">
            <w:pPr>
              <w:autoSpaceDE w:val="0"/>
              <w:autoSpaceDN w:val="0"/>
              <w:adjustRightInd w:val="0"/>
              <w:snapToGrid w:val="0"/>
              <w:spacing w:line="360" w:lineRule="auto"/>
              <w:rPr>
                <w:rFonts w:ascii="宋体" w:hAnsi="宋体" w:cs="宋体"/>
                <w:color w:val="auto"/>
                <w:sz w:val="24"/>
                <w:szCs w:val="24"/>
              </w:rPr>
            </w:pPr>
            <w:r>
              <w:rPr>
                <w:rFonts w:hint="eastAsia" w:ascii="宋体" w:hAnsi="宋体" w:cs="宋体"/>
                <w:color w:val="auto"/>
                <w:position w:val="6"/>
                <w:sz w:val="24"/>
                <w:szCs w:val="24"/>
              </w:rPr>
              <w:t>未尽事宜，按国家有关规定执行。</w:t>
            </w:r>
          </w:p>
        </w:tc>
      </w:tr>
    </w:tbl>
    <w:p w14:paraId="5D8E9962">
      <w:pPr>
        <w:spacing w:line="360" w:lineRule="auto"/>
        <w:jc w:val="center"/>
        <w:outlineLvl w:val="0"/>
        <w:rPr>
          <w:rFonts w:ascii="宋体" w:hAnsi="宋体"/>
          <w:b/>
          <w:color w:val="auto"/>
          <w:kern w:val="0"/>
          <w:sz w:val="56"/>
          <w:szCs w:val="32"/>
        </w:rPr>
      </w:pPr>
      <w:r>
        <w:rPr>
          <w:rFonts w:ascii="宋体" w:hAnsi="宋体"/>
          <w:b/>
          <w:color w:val="auto"/>
          <w:kern w:val="0"/>
          <w:sz w:val="40"/>
        </w:rPr>
        <w:br w:type="page"/>
      </w:r>
      <w:bookmarkStart w:id="6" w:name="_Toc138068718"/>
      <w:r>
        <w:rPr>
          <w:rFonts w:hint="eastAsia" w:ascii="宋体" w:hAnsi="宋体"/>
          <w:b/>
          <w:color w:val="auto"/>
          <w:kern w:val="0"/>
          <w:sz w:val="32"/>
          <w:szCs w:val="32"/>
        </w:rPr>
        <w:t>第四章 供应商须知</w:t>
      </w:r>
      <w:bookmarkEnd w:id="6"/>
    </w:p>
    <w:p w14:paraId="4B64C4FA">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7" w:name="_Toc138068719"/>
      <w:r>
        <w:rPr>
          <w:rFonts w:hint="eastAsia" w:ascii="宋体" w:hAnsi="宋体" w:cs="宋体"/>
          <w:b/>
          <w:color w:val="auto"/>
          <w:kern w:val="0"/>
          <w:sz w:val="24"/>
          <w:szCs w:val="24"/>
        </w:rPr>
        <w:t>一、概念释义</w:t>
      </w:r>
      <w:bookmarkEnd w:id="7"/>
    </w:p>
    <w:p w14:paraId="03A3D0A2">
      <w:pPr>
        <w:pStyle w:val="58"/>
        <w:keepNext w:val="0"/>
        <w:keepLines w:val="0"/>
        <w:pageBreakBefore w:val="0"/>
        <w:numPr>
          <w:ilvl w:val="0"/>
          <w:numId w:val="2"/>
        </w:numPr>
        <w:kinsoku/>
        <w:wordWrap/>
        <w:overflowPunct/>
        <w:topLinePunct w:val="0"/>
        <w:autoSpaceDE w:val="0"/>
        <w:autoSpaceDN w:val="0"/>
        <w:bidi w:val="0"/>
        <w:snapToGrid/>
        <w:spacing w:line="360" w:lineRule="auto"/>
        <w:ind w:firstLineChars="0"/>
        <w:contextualSpacing/>
        <w:textAlignment w:val="auto"/>
        <w:rPr>
          <w:rFonts w:ascii="宋体" w:hAnsi="宋体" w:cs="宋体"/>
          <w:b/>
          <w:color w:val="auto"/>
          <w:kern w:val="0"/>
          <w:sz w:val="24"/>
          <w:szCs w:val="24"/>
        </w:rPr>
      </w:pPr>
      <w:r>
        <w:rPr>
          <w:rFonts w:hint="eastAsia" w:ascii="宋体" w:hAnsi="宋体" w:cs="宋体"/>
          <w:b/>
          <w:color w:val="auto"/>
          <w:kern w:val="0"/>
          <w:sz w:val="24"/>
          <w:szCs w:val="24"/>
        </w:rPr>
        <w:t>适用范围</w:t>
      </w:r>
    </w:p>
    <w:p w14:paraId="7621C1F5">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1.1本磋商文件仅适用于本次“磋商邀请”中所述采购项目。</w:t>
      </w:r>
    </w:p>
    <w:p w14:paraId="35810C65">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1.2本磋商文件解释权属于“磋商邀请”所述的采购人。</w:t>
      </w:r>
    </w:p>
    <w:p w14:paraId="0D260772">
      <w:pPr>
        <w:pStyle w:val="58"/>
        <w:keepNext w:val="0"/>
        <w:keepLines w:val="0"/>
        <w:pageBreakBefore w:val="0"/>
        <w:numPr>
          <w:ilvl w:val="0"/>
          <w:numId w:val="2"/>
        </w:numPr>
        <w:kinsoku/>
        <w:wordWrap/>
        <w:overflowPunct/>
        <w:topLinePunct w:val="0"/>
        <w:autoSpaceDE w:val="0"/>
        <w:autoSpaceDN w:val="0"/>
        <w:bidi w:val="0"/>
        <w:snapToGrid/>
        <w:spacing w:line="360" w:lineRule="auto"/>
        <w:ind w:firstLineChars="0"/>
        <w:contextualSpacing/>
        <w:textAlignment w:val="auto"/>
        <w:rPr>
          <w:rFonts w:ascii="宋体" w:hAnsi="宋体" w:cs="宋体"/>
          <w:b/>
          <w:color w:val="auto"/>
          <w:kern w:val="0"/>
          <w:sz w:val="24"/>
          <w:szCs w:val="24"/>
        </w:rPr>
      </w:pPr>
      <w:r>
        <w:rPr>
          <w:rFonts w:hint="eastAsia" w:ascii="宋体" w:hAnsi="宋体" w:cs="宋体"/>
          <w:b/>
          <w:color w:val="auto"/>
          <w:kern w:val="0"/>
          <w:sz w:val="24"/>
          <w:szCs w:val="24"/>
        </w:rPr>
        <w:t>定义</w:t>
      </w:r>
    </w:p>
    <w:p w14:paraId="139BD936">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2.1“采购项目”：“供应商须知前附表”中所述的采购项目。</w:t>
      </w:r>
    </w:p>
    <w:p w14:paraId="553BA1B3">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2.2“采购人”：“供应商须知前附表”中所述的组织本次招标的代理机构或采购人。</w:t>
      </w:r>
    </w:p>
    <w:p w14:paraId="7B960FD8">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2.3“采购人”：是指依法进行政府采购的国家机关、事业单位、团体组织。采购人名称、地址、电话、联系人见“供应商须知前附表”。</w:t>
      </w:r>
    </w:p>
    <w:p w14:paraId="4149748B">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2.4“代理机构”：接受采购人委托，代理采购项目的采购代理机构。代理机构名称、地址、电话、联系人见“供应商须知前附表”。</w:t>
      </w:r>
    </w:p>
    <w:p w14:paraId="1232B224">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采购代理机构及其分支机构不得在所代理的采购项目中投标或者代理投标，不得为所代理的采购项目的供应商参加本项目提供投标咨询。</w:t>
      </w:r>
    </w:p>
    <w:p w14:paraId="20A857A5">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2.5“潜在供应商”指符合《中华人民共和国政府采购法》及相关法律法规和本磋商磋商文件的各项规定，且按照本项目磋商公告及磋商文件规定的方式获取磋商文件的法人、其他组织或者自然人。</w:t>
      </w:r>
    </w:p>
    <w:p w14:paraId="2097CB3E">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2.6“供应商”：是指符合《中华人民共和国政府采购法》及相关法律法规和本磋商磋商文件的各项规定，响应招标、参加投标竞争，从采购人处按规定获取磋商文件，并按照磋商文件要求向采购人提交响应文件的法人、其他组织或者自然人。</w:t>
      </w:r>
    </w:p>
    <w:p w14:paraId="595B42F7">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号）。</w:t>
      </w:r>
    </w:p>
    <w:p w14:paraId="61A6AEF3">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2.7.1磋商文件列明不允许或未列明允许进口产品参加投标的，均视为拒绝进口产品参加投标。</w:t>
      </w:r>
    </w:p>
    <w:p w14:paraId="4C71C397">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2.7.2如磋商文件中已说明，经财政部门审核同意，允许部分或全部产品采购进口产品，供应商既可提供本国产品，也可以提供进口产品。</w:t>
      </w:r>
    </w:p>
    <w:p w14:paraId="40A7BF11">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2.8磋商文件中凡标有“★”的条款均系实质性要求条款。</w:t>
      </w:r>
    </w:p>
    <w:p w14:paraId="0B8A010D">
      <w:pPr>
        <w:pStyle w:val="58"/>
        <w:keepNext w:val="0"/>
        <w:keepLines w:val="0"/>
        <w:pageBreakBefore w:val="0"/>
        <w:numPr>
          <w:ilvl w:val="0"/>
          <w:numId w:val="2"/>
        </w:numPr>
        <w:kinsoku/>
        <w:wordWrap/>
        <w:overflowPunct/>
        <w:topLinePunct w:val="0"/>
        <w:autoSpaceDE w:val="0"/>
        <w:autoSpaceDN w:val="0"/>
        <w:bidi w:val="0"/>
        <w:snapToGrid/>
        <w:spacing w:line="360" w:lineRule="auto"/>
        <w:ind w:firstLineChars="0"/>
        <w:contextualSpacing/>
        <w:textAlignment w:val="auto"/>
        <w:rPr>
          <w:rFonts w:ascii="宋体" w:hAnsi="宋体" w:cs="宋体"/>
          <w:b/>
          <w:color w:val="auto"/>
          <w:kern w:val="0"/>
          <w:sz w:val="24"/>
          <w:szCs w:val="24"/>
        </w:rPr>
      </w:pPr>
      <w:r>
        <w:rPr>
          <w:rFonts w:hint="eastAsia" w:ascii="宋体" w:hAnsi="宋体" w:cs="宋体"/>
          <w:b/>
          <w:color w:val="auto"/>
          <w:kern w:val="0"/>
          <w:sz w:val="24"/>
          <w:szCs w:val="24"/>
        </w:rPr>
        <w:t>合格的供应商</w:t>
      </w:r>
    </w:p>
    <w:p w14:paraId="45A322B2">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3.1在中华人民共和国境内注册，具有本项目生产、制造、供应或实施能力，符合、承认并承诺履行本磋商文件各项规定的法人、其他组织或者自然人。</w:t>
      </w:r>
    </w:p>
    <w:p w14:paraId="0BC8A8B2">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3.2符合本项目“投标邀请”和“供应商须知前附表”中规定的合格供应商所必须具备的条件。</w:t>
      </w:r>
    </w:p>
    <w:p w14:paraId="2B3EE8BD">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3.3按照财政部《关于在政府采购活动中查询及使用信用记录有关问题的通知》（财库〔2016〕125号）要求，政府采购活动中查询及使用供应商信用记录的具体要求为：供应商未被列入失信被执行人、重大税收违法失信主体、政府采购严重违法失信行为记录名单、严重违法失信社会组织名单（联合体形式投标的，联合体成员存在不良信用记录，视同联合体存在不良信用记录）。</w:t>
      </w:r>
    </w:p>
    <w:p w14:paraId="7421BDC2">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3.3.1查询渠道：“信用中国”网站（www.creditchina.gov.cn/）、“中国政府采购网”（www.ccgp.gov.cn/）和“中国社会组织政务服务平台”网站（https://chinanpo.mca.gov.cn/）（仅查询社会组织）</w:t>
      </w:r>
    </w:p>
    <w:p w14:paraId="203FE017">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3.3.2截止时间：同投标截止时间；</w:t>
      </w:r>
    </w:p>
    <w:p w14:paraId="77510A04">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3.3.3信用信息查询记录和证据留存具体方式：经磋商小组确认的查询结果网页截图作为查询记录和证据，与其他磋商文件一并保存；</w:t>
      </w:r>
    </w:p>
    <w:p w14:paraId="2A0FAB05">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3.3.4信用信息的使用原则：经磋商小组认定的被列入失信被执行人、重大税收违法失信主体、政府采购严重违法失信行为记录名单、严重违法失信社会组织名单的供应商，将拒绝其参与本次政府采购活动。</w:t>
      </w:r>
    </w:p>
    <w:p w14:paraId="24F14751">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w:t>
      </w:r>
    </w:p>
    <w:p w14:paraId="0EB2CEAC">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3.4单位负责人为同一人或者存在直接控股、管理关系的不同供应商，不得同时参加本项目响应。违反规定的，相关响应均无效。</w:t>
      </w:r>
    </w:p>
    <w:p w14:paraId="64BB7210">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3.5为采购项目提供整体设计、规范编制或者项目管理、监理、检测等服务的供应商，不得再参加该采购项目的其他采购活动。</w:t>
      </w:r>
    </w:p>
    <w:p w14:paraId="38BECA70">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3.6“投标邀请”和“供应商须知前附表”规定接受联合体投标的，除应符合本章第3.1项和3.2项要求外，还应遵守以下规定：</w:t>
      </w:r>
    </w:p>
    <w:p w14:paraId="6B0C5FA1">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3.6.1在响应文件中向采购人提交联合体协议书，明确联合体各方承担的工作和义务；</w:t>
      </w:r>
    </w:p>
    <w:p w14:paraId="2E2729DC">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3.6.2联合体中有同类资质的供应商按联合体分工承担相同工作的，应当按照资质等级较低的供应商确定资质等级；</w:t>
      </w:r>
    </w:p>
    <w:p w14:paraId="530F0C71">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3.6.3采购人根据采购项目的特殊要求规定供应商特定条件的，联合体各方中至少应当有一方符合采购规定的特定条件；</w:t>
      </w:r>
    </w:p>
    <w:p w14:paraId="79FE1D37">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3.6.4联合体各方不得再单独参加或者与其他供应商另外组成联合体参加同一合同项下的政府采购活动；</w:t>
      </w:r>
    </w:p>
    <w:p w14:paraId="03BFE254">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3.6.5联合体各方应当共同与采购人签订采购合同，就采购合同约定的事项对采购人承担连带责任。</w:t>
      </w:r>
    </w:p>
    <w:p w14:paraId="1C3A5B97">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3.7法律、行政法规规定的其他条件。</w:t>
      </w:r>
    </w:p>
    <w:p w14:paraId="32104C78">
      <w:pPr>
        <w:pStyle w:val="58"/>
        <w:keepNext w:val="0"/>
        <w:keepLines w:val="0"/>
        <w:pageBreakBefore w:val="0"/>
        <w:numPr>
          <w:ilvl w:val="0"/>
          <w:numId w:val="2"/>
        </w:numPr>
        <w:kinsoku/>
        <w:wordWrap/>
        <w:overflowPunct/>
        <w:topLinePunct w:val="0"/>
        <w:autoSpaceDE w:val="0"/>
        <w:autoSpaceDN w:val="0"/>
        <w:bidi w:val="0"/>
        <w:snapToGrid/>
        <w:spacing w:line="360" w:lineRule="auto"/>
        <w:ind w:firstLineChars="0"/>
        <w:contextualSpacing/>
        <w:textAlignment w:val="auto"/>
        <w:rPr>
          <w:rFonts w:ascii="宋体" w:hAnsi="宋体" w:cs="宋体"/>
          <w:b/>
          <w:color w:val="auto"/>
          <w:kern w:val="0"/>
          <w:sz w:val="24"/>
          <w:szCs w:val="24"/>
        </w:rPr>
      </w:pPr>
      <w:r>
        <w:rPr>
          <w:rFonts w:hint="eastAsia" w:ascii="宋体" w:hAnsi="宋体" w:cs="宋体"/>
          <w:b/>
          <w:color w:val="auto"/>
          <w:kern w:val="0"/>
          <w:sz w:val="24"/>
          <w:szCs w:val="24"/>
        </w:rPr>
        <w:t>合格的货物和服务</w:t>
      </w:r>
    </w:p>
    <w:p w14:paraId="10E7A154">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4.1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14:paraId="7A9798E1">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4.2供应商所提供的服务应当没有侵犯任何第三方的知识产权、技术秘密等合法权利。</w:t>
      </w:r>
    </w:p>
    <w:p w14:paraId="7612F93E">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1DE6DCF4">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4.4根据国家互联网信息办公室、工业和信息化部、公安部和国家认证认可监督管理委员会2023年第2号《关于调整〈网络关键设备和网络安全专用产品目录〉的公告》及国家互联网信息办公室、工业和信息化部、公安部、财政部和国家认证认可监督管理委员会2023年第1号《关于调整网络安全专用产品安全管理有关事项的公告》等相关文件要求，</w:t>
      </w:r>
    </w:p>
    <w:p w14:paraId="23F5EDE9">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项目中涉及网络关键设备或网络安全专用产品的，至少符合以下条件之一：一是已具备资格的机构安全认证合格或安全检测符合要求；二是已获得《计算机信息系统安全专用产品销售许可证》，且在有效期内。</w:t>
      </w:r>
    </w:p>
    <w:p w14:paraId="18332F81">
      <w:pPr>
        <w:pStyle w:val="58"/>
        <w:keepNext w:val="0"/>
        <w:keepLines w:val="0"/>
        <w:pageBreakBefore w:val="0"/>
        <w:numPr>
          <w:ilvl w:val="0"/>
          <w:numId w:val="2"/>
        </w:numPr>
        <w:kinsoku/>
        <w:wordWrap/>
        <w:overflowPunct/>
        <w:topLinePunct w:val="0"/>
        <w:autoSpaceDE w:val="0"/>
        <w:autoSpaceDN w:val="0"/>
        <w:bidi w:val="0"/>
        <w:snapToGrid/>
        <w:spacing w:line="360" w:lineRule="auto"/>
        <w:ind w:firstLineChars="0"/>
        <w:contextualSpacing/>
        <w:textAlignment w:val="auto"/>
        <w:rPr>
          <w:rFonts w:ascii="宋体" w:hAnsi="宋体" w:cs="宋体"/>
          <w:b/>
          <w:color w:val="auto"/>
          <w:kern w:val="0"/>
          <w:sz w:val="24"/>
          <w:szCs w:val="24"/>
        </w:rPr>
      </w:pPr>
      <w:r>
        <w:rPr>
          <w:rFonts w:hint="eastAsia" w:ascii="宋体" w:hAnsi="宋体" w:cs="宋体"/>
          <w:b/>
          <w:color w:val="auto"/>
          <w:kern w:val="0"/>
          <w:sz w:val="24"/>
          <w:szCs w:val="24"/>
        </w:rPr>
        <w:t>磋商费用</w:t>
      </w:r>
    </w:p>
    <w:p w14:paraId="48996403">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不论磋商的结果如何，供应商均应自行承担所有与磋商有关的全部费用，采购人在任何情况下均无义务和责任承担这些费用。</w:t>
      </w:r>
    </w:p>
    <w:p w14:paraId="7F8DC315">
      <w:pPr>
        <w:pStyle w:val="58"/>
        <w:keepNext w:val="0"/>
        <w:keepLines w:val="0"/>
        <w:pageBreakBefore w:val="0"/>
        <w:numPr>
          <w:ilvl w:val="0"/>
          <w:numId w:val="2"/>
        </w:numPr>
        <w:kinsoku/>
        <w:wordWrap/>
        <w:overflowPunct/>
        <w:topLinePunct w:val="0"/>
        <w:autoSpaceDE w:val="0"/>
        <w:autoSpaceDN w:val="0"/>
        <w:bidi w:val="0"/>
        <w:snapToGrid/>
        <w:spacing w:line="360" w:lineRule="auto"/>
        <w:ind w:firstLineChars="0"/>
        <w:contextualSpacing/>
        <w:textAlignment w:val="auto"/>
        <w:rPr>
          <w:rFonts w:ascii="宋体" w:hAnsi="宋体" w:cs="宋体"/>
          <w:b/>
          <w:color w:val="auto"/>
          <w:kern w:val="0"/>
          <w:sz w:val="24"/>
          <w:szCs w:val="24"/>
        </w:rPr>
      </w:pPr>
      <w:r>
        <w:rPr>
          <w:rFonts w:hint="eastAsia" w:ascii="宋体" w:hAnsi="宋体" w:cs="宋体"/>
          <w:b/>
          <w:color w:val="auto"/>
          <w:kern w:val="0"/>
          <w:sz w:val="24"/>
          <w:szCs w:val="24"/>
        </w:rPr>
        <w:t>信息发布</w:t>
      </w:r>
    </w:p>
    <w:p w14:paraId="671A0CB5">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本采购项目需要公开的有关信息，包括磋商公告、磋商文件澄清或修改公告、成交公告以及延长响应文件提交截止时间等与采购活动有关的通知，采购人均将通过在《中国政府采购网》《河南省政府采购网》《许昌市政府采购网》《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采购人、采购代理公司在任何情况下均不对此承担任何责任。</w:t>
      </w:r>
    </w:p>
    <w:p w14:paraId="46979742">
      <w:pPr>
        <w:pStyle w:val="58"/>
        <w:keepNext w:val="0"/>
        <w:keepLines w:val="0"/>
        <w:pageBreakBefore w:val="0"/>
        <w:numPr>
          <w:ilvl w:val="0"/>
          <w:numId w:val="2"/>
        </w:numPr>
        <w:kinsoku/>
        <w:wordWrap/>
        <w:overflowPunct/>
        <w:topLinePunct w:val="0"/>
        <w:autoSpaceDE w:val="0"/>
        <w:autoSpaceDN w:val="0"/>
        <w:bidi w:val="0"/>
        <w:snapToGrid/>
        <w:spacing w:line="360" w:lineRule="auto"/>
        <w:ind w:firstLineChars="0"/>
        <w:contextualSpacing/>
        <w:textAlignment w:val="auto"/>
        <w:rPr>
          <w:rFonts w:ascii="宋体" w:hAnsi="宋体" w:cs="宋体"/>
          <w:b/>
          <w:color w:val="auto"/>
          <w:kern w:val="0"/>
          <w:sz w:val="24"/>
          <w:szCs w:val="24"/>
        </w:rPr>
      </w:pPr>
      <w:r>
        <w:rPr>
          <w:rFonts w:hint="eastAsia" w:ascii="宋体" w:hAnsi="宋体" w:cs="宋体"/>
          <w:b/>
          <w:color w:val="auto"/>
          <w:kern w:val="0"/>
          <w:sz w:val="24"/>
          <w:szCs w:val="24"/>
        </w:rPr>
        <w:t>代理费用</w:t>
      </w:r>
    </w:p>
    <w:p w14:paraId="07063290">
      <w:pPr>
        <w:pStyle w:val="58"/>
        <w:keepNext w:val="0"/>
        <w:keepLines w:val="0"/>
        <w:pageBreakBefore w:val="0"/>
        <w:kinsoku/>
        <w:wordWrap/>
        <w:overflowPunct/>
        <w:topLinePunct w:val="0"/>
        <w:autoSpaceDE w:val="0"/>
        <w:autoSpaceDN w:val="0"/>
        <w:bidi w:val="0"/>
        <w:snapToGrid/>
        <w:spacing w:line="360" w:lineRule="auto"/>
        <w:ind w:left="420" w:firstLine="0" w:firstLineChars="0"/>
        <w:contextualSpacing/>
        <w:textAlignment w:val="auto"/>
        <w:rPr>
          <w:rFonts w:ascii="宋体" w:hAnsi="宋体" w:cs="宋体"/>
          <w:color w:val="auto"/>
          <w:kern w:val="0"/>
          <w:sz w:val="24"/>
          <w:szCs w:val="24"/>
        </w:rPr>
      </w:pPr>
      <w:r>
        <w:rPr>
          <w:rFonts w:hint="eastAsia" w:ascii="宋体" w:hAnsi="宋体" w:cs="宋体"/>
          <w:color w:val="auto"/>
          <w:kern w:val="0"/>
          <w:sz w:val="24"/>
          <w:szCs w:val="24"/>
          <w:lang w:val="en-US" w:eastAsia="zh-CN"/>
        </w:rPr>
        <w:t>本项目收取代理费用。收取标准和方式详见供应商须知前附表。</w:t>
      </w:r>
    </w:p>
    <w:p w14:paraId="311CDCC5">
      <w:pPr>
        <w:pStyle w:val="58"/>
        <w:keepNext w:val="0"/>
        <w:keepLines w:val="0"/>
        <w:pageBreakBefore w:val="0"/>
        <w:numPr>
          <w:ilvl w:val="0"/>
          <w:numId w:val="2"/>
        </w:numPr>
        <w:kinsoku/>
        <w:wordWrap/>
        <w:overflowPunct/>
        <w:topLinePunct w:val="0"/>
        <w:autoSpaceDE w:val="0"/>
        <w:autoSpaceDN w:val="0"/>
        <w:bidi w:val="0"/>
        <w:snapToGrid/>
        <w:spacing w:line="360" w:lineRule="auto"/>
        <w:ind w:firstLineChars="0"/>
        <w:contextualSpacing/>
        <w:textAlignment w:val="auto"/>
        <w:rPr>
          <w:rFonts w:ascii="宋体" w:hAnsi="宋体" w:cs="宋体"/>
          <w:b/>
          <w:color w:val="auto"/>
          <w:kern w:val="0"/>
          <w:sz w:val="24"/>
          <w:szCs w:val="24"/>
        </w:rPr>
      </w:pPr>
      <w:r>
        <w:rPr>
          <w:rFonts w:hint="eastAsia" w:ascii="宋体" w:hAnsi="宋体" w:cs="宋体"/>
          <w:b/>
          <w:color w:val="auto"/>
          <w:kern w:val="0"/>
          <w:sz w:val="24"/>
          <w:szCs w:val="24"/>
        </w:rPr>
        <w:t>其他</w:t>
      </w:r>
    </w:p>
    <w:p w14:paraId="7556A571">
      <w:pPr>
        <w:pStyle w:val="5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本“供应商须知”的条款如与“磋商邀请”、“采购需求”、“供应商须知前附表”和“对响应文件审查与评审”就同一内容的表述不一致的，以“磋商邀请”、“采购需求”、“供应商须知前附表”和“对响应文件审查与评审”中规定的内容为准。</w:t>
      </w:r>
    </w:p>
    <w:p w14:paraId="638D4F1D">
      <w:pPr>
        <w:keepNext w:val="0"/>
        <w:keepLines w:val="0"/>
        <w:pageBreakBefore w:val="0"/>
        <w:tabs>
          <w:tab w:val="left" w:pos="1260"/>
        </w:tabs>
        <w:kinsoku/>
        <w:wordWrap/>
        <w:overflowPunct/>
        <w:topLinePunct w:val="0"/>
        <w:autoSpaceDE w:val="0"/>
        <w:autoSpaceDN w:val="0"/>
        <w:bidi w:val="0"/>
        <w:adjustRightInd w:val="0"/>
        <w:snapToGrid/>
        <w:spacing w:line="360" w:lineRule="auto"/>
        <w:jc w:val="center"/>
        <w:textAlignment w:val="auto"/>
        <w:outlineLvl w:val="1"/>
        <w:rPr>
          <w:rFonts w:ascii="宋体" w:hAnsi="宋体" w:cs="宋体"/>
          <w:b/>
          <w:color w:val="auto"/>
          <w:kern w:val="0"/>
          <w:sz w:val="24"/>
          <w:szCs w:val="24"/>
        </w:rPr>
      </w:pPr>
      <w:bookmarkStart w:id="8" w:name="_Toc138068720"/>
      <w:r>
        <w:rPr>
          <w:rFonts w:hint="eastAsia" w:ascii="宋体" w:hAnsi="宋体" w:cs="宋体"/>
          <w:b/>
          <w:color w:val="auto"/>
          <w:kern w:val="0"/>
          <w:sz w:val="24"/>
          <w:szCs w:val="24"/>
        </w:rPr>
        <w:t>二、磋商文件说明</w:t>
      </w:r>
      <w:bookmarkEnd w:id="8"/>
    </w:p>
    <w:p w14:paraId="37204356">
      <w:pPr>
        <w:pStyle w:val="58"/>
        <w:keepNext w:val="0"/>
        <w:keepLines w:val="0"/>
        <w:pageBreakBefore w:val="0"/>
        <w:numPr>
          <w:ilvl w:val="0"/>
          <w:numId w:val="2"/>
        </w:numPr>
        <w:kinsoku/>
        <w:wordWrap/>
        <w:overflowPunct/>
        <w:topLinePunct w:val="0"/>
        <w:autoSpaceDE w:val="0"/>
        <w:autoSpaceDN w:val="0"/>
        <w:bidi w:val="0"/>
        <w:snapToGrid/>
        <w:spacing w:line="360" w:lineRule="auto"/>
        <w:ind w:firstLineChars="0"/>
        <w:contextualSpacing/>
        <w:textAlignment w:val="auto"/>
        <w:rPr>
          <w:rFonts w:ascii="宋体" w:hAnsi="宋体" w:cs="宋体"/>
          <w:b/>
          <w:color w:val="auto"/>
          <w:kern w:val="0"/>
          <w:sz w:val="24"/>
          <w:szCs w:val="24"/>
        </w:rPr>
      </w:pPr>
      <w:r>
        <w:rPr>
          <w:rFonts w:hint="eastAsia" w:ascii="宋体" w:hAnsi="宋体" w:cs="宋体"/>
          <w:b/>
          <w:color w:val="auto"/>
          <w:kern w:val="0"/>
          <w:sz w:val="24"/>
          <w:szCs w:val="24"/>
        </w:rPr>
        <w:t>磋商文件构成</w:t>
      </w:r>
    </w:p>
    <w:p w14:paraId="38263DD9">
      <w:pPr>
        <w:pStyle w:val="58"/>
        <w:keepNext w:val="0"/>
        <w:keepLines w:val="0"/>
        <w:pageBreakBefore w:val="0"/>
        <w:numPr>
          <w:ilvl w:val="0"/>
          <w:numId w:val="3"/>
        </w:numPr>
        <w:kinsoku/>
        <w:wordWrap/>
        <w:overflowPunct/>
        <w:topLinePunct w:val="0"/>
        <w:autoSpaceDE w:val="0"/>
        <w:autoSpaceDN w:val="0"/>
        <w:bidi w:val="0"/>
        <w:snapToGrid/>
        <w:spacing w:line="360" w:lineRule="auto"/>
        <w:ind w:firstLineChars="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磋商文件由以下部分组成：</w:t>
      </w:r>
    </w:p>
    <w:p w14:paraId="4962E465">
      <w:pPr>
        <w:keepNext w:val="0"/>
        <w:keepLines w:val="0"/>
        <w:pageBreakBefore w:val="0"/>
        <w:kinsoku/>
        <w:wordWrap/>
        <w:overflowPunct/>
        <w:topLinePunct w:val="0"/>
        <w:autoSpaceDE w:val="0"/>
        <w:autoSpaceDN w:val="0"/>
        <w:bidi w:val="0"/>
        <w:snapToGrid/>
        <w:spacing w:line="360" w:lineRule="auto"/>
        <w:ind w:left="964"/>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第一章</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采购邀请（竞争性磋商公告）</w:t>
      </w:r>
    </w:p>
    <w:p w14:paraId="1A674A26">
      <w:pPr>
        <w:keepNext w:val="0"/>
        <w:keepLines w:val="0"/>
        <w:pageBreakBefore w:val="0"/>
        <w:kinsoku/>
        <w:wordWrap/>
        <w:overflowPunct/>
        <w:topLinePunct w:val="0"/>
        <w:autoSpaceDE w:val="0"/>
        <w:autoSpaceDN w:val="0"/>
        <w:bidi w:val="0"/>
        <w:snapToGrid/>
        <w:spacing w:line="360" w:lineRule="auto"/>
        <w:ind w:left="964"/>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第二章</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采购需求</w:t>
      </w:r>
    </w:p>
    <w:p w14:paraId="2091F43C">
      <w:pPr>
        <w:keepNext w:val="0"/>
        <w:keepLines w:val="0"/>
        <w:pageBreakBefore w:val="0"/>
        <w:kinsoku/>
        <w:wordWrap/>
        <w:overflowPunct/>
        <w:topLinePunct w:val="0"/>
        <w:autoSpaceDE w:val="0"/>
        <w:autoSpaceDN w:val="0"/>
        <w:bidi w:val="0"/>
        <w:snapToGrid/>
        <w:spacing w:line="360" w:lineRule="auto"/>
        <w:ind w:left="964"/>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第三章</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供应商须知前附表</w:t>
      </w:r>
    </w:p>
    <w:p w14:paraId="56549A6C">
      <w:pPr>
        <w:keepNext w:val="0"/>
        <w:keepLines w:val="0"/>
        <w:pageBreakBefore w:val="0"/>
        <w:kinsoku/>
        <w:wordWrap/>
        <w:overflowPunct/>
        <w:topLinePunct w:val="0"/>
        <w:autoSpaceDE w:val="0"/>
        <w:autoSpaceDN w:val="0"/>
        <w:bidi w:val="0"/>
        <w:snapToGrid/>
        <w:spacing w:line="360" w:lineRule="auto"/>
        <w:ind w:left="964"/>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第四章</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供应商须知</w:t>
      </w:r>
    </w:p>
    <w:p w14:paraId="75E52935">
      <w:pPr>
        <w:keepNext w:val="0"/>
        <w:keepLines w:val="0"/>
        <w:pageBreakBefore w:val="0"/>
        <w:kinsoku/>
        <w:wordWrap/>
        <w:overflowPunct/>
        <w:topLinePunct w:val="0"/>
        <w:autoSpaceDE w:val="0"/>
        <w:autoSpaceDN w:val="0"/>
        <w:bidi w:val="0"/>
        <w:snapToGrid/>
        <w:spacing w:line="360" w:lineRule="auto"/>
        <w:ind w:left="964"/>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第五章</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政府采购政策功能</w:t>
      </w:r>
    </w:p>
    <w:p w14:paraId="34C8DE6F">
      <w:pPr>
        <w:keepNext w:val="0"/>
        <w:keepLines w:val="0"/>
        <w:pageBreakBefore w:val="0"/>
        <w:kinsoku/>
        <w:wordWrap/>
        <w:overflowPunct/>
        <w:topLinePunct w:val="0"/>
        <w:autoSpaceDE w:val="0"/>
        <w:autoSpaceDN w:val="0"/>
        <w:bidi w:val="0"/>
        <w:snapToGrid/>
        <w:spacing w:line="360" w:lineRule="auto"/>
        <w:ind w:left="964"/>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第六章</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资格审查与评审</w:t>
      </w:r>
    </w:p>
    <w:p w14:paraId="35C9BB9F">
      <w:pPr>
        <w:keepNext w:val="0"/>
        <w:keepLines w:val="0"/>
        <w:pageBreakBefore w:val="0"/>
        <w:kinsoku/>
        <w:wordWrap/>
        <w:overflowPunct/>
        <w:topLinePunct w:val="0"/>
        <w:autoSpaceDE w:val="0"/>
        <w:autoSpaceDN w:val="0"/>
        <w:bidi w:val="0"/>
        <w:snapToGrid/>
        <w:spacing w:line="360" w:lineRule="auto"/>
        <w:ind w:left="964"/>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第七章</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合同书格式及合同条款</w:t>
      </w:r>
    </w:p>
    <w:p w14:paraId="571EC265">
      <w:pPr>
        <w:keepNext w:val="0"/>
        <w:keepLines w:val="0"/>
        <w:pageBreakBefore w:val="0"/>
        <w:kinsoku/>
        <w:wordWrap/>
        <w:overflowPunct/>
        <w:topLinePunct w:val="0"/>
        <w:autoSpaceDE w:val="0"/>
        <w:autoSpaceDN w:val="0"/>
        <w:bidi w:val="0"/>
        <w:snapToGrid/>
        <w:spacing w:line="360" w:lineRule="auto"/>
        <w:ind w:left="964"/>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第八章</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响应文件有关格式</w:t>
      </w:r>
    </w:p>
    <w:p w14:paraId="08BC8374">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14:paraId="67B4AB41">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285B1937">
      <w:pPr>
        <w:keepNext w:val="0"/>
        <w:keepLines w:val="0"/>
        <w:pageBreakBefore w:val="0"/>
        <w:numPr>
          <w:ilvl w:val="0"/>
          <w:numId w:val="2"/>
        </w:numPr>
        <w:kinsoku/>
        <w:wordWrap/>
        <w:overflowPunct/>
        <w:topLinePunct w:val="0"/>
        <w:autoSpaceDE w:val="0"/>
        <w:autoSpaceDN w:val="0"/>
        <w:bidi w:val="0"/>
        <w:snapToGrid/>
        <w:spacing w:line="360" w:lineRule="auto"/>
        <w:contextualSpacing/>
        <w:textAlignment w:val="auto"/>
        <w:rPr>
          <w:rFonts w:ascii="宋体" w:hAnsi="宋体" w:cs="宋体"/>
          <w:b/>
          <w:color w:val="auto"/>
          <w:kern w:val="0"/>
          <w:sz w:val="24"/>
        </w:rPr>
      </w:pPr>
      <w:r>
        <w:rPr>
          <w:rFonts w:hint="eastAsia" w:ascii="宋体" w:hAnsi="宋体" w:cs="宋体"/>
          <w:b/>
          <w:color w:val="auto"/>
          <w:kern w:val="0"/>
          <w:sz w:val="24"/>
        </w:rPr>
        <w:t>现场考察、磋商前答疑会（如有）</w:t>
      </w:r>
    </w:p>
    <w:p w14:paraId="0942B63D">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10.1采购人根据采购项目的具体情况，可以在磋商文件公告期满后，组织已获取磋商文件的供应商现场考察或者召开磋商前答疑会。</w:t>
      </w:r>
    </w:p>
    <w:p w14:paraId="1D77333D">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10.2采购人组织现场考察或者召开磋商前答疑会的，所有供应商应按“供应商须知前附表”规定的时间、地点前往参加现场考察或者磋商前答疑会。供应商如不参加，其风险由供应商自行承担，采购人不承担任何责任。</w:t>
      </w:r>
    </w:p>
    <w:p w14:paraId="74E065E8">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10.3采购人组织现场考察或者召开答疑会的，应当在磋商文件中载明，或者在磋商文件公告期满后在财政部门指定的政府采购信息发布媒体和《全国公共资源交易平台（河南省·许昌市）》发布更正公告。</w:t>
      </w:r>
    </w:p>
    <w:p w14:paraId="56008740">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10.4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14:paraId="1D3FE554">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10.5现场考察及参加磋商前答疑会所发生的费用及一切责任由供应商自行承担。</w:t>
      </w:r>
    </w:p>
    <w:p w14:paraId="2FAEAD6C">
      <w:pPr>
        <w:pStyle w:val="58"/>
        <w:keepNext w:val="0"/>
        <w:keepLines w:val="0"/>
        <w:pageBreakBefore w:val="0"/>
        <w:numPr>
          <w:ilvl w:val="0"/>
          <w:numId w:val="2"/>
        </w:numPr>
        <w:kinsoku/>
        <w:wordWrap/>
        <w:overflowPunct/>
        <w:topLinePunct w:val="0"/>
        <w:autoSpaceDE w:val="0"/>
        <w:autoSpaceDN w:val="0"/>
        <w:bidi w:val="0"/>
        <w:snapToGrid/>
        <w:spacing w:line="360" w:lineRule="auto"/>
        <w:ind w:firstLineChars="0"/>
        <w:contextualSpacing/>
        <w:textAlignment w:val="auto"/>
        <w:rPr>
          <w:rFonts w:ascii="宋体" w:hAnsi="宋体" w:cs="宋体"/>
          <w:b/>
          <w:color w:val="auto"/>
          <w:kern w:val="0"/>
          <w:sz w:val="24"/>
          <w:szCs w:val="24"/>
        </w:rPr>
      </w:pPr>
      <w:r>
        <w:rPr>
          <w:rFonts w:hint="eastAsia" w:ascii="宋体" w:hAnsi="宋体" w:cs="宋体"/>
          <w:b/>
          <w:color w:val="auto"/>
          <w:kern w:val="0"/>
          <w:sz w:val="24"/>
          <w:szCs w:val="24"/>
        </w:rPr>
        <w:t>磋商文件的澄清或修改</w:t>
      </w:r>
    </w:p>
    <w:p w14:paraId="1103F65C">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11.1在磋商响应截止期前，无论出于何种原因，采购人可主动地或在解答潜在供应商提出的澄清问题时对磋商文件进行修改。</w:t>
      </w:r>
    </w:p>
    <w:p w14:paraId="2D693DAC">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11.2采购人可以对已发出的磋商文件进行必要的澄清或者修改。澄清或者修改的内容可能影响响应文件编制的，采购人将在磋商响应截止时间5日前，在财政部门指定的政府采购信息发布媒体和《全国公共资源交易平台（河南省·许昌市）》发布更正公告。</w:t>
      </w:r>
    </w:p>
    <w:p w14:paraId="2C66A24E">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11.3澄清或修改公告的内容为磋商文件的组成部分，并对供应商具有约束力。当磋商文件与澄清或修改公告就同一内容的表述不一致时，以最后发出的文件内容为准。</w:t>
      </w:r>
    </w:p>
    <w:p w14:paraId="6D84AD1A">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11.4如果澄清或者修改发出的时间距规定的磋商响应截止时间不足5日的，采购人将顺延提交响应文件的截止时间。</w:t>
      </w:r>
    </w:p>
    <w:p w14:paraId="3A7CA94A">
      <w:pPr>
        <w:keepNext w:val="0"/>
        <w:keepLines w:val="0"/>
        <w:pageBreakBefore w:val="0"/>
        <w:tabs>
          <w:tab w:val="left" w:pos="1260"/>
        </w:tabs>
        <w:kinsoku/>
        <w:wordWrap/>
        <w:overflowPunct/>
        <w:topLinePunct w:val="0"/>
        <w:autoSpaceDE w:val="0"/>
        <w:autoSpaceDN w:val="0"/>
        <w:bidi w:val="0"/>
        <w:adjustRightInd w:val="0"/>
        <w:snapToGrid/>
        <w:spacing w:line="360" w:lineRule="auto"/>
        <w:jc w:val="center"/>
        <w:textAlignment w:val="auto"/>
        <w:outlineLvl w:val="1"/>
        <w:rPr>
          <w:rFonts w:ascii="宋体" w:hAnsi="宋体" w:cs="宋体"/>
          <w:b/>
          <w:color w:val="auto"/>
          <w:kern w:val="0"/>
          <w:sz w:val="24"/>
          <w:szCs w:val="24"/>
        </w:rPr>
      </w:pPr>
      <w:bookmarkStart w:id="9" w:name="_Toc138068721"/>
      <w:r>
        <w:rPr>
          <w:rFonts w:hint="eastAsia" w:ascii="宋体" w:hAnsi="宋体" w:cs="宋体"/>
          <w:b/>
          <w:color w:val="auto"/>
          <w:kern w:val="0"/>
          <w:sz w:val="24"/>
          <w:szCs w:val="24"/>
        </w:rPr>
        <w:t>三、响应文件的编制</w:t>
      </w:r>
      <w:bookmarkEnd w:id="9"/>
    </w:p>
    <w:p w14:paraId="6DD8DEB3">
      <w:pPr>
        <w:pStyle w:val="58"/>
        <w:keepNext w:val="0"/>
        <w:keepLines w:val="0"/>
        <w:pageBreakBefore w:val="0"/>
        <w:numPr>
          <w:ilvl w:val="0"/>
          <w:numId w:val="2"/>
        </w:numPr>
        <w:kinsoku/>
        <w:wordWrap/>
        <w:overflowPunct/>
        <w:topLinePunct w:val="0"/>
        <w:autoSpaceDE w:val="0"/>
        <w:autoSpaceDN w:val="0"/>
        <w:bidi w:val="0"/>
        <w:snapToGrid/>
        <w:spacing w:line="360" w:lineRule="auto"/>
        <w:ind w:firstLineChars="0"/>
        <w:contextualSpacing/>
        <w:textAlignment w:val="auto"/>
        <w:rPr>
          <w:rFonts w:ascii="宋体" w:hAnsi="宋体" w:cs="宋体"/>
          <w:b/>
          <w:color w:val="auto"/>
          <w:kern w:val="0"/>
          <w:sz w:val="24"/>
          <w:szCs w:val="24"/>
        </w:rPr>
      </w:pPr>
      <w:r>
        <w:rPr>
          <w:rFonts w:hint="eastAsia" w:ascii="宋体" w:hAnsi="宋体" w:cs="宋体"/>
          <w:b/>
          <w:color w:val="auto"/>
          <w:kern w:val="0"/>
          <w:sz w:val="24"/>
          <w:szCs w:val="24"/>
        </w:rPr>
        <w:t>响应文件的语言及计量单位</w:t>
      </w:r>
    </w:p>
    <w:p w14:paraId="22C8B096">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12.1供应商提交的响应文件以及供应商与采购人就有关采购事宜的所有来往书面文件均应使用中文。除签名、盖章、专用名称等特殊情形外，以中文以外的文字表述的响应文件视同未提供。</w:t>
      </w:r>
    </w:p>
    <w:p w14:paraId="7F4F8B4F">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12.2响应文件计量单位，磋商文件已有明确规定的，使用磋商文件规定的计量单位；磋商文件没有规定的，一律采用中华人民共和国法定计量单位。</w:t>
      </w:r>
    </w:p>
    <w:p w14:paraId="4EE14B2E">
      <w:pPr>
        <w:pStyle w:val="58"/>
        <w:keepNext w:val="0"/>
        <w:keepLines w:val="0"/>
        <w:pageBreakBefore w:val="0"/>
        <w:numPr>
          <w:ilvl w:val="0"/>
          <w:numId w:val="2"/>
        </w:numPr>
        <w:kinsoku/>
        <w:wordWrap/>
        <w:overflowPunct/>
        <w:topLinePunct w:val="0"/>
        <w:autoSpaceDE w:val="0"/>
        <w:autoSpaceDN w:val="0"/>
        <w:bidi w:val="0"/>
        <w:snapToGrid/>
        <w:spacing w:line="360" w:lineRule="auto"/>
        <w:ind w:firstLineChars="0"/>
        <w:contextualSpacing/>
        <w:textAlignment w:val="auto"/>
        <w:rPr>
          <w:rFonts w:ascii="宋体" w:hAnsi="宋体" w:cs="宋体"/>
          <w:b/>
          <w:color w:val="auto"/>
          <w:kern w:val="0"/>
          <w:sz w:val="24"/>
          <w:szCs w:val="24"/>
        </w:rPr>
      </w:pPr>
      <w:r>
        <w:rPr>
          <w:rFonts w:hint="eastAsia" w:ascii="宋体" w:hAnsi="宋体" w:cs="宋体"/>
          <w:b/>
          <w:color w:val="auto"/>
          <w:kern w:val="0"/>
          <w:sz w:val="24"/>
          <w:szCs w:val="24"/>
        </w:rPr>
        <w:t>报价</w:t>
      </w:r>
    </w:p>
    <w:p w14:paraId="6B08647C">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13.1本次采购项目的报价均以人民币为计算单位。</w:t>
      </w:r>
    </w:p>
    <w:p w14:paraId="0B115CF4">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13.2采购人不得向供应商索要或者接受其给予的赠品、回扣或者与采购无关的其他商品、服务。</w:t>
      </w:r>
    </w:p>
    <w:p w14:paraId="7641D951">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13.3供应商应对项目要求的全部内容进行报价，少报漏报将导致其投标为非实质性响应予以拒绝。</w:t>
      </w:r>
    </w:p>
    <w:p w14:paraId="0EC2CE42">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14:paraId="476D353D">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13.5本项目所涉及的运输、施工、安装、集成、调试、验收、备品和工具等费用均包含在响应报价中。</w:t>
      </w:r>
    </w:p>
    <w:p w14:paraId="6A1B3D8C">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13.6本次招标不接受可选择或可调整的投标方案和报价，任何有选择的或可调整的投标方案和报价将被视为非实质性响应投标而作无效投标处理。</w:t>
      </w:r>
    </w:p>
    <w:p w14:paraId="3F237F69">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13.7报价不得高于本项目最高限价，且不低于成本价。本次招标实行“最高限价（项目控制金额上限）”，供应商的投标报价高于最高限价（项目控制金额上限）的，该供应商的响应文件将被视为非实质性响应予以拒绝。</w:t>
      </w:r>
    </w:p>
    <w:p w14:paraId="1CCEE5A1">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13.8最低报价不能作为成交的保证。</w:t>
      </w:r>
    </w:p>
    <w:p w14:paraId="203DF62A">
      <w:pPr>
        <w:pStyle w:val="58"/>
        <w:keepNext w:val="0"/>
        <w:keepLines w:val="0"/>
        <w:pageBreakBefore w:val="0"/>
        <w:numPr>
          <w:ilvl w:val="0"/>
          <w:numId w:val="2"/>
        </w:numPr>
        <w:kinsoku/>
        <w:wordWrap/>
        <w:overflowPunct/>
        <w:topLinePunct w:val="0"/>
        <w:autoSpaceDE w:val="0"/>
        <w:autoSpaceDN w:val="0"/>
        <w:bidi w:val="0"/>
        <w:snapToGrid/>
        <w:spacing w:line="360" w:lineRule="auto"/>
        <w:ind w:firstLineChars="0"/>
        <w:contextualSpacing/>
        <w:textAlignment w:val="auto"/>
        <w:rPr>
          <w:rFonts w:ascii="宋体" w:hAnsi="宋体" w:cs="宋体"/>
          <w:b/>
          <w:color w:val="auto"/>
          <w:kern w:val="0"/>
          <w:sz w:val="24"/>
          <w:szCs w:val="24"/>
        </w:rPr>
      </w:pPr>
      <w:r>
        <w:rPr>
          <w:rFonts w:hint="eastAsia" w:ascii="宋体" w:hAnsi="宋体" w:cs="宋体"/>
          <w:b/>
          <w:color w:val="auto"/>
          <w:kern w:val="0"/>
          <w:sz w:val="24"/>
          <w:szCs w:val="24"/>
        </w:rPr>
        <w:t>响应文件有效期</w:t>
      </w:r>
    </w:p>
    <w:p w14:paraId="2657ADAE">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14.1响应文件有效期从提交响应文件的截止之日起算。本项目响应文件有效期详见供应商须知前附表。响应文件中承诺的有效期应当不少于“供应商须知前附表”载明的响应文件有效期。响应文件有效期比磋商文件规定短的属于非实质性响应，将被认定为无效投标。</w:t>
      </w:r>
    </w:p>
    <w:p w14:paraId="68DD0DA7">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14.2响应有效期内供应商撤销响应文件的，供应商将承担违背磋商承诺函的责任追究。</w:t>
      </w:r>
    </w:p>
    <w:p w14:paraId="2A70617E">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14.3采购人可根据实际情况，在原报价有效期截止之前，征询供应商是否同意延长响应文件的有效期，供应商同意延长的须作出书面答复。在延长的报价有效期内，供应商将不会被要求和允许修正其报价。</w:t>
      </w:r>
    </w:p>
    <w:p w14:paraId="7F221BF4">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14.4成交供应商的响应文件作为项目合同的附件，其有效期至成交供应商全部合同义务履行完毕为止。</w:t>
      </w:r>
    </w:p>
    <w:p w14:paraId="037AA058">
      <w:pPr>
        <w:pStyle w:val="58"/>
        <w:keepNext w:val="0"/>
        <w:keepLines w:val="0"/>
        <w:pageBreakBefore w:val="0"/>
        <w:numPr>
          <w:ilvl w:val="0"/>
          <w:numId w:val="2"/>
        </w:numPr>
        <w:kinsoku/>
        <w:wordWrap/>
        <w:overflowPunct/>
        <w:topLinePunct w:val="0"/>
        <w:autoSpaceDE w:val="0"/>
        <w:autoSpaceDN w:val="0"/>
        <w:bidi w:val="0"/>
        <w:snapToGrid/>
        <w:spacing w:line="360" w:lineRule="auto"/>
        <w:ind w:firstLineChars="0"/>
        <w:contextualSpacing/>
        <w:textAlignment w:val="auto"/>
        <w:rPr>
          <w:rFonts w:ascii="宋体" w:hAnsi="宋体" w:cs="宋体"/>
          <w:b/>
          <w:color w:val="auto"/>
          <w:kern w:val="0"/>
          <w:sz w:val="24"/>
          <w:szCs w:val="24"/>
        </w:rPr>
      </w:pPr>
      <w:r>
        <w:rPr>
          <w:rFonts w:hint="eastAsia" w:ascii="宋体" w:hAnsi="宋体" w:cs="宋体"/>
          <w:b/>
          <w:color w:val="auto"/>
          <w:kern w:val="0"/>
          <w:sz w:val="24"/>
          <w:szCs w:val="24"/>
        </w:rPr>
        <w:t>响应文件构成</w:t>
      </w:r>
    </w:p>
    <w:p w14:paraId="1C875282">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rPr>
        <w:t>15.1响应文件的构成应符合法律法规及磋商文件的要求。</w:t>
      </w:r>
    </w:p>
    <w:p w14:paraId="432BA75B">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rPr>
        <w:t>15.2供应商应当按照磋商文件的要求编制响应文件。响应文件应当对磋商文件提出的要求和条件作出明确响应。</w:t>
      </w:r>
    </w:p>
    <w:p w14:paraId="4C4D52E1">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rPr>
        <w:t>15.3响应文件由资格证明材料、符合性证明材料、其它材料等组成。</w:t>
      </w:r>
    </w:p>
    <w:p w14:paraId="5212A1D8">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rPr>
        <w:t>15.4供应商根据磋商文件的规定和采购项目的实际情况，拟在成交后将成交项目的非主体、非关键性工作分包的，应当在响应文件中载明分包承担主体，分包承担主体应当具备相应资质条件且不得再次分包。</w:t>
      </w:r>
    </w:p>
    <w:p w14:paraId="60CC43FC">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15.5供应商登录“全国公共资源交易平台（河南省·许昌市）”下载“新点投标文件制作软件（河南省版）”的最新版本，按所响应标段磋商文件的要求制作电子响应文件。一个标段对应生成2份电子响应文件（后缀格式为.XCSTF和.nXCSTF）</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其中后缀格式为“.XCSTF”的加密电子响应文件用于上传至交易系统中投标。</w:t>
      </w:r>
    </w:p>
    <w:p w14:paraId="5194AE44">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15.6电子响应文件制作技术咨询：0374-2961598。</w:t>
      </w:r>
    </w:p>
    <w:p w14:paraId="35A263AB">
      <w:pPr>
        <w:pStyle w:val="58"/>
        <w:keepNext w:val="0"/>
        <w:keepLines w:val="0"/>
        <w:pageBreakBefore w:val="0"/>
        <w:numPr>
          <w:ilvl w:val="0"/>
          <w:numId w:val="2"/>
        </w:numPr>
        <w:kinsoku/>
        <w:wordWrap/>
        <w:overflowPunct/>
        <w:topLinePunct w:val="0"/>
        <w:autoSpaceDE w:val="0"/>
        <w:autoSpaceDN w:val="0"/>
        <w:bidi w:val="0"/>
        <w:snapToGrid/>
        <w:spacing w:line="360" w:lineRule="auto"/>
        <w:ind w:firstLineChars="0"/>
        <w:contextualSpacing/>
        <w:textAlignment w:val="auto"/>
        <w:rPr>
          <w:rFonts w:ascii="宋体" w:hAnsi="宋体" w:cs="宋体"/>
          <w:b/>
          <w:color w:val="auto"/>
          <w:kern w:val="0"/>
          <w:sz w:val="24"/>
          <w:szCs w:val="24"/>
        </w:rPr>
      </w:pPr>
      <w:r>
        <w:rPr>
          <w:rFonts w:hint="eastAsia" w:ascii="宋体" w:hAnsi="宋体" w:cs="宋体"/>
          <w:b/>
          <w:color w:val="auto"/>
          <w:kern w:val="0"/>
          <w:sz w:val="24"/>
          <w:szCs w:val="24"/>
        </w:rPr>
        <w:t>响应文件格式</w:t>
      </w:r>
    </w:p>
    <w:p w14:paraId="04F0AC53">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16.1供应商编制的响应文件应当满足磋商文件规定的基本格式要求。</w:t>
      </w:r>
    </w:p>
    <w:p w14:paraId="5BDC951C">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16.2供应商应按磋商文件提供的格式编写响应文件。磋商文件未提供标准格式的供应商可自行拟定。</w:t>
      </w:r>
    </w:p>
    <w:p w14:paraId="2AFAFA44">
      <w:pPr>
        <w:pStyle w:val="58"/>
        <w:keepNext w:val="0"/>
        <w:keepLines w:val="0"/>
        <w:pageBreakBefore w:val="0"/>
        <w:numPr>
          <w:ilvl w:val="0"/>
          <w:numId w:val="2"/>
        </w:numPr>
        <w:kinsoku/>
        <w:wordWrap/>
        <w:overflowPunct/>
        <w:topLinePunct w:val="0"/>
        <w:autoSpaceDE w:val="0"/>
        <w:autoSpaceDN w:val="0"/>
        <w:bidi w:val="0"/>
        <w:snapToGrid/>
        <w:spacing w:line="360" w:lineRule="auto"/>
        <w:ind w:firstLineChars="0"/>
        <w:contextualSpacing/>
        <w:textAlignment w:val="auto"/>
        <w:rPr>
          <w:rFonts w:ascii="宋体" w:hAnsi="宋体" w:cs="宋体"/>
          <w:b/>
          <w:color w:val="auto"/>
          <w:kern w:val="0"/>
          <w:sz w:val="24"/>
          <w:szCs w:val="24"/>
        </w:rPr>
      </w:pPr>
      <w:r>
        <w:rPr>
          <w:rFonts w:hint="eastAsia" w:ascii="宋体" w:hAnsi="宋体" w:cs="宋体"/>
          <w:b/>
          <w:color w:val="auto"/>
          <w:kern w:val="0"/>
          <w:sz w:val="24"/>
          <w:szCs w:val="24"/>
        </w:rPr>
        <w:t>磋商保证金：</w:t>
      </w:r>
      <w:r>
        <w:rPr>
          <w:rFonts w:hint="eastAsia" w:ascii="宋体" w:hAnsi="宋体" w:cs="仿宋_GB2312"/>
          <w:color w:val="auto"/>
          <w:sz w:val="24"/>
          <w:szCs w:val="24"/>
        </w:rPr>
        <w:t>按照河南省《关于优化政府采购营商环境有关问题的通知》（豫财购（2019）4号文）的要求，</w:t>
      </w:r>
      <w:r>
        <w:rPr>
          <w:rFonts w:hint="eastAsia" w:ascii="宋体" w:hAnsi="宋体" w:cs="仿宋_GB2312"/>
          <w:b/>
          <w:bCs/>
          <w:color w:val="auto"/>
          <w:sz w:val="24"/>
          <w:szCs w:val="24"/>
        </w:rPr>
        <w:t>不收取磋商保证金。</w:t>
      </w:r>
      <w:r>
        <w:rPr>
          <w:rFonts w:hint="eastAsia" w:ascii="宋体" w:hAnsi="宋体" w:cs="仿宋_GB2312"/>
          <w:color w:val="auto"/>
          <w:sz w:val="24"/>
          <w:szCs w:val="24"/>
          <w:lang w:val="zh-CN"/>
        </w:rPr>
        <w:t>供应商应提供磋商承诺函（按照磋商文件第八章</w:t>
      </w:r>
      <w:r>
        <w:rPr>
          <w:rFonts w:hint="eastAsia" w:ascii="宋体" w:hAnsi="宋体" w:cs="仿宋_GB2312"/>
          <w:color w:val="auto"/>
          <w:sz w:val="24"/>
          <w:szCs w:val="24"/>
        </w:rPr>
        <w:t>3.4格式填写</w:t>
      </w:r>
      <w:r>
        <w:rPr>
          <w:rFonts w:hint="eastAsia" w:ascii="宋体" w:hAnsi="宋体" w:cs="仿宋_GB2312"/>
          <w:color w:val="auto"/>
          <w:sz w:val="24"/>
          <w:szCs w:val="24"/>
          <w:lang w:val="zh-CN"/>
        </w:rPr>
        <w:t>）。</w:t>
      </w:r>
    </w:p>
    <w:p w14:paraId="1D51A8F1">
      <w:pPr>
        <w:pStyle w:val="58"/>
        <w:keepNext w:val="0"/>
        <w:keepLines w:val="0"/>
        <w:pageBreakBefore w:val="0"/>
        <w:numPr>
          <w:ilvl w:val="0"/>
          <w:numId w:val="2"/>
        </w:numPr>
        <w:kinsoku/>
        <w:wordWrap/>
        <w:overflowPunct/>
        <w:topLinePunct w:val="0"/>
        <w:autoSpaceDE w:val="0"/>
        <w:autoSpaceDN w:val="0"/>
        <w:bidi w:val="0"/>
        <w:snapToGrid/>
        <w:spacing w:line="360" w:lineRule="auto"/>
        <w:ind w:firstLineChars="0"/>
        <w:contextualSpacing/>
        <w:textAlignment w:val="auto"/>
        <w:rPr>
          <w:rFonts w:ascii="宋体" w:hAnsi="宋体" w:cs="宋体"/>
          <w:b/>
          <w:color w:val="auto"/>
          <w:kern w:val="0"/>
          <w:sz w:val="24"/>
          <w:szCs w:val="24"/>
        </w:rPr>
      </w:pPr>
      <w:r>
        <w:rPr>
          <w:rFonts w:hint="eastAsia" w:ascii="宋体" w:hAnsi="宋体" w:cs="宋体"/>
          <w:b/>
          <w:color w:val="auto"/>
          <w:kern w:val="0"/>
          <w:sz w:val="24"/>
          <w:szCs w:val="24"/>
        </w:rPr>
        <w:t>磋商文件的数量和签署盖章</w:t>
      </w:r>
    </w:p>
    <w:p w14:paraId="460E0FB0">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18.1供应商应提交响应文件份数见“供应商须知前附表”。</w:t>
      </w:r>
    </w:p>
    <w:p w14:paraId="6CE2F870">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18.2在磋商文件中已明示需盖章及签名之处，电子响应文件应按磋商文件要求加盖供应商电子印章和法人电子印章或授权代表电子印章。</w:t>
      </w:r>
    </w:p>
    <w:p w14:paraId="6BA74D8C">
      <w:pPr>
        <w:keepNext w:val="0"/>
        <w:keepLines w:val="0"/>
        <w:pageBreakBefore w:val="0"/>
        <w:tabs>
          <w:tab w:val="left" w:pos="1260"/>
        </w:tabs>
        <w:kinsoku/>
        <w:wordWrap/>
        <w:overflowPunct/>
        <w:topLinePunct w:val="0"/>
        <w:autoSpaceDE w:val="0"/>
        <w:autoSpaceDN w:val="0"/>
        <w:bidi w:val="0"/>
        <w:adjustRightInd w:val="0"/>
        <w:snapToGrid/>
        <w:spacing w:line="360" w:lineRule="auto"/>
        <w:jc w:val="center"/>
        <w:textAlignment w:val="auto"/>
        <w:outlineLvl w:val="1"/>
        <w:rPr>
          <w:rFonts w:ascii="宋体" w:hAnsi="宋体" w:cs="宋体"/>
          <w:b/>
          <w:color w:val="auto"/>
          <w:kern w:val="0"/>
          <w:sz w:val="24"/>
          <w:szCs w:val="24"/>
        </w:rPr>
      </w:pPr>
      <w:bookmarkStart w:id="10" w:name="_Toc138068722"/>
      <w:r>
        <w:rPr>
          <w:rFonts w:hint="eastAsia" w:ascii="宋体" w:hAnsi="宋体" w:cs="宋体"/>
          <w:b/>
          <w:color w:val="auto"/>
          <w:kern w:val="0"/>
          <w:sz w:val="24"/>
          <w:szCs w:val="24"/>
        </w:rPr>
        <w:t>四、响应文件的提交</w:t>
      </w:r>
      <w:bookmarkEnd w:id="10"/>
    </w:p>
    <w:p w14:paraId="7D172296">
      <w:pPr>
        <w:keepNext w:val="0"/>
        <w:keepLines w:val="0"/>
        <w:pageBreakBefore w:val="0"/>
        <w:kinsoku/>
        <w:wordWrap/>
        <w:overflowPunct/>
        <w:topLinePunct w:val="0"/>
        <w:autoSpaceDE w:val="0"/>
        <w:autoSpaceDN w:val="0"/>
        <w:bidi w:val="0"/>
        <w:snapToGrid/>
        <w:spacing w:line="360" w:lineRule="auto"/>
        <w:textAlignment w:val="auto"/>
        <w:rPr>
          <w:rFonts w:ascii="宋体" w:hAnsi="宋体" w:cs="宋体"/>
          <w:b/>
          <w:color w:val="auto"/>
          <w:kern w:val="0"/>
          <w:sz w:val="24"/>
          <w:szCs w:val="24"/>
        </w:rPr>
      </w:pPr>
      <w:r>
        <w:rPr>
          <w:rFonts w:hint="eastAsia" w:ascii="宋体" w:hAnsi="宋体" w:cs="宋体"/>
          <w:b/>
          <w:color w:val="auto"/>
          <w:kern w:val="0"/>
          <w:sz w:val="24"/>
          <w:szCs w:val="24"/>
        </w:rPr>
        <w:t>19.磋商响应截止时间</w:t>
      </w:r>
    </w:p>
    <w:p w14:paraId="09550F3B">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19.1供应商必须在“采购邀请”和“供应商须知前附表”中规定的响应截止时间前，将加密电子响应文件（后缀格式为.XCSTF）通过“全国公共资源交易平台（河南省·许昌市）”公共资源交易系统成功上传。</w:t>
      </w:r>
    </w:p>
    <w:p w14:paraId="71A3FF82">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14:paraId="446AC479">
      <w:pPr>
        <w:keepNext w:val="0"/>
        <w:keepLines w:val="0"/>
        <w:pageBreakBefore w:val="0"/>
        <w:kinsoku/>
        <w:wordWrap/>
        <w:overflowPunct/>
        <w:topLinePunct w:val="0"/>
        <w:autoSpaceDE w:val="0"/>
        <w:autoSpaceDN w:val="0"/>
        <w:bidi w:val="0"/>
        <w:snapToGrid/>
        <w:spacing w:line="360" w:lineRule="auto"/>
        <w:textAlignment w:val="auto"/>
        <w:rPr>
          <w:rFonts w:ascii="宋体" w:hAnsi="宋体" w:cs="宋体"/>
          <w:b/>
          <w:color w:val="auto"/>
          <w:kern w:val="0"/>
          <w:sz w:val="24"/>
          <w:szCs w:val="24"/>
        </w:rPr>
      </w:pPr>
      <w:r>
        <w:rPr>
          <w:rFonts w:hint="eastAsia" w:ascii="宋体" w:hAnsi="宋体" w:cs="宋体"/>
          <w:b/>
          <w:color w:val="auto"/>
          <w:kern w:val="0"/>
          <w:sz w:val="24"/>
          <w:szCs w:val="24"/>
        </w:rPr>
        <w:t>20.迟交的响应文件</w:t>
      </w:r>
    </w:p>
    <w:p w14:paraId="11C25F2A">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磋商响应截止时间之后上传的响应文件，采购人将拒绝接收。</w:t>
      </w:r>
    </w:p>
    <w:p w14:paraId="5125C2CF">
      <w:pPr>
        <w:keepNext w:val="0"/>
        <w:keepLines w:val="0"/>
        <w:pageBreakBefore w:val="0"/>
        <w:kinsoku/>
        <w:wordWrap/>
        <w:overflowPunct/>
        <w:topLinePunct w:val="0"/>
        <w:autoSpaceDE w:val="0"/>
        <w:autoSpaceDN w:val="0"/>
        <w:bidi w:val="0"/>
        <w:snapToGrid/>
        <w:spacing w:line="360" w:lineRule="auto"/>
        <w:textAlignment w:val="auto"/>
        <w:rPr>
          <w:rFonts w:ascii="宋体" w:hAnsi="宋体" w:cs="宋体"/>
          <w:b/>
          <w:color w:val="auto"/>
          <w:kern w:val="0"/>
          <w:sz w:val="24"/>
          <w:szCs w:val="24"/>
        </w:rPr>
      </w:pPr>
      <w:r>
        <w:rPr>
          <w:rFonts w:hint="eastAsia" w:ascii="宋体" w:hAnsi="宋体" w:cs="宋体"/>
          <w:b/>
          <w:color w:val="auto"/>
          <w:kern w:val="0"/>
          <w:sz w:val="24"/>
          <w:szCs w:val="24"/>
        </w:rPr>
        <w:t>21.响应文件的修改和撤回</w:t>
      </w:r>
    </w:p>
    <w:p w14:paraId="4587A86A">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21.1.供应商应当在磋商响应截止时间前完成电子响应文件的提交，可以补充、修改或撤回。磋商响应截止时间前未完成电子响应文件提交、取得“响应文件提交回执单”的，视为撤回响应文件。</w:t>
      </w:r>
    </w:p>
    <w:p w14:paraId="6DF679AA">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21.2.供应商补充、修改的内容并作为响应文件的组成部分。补充或修改应当按磋商文件要求签署、盖章、提交，并应注明“修改”或“补充”字样。</w:t>
      </w:r>
    </w:p>
    <w:p w14:paraId="3E8EAD5B">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lang w:val="zh-CN"/>
        </w:rPr>
      </w:pPr>
      <w:r>
        <w:rPr>
          <w:rFonts w:hint="eastAsia" w:ascii="宋体" w:hAnsi="宋体" w:cs="宋体"/>
          <w:color w:val="auto"/>
          <w:kern w:val="0"/>
          <w:sz w:val="24"/>
          <w:szCs w:val="24"/>
        </w:rPr>
        <w:t>21.3.供应商不得在磋商响应</w:t>
      </w:r>
      <w:r>
        <w:rPr>
          <w:rFonts w:hint="eastAsia" w:ascii="宋体" w:hAnsi="宋体" w:cs="宋体"/>
          <w:color w:val="auto"/>
          <w:kern w:val="0"/>
          <w:sz w:val="24"/>
          <w:szCs w:val="24"/>
          <w:lang w:val="zh-CN"/>
        </w:rPr>
        <w:t>有效期内撤销响应文件，否则供应商将承担违背磋商承诺函的责任追究。</w:t>
      </w:r>
    </w:p>
    <w:p w14:paraId="2435DA2E">
      <w:pPr>
        <w:keepNext w:val="0"/>
        <w:keepLines w:val="0"/>
        <w:pageBreakBefore w:val="0"/>
        <w:kinsoku/>
        <w:wordWrap/>
        <w:overflowPunct/>
        <w:topLinePunct w:val="0"/>
        <w:autoSpaceDE w:val="0"/>
        <w:autoSpaceDN w:val="0"/>
        <w:bidi w:val="0"/>
        <w:snapToGrid/>
        <w:spacing w:line="360" w:lineRule="auto"/>
        <w:ind w:firstLine="482" w:firstLineChars="200"/>
        <w:textAlignment w:val="auto"/>
        <w:rPr>
          <w:color w:val="auto"/>
        </w:rPr>
      </w:pPr>
      <w:r>
        <w:rPr>
          <w:rFonts w:hint="eastAsia" w:ascii="宋体" w:hAnsi="宋体" w:cs="宋体"/>
          <w:b/>
          <w:color w:val="auto"/>
          <w:kern w:val="0"/>
          <w:sz w:val="24"/>
          <w:szCs w:val="24"/>
        </w:rPr>
        <w:t>除供应商须知前附表另有规定外，供应商所提交的电子响应文件不予退还。</w:t>
      </w:r>
    </w:p>
    <w:p w14:paraId="2E5BCAC9">
      <w:pPr>
        <w:keepNext w:val="0"/>
        <w:keepLines w:val="0"/>
        <w:pageBreakBefore w:val="0"/>
        <w:tabs>
          <w:tab w:val="left" w:pos="1260"/>
        </w:tabs>
        <w:kinsoku/>
        <w:wordWrap/>
        <w:overflowPunct/>
        <w:topLinePunct w:val="0"/>
        <w:autoSpaceDE w:val="0"/>
        <w:autoSpaceDN w:val="0"/>
        <w:bidi w:val="0"/>
        <w:adjustRightInd w:val="0"/>
        <w:snapToGrid/>
        <w:spacing w:line="360" w:lineRule="auto"/>
        <w:jc w:val="center"/>
        <w:textAlignment w:val="auto"/>
        <w:outlineLvl w:val="1"/>
        <w:rPr>
          <w:rFonts w:ascii="宋体" w:hAnsi="宋体" w:cs="宋体"/>
          <w:b/>
          <w:color w:val="auto"/>
          <w:kern w:val="0"/>
          <w:sz w:val="24"/>
          <w:szCs w:val="24"/>
        </w:rPr>
      </w:pPr>
      <w:bookmarkStart w:id="11" w:name="_Toc138068723"/>
      <w:r>
        <w:rPr>
          <w:rFonts w:hint="eastAsia" w:ascii="宋体" w:hAnsi="宋体" w:cs="宋体"/>
          <w:b/>
          <w:color w:val="auto"/>
          <w:kern w:val="0"/>
          <w:sz w:val="24"/>
          <w:szCs w:val="24"/>
        </w:rPr>
        <w:t>五、响应文件开启和磋商</w:t>
      </w:r>
      <w:bookmarkEnd w:id="11"/>
    </w:p>
    <w:p w14:paraId="68F8755F">
      <w:pPr>
        <w:pStyle w:val="58"/>
        <w:keepNext w:val="0"/>
        <w:keepLines w:val="0"/>
        <w:pageBreakBefore w:val="0"/>
        <w:kinsoku/>
        <w:wordWrap/>
        <w:overflowPunct/>
        <w:topLinePunct w:val="0"/>
        <w:autoSpaceDE w:val="0"/>
        <w:autoSpaceDN w:val="0"/>
        <w:bidi w:val="0"/>
        <w:snapToGrid/>
        <w:spacing w:line="360" w:lineRule="auto"/>
        <w:ind w:firstLine="0" w:firstLineChars="0"/>
        <w:contextualSpacing/>
        <w:textAlignment w:val="auto"/>
        <w:rPr>
          <w:rFonts w:ascii="宋体" w:hAnsi="宋体" w:cs="宋体"/>
          <w:b/>
          <w:color w:val="auto"/>
          <w:kern w:val="0"/>
          <w:sz w:val="24"/>
          <w:szCs w:val="24"/>
        </w:rPr>
      </w:pPr>
      <w:r>
        <w:rPr>
          <w:rFonts w:hint="eastAsia" w:ascii="宋体" w:hAnsi="宋体" w:cs="宋体"/>
          <w:b/>
          <w:color w:val="auto"/>
          <w:kern w:val="0"/>
          <w:sz w:val="24"/>
          <w:szCs w:val="24"/>
        </w:rPr>
        <w:t>22.响应文件开启</w:t>
      </w:r>
    </w:p>
    <w:p w14:paraId="63581195">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22.1采购人将按磋商文件规定的磋商响应截止时间和地点解密电子响应文件。由代理机构主持，供应商无须到现场。磋商小组成员不得参加开标活动。</w:t>
      </w:r>
    </w:p>
    <w:p w14:paraId="25095B85">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22.2招标人应当对开标、评标现场活动进行全程录音录像。录音录像应当清晰可辨，音像资料作为采购文件一并存档。</w:t>
      </w:r>
    </w:p>
    <w:p w14:paraId="1569FADE">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22.3磋商响应截止时间，由代理机构进行公布投标人、开始投标解密、标书导入、唱标等操作，并开启群聊功能；供应商进行电子响应文件的解密。待标书导入后，供应商点击页面上方进度条的“唱标”可查看开标结果。</w:t>
      </w:r>
    </w:p>
    <w:p w14:paraId="299A4694">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22.4电子响应文件的解密：全流程电子化交易项目电子响应文件采用投标人一层加密。解密时由投标人进行一次解密即可。</w:t>
      </w:r>
    </w:p>
    <w:p w14:paraId="495ED721">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22.5供应商解密：供应商使用本单位CA数字证书或移动数字证书进行远程解密。</w:t>
      </w:r>
    </w:p>
    <w:p w14:paraId="376988E0">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22.6因供应商原因电子响应文件解密失败的，其响应文件将被退回。</w:t>
      </w:r>
    </w:p>
    <w:p w14:paraId="0D3589A7">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22.7供应商不足3家的，本项目磋商活动终止。</w:t>
      </w:r>
    </w:p>
    <w:p w14:paraId="38EC8BF7">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22.8开标过程由采购代理机构负责记录，《开标情况记录表》经供应商进行电子签章、由参加开标相关工作人员签字确认后随采购文件一并存档。供应商未电子签章的，视同认可开标结果。</w:t>
      </w:r>
    </w:p>
    <w:p w14:paraId="65F229BE">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22.9供应商对解密过程和记录有疑义，以及认为采购人、代理机构相关工作人员有需要回避的情形的，应当场提出询问或者回避申请。采购人、采购代理机构对供应商提出的询问或者回避申请应当及时处理。</w:t>
      </w:r>
    </w:p>
    <w:p w14:paraId="571A3D06">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22.10响应文件解密活动结束时，供应商应在《开标情况记录表》上进行电子签章。供应商未签章的，视同认可开标结果。</w:t>
      </w:r>
    </w:p>
    <w:p w14:paraId="39055B7B">
      <w:pPr>
        <w:pStyle w:val="58"/>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firstLineChars="0"/>
        <w:contextualSpacing/>
        <w:textAlignment w:val="auto"/>
        <w:rPr>
          <w:rFonts w:ascii="宋体" w:hAnsi="宋体" w:cs="宋体"/>
          <w:b/>
          <w:color w:val="auto"/>
          <w:kern w:val="0"/>
          <w:sz w:val="24"/>
          <w:szCs w:val="24"/>
        </w:rPr>
      </w:pPr>
      <w:r>
        <w:rPr>
          <w:rFonts w:hint="eastAsia" w:ascii="宋体" w:hAnsi="宋体" w:cs="宋体"/>
          <w:b/>
          <w:color w:val="auto"/>
          <w:kern w:val="0"/>
          <w:sz w:val="24"/>
          <w:szCs w:val="24"/>
        </w:rPr>
        <w:t>23．磋商小组组成</w:t>
      </w:r>
    </w:p>
    <w:p w14:paraId="05BBE2EB">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23.1采购人将依法组建磋商小组，磋商小组由采购人代表1人和评审专家2人共3人组成。评审专家依法从政府采购评审专家库中随机抽取。</w:t>
      </w:r>
    </w:p>
    <w:p w14:paraId="5BBBDA64">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23.1.1采购人将依法组建磋商小组，磋商小组由评审专家组成，成员人数应当为3人以上单数组成。评审专家依法从政府采购评审专家库中随机抽取。</w:t>
      </w:r>
    </w:p>
    <w:p w14:paraId="3948897F">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23.1.2达到公开招标数额标准的货物或者服务采购项目，或者达到招标规模标准的政府采购工程，竞争性磋商小组应当由5人以上单数组成。</w:t>
      </w:r>
    </w:p>
    <w:p w14:paraId="1C84EEAD">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23.2采购人不得以评审专家身份参加本部门或本单位采购项目的评审。</w:t>
      </w:r>
    </w:p>
    <w:p w14:paraId="10095F5B">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23.3磋商小组成员与供应商存在下列利害关系之一的</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应当回避:</w:t>
      </w:r>
    </w:p>
    <w:p w14:paraId="7AC27F4C">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参加采购活动前三年内</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与供应商存在劳动关系</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或者担任过供应商的董事、监事</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或者是供应商的控股股东或实际控制人；</w:t>
      </w:r>
    </w:p>
    <w:p w14:paraId="117B7CEA">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与供应商的法定代表人或者负责人有夫妻、直系血亲、三代以内旁系血亲或者近姻亲关系；</w:t>
      </w:r>
    </w:p>
    <w:p w14:paraId="227C80BB">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与供应商有其他可能影响政府采购活动公平、公正进行的关系。</w:t>
      </w:r>
    </w:p>
    <w:p w14:paraId="79ACF89D">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评审专家发现本人与参加采购活动的供应商有利害关系的</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应当主动提出回避。采购人或者采购代理公司发现评审专家与参加采购活动的供应商有利害关系的</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应当要求其回避。</w:t>
      </w:r>
    </w:p>
    <w:p w14:paraId="26925617">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23.4采购人不得担任磋商小组组长。</w:t>
      </w:r>
    </w:p>
    <w:p w14:paraId="62BCFEAA">
      <w:pPr>
        <w:pStyle w:val="5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23.5磋商小组成员名单在成交结果公告前应当保密。</w:t>
      </w:r>
    </w:p>
    <w:p w14:paraId="0F5F754D">
      <w:pPr>
        <w:pStyle w:val="58"/>
        <w:keepNext w:val="0"/>
        <w:keepLines w:val="0"/>
        <w:pageBreakBefore w:val="0"/>
        <w:kinsoku/>
        <w:wordWrap/>
        <w:overflowPunct/>
        <w:topLinePunct w:val="0"/>
        <w:autoSpaceDE w:val="0"/>
        <w:autoSpaceDN w:val="0"/>
        <w:bidi w:val="0"/>
        <w:snapToGrid/>
        <w:spacing w:line="360" w:lineRule="auto"/>
        <w:ind w:firstLine="0" w:firstLineChars="0"/>
        <w:contextualSpacing/>
        <w:textAlignment w:val="auto"/>
        <w:rPr>
          <w:rFonts w:ascii="宋体" w:hAnsi="宋体" w:cs="宋体"/>
          <w:b/>
          <w:color w:val="auto"/>
          <w:kern w:val="0"/>
          <w:sz w:val="24"/>
          <w:szCs w:val="24"/>
        </w:rPr>
      </w:pPr>
      <w:r>
        <w:rPr>
          <w:rFonts w:hint="eastAsia" w:ascii="宋体" w:hAnsi="宋体" w:cs="宋体"/>
          <w:b/>
          <w:color w:val="auto"/>
          <w:kern w:val="0"/>
          <w:sz w:val="24"/>
          <w:szCs w:val="24"/>
        </w:rPr>
        <w:t>24.资格审查和符合性审查</w:t>
      </w:r>
    </w:p>
    <w:p w14:paraId="45BAB9D2">
      <w:pPr>
        <w:pStyle w:val="58"/>
        <w:keepNext w:val="0"/>
        <w:keepLines w:val="0"/>
        <w:pageBreakBefore w:val="0"/>
        <w:kinsoku/>
        <w:wordWrap/>
        <w:overflowPunct/>
        <w:topLinePunct w:val="0"/>
        <w:autoSpaceDE w:val="0"/>
        <w:autoSpaceDN w:val="0"/>
        <w:bidi w:val="0"/>
        <w:snapToGrid/>
        <w:spacing w:line="360" w:lineRule="auto"/>
        <w:ind w:firstLine="48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24.1资格审查：磋商小组依据有关法律法规和磋商文件的规定对供应商的资格进行审查。</w:t>
      </w:r>
    </w:p>
    <w:p w14:paraId="45A88EAF">
      <w:pPr>
        <w:pStyle w:val="58"/>
        <w:keepNext w:val="0"/>
        <w:keepLines w:val="0"/>
        <w:pageBreakBefore w:val="0"/>
        <w:kinsoku/>
        <w:wordWrap/>
        <w:overflowPunct/>
        <w:topLinePunct w:val="0"/>
        <w:autoSpaceDE w:val="0"/>
        <w:autoSpaceDN w:val="0"/>
        <w:bidi w:val="0"/>
        <w:snapToGrid/>
        <w:spacing w:line="360" w:lineRule="auto"/>
        <w:ind w:firstLine="482"/>
        <w:contextualSpacing/>
        <w:textAlignment w:val="auto"/>
        <w:rPr>
          <w:rFonts w:ascii="宋体" w:hAnsi="宋体" w:cs="宋体"/>
          <w:color w:val="auto"/>
          <w:kern w:val="0"/>
          <w:sz w:val="24"/>
          <w:szCs w:val="24"/>
        </w:rPr>
      </w:pPr>
      <w:r>
        <w:rPr>
          <w:rFonts w:hint="eastAsia" w:ascii="宋体" w:hAnsi="宋体" w:cs="宋体"/>
          <w:b/>
          <w:color w:val="auto"/>
          <w:kern w:val="0"/>
          <w:sz w:val="24"/>
          <w:szCs w:val="24"/>
        </w:rPr>
        <w:t>本项目具体资格审查详见（第六章对响应文件审查与评审）</w:t>
      </w:r>
      <w:r>
        <w:rPr>
          <w:rFonts w:hint="eastAsia" w:ascii="宋体" w:hAnsi="宋体" w:cs="宋体"/>
          <w:color w:val="auto"/>
          <w:kern w:val="0"/>
          <w:sz w:val="24"/>
          <w:szCs w:val="24"/>
        </w:rPr>
        <w:t>。</w:t>
      </w:r>
    </w:p>
    <w:p w14:paraId="005D3490">
      <w:pPr>
        <w:pStyle w:val="58"/>
        <w:keepNext w:val="0"/>
        <w:keepLines w:val="0"/>
        <w:pageBreakBefore w:val="0"/>
        <w:kinsoku/>
        <w:wordWrap/>
        <w:overflowPunct/>
        <w:topLinePunct w:val="0"/>
        <w:autoSpaceDE w:val="0"/>
        <w:autoSpaceDN w:val="0"/>
        <w:bidi w:val="0"/>
        <w:snapToGrid/>
        <w:spacing w:line="360" w:lineRule="auto"/>
        <w:ind w:firstLine="48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24.2符合性审查：</w:t>
      </w:r>
      <w:r>
        <w:rPr>
          <w:rFonts w:hint="eastAsia" w:ascii="宋体" w:hAnsi="宋体" w:cs="宋体"/>
          <w:color w:val="auto"/>
          <w:sz w:val="24"/>
          <w:szCs w:val="24"/>
        </w:rPr>
        <w:t>依据磋商文件的规定，从响应文件的有效性、完整性和对磋商文件的响应程度进行审查，以确定是否对磋商文件的全部实质性要求作出响应。</w:t>
      </w:r>
    </w:p>
    <w:p w14:paraId="4A760011">
      <w:pPr>
        <w:keepNext w:val="0"/>
        <w:keepLines w:val="0"/>
        <w:pageBreakBefore w:val="0"/>
        <w:kinsoku/>
        <w:wordWrap/>
        <w:overflowPunct/>
        <w:topLinePunct w:val="0"/>
        <w:autoSpaceDE w:val="0"/>
        <w:autoSpaceDN w:val="0"/>
        <w:bidi w:val="0"/>
        <w:snapToGrid/>
        <w:spacing w:line="360" w:lineRule="auto"/>
        <w:textAlignment w:val="auto"/>
        <w:rPr>
          <w:rFonts w:ascii="宋体" w:hAnsi="宋体" w:cs="宋体"/>
          <w:b/>
          <w:color w:val="auto"/>
          <w:kern w:val="0"/>
          <w:sz w:val="24"/>
          <w:szCs w:val="24"/>
        </w:rPr>
      </w:pPr>
      <w:r>
        <w:rPr>
          <w:rFonts w:hint="eastAsia" w:ascii="宋体" w:hAnsi="宋体" w:cs="宋体"/>
          <w:b/>
          <w:color w:val="auto"/>
          <w:kern w:val="0"/>
          <w:sz w:val="24"/>
          <w:szCs w:val="24"/>
        </w:rPr>
        <w:t>25.响应文件的澄清</w:t>
      </w:r>
    </w:p>
    <w:p w14:paraId="45109C4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25.1对于响应文件中含义不明确、同类问题表述不一致或者有明显文字和计算错误的内容，磋商小组应当以书面形式要求供应商作出必要的澄清、说明或者补正。</w:t>
      </w:r>
    </w:p>
    <w:p w14:paraId="3E57132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25.2供应商的澄清、说明或者补正应当采用书面形式，并加盖公章，或者由法定代表人或其授权的代表签字。供应商的澄清、说明或者补正不得超出响应文件的范围或者改变响应文件的实质性内容。</w:t>
      </w:r>
    </w:p>
    <w:p w14:paraId="11B84CE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25.3供应商的澄清文件是其响应文件的组成部分。</w:t>
      </w:r>
    </w:p>
    <w:p w14:paraId="01FF41A4">
      <w:pPr>
        <w:keepNext w:val="0"/>
        <w:keepLines w:val="0"/>
        <w:pageBreakBefore w:val="0"/>
        <w:kinsoku/>
        <w:wordWrap/>
        <w:overflowPunct/>
        <w:topLinePunct w:val="0"/>
        <w:autoSpaceDE w:val="0"/>
        <w:autoSpaceDN w:val="0"/>
        <w:bidi w:val="0"/>
        <w:snapToGrid/>
        <w:spacing w:line="360" w:lineRule="auto"/>
        <w:textAlignment w:val="auto"/>
        <w:rPr>
          <w:rFonts w:ascii="宋体" w:hAnsi="宋体" w:cs="宋体"/>
          <w:b/>
          <w:color w:val="auto"/>
          <w:kern w:val="0"/>
          <w:sz w:val="24"/>
          <w:szCs w:val="24"/>
        </w:rPr>
      </w:pPr>
      <w:r>
        <w:rPr>
          <w:rFonts w:hint="eastAsia" w:ascii="宋体" w:hAnsi="宋体" w:cs="宋体"/>
          <w:b/>
          <w:color w:val="auto"/>
          <w:kern w:val="0"/>
          <w:sz w:val="24"/>
          <w:szCs w:val="24"/>
        </w:rPr>
        <w:t>26.响应文件报价出现前后不一致的修正</w:t>
      </w:r>
    </w:p>
    <w:p w14:paraId="0DCA098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（1）响应文件中磋商一览表(报价表)内容与响应文件中相应内容不一致的，以磋商一览表(报价表)为准；</w:t>
      </w:r>
    </w:p>
    <w:p w14:paraId="21BDAC9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（2）大写金额和小写金额不一致的，以大写金额为准；</w:t>
      </w:r>
    </w:p>
    <w:p w14:paraId="6C19CF4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（3）单价金额小数点或者百分比有明显错位的，以磋商一览表的总价为准，并修改单价；</w:t>
      </w:r>
    </w:p>
    <w:p w14:paraId="2AFDDDC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（4）总价金额与按单价汇总金额不一致的，以单价金额计算结果为准。同时出现两种以上不一致的，按照前款规定的顺序修正。修正后的报价按照“供应商须知”</w:t>
      </w:r>
    </w:p>
    <w:p w14:paraId="1B9D3DB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规定经供应商确认后产生约束力，供应商不确认的，其投标无效。</w:t>
      </w:r>
    </w:p>
    <w:p w14:paraId="3F94ED04">
      <w:pPr>
        <w:keepNext w:val="0"/>
        <w:keepLines w:val="0"/>
        <w:pageBreakBefore w:val="0"/>
        <w:kinsoku/>
        <w:wordWrap/>
        <w:overflowPunct/>
        <w:topLinePunct w:val="0"/>
        <w:autoSpaceDE w:val="0"/>
        <w:autoSpaceDN w:val="0"/>
        <w:bidi w:val="0"/>
        <w:snapToGrid/>
        <w:spacing w:line="360" w:lineRule="auto"/>
        <w:textAlignment w:val="auto"/>
        <w:rPr>
          <w:rFonts w:ascii="宋体" w:hAnsi="宋体" w:cs="宋体"/>
          <w:b/>
          <w:color w:val="auto"/>
          <w:kern w:val="0"/>
          <w:sz w:val="24"/>
          <w:szCs w:val="24"/>
        </w:rPr>
      </w:pPr>
      <w:r>
        <w:rPr>
          <w:rFonts w:hint="eastAsia" w:ascii="宋体" w:hAnsi="宋体" w:cs="宋体"/>
          <w:b/>
          <w:color w:val="auto"/>
          <w:kern w:val="0"/>
          <w:sz w:val="24"/>
          <w:szCs w:val="24"/>
        </w:rPr>
        <w:t>27.响应文件的评审与评价</w:t>
      </w:r>
    </w:p>
    <w:p w14:paraId="7B0C80C3">
      <w:pPr>
        <w:keepNext w:val="0"/>
        <w:keepLines w:val="0"/>
        <w:pageBreakBefore w:val="0"/>
        <w:kinsoku/>
        <w:wordWrap/>
        <w:overflowPunct/>
        <w:topLinePunct w:val="0"/>
        <w:autoSpaceDE w:val="0"/>
        <w:autoSpaceDN w:val="0"/>
        <w:bidi w:val="0"/>
        <w:snapToGrid/>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磋商小组按照磋商文件中规定的评标方法和标准，对符合性审查合格的响应文件进行商务和技术评估，综合比较与评价。</w:t>
      </w:r>
    </w:p>
    <w:p w14:paraId="58290DE5">
      <w:pPr>
        <w:keepNext w:val="0"/>
        <w:keepLines w:val="0"/>
        <w:pageBreakBefore w:val="0"/>
        <w:kinsoku/>
        <w:wordWrap/>
        <w:overflowPunct/>
        <w:topLinePunct w:val="0"/>
        <w:autoSpaceDE w:val="0"/>
        <w:autoSpaceDN w:val="0"/>
        <w:bidi w:val="0"/>
        <w:snapToGrid/>
        <w:spacing w:line="360" w:lineRule="auto"/>
        <w:textAlignment w:val="auto"/>
        <w:rPr>
          <w:rFonts w:ascii="宋体" w:hAnsi="宋体" w:cs="宋体"/>
          <w:color w:val="auto"/>
          <w:kern w:val="0"/>
          <w:sz w:val="24"/>
        </w:rPr>
      </w:pPr>
      <w:r>
        <w:rPr>
          <w:rFonts w:hint="eastAsia" w:ascii="宋体" w:hAnsi="宋体" w:cs="宋体"/>
          <w:b/>
          <w:color w:val="auto"/>
          <w:kern w:val="0"/>
          <w:sz w:val="24"/>
          <w:szCs w:val="24"/>
        </w:rPr>
        <w:t>28.评</w:t>
      </w:r>
      <w:r>
        <w:rPr>
          <w:rFonts w:hint="eastAsia" w:ascii="宋体" w:hAnsi="宋体" w:cs="宋体"/>
          <w:b/>
          <w:bCs/>
          <w:color w:val="auto"/>
          <w:kern w:val="0"/>
          <w:sz w:val="24"/>
        </w:rPr>
        <w:t>标方法、评审标准</w:t>
      </w:r>
    </w:p>
    <w:p w14:paraId="559BE7D6">
      <w:pPr>
        <w:keepNext w:val="0"/>
        <w:keepLines w:val="0"/>
        <w:pageBreakBefore w:val="0"/>
        <w:kinsoku/>
        <w:wordWrap/>
        <w:overflowPunct/>
        <w:topLinePunct w:val="0"/>
        <w:autoSpaceDE w:val="0"/>
        <w:autoSpaceDN w:val="0"/>
        <w:bidi w:val="0"/>
        <w:snapToGrid/>
        <w:spacing w:line="360"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28.1评标方法为综合评分法。</w:t>
      </w:r>
    </w:p>
    <w:p w14:paraId="69B53432">
      <w:pPr>
        <w:keepNext w:val="0"/>
        <w:keepLines w:val="0"/>
        <w:pageBreakBefore w:val="0"/>
        <w:kinsoku/>
        <w:wordWrap/>
        <w:overflowPunct/>
        <w:topLinePunct w:val="0"/>
        <w:autoSpaceDE w:val="0"/>
        <w:autoSpaceDN w:val="0"/>
        <w:bidi w:val="0"/>
        <w:snapToGrid/>
        <w:spacing w:line="360"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综合评分法，是指响应文件满足磋商文件全部实质性要求，且按照评审因素的量化指标评审得分最高的供应商为成交候选人的评标方法。</w:t>
      </w:r>
    </w:p>
    <w:p w14:paraId="25A7B2EA">
      <w:pPr>
        <w:keepNext w:val="0"/>
        <w:keepLines w:val="0"/>
        <w:pageBreakBefore w:val="0"/>
        <w:kinsoku/>
        <w:wordWrap/>
        <w:overflowPunct/>
        <w:topLinePunct w:val="0"/>
        <w:autoSpaceDE w:val="0"/>
        <w:autoSpaceDN w:val="0"/>
        <w:bidi w:val="0"/>
        <w:snapToGrid/>
        <w:spacing w:line="360"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28.2价格分</w:t>
      </w:r>
    </w:p>
    <w:p w14:paraId="1192AC3E">
      <w:pPr>
        <w:keepNext w:val="0"/>
        <w:keepLines w:val="0"/>
        <w:pageBreakBefore w:val="0"/>
        <w:kinsoku/>
        <w:wordWrap/>
        <w:overflowPunct/>
        <w:topLinePunct w:val="0"/>
        <w:autoSpaceDE w:val="0"/>
        <w:autoSpaceDN w:val="0"/>
        <w:bidi w:val="0"/>
        <w:snapToGrid/>
        <w:spacing w:line="360"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（1）价格分采用低价优先法计算，即满足磋商文件要求且最后报价最低的供应商的价格为磋商基准价，其价格分为满分。</w:t>
      </w:r>
    </w:p>
    <w:p w14:paraId="5482C185">
      <w:pPr>
        <w:keepNext w:val="0"/>
        <w:keepLines w:val="0"/>
        <w:pageBreakBefore w:val="0"/>
        <w:kinsoku/>
        <w:wordWrap/>
        <w:overflowPunct/>
        <w:topLinePunct w:val="0"/>
        <w:autoSpaceDE w:val="0"/>
        <w:autoSpaceDN w:val="0"/>
        <w:bidi w:val="0"/>
        <w:adjustRightInd/>
        <w:snapToGrid/>
        <w:spacing w:beforeAutospacing="0" w:line="360"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（2）评审过程中，不得去掉最后报价中的最高报价和最低报价。</w:t>
      </w:r>
    </w:p>
    <w:p w14:paraId="098CBDF2">
      <w:pPr>
        <w:keepNext w:val="0"/>
        <w:keepLines w:val="0"/>
        <w:pageBreakBefore w:val="0"/>
        <w:kinsoku/>
        <w:wordWrap/>
        <w:overflowPunct/>
        <w:topLinePunct w:val="0"/>
        <w:autoSpaceDE w:val="0"/>
        <w:autoSpaceDN w:val="0"/>
        <w:bidi w:val="0"/>
        <w:adjustRightInd/>
        <w:snapToGrid/>
        <w:spacing w:beforeAutospacing="0" w:line="360"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（3）因落实政府采购政策进行价格调整的，以调整后的价格计算磋商基准价和磋商报价。</w:t>
      </w:r>
    </w:p>
    <w:p w14:paraId="31C6BC33">
      <w:pPr>
        <w:keepNext w:val="0"/>
        <w:keepLines w:val="0"/>
        <w:pageBreakBefore w:val="0"/>
        <w:kinsoku/>
        <w:wordWrap/>
        <w:overflowPunct/>
        <w:topLinePunct w:val="0"/>
        <w:autoSpaceDE w:val="0"/>
        <w:autoSpaceDN w:val="0"/>
        <w:bidi w:val="0"/>
        <w:adjustRightInd/>
        <w:snapToGrid/>
        <w:spacing w:beforeAutospacing="0" w:line="360"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28.3本次磋商具体磋商方法、磋商标准见（第六章对响应文件审查与评审）。</w:t>
      </w:r>
    </w:p>
    <w:p w14:paraId="4D5C9777">
      <w:pPr>
        <w:pStyle w:val="17"/>
        <w:keepNext w:val="0"/>
        <w:keepLines w:val="0"/>
        <w:pageBreakBefore w:val="0"/>
        <w:kinsoku/>
        <w:wordWrap/>
        <w:overflowPunct/>
        <w:topLinePunct w:val="0"/>
        <w:bidi w:val="0"/>
        <w:adjustRightInd/>
        <w:snapToGrid/>
        <w:spacing w:before="0" w:beforeAutospacing="0" w:after="0" w:line="360" w:lineRule="auto"/>
        <w:ind w:firstLine="0" w:firstLineChars="0"/>
        <w:textAlignment w:val="auto"/>
        <w:rPr>
          <w:rFonts w:hAnsi="宋体" w:cs="宋体"/>
          <w:b/>
          <w:bCs/>
          <w:color w:val="auto"/>
          <w:sz w:val="24"/>
          <w:szCs w:val="24"/>
        </w:rPr>
      </w:pPr>
      <w:r>
        <w:rPr>
          <w:rFonts w:hint="eastAsia" w:hAnsi="宋体" w:cs="宋体"/>
          <w:b/>
          <w:bCs/>
          <w:color w:val="auto"/>
          <w:sz w:val="24"/>
          <w:szCs w:val="24"/>
        </w:rPr>
        <w:t>29.磋商</w:t>
      </w:r>
    </w:p>
    <w:p w14:paraId="28788312">
      <w:pPr>
        <w:keepNext w:val="0"/>
        <w:keepLines w:val="0"/>
        <w:pageBreakBefore w:val="0"/>
        <w:widowControl/>
        <w:kinsoku/>
        <w:wordWrap/>
        <w:overflowPunct/>
        <w:topLinePunct w:val="0"/>
        <w:bidi w:val="0"/>
        <w:adjustRightInd/>
        <w:snapToGrid/>
        <w:spacing w:beforeAutospacing="0"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29.1磋商小组与通过符合性审查合格的响应文件，即实质性响应磋商文件的供应商分别进行磋商。</w:t>
      </w:r>
    </w:p>
    <w:p w14:paraId="04D4035A">
      <w:pPr>
        <w:keepNext w:val="0"/>
        <w:keepLines w:val="0"/>
        <w:pageBreakBefore w:val="0"/>
        <w:widowControl/>
        <w:kinsoku/>
        <w:wordWrap/>
        <w:overflowPunct/>
        <w:topLinePunct w:val="0"/>
        <w:bidi w:val="0"/>
        <w:adjustRightInd/>
        <w:snapToGrid/>
        <w:spacing w:beforeAutospacing="0"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29.2磋商小组所有成员应当集中与单一供应商分别进行磋商，并给予所有参加磋商的供应商平等的磋商机会。</w:t>
      </w:r>
    </w:p>
    <w:p w14:paraId="2845EB61">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29.3在磋商中，磋商的任何一方不得透露与磋商有关的其他供应商的技术资料、价格和其他信息。</w:t>
      </w:r>
    </w:p>
    <w:p w14:paraId="25A09559">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29.4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w:t>
      </w:r>
    </w:p>
    <w:p w14:paraId="40FDC1D5">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29.5磋商文件能够详细列明采购标的的技术、服务要求的，磋商结束后，磋商小组应当要求所有实质性响应的供应商在规定时间内提交最后报价，提交最后报价的供应商不得少于3家。</w:t>
      </w:r>
    </w:p>
    <w:p w14:paraId="6F6909DA">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29.6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3280FB3">
      <w:pPr>
        <w:keepNext w:val="0"/>
        <w:keepLines w:val="0"/>
        <w:pageBreakBefore w:val="0"/>
        <w:widowControl/>
        <w:kinsoku/>
        <w:wordWrap/>
        <w:overflowPunct/>
        <w:topLinePunct w:val="0"/>
        <w:bidi w:val="0"/>
        <w:snapToGrid/>
        <w:spacing w:line="360" w:lineRule="auto"/>
        <w:ind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29.7如磋商中出现符合《财政部关于政府采购竞争性磋商采购方式管理暂行办法有关问题的补充通知》（财库〔2015〕124号）中的情形，则按财政部通知要求执行。</w:t>
      </w:r>
    </w:p>
    <w:p w14:paraId="27686D20">
      <w:pPr>
        <w:keepNext w:val="0"/>
        <w:keepLines w:val="0"/>
        <w:pageBreakBefore w:val="0"/>
        <w:widowControl/>
        <w:kinsoku/>
        <w:wordWrap/>
        <w:overflowPunct/>
        <w:topLinePunct w:val="0"/>
        <w:bidi w:val="0"/>
        <w:snapToGrid/>
        <w:spacing w:line="360" w:lineRule="auto"/>
        <w:ind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29.8最后报价是供应商响应文件的有效组成部分。符合《政府采购竞争性磋商采购方式管理暂行办法》【（财库2014）214号】第三条第四项情形的，提交最后报价的供应商可以为2家。</w:t>
      </w:r>
    </w:p>
    <w:p w14:paraId="747C2BBB">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29.9已提交响应文件的供应商，在提交最后报价之前，可以根据磋商情况退出磋商。</w:t>
      </w:r>
    </w:p>
    <w:p w14:paraId="70901A49">
      <w:pPr>
        <w:keepNext w:val="0"/>
        <w:keepLines w:val="0"/>
        <w:pageBreakBefore w:val="0"/>
        <w:widowControl/>
        <w:kinsoku/>
        <w:wordWrap/>
        <w:overflowPunct/>
        <w:topLinePunct w:val="0"/>
        <w:bidi w:val="0"/>
        <w:snapToGrid/>
        <w:spacing w:line="360" w:lineRule="auto"/>
        <w:ind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29.10已提交响应文件的供应商，在提交最后报价之前，可以根据磋商情况退出磋商。</w:t>
      </w:r>
    </w:p>
    <w:p w14:paraId="4ECAA827">
      <w:pPr>
        <w:keepNext w:val="0"/>
        <w:keepLines w:val="0"/>
        <w:pageBreakBefore w:val="0"/>
        <w:widowControl/>
        <w:kinsoku/>
        <w:wordWrap/>
        <w:overflowPunct/>
        <w:topLinePunct w:val="0"/>
        <w:bidi w:val="0"/>
        <w:snapToGrid/>
        <w:spacing w:line="360" w:lineRule="auto"/>
        <w:ind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lang w:val="en-US" w:eastAsia="zh-CN"/>
        </w:rPr>
        <w:t>29</w:t>
      </w:r>
      <w:r>
        <w:rPr>
          <w:rFonts w:hint="eastAsia" w:ascii="宋体" w:hAnsi="宋体" w:cs="宋体"/>
          <w:color w:val="auto"/>
          <w:kern w:val="0"/>
          <w:sz w:val="24"/>
          <w:szCs w:val="24"/>
        </w:rPr>
        <w:t>.11本项目共进行两轮报价，供应商递交的响应文件中响应报价为第一轮报价，经磋商小组磋商后继续参加磋商并在规定时间内提交的最后报价</w:t>
      </w:r>
      <w:r>
        <w:rPr>
          <w:rFonts w:hint="eastAsia" w:ascii="宋体" w:hAnsi="宋体" w:cs="宋体"/>
          <w:b/>
          <w:bCs/>
          <w:color w:val="auto"/>
          <w:kern w:val="0"/>
          <w:sz w:val="24"/>
          <w:szCs w:val="24"/>
          <w:u w:val="single"/>
        </w:rPr>
        <w:t>为第二轮报价</w:t>
      </w:r>
      <w:r>
        <w:rPr>
          <w:rFonts w:hint="eastAsia" w:ascii="宋体" w:hAnsi="宋体" w:cs="宋体"/>
          <w:color w:val="auto"/>
          <w:kern w:val="0"/>
          <w:sz w:val="24"/>
          <w:szCs w:val="24"/>
        </w:rPr>
        <w:t>。</w:t>
      </w:r>
    </w:p>
    <w:p w14:paraId="52B32495">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29</w:t>
      </w:r>
      <w:r>
        <w:rPr>
          <w:rFonts w:hint="eastAsia" w:ascii="宋体" w:hAnsi="宋体" w:cs="宋体"/>
          <w:color w:val="auto"/>
          <w:kern w:val="0"/>
          <w:sz w:val="24"/>
          <w:szCs w:val="24"/>
        </w:rPr>
        <w:t>.12按照《关于推进全流程电子化交易和在线监管工作有关问题的通知》（许公管办</w:t>
      </w:r>
      <w:r>
        <w:rPr>
          <w:rFonts w:ascii="宋体" w:hAnsi="宋体" w:cs="宋体"/>
          <w:color w:val="auto"/>
          <w:kern w:val="0"/>
          <w:sz w:val="24"/>
          <w:szCs w:val="24"/>
        </w:rPr>
        <w:t>[2019]3</w:t>
      </w:r>
      <w:r>
        <w:rPr>
          <w:rFonts w:hint="eastAsia" w:ascii="宋体" w:hAnsi="宋体" w:cs="宋体"/>
          <w:color w:val="auto"/>
          <w:kern w:val="0"/>
          <w:sz w:val="24"/>
          <w:szCs w:val="24"/>
        </w:rPr>
        <w:t>号）规定，评审专家应严格按照要求查看“硬件特征码相”关信息并进行评审。</w:t>
      </w:r>
    </w:p>
    <w:p w14:paraId="0878864A">
      <w:pPr>
        <w:keepNext w:val="0"/>
        <w:keepLines w:val="0"/>
        <w:pageBreakBefore w:val="0"/>
        <w:kinsoku/>
        <w:wordWrap/>
        <w:overflowPunct/>
        <w:topLinePunct w:val="0"/>
        <w:autoSpaceDE w:val="0"/>
        <w:autoSpaceDN w:val="0"/>
        <w:bidi w:val="0"/>
        <w:snapToGrid/>
        <w:spacing w:line="360" w:lineRule="auto"/>
        <w:textAlignment w:val="auto"/>
        <w:rPr>
          <w:rFonts w:ascii="宋体" w:hAnsi="宋体" w:cs="宋体"/>
          <w:b/>
          <w:bCs/>
          <w:color w:val="auto"/>
          <w:kern w:val="0"/>
          <w:sz w:val="24"/>
          <w:szCs w:val="24"/>
        </w:rPr>
      </w:pPr>
      <w:r>
        <w:rPr>
          <w:rFonts w:hint="eastAsia" w:ascii="宋体" w:hAnsi="宋体" w:cs="宋体"/>
          <w:b/>
          <w:bCs/>
          <w:color w:val="auto"/>
          <w:kern w:val="0"/>
          <w:sz w:val="24"/>
          <w:szCs w:val="24"/>
        </w:rPr>
        <w:t>30.推荐成交候选人</w:t>
      </w:r>
    </w:p>
    <w:p w14:paraId="75D97EE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30.1磋商小组应当根据综合评分情况，按照评审得分由高到低顺序推荐3名以上成交候选供应商，并编写评审报告。符合《政府采购竞争性磋商采购方式管理暂行办法》【（财库2014）214号】第二十一条第三款情形的，可以推荐</w:t>
      </w:r>
      <w:r>
        <w:rPr>
          <w:rFonts w:ascii="宋体" w:hAnsi="宋体" w:cs="宋体"/>
          <w:color w:val="auto"/>
          <w:kern w:val="0"/>
          <w:sz w:val="24"/>
          <w:szCs w:val="24"/>
        </w:rPr>
        <w:t>2</w:t>
      </w:r>
      <w:r>
        <w:rPr>
          <w:rFonts w:hint="eastAsia" w:ascii="宋体" w:hAnsi="宋体" w:cs="宋体"/>
          <w:color w:val="auto"/>
          <w:kern w:val="0"/>
          <w:sz w:val="24"/>
          <w:szCs w:val="24"/>
        </w:rPr>
        <w:t>家成交候选供应商。评审得分相同的，按照最后报价由低到高的顺序推荐。评审得分且最后报价相同的，按照技术指标优劣顺序推荐。</w:t>
      </w:r>
    </w:p>
    <w:p w14:paraId="2A2FAA0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30.2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E64A2AE">
      <w:pPr>
        <w:keepNext w:val="0"/>
        <w:keepLines w:val="0"/>
        <w:pageBreakBefore w:val="0"/>
        <w:kinsoku/>
        <w:wordWrap/>
        <w:overflowPunct/>
        <w:topLinePunct w:val="0"/>
        <w:autoSpaceDE w:val="0"/>
        <w:autoSpaceDN w:val="0"/>
        <w:bidi w:val="0"/>
        <w:snapToGrid/>
        <w:spacing w:line="360" w:lineRule="auto"/>
        <w:textAlignment w:val="auto"/>
        <w:rPr>
          <w:rFonts w:ascii="宋体" w:hAnsi="宋体" w:cs="宋体"/>
          <w:b/>
          <w:color w:val="auto"/>
          <w:kern w:val="0"/>
          <w:sz w:val="24"/>
          <w:szCs w:val="24"/>
        </w:rPr>
      </w:pPr>
      <w:r>
        <w:rPr>
          <w:rFonts w:hint="eastAsia" w:ascii="宋体" w:hAnsi="宋体" w:cs="宋体"/>
          <w:b/>
          <w:color w:val="auto"/>
          <w:kern w:val="0"/>
          <w:sz w:val="24"/>
          <w:szCs w:val="24"/>
        </w:rPr>
        <w:t>31.保密</w:t>
      </w:r>
    </w:p>
    <w:p w14:paraId="7B1BC027">
      <w:pPr>
        <w:keepNext w:val="0"/>
        <w:keepLines w:val="0"/>
        <w:pageBreakBefore w:val="0"/>
        <w:kinsoku/>
        <w:wordWrap/>
        <w:overflowPunct/>
        <w:topLinePunct w:val="0"/>
        <w:autoSpaceDE w:val="0"/>
        <w:autoSpaceDN w:val="0"/>
        <w:bidi w:val="0"/>
        <w:snapToGrid/>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31.1评审专家应当遵守评审工作纪律，不得泄露评审文件、评审情况和评审中获悉的商业秘密。</w:t>
      </w:r>
    </w:p>
    <w:p w14:paraId="6B07EDDC">
      <w:pPr>
        <w:keepNext w:val="0"/>
        <w:keepLines w:val="0"/>
        <w:pageBreakBefore w:val="0"/>
        <w:kinsoku/>
        <w:wordWrap/>
        <w:overflowPunct/>
        <w:topLinePunct w:val="0"/>
        <w:autoSpaceDE w:val="0"/>
        <w:autoSpaceDN w:val="0"/>
        <w:bidi w:val="0"/>
        <w:snapToGrid/>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31.2采购人、采购代理机构应当采取必要措施，保证评标在严格保密的情况下进行。有关人员对评标情况以及在评标过程中获悉的国家秘密、商业秘密负有保密责任。</w:t>
      </w:r>
    </w:p>
    <w:p w14:paraId="1725B230">
      <w:pPr>
        <w:keepNext w:val="0"/>
        <w:keepLines w:val="0"/>
        <w:pageBreakBefore w:val="0"/>
        <w:tabs>
          <w:tab w:val="left" w:pos="1260"/>
        </w:tabs>
        <w:kinsoku/>
        <w:wordWrap/>
        <w:overflowPunct/>
        <w:topLinePunct w:val="0"/>
        <w:autoSpaceDE w:val="0"/>
        <w:autoSpaceDN w:val="0"/>
        <w:bidi w:val="0"/>
        <w:adjustRightInd w:val="0"/>
        <w:snapToGrid/>
        <w:spacing w:line="360" w:lineRule="auto"/>
        <w:jc w:val="center"/>
        <w:textAlignment w:val="auto"/>
        <w:outlineLvl w:val="1"/>
        <w:rPr>
          <w:rFonts w:ascii="宋体" w:hAnsi="宋体" w:cs="宋体"/>
          <w:b/>
          <w:color w:val="auto"/>
          <w:kern w:val="0"/>
          <w:sz w:val="24"/>
          <w:szCs w:val="24"/>
        </w:rPr>
      </w:pPr>
      <w:bookmarkStart w:id="12" w:name="_Toc138068724"/>
      <w:r>
        <w:rPr>
          <w:rFonts w:hint="eastAsia" w:ascii="宋体" w:hAnsi="宋体" w:cs="宋体"/>
          <w:b/>
          <w:color w:val="auto"/>
          <w:kern w:val="0"/>
          <w:sz w:val="24"/>
          <w:szCs w:val="24"/>
        </w:rPr>
        <w:t>六、定标和授予合同</w:t>
      </w:r>
      <w:bookmarkEnd w:id="12"/>
    </w:p>
    <w:p w14:paraId="50451DF6">
      <w:pPr>
        <w:keepNext w:val="0"/>
        <w:keepLines w:val="0"/>
        <w:pageBreakBefore w:val="0"/>
        <w:kinsoku/>
        <w:wordWrap/>
        <w:overflowPunct/>
        <w:topLinePunct w:val="0"/>
        <w:autoSpaceDE w:val="0"/>
        <w:autoSpaceDN w:val="0"/>
        <w:bidi w:val="0"/>
        <w:snapToGrid/>
        <w:spacing w:line="360" w:lineRule="auto"/>
        <w:textAlignment w:val="auto"/>
        <w:rPr>
          <w:rFonts w:ascii="宋体" w:hAnsi="宋体" w:cs="宋体"/>
          <w:b/>
          <w:color w:val="auto"/>
          <w:kern w:val="0"/>
          <w:sz w:val="24"/>
          <w:szCs w:val="24"/>
        </w:rPr>
      </w:pPr>
      <w:r>
        <w:rPr>
          <w:rFonts w:hint="eastAsia" w:ascii="宋体" w:hAnsi="宋体" w:cs="宋体"/>
          <w:b/>
          <w:color w:val="auto"/>
          <w:kern w:val="0"/>
          <w:sz w:val="24"/>
          <w:szCs w:val="24"/>
        </w:rPr>
        <w:t>32.确定成交供应商</w:t>
      </w:r>
    </w:p>
    <w:p w14:paraId="3EE0261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32.1采购人应当自收到评标报告之日起1个工作日内，在评标报告确定的成交候选人名单中按顺序确定成交人。成交候选人并列的，由采购人采取随机抽取的方式确定。</w:t>
      </w:r>
    </w:p>
    <w:p w14:paraId="7673869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32.2采购人在收到评标报告1个工作日内未按评标报告推荐的成交候选人顺序确定成交人，又不能说明合法理由的，视同按评标报告推荐的顺序确定排名第一的成交候选人为成交人。</w:t>
      </w:r>
    </w:p>
    <w:p w14:paraId="09DF32D0">
      <w:pPr>
        <w:keepNext w:val="0"/>
        <w:keepLines w:val="0"/>
        <w:pageBreakBefore w:val="0"/>
        <w:kinsoku/>
        <w:wordWrap/>
        <w:overflowPunct/>
        <w:topLinePunct w:val="0"/>
        <w:autoSpaceDE w:val="0"/>
        <w:autoSpaceDN w:val="0"/>
        <w:bidi w:val="0"/>
        <w:snapToGrid/>
        <w:spacing w:line="360" w:lineRule="auto"/>
        <w:textAlignment w:val="auto"/>
        <w:rPr>
          <w:rFonts w:ascii="宋体" w:hAnsi="宋体" w:cs="宋体"/>
          <w:b/>
          <w:color w:val="auto"/>
          <w:kern w:val="0"/>
          <w:sz w:val="24"/>
          <w:szCs w:val="24"/>
        </w:rPr>
      </w:pPr>
      <w:r>
        <w:rPr>
          <w:rFonts w:hint="eastAsia" w:ascii="宋体" w:hAnsi="宋体" w:cs="宋体"/>
          <w:b/>
          <w:color w:val="auto"/>
          <w:kern w:val="0"/>
          <w:sz w:val="24"/>
          <w:szCs w:val="24"/>
        </w:rPr>
        <w:t>33.成交公告、发出成交通知书</w:t>
      </w:r>
    </w:p>
    <w:p w14:paraId="201A638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33.1采购人确认成交人后，采购人在公告成交结果和《中小企业声明函》（如有）的同时，向成交人发出成交通知书。</w:t>
      </w:r>
    </w:p>
    <w:p w14:paraId="435926C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33.2成交通知书发出后，采购人不得违法改变成交结果，成交人无正当理由不得放弃成交。</w:t>
      </w:r>
    </w:p>
    <w:p w14:paraId="24F83B4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33.3成交供应商在接到成交通知时，须向代理机构发送投标报价及分项报价一览表（包含主要成交标的的名称、规格型号、数量、单价、服务要求等）电子文档，并同时通知代理机构联系人。</w:t>
      </w:r>
    </w:p>
    <w:p w14:paraId="46347CB2">
      <w:pPr>
        <w:keepNext w:val="0"/>
        <w:keepLines w:val="0"/>
        <w:pageBreakBefore w:val="0"/>
        <w:kinsoku/>
        <w:wordWrap/>
        <w:overflowPunct/>
        <w:topLinePunct w:val="0"/>
        <w:autoSpaceDE w:val="0"/>
        <w:autoSpaceDN w:val="0"/>
        <w:bidi w:val="0"/>
        <w:snapToGrid/>
        <w:spacing w:line="360" w:lineRule="auto"/>
        <w:textAlignment w:val="auto"/>
        <w:rPr>
          <w:rFonts w:ascii="宋体" w:hAnsi="宋体" w:cs="宋体"/>
          <w:color w:val="auto"/>
          <w:kern w:val="0"/>
          <w:sz w:val="24"/>
          <w:szCs w:val="24"/>
        </w:rPr>
      </w:pPr>
      <w:r>
        <w:rPr>
          <w:rFonts w:hint="eastAsia" w:ascii="宋体" w:hAnsi="宋体" w:cs="宋体"/>
          <w:b/>
          <w:color w:val="auto"/>
          <w:kern w:val="0"/>
          <w:sz w:val="24"/>
          <w:szCs w:val="24"/>
        </w:rPr>
        <w:t>34.质疑提出与答复</w:t>
      </w:r>
    </w:p>
    <w:p w14:paraId="31BA903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34.1供应商认为磋商文件、采购过程和成交结果使自己的权益受到损害的，可以按照《政府采购质疑和投诉办法》（财政部令第94号）提出质疑。提出质疑的供应商应当是参与本项目采购活动的供应商。</w:t>
      </w:r>
    </w:p>
    <w:p w14:paraId="2031282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采购机构联系人查看。如未提出视为全面接受。</w:t>
      </w:r>
    </w:p>
    <w:p w14:paraId="1AF7B42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2）对采购文件提出质疑的，潜在供应商应已依法获取采购文件，且应当在获取采购文件或者采购文件公告期限届满之日起7个工作日内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w:t>
      </w:r>
    </w:p>
    <w:p w14:paraId="3123667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3）对采购过程提出质疑的，为各采购程序环节结束之日起七个工作日内，供应商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w:t>
      </w:r>
    </w:p>
    <w:p w14:paraId="6710039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34.2对成交结果提出质疑的，为成交结果公告期限届满之日起七个工作日内，供应商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w:t>
      </w:r>
    </w:p>
    <w:p w14:paraId="55BA09D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34.3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w:t>
      </w:r>
    </w:p>
    <w:p w14:paraId="757114D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34.4对磋商文件提出的质疑，依法通过澄清或者修改可以继续开展采购活动的，澄清或者修改磋商文件后继续开展采购活动；否则应当修改磋商文件后重新开展采购活动。</w:t>
      </w:r>
    </w:p>
    <w:p w14:paraId="16940DC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34.5对采购过程、成交结果提出的质疑，合格供应商符合法定数量时，可以从合格的成交候选人中另行确定成交供应商的，应当依法另行确定成交供应商；否则应当重新开展采购活动。</w:t>
      </w:r>
    </w:p>
    <w:p w14:paraId="6C8119AC">
      <w:pPr>
        <w:keepNext w:val="0"/>
        <w:keepLines w:val="0"/>
        <w:pageBreakBefore w:val="0"/>
        <w:kinsoku/>
        <w:wordWrap/>
        <w:overflowPunct/>
        <w:topLinePunct w:val="0"/>
        <w:autoSpaceDE w:val="0"/>
        <w:autoSpaceDN w:val="0"/>
        <w:bidi w:val="0"/>
        <w:snapToGrid/>
        <w:spacing w:line="360" w:lineRule="auto"/>
        <w:textAlignment w:val="auto"/>
        <w:rPr>
          <w:rFonts w:ascii="宋体" w:hAnsi="宋体" w:cs="宋体"/>
          <w:b/>
          <w:color w:val="auto"/>
          <w:kern w:val="0"/>
          <w:sz w:val="24"/>
          <w:szCs w:val="24"/>
        </w:rPr>
      </w:pPr>
      <w:r>
        <w:rPr>
          <w:rFonts w:hint="eastAsia" w:ascii="宋体" w:hAnsi="宋体" w:cs="宋体"/>
          <w:b/>
          <w:color w:val="auto"/>
          <w:kern w:val="0"/>
          <w:sz w:val="24"/>
          <w:szCs w:val="24"/>
        </w:rPr>
        <w:t>35.签订合同</w:t>
      </w:r>
    </w:p>
    <w:p w14:paraId="1736DAF8">
      <w:pPr>
        <w:keepNext w:val="0"/>
        <w:keepLines w:val="0"/>
        <w:pageBreakBefore w:val="0"/>
        <w:kinsoku/>
        <w:wordWrap/>
        <w:overflowPunct/>
        <w:topLinePunct w:val="0"/>
        <w:autoSpaceDE w:val="0"/>
        <w:autoSpaceDN w:val="0"/>
        <w:bidi w:val="0"/>
        <w:snapToGrid/>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采购人应当自成交通知书发出之日起</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日内，按照磋商文件和成交人响应文件的规定，与成交人签订书面合同。所签订的合同不得对磋商文件确定的事项和成交人响应文件作实质性修改。</w:t>
      </w:r>
    </w:p>
    <w:p w14:paraId="5C2D2B6B">
      <w:pPr>
        <w:keepNext w:val="0"/>
        <w:keepLines w:val="0"/>
        <w:pageBreakBefore w:val="0"/>
        <w:kinsoku/>
        <w:wordWrap/>
        <w:overflowPunct/>
        <w:topLinePunct w:val="0"/>
        <w:autoSpaceDE w:val="0"/>
        <w:autoSpaceDN w:val="0"/>
        <w:bidi w:val="0"/>
        <w:snapToGrid/>
        <w:spacing w:line="360" w:lineRule="auto"/>
        <w:textAlignment w:val="auto"/>
        <w:rPr>
          <w:rFonts w:ascii="宋体" w:hAnsi="宋体" w:cs="宋体"/>
          <w:b/>
          <w:color w:val="auto"/>
          <w:kern w:val="0"/>
          <w:sz w:val="24"/>
          <w:szCs w:val="24"/>
        </w:rPr>
      </w:pPr>
      <w:r>
        <w:rPr>
          <w:rFonts w:hint="eastAsia" w:ascii="宋体" w:hAnsi="宋体" w:cs="宋体"/>
          <w:b/>
          <w:color w:val="auto"/>
          <w:kern w:val="0"/>
          <w:sz w:val="24"/>
          <w:szCs w:val="24"/>
        </w:rPr>
        <w:t>36.履约担保</w:t>
      </w:r>
    </w:p>
    <w:p w14:paraId="23928F10">
      <w:pPr>
        <w:keepNext w:val="0"/>
        <w:keepLines w:val="0"/>
        <w:pageBreakBefore w:val="0"/>
        <w:kinsoku/>
        <w:wordWrap/>
        <w:overflowPunct/>
        <w:topLinePunct w:val="0"/>
        <w:autoSpaceDE w:val="0"/>
        <w:autoSpaceDN w:val="0"/>
        <w:bidi w:val="0"/>
        <w:snapToGrid/>
        <w:spacing w:line="360" w:lineRule="auto"/>
        <w:ind w:firstLine="480" w:firstLineChars="200"/>
        <w:textAlignment w:val="auto"/>
        <w:rPr>
          <w:rFonts w:ascii="宋体" w:hAnsi="宋体" w:cs="宋体"/>
          <w:color w:val="auto"/>
          <w:kern w:val="0"/>
          <w:sz w:val="24"/>
        </w:rPr>
      </w:pPr>
      <w:r>
        <w:rPr>
          <w:rFonts w:hint="eastAsia" w:ascii="宋体" w:hAnsi="宋体"/>
          <w:bCs/>
          <w:color w:val="auto"/>
          <w:sz w:val="24"/>
          <w:szCs w:val="24"/>
        </w:rPr>
        <w:t>按照《许昌市财政局关于加大政府采购支持中小企业力度有关事项的通知》(许财购【2022】5号）文的要求，不收取履约保证金。</w:t>
      </w:r>
    </w:p>
    <w:p w14:paraId="204B3930">
      <w:pPr>
        <w:spacing w:line="360" w:lineRule="auto"/>
        <w:jc w:val="center"/>
        <w:outlineLvl w:val="0"/>
        <w:rPr>
          <w:rFonts w:ascii="宋体" w:cs="宋体"/>
          <w:b/>
          <w:color w:val="auto"/>
          <w:kern w:val="0"/>
          <w:sz w:val="36"/>
          <w:szCs w:val="36"/>
        </w:rPr>
      </w:pPr>
      <w:r>
        <w:rPr>
          <w:rFonts w:hint="eastAsia" w:ascii="宋体" w:hAnsi="宋体" w:cs="宋体"/>
          <w:b/>
          <w:color w:val="auto"/>
          <w:kern w:val="0"/>
          <w:sz w:val="32"/>
          <w:szCs w:val="32"/>
        </w:rPr>
        <w:br w:type="page"/>
      </w:r>
      <w:bookmarkStart w:id="13" w:name="_Toc138068725"/>
      <w:r>
        <w:rPr>
          <w:rFonts w:hint="eastAsia" w:ascii="宋体" w:hAnsi="宋体"/>
          <w:b/>
          <w:color w:val="auto"/>
          <w:kern w:val="0"/>
          <w:sz w:val="32"/>
          <w:szCs w:val="32"/>
        </w:rPr>
        <w:t>第五章</w:t>
      </w:r>
      <w:r>
        <w:rPr>
          <w:rFonts w:hint="eastAsia" w:ascii="宋体" w:hAnsi="宋体"/>
          <w:b/>
          <w:color w:val="auto"/>
          <w:kern w:val="0"/>
          <w:sz w:val="32"/>
          <w:szCs w:val="32"/>
          <w:lang w:val="en-US" w:eastAsia="zh-CN"/>
        </w:rPr>
        <w:t xml:space="preserve"> </w:t>
      </w:r>
      <w:r>
        <w:rPr>
          <w:rFonts w:hint="eastAsia" w:ascii="宋体" w:hAnsi="宋体"/>
          <w:b/>
          <w:color w:val="auto"/>
          <w:kern w:val="0"/>
          <w:sz w:val="32"/>
          <w:szCs w:val="32"/>
        </w:rPr>
        <w:t>政府采购政策功能</w:t>
      </w:r>
      <w:bookmarkEnd w:id="13"/>
    </w:p>
    <w:p w14:paraId="01C7DE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pacing w:val="0"/>
          <w:kern w:val="0"/>
          <w:sz w:val="24"/>
          <w:szCs w:val="24"/>
        </w:rPr>
      </w:pPr>
      <w:r>
        <w:rPr>
          <w:rFonts w:hint="eastAsia" w:ascii="宋体" w:hAnsi="宋体" w:cs="宋体"/>
          <w:color w:val="auto"/>
          <w:spacing w:val="0"/>
          <w:kern w:val="0"/>
          <w:sz w:val="24"/>
          <w:szCs w:val="24"/>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317F93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pacing w:val="0"/>
          <w:kern w:val="0"/>
          <w:sz w:val="24"/>
          <w:szCs w:val="24"/>
        </w:rPr>
      </w:pPr>
      <w:r>
        <w:rPr>
          <w:rFonts w:hint="eastAsia" w:ascii="宋体" w:hAnsi="宋体" w:cs="宋体"/>
          <w:color w:val="auto"/>
          <w:spacing w:val="0"/>
          <w:kern w:val="0"/>
          <w:position w:val="2"/>
          <w:sz w:val="24"/>
          <w:szCs w:val="24"/>
        </w:rPr>
        <w:t>一、节约能源、保护环境</w:t>
      </w:r>
    </w:p>
    <w:p w14:paraId="734049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pacing w:val="0"/>
          <w:kern w:val="0"/>
          <w:sz w:val="24"/>
          <w:szCs w:val="24"/>
        </w:rPr>
      </w:pPr>
      <w:r>
        <w:rPr>
          <w:rFonts w:hint="eastAsia" w:ascii="宋体" w:hAnsi="宋体" w:cs="宋体"/>
          <w:color w:val="auto"/>
          <w:spacing w:val="0"/>
          <w:kern w:val="0"/>
          <w:sz w:val="24"/>
          <w:szCs w:val="24"/>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政府强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3CB846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pacing w:val="0"/>
          <w:kern w:val="0"/>
          <w:sz w:val="24"/>
          <w:szCs w:val="24"/>
        </w:rPr>
      </w:pPr>
      <w:r>
        <w:rPr>
          <w:rFonts w:hint="eastAsia" w:ascii="宋体" w:hAnsi="宋体" w:cs="宋体"/>
          <w:color w:val="auto"/>
          <w:spacing w:val="0"/>
          <w:kern w:val="0"/>
          <w:sz w:val="24"/>
          <w:szCs w:val="24"/>
        </w:rPr>
        <w:t>二、促进中小企业发展(不含民办非企业)</w:t>
      </w:r>
    </w:p>
    <w:p w14:paraId="0E70BF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pacing w:val="0"/>
          <w:kern w:val="0"/>
          <w:sz w:val="24"/>
          <w:szCs w:val="24"/>
        </w:rPr>
      </w:pPr>
      <w:r>
        <w:rPr>
          <w:rFonts w:hint="eastAsia" w:ascii="宋体" w:hAnsi="宋体" w:cs="宋体"/>
          <w:color w:val="auto"/>
          <w:spacing w:val="0"/>
          <w:kern w:val="0"/>
          <w:sz w:val="24"/>
          <w:szCs w:val="24"/>
        </w:rPr>
        <w:t>(一)专门面向中小企业预留采购份额</w:t>
      </w:r>
    </w:p>
    <w:p w14:paraId="723AB9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pacing w:val="0"/>
          <w:kern w:val="0"/>
          <w:sz w:val="24"/>
          <w:szCs w:val="24"/>
        </w:rPr>
      </w:pPr>
      <w:r>
        <w:rPr>
          <w:rFonts w:hint="eastAsia" w:ascii="宋体" w:hAnsi="宋体" w:cs="宋体"/>
          <w:color w:val="auto"/>
          <w:spacing w:val="0"/>
          <w:kern w:val="0"/>
          <w:sz w:val="24"/>
          <w:szCs w:val="24"/>
        </w:rPr>
        <w:t>(二)非专门面向中小企业预留采购份额</w:t>
      </w:r>
    </w:p>
    <w:p w14:paraId="3EC903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pacing w:val="0"/>
          <w:kern w:val="0"/>
          <w:sz w:val="24"/>
          <w:szCs w:val="24"/>
        </w:rPr>
      </w:pPr>
      <w:r>
        <w:rPr>
          <w:rFonts w:hint="eastAsia" w:ascii="宋体" w:hAnsi="宋体" w:cs="宋体"/>
          <w:color w:val="auto"/>
          <w:spacing w:val="0"/>
          <w:kern w:val="0"/>
          <w:sz w:val="24"/>
          <w:szCs w:val="24"/>
        </w:rPr>
        <w:t>1、根据财政部、工业和信息化部《政府采购促进中小企业发展管理办法》(财库[2020]46号)规定，对符合该办法规定的小型和微型企业报价给予3%-5%的扣除，用扣除后的价格参与评审。</w:t>
      </w:r>
    </w:p>
    <w:p w14:paraId="4618F1B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pacing w:val="0"/>
          <w:kern w:val="0"/>
          <w:sz w:val="24"/>
          <w:szCs w:val="24"/>
        </w:rPr>
      </w:pPr>
      <w:r>
        <w:rPr>
          <w:rFonts w:hint="eastAsia" w:ascii="宋体" w:hAnsi="宋体" w:cs="宋体"/>
          <w:color w:val="auto"/>
          <w:spacing w:val="0"/>
          <w:kern w:val="0"/>
          <w:sz w:val="24"/>
          <w:szCs w:val="24"/>
        </w:rPr>
        <w:t>2、在货物采购项目中，供应商提供的货物既有中小企业制造货物，也有大型企业制造货物的，不享受《政府采购促进中小企业发展管理办法》(财库[2020]46号)规定的中小企业扶持政策。</w:t>
      </w:r>
    </w:p>
    <w:p w14:paraId="1D503B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pacing w:val="0"/>
          <w:kern w:val="0"/>
          <w:sz w:val="24"/>
          <w:szCs w:val="24"/>
        </w:rPr>
      </w:pPr>
      <w:r>
        <w:rPr>
          <w:rFonts w:hint="eastAsia" w:ascii="宋体" w:hAnsi="宋体" w:cs="宋体"/>
          <w:color w:val="auto"/>
          <w:spacing w:val="0"/>
          <w:kern w:val="0"/>
          <w:position w:val="1"/>
          <w:sz w:val="24"/>
          <w:szCs w:val="24"/>
        </w:rPr>
        <w:t>3、以联合体形式参加政府采购活动，联合体各方均为中小企业的，联合体视同中小企业。其</w:t>
      </w:r>
      <w:r>
        <w:rPr>
          <w:rFonts w:hint="eastAsia" w:ascii="宋体" w:hAnsi="宋体" w:cs="宋体"/>
          <w:color w:val="auto"/>
          <w:spacing w:val="0"/>
          <w:kern w:val="0"/>
          <w:sz w:val="24"/>
          <w:szCs w:val="24"/>
        </w:rPr>
        <w:t>中，联合体各方均为小微企业的，联合体视同小微企业。</w:t>
      </w:r>
    </w:p>
    <w:p w14:paraId="1ACBF3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pacing w:val="0"/>
          <w:kern w:val="0"/>
          <w:sz w:val="24"/>
          <w:szCs w:val="24"/>
        </w:rPr>
      </w:pPr>
      <w:r>
        <w:rPr>
          <w:rFonts w:hint="eastAsia" w:ascii="宋体" w:hAnsi="宋体" w:cs="宋体"/>
          <w:color w:val="auto"/>
          <w:spacing w:val="0"/>
          <w:kern w:val="0"/>
          <w:sz w:val="24"/>
          <w:szCs w:val="24"/>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1—2%的扣除，用扣除后的价格参加评审。组成联合体或者接受分包的小微企业与联合体内其他企业、分包企业之间存在直接控股、管理关系的，不享受价格扣除优惠政策。</w:t>
      </w:r>
    </w:p>
    <w:p w14:paraId="64E2048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pacing w:val="0"/>
          <w:kern w:val="0"/>
          <w:sz w:val="24"/>
          <w:szCs w:val="24"/>
        </w:rPr>
      </w:pPr>
      <w:r>
        <w:rPr>
          <w:rFonts w:hint="eastAsia" w:ascii="宋体" w:hAnsi="宋体" w:cs="宋体"/>
          <w:color w:val="auto"/>
          <w:spacing w:val="0"/>
          <w:kern w:val="0"/>
          <w:sz w:val="24"/>
          <w:szCs w:val="24"/>
        </w:rPr>
        <w:t>5、按照本次采购标的所属行业的划型标准，符合条件的中小企业应按照采购文件格式要求提供《中小企业声明函》，否则不得享受相关中小企业扶持政策。</w:t>
      </w:r>
    </w:p>
    <w:p w14:paraId="261D5C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pacing w:val="0"/>
          <w:kern w:val="0"/>
          <w:sz w:val="24"/>
          <w:szCs w:val="24"/>
        </w:rPr>
      </w:pPr>
      <w:r>
        <w:rPr>
          <w:rFonts w:hint="eastAsia" w:ascii="宋体" w:hAnsi="宋体" w:cs="宋体"/>
          <w:color w:val="auto"/>
          <w:spacing w:val="0"/>
          <w:kern w:val="0"/>
          <w:position w:val="1"/>
          <w:sz w:val="24"/>
          <w:szCs w:val="24"/>
        </w:rPr>
        <w:t>三、支持监狱企业发展</w:t>
      </w:r>
    </w:p>
    <w:p w14:paraId="4E46F2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pacing w:val="0"/>
          <w:kern w:val="0"/>
          <w:sz w:val="24"/>
          <w:szCs w:val="24"/>
        </w:rPr>
      </w:pPr>
      <w:r>
        <w:rPr>
          <w:rFonts w:hint="eastAsia" w:ascii="宋体" w:hAnsi="宋体" w:cs="宋体"/>
          <w:color w:val="auto"/>
          <w:spacing w:val="0"/>
          <w:kern w:val="0"/>
          <w:sz w:val="24"/>
          <w:szCs w:val="24"/>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4FF763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pacing w:val="0"/>
          <w:kern w:val="0"/>
          <w:sz w:val="24"/>
          <w:szCs w:val="24"/>
        </w:rPr>
      </w:pPr>
      <w:r>
        <w:rPr>
          <w:rFonts w:hint="eastAsia" w:ascii="宋体" w:hAnsi="宋体" w:cs="宋体"/>
          <w:color w:val="auto"/>
          <w:spacing w:val="0"/>
          <w:kern w:val="0"/>
          <w:sz w:val="24"/>
          <w:szCs w:val="24"/>
        </w:rPr>
        <w:t>四、促进残疾人就业</w:t>
      </w:r>
    </w:p>
    <w:p w14:paraId="41AAC6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pacing w:val="0"/>
          <w:kern w:val="0"/>
          <w:sz w:val="24"/>
          <w:szCs w:val="24"/>
        </w:rPr>
      </w:pPr>
      <w:r>
        <w:rPr>
          <w:rFonts w:hint="eastAsia" w:ascii="宋体" w:hAnsi="宋体" w:cs="宋体"/>
          <w:color w:val="auto"/>
          <w:spacing w:val="0"/>
          <w:kern w:val="0"/>
          <w:sz w:val="24"/>
          <w:szCs w:val="24"/>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14:paraId="05E472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pacing w:val="0"/>
          <w:kern w:val="0"/>
          <w:sz w:val="24"/>
          <w:szCs w:val="24"/>
        </w:rPr>
      </w:pPr>
      <w:r>
        <w:rPr>
          <w:rFonts w:hint="eastAsia" w:ascii="宋体" w:hAnsi="宋体" w:cs="宋体"/>
          <w:color w:val="auto"/>
          <w:spacing w:val="0"/>
          <w:kern w:val="0"/>
          <w:sz w:val="24"/>
          <w:szCs w:val="24"/>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09D376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pacing w:val="0"/>
          <w:kern w:val="0"/>
          <w:sz w:val="24"/>
          <w:szCs w:val="24"/>
        </w:rPr>
      </w:pPr>
      <w:r>
        <w:rPr>
          <w:rFonts w:hint="eastAsia" w:ascii="宋体" w:hAnsi="宋体" w:cs="宋体"/>
          <w:color w:val="auto"/>
          <w:spacing w:val="0"/>
          <w:kern w:val="0"/>
          <w:sz w:val="24"/>
          <w:szCs w:val="24"/>
        </w:rPr>
        <w:t>3、中标人为残疾人福利性单位的，招标人应当随中标结果同时公告其《残疾人福利性单位声明函》，接受社会监督。</w:t>
      </w:r>
    </w:p>
    <w:p w14:paraId="4E5357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pacing w:val="0"/>
          <w:kern w:val="0"/>
          <w:sz w:val="24"/>
          <w:szCs w:val="24"/>
        </w:rPr>
        <w:sectPr>
          <w:footerReference r:id="rId3" w:type="default"/>
          <w:pgSz w:w="11906" w:h="16839"/>
          <w:pgMar w:top="1417" w:right="1417" w:bottom="1417" w:left="1417" w:header="0" w:footer="987" w:gutter="0"/>
          <w:pgNumType w:start="1"/>
          <w:cols w:space="720" w:num="1"/>
        </w:sectPr>
      </w:pPr>
    </w:p>
    <w:p w14:paraId="4D961174">
      <w:pPr>
        <w:spacing w:line="360" w:lineRule="auto"/>
        <w:jc w:val="center"/>
        <w:outlineLvl w:val="0"/>
        <w:rPr>
          <w:rFonts w:ascii="宋体" w:hAnsi="宋体"/>
          <w:b/>
          <w:color w:val="auto"/>
          <w:kern w:val="0"/>
          <w:sz w:val="32"/>
          <w:szCs w:val="32"/>
        </w:rPr>
      </w:pPr>
      <w:bookmarkStart w:id="14" w:name="_Toc138068726"/>
      <w:r>
        <w:rPr>
          <w:rFonts w:hint="eastAsia" w:ascii="宋体" w:hAnsi="宋体"/>
          <w:b/>
          <w:color w:val="auto"/>
          <w:kern w:val="0"/>
          <w:sz w:val="32"/>
          <w:szCs w:val="32"/>
        </w:rPr>
        <w:t>第六章</w:t>
      </w:r>
      <w:r>
        <w:rPr>
          <w:rFonts w:hint="eastAsia" w:ascii="宋体" w:hAnsi="宋体"/>
          <w:b/>
          <w:color w:val="auto"/>
          <w:kern w:val="0"/>
          <w:sz w:val="32"/>
          <w:szCs w:val="32"/>
          <w:lang w:val="en-US" w:eastAsia="zh-CN"/>
        </w:rPr>
        <w:t xml:space="preserve"> </w:t>
      </w:r>
      <w:r>
        <w:rPr>
          <w:rFonts w:hint="eastAsia" w:ascii="宋体" w:hAnsi="宋体"/>
          <w:b/>
          <w:color w:val="auto"/>
          <w:kern w:val="0"/>
          <w:sz w:val="32"/>
          <w:szCs w:val="32"/>
        </w:rPr>
        <w:t>对响应文件审查与评审</w:t>
      </w:r>
      <w:bookmarkEnd w:id="14"/>
    </w:p>
    <w:p w14:paraId="05251E36">
      <w:pPr>
        <w:pStyle w:val="22"/>
        <w:spacing w:line="360" w:lineRule="auto"/>
        <w:rPr>
          <w:rFonts w:ascii="宋体" w:hAnsi="宋体"/>
          <w:b/>
          <w:color w:val="auto"/>
        </w:rPr>
      </w:pPr>
      <w:r>
        <w:rPr>
          <w:rFonts w:hint="eastAsia" w:ascii="宋体" w:hAnsi="宋体"/>
          <w:b/>
          <w:color w:val="auto"/>
        </w:rPr>
        <w:t>一、资格审查</w:t>
      </w:r>
    </w:p>
    <w:p w14:paraId="4985EE43">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宋体" w:hAnsi="宋体" w:cs="宋体"/>
          <w:bCs/>
          <w:color w:val="auto"/>
          <w:lang w:val="zh-CN"/>
        </w:rPr>
      </w:pPr>
      <w:r>
        <w:rPr>
          <w:rFonts w:hint="eastAsia" w:ascii="宋体" w:hAnsi="宋体" w:cs="宋体"/>
          <w:bCs/>
          <w:color w:val="auto"/>
          <w:lang w:val="zh-CN"/>
        </w:rPr>
        <w:t>(一)磋商小组依法对供应商资格进行审查。确定符合资格的供应商不少于3家，将对响应文件的有效性、完整性和响应程度进行审查并对响应文件进行评审。</w:t>
      </w:r>
    </w:p>
    <w:p w14:paraId="2453897E">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宋体" w:hAnsi="宋体" w:cs="宋体"/>
          <w:bCs/>
          <w:color w:val="auto"/>
          <w:lang w:val="zh-CN"/>
        </w:rPr>
      </w:pPr>
      <w:r>
        <w:rPr>
          <w:rFonts w:hint="eastAsia" w:ascii="宋体" w:hAnsi="宋体" w:cs="宋体"/>
          <w:bCs/>
          <w:color w:val="auto"/>
          <w:lang w:val="zh-CN"/>
        </w:rPr>
        <w:t>(二)资格证明材料(本栏所列内容为本项目的资格审查条件，如有一项不符合要求，则不能进入下一步评审)。</w:t>
      </w:r>
    </w:p>
    <w:p w14:paraId="518BB3D7">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宋体" w:hAnsi="宋体"/>
          <w:b/>
          <w:color w:val="auto"/>
        </w:rPr>
      </w:pPr>
      <w:r>
        <w:rPr>
          <w:rFonts w:hint="eastAsia" w:ascii="宋体" w:hAnsi="宋体" w:cs="宋体"/>
          <w:bCs/>
          <w:color w:val="auto"/>
          <w:lang w:val="zh-CN"/>
        </w:rPr>
        <w:t>(三)资格审查中所涉及到的证书及材料，均须在电子响应文件中提供原件扫描件(或图片)。</w:t>
      </w:r>
    </w:p>
    <w:tbl>
      <w:tblPr>
        <w:tblStyle w:val="34"/>
        <w:tblW w:w="92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16"/>
        <w:gridCol w:w="5844"/>
      </w:tblGrid>
      <w:tr w14:paraId="25A9C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180B5A48">
            <w:pPr>
              <w:spacing w:line="360" w:lineRule="auto"/>
              <w:jc w:val="center"/>
              <w:rPr>
                <w:rFonts w:ascii="宋体" w:hAnsi="宋体"/>
                <w:b/>
                <w:color w:val="auto"/>
                <w:sz w:val="24"/>
              </w:rPr>
            </w:pPr>
            <w:r>
              <w:rPr>
                <w:rFonts w:hint="eastAsia" w:ascii="宋体" w:hAnsi="宋体"/>
                <w:b/>
                <w:color w:val="auto"/>
                <w:sz w:val="24"/>
              </w:rPr>
              <w:t>序号</w:t>
            </w:r>
          </w:p>
        </w:tc>
        <w:tc>
          <w:tcPr>
            <w:tcW w:w="2516" w:type="dxa"/>
            <w:tcBorders>
              <w:top w:val="single" w:color="auto" w:sz="4" w:space="0"/>
              <w:left w:val="single" w:color="auto" w:sz="4" w:space="0"/>
              <w:bottom w:val="single" w:color="auto" w:sz="4" w:space="0"/>
              <w:right w:val="single" w:color="auto" w:sz="4" w:space="0"/>
            </w:tcBorders>
            <w:vAlign w:val="center"/>
          </w:tcPr>
          <w:p w14:paraId="75D0C40B">
            <w:pPr>
              <w:spacing w:line="360" w:lineRule="auto"/>
              <w:jc w:val="center"/>
              <w:rPr>
                <w:rFonts w:ascii="宋体" w:hAnsi="宋体"/>
                <w:b/>
                <w:color w:val="auto"/>
                <w:sz w:val="24"/>
              </w:rPr>
            </w:pPr>
            <w:r>
              <w:rPr>
                <w:rFonts w:hint="eastAsia" w:ascii="宋体" w:hAnsi="宋体"/>
                <w:b/>
                <w:color w:val="auto"/>
                <w:sz w:val="24"/>
              </w:rPr>
              <w:t>资格审查因素</w:t>
            </w:r>
          </w:p>
        </w:tc>
        <w:tc>
          <w:tcPr>
            <w:tcW w:w="5844" w:type="dxa"/>
            <w:tcBorders>
              <w:top w:val="single" w:color="auto" w:sz="4" w:space="0"/>
              <w:left w:val="single" w:color="auto" w:sz="4" w:space="0"/>
              <w:bottom w:val="single" w:color="auto" w:sz="4" w:space="0"/>
              <w:right w:val="single" w:color="auto" w:sz="4" w:space="0"/>
            </w:tcBorders>
            <w:vAlign w:val="center"/>
          </w:tcPr>
          <w:p w14:paraId="0165CA3D">
            <w:pPr>
              <w:spacing w:line="360" w:lineRule="auto"/>
              <w:jc w:val="center"/>
              <w:rPr>
                <w:rFonts w:ascii="宋体" w:hAnsi="宋体"/>
                <w:b/>
                <w:color w:val="auto"/>
                <w:sz w:val="24"/>
              </w:rPr>
            </w:pPr>
            <w:r>
              <w:rPr>
                <w:rFonts w:hint="eastAsia" w:ascii="宋体" w:hAnsi="宋体"/>
                <w:b/>
                <w:color w:val="auto"/>
                <w:sz w:val="24"/>
              </w:rPr>
              <w:t>说明与要求</w:t>
            </w:r>
          </w:p>
        </w:tc>
      </w:tr>
      <w:tr w14:paraId="2E7F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25FD0967">
            <w:pPr>
              <w:spacing w:line="360" w:lineRule="auto"/>
              <w:jc w:val="center"/>
              <w:rPr>
                <w:rFonts w:ascii="宋体" w:hAnsi="宋体"/>
                <w:b/>
                <w:color w:val="auto"/>
                <w:sz w:val="24"/>
              </w:rPr>
            </w:pPr>
            <w:r>
              <w:rPr>
                <w:rFonts w:hint="eastAsia" w:ascii="宋体" w:hAnsi="宋体"/>
                <w:b/>
                <w:color w:val="auto"/>
                <w:sz w:val="24"/>
              </w:rPr>
              <w:t>1</w:t>
            </w:r>
          </w:p>
        </w:tc>
        <w:tc>
          <w:tcPr>
            <w:tcW w:w="2516" w:type="dxa"/>
            <w:tcBorders>
              <w:top w:val="single" w:color="auto" w:sz="4" w:space="0"/>
              <w:left w:val="single" w:color="auto" w:sz="4" w:space="0"/>
              <w:bottom w:val="single" w:color="auto" w:sz="4" w:space="0"/>
              <w:right w:val="single" w:color="auto" w:sz="4" w:space="0"/>
            </w:tcBorders>
            <w:vAlign w:val="center"/>
          </w:tcPr>
          <w:p w14:paraId="48635E5B">
            <w:pPr>
              <w:spacing w:line="360" w:lineRule="auto"/>
              <w:jc w:val="center"/>
              <w:rPr>
                <w:rFonts w:ascii="宋体" w:hAnsi="宋体" w:cs="宋体"/>
                <w:bCs/>
                <w:color w:val="auto"/>
                <w:sz w:val="24"/>
                <w:lang w:val="zh-CN"/>
              </w:rPr>
            </w:pPr>
            <w:r>
              <w:rPr>
                <w:rFonts w:hint="eastAsia" w:ascii="宋体" w:hAnsi="宋体" w:cs="宋体"/>
                <w:bCs/>
                <w:color w:val="auto"/>
                <w:sz w:val="24"/>
                <w:lang w:val="zh-CN"/>
              </w:rPr>
              <w:t>投标函</w:t>
            </w:r>
          </w:p>
        </w:tc>
        <w:tc>
          <w:tcPr>
            <w:tcW w:w="5844" w:type="dxa"/>
            <w:tcBorders>
              <w:top w:val="single" w:color="auto" w:sz="4" w:space="0"/>
              <w:left w:val="single" w:color="auto" w:sz="4" w:space="0"/>
              <w:bottom w:val="single" w:color="auto" w:sz="4" w:space="0"/>
              <w:right w:val="single" w:color="auto" w:sz="4" w:space="0"/>
            </w:tcBorders>
            <w:vAlign w:val="center"/>
          </w:tcPr>
          <w:p w14:paraId="787ED093">
            <w:pPr>
              <w:spacing w:line="360" w:lineRule="auto"/>
              <w:rPr>
                <w:rFonts w:ascii="宋体" w:hAnsi="宋体" w:cs="宋体"/>
                <w:bCs/>
                <w:color w:val="auto"/>
                <w:sz w:val="24"/>
                <w:lang w:val="zh-CN"/>
              </w:rPr>
            </w:pPr>
            <w:r>
              <w:rPr>
                <w:rFonts w:hint="eastAsia" w:ascii="宋体" w:hAnsi="宋体" w:cs="宋体"/>
                <w:bCs/>
                <w:color w:val="auto"/>
                <w:sz w:val="24"/>
                <w:lang w:val="zh-CN"/>
              </w:rPr>
              <w:t>按照磋商文件第八章3.1格式填写</w:t>
            </w:r>
          </w:p>
        </w:tc>
      </w:tr>
      <w:tr w14:paraId="7FDED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58B43D89">
            <w:pPr>
              <w:spacing w:line="360" w:lineRule="auto"/>
              <w:jc w:val="center"/>
              <w:rPr>
                <w:rFonts w:ascii="宋体" w:hAnsi="宋体"/>
                <w:b/>
                <w:bCs/>
                <w:color w:val="auto"/>
                <w:sz w:val="24"/>
              </w:rPr>
            </w:pPr>
            <w:r>
              <w:rPr>
                <w:rFonts w:hint="eastAsia" w:ascii="宋体" w:hAnsi="宋体"/>
                <w:b/>
                <w:bCs/>
                <w:color w:val="auto"/>
                <w:sz w:val="24"/>
              </w:rPr>
              <w:t>2</w:t>
            </w:r>
          </w:p>
        </w:tc>
        <w:tc>
          <w:tcPr>
            <w:tcW w:w="2516" w:type="dxa"/>
            <w:tcBorders>
              <w:top w:val="single" w:color="auto" w:sz="4" w:space="0"/>
              <w:left w:val="single" w:color="auto" w:sz="4" w:space="0"/>
              <w:bottom w:val="single" w:color="auto" w:sz="4" w:space="0"/>
              <w:right w:val="single" w:color="auto" w:sz="4" w:space="0"/>
            </w:tcBorders>
            <w:vAlign w:val="center"/>
          </w:tcPr>
          <w:p w14:paraId="70B75786">
            <w:pPr>
              <w:spacing w:line="360" w:lineRule="auto"/>
              <w:jc w:val="center"/>
              <w:rPr>
                <w:rFonts w:ascii="宋体" w:hAnsi="宋体" w:cs="宋体"/>
                <w:bCs/>
                <w:color w:val="auto"/>
                <w:sz w:val="24"/>
                <w:lang w:val="zh-CN"/>
              </w:rPr>
            </w:pPr>
            <w:r>
              <w:rPr>
                <w:rFonts w:hint="eastAsia" w:ascii="宋体" w:hAnsi="宋体" w:cs="宋体"/>
                <w:bCs/>
                <w:color w:val="auto"/>
                <w:sz w:val="24"/>
                <w:lang w:val="zh-CN"/>
              </w:rPr>
              <w:t>政府采购</w:t>
            </w:r>
          </w:p>
          <w:p w14:paraId="7504FD3C">
            <w:pPr>
              <w:spacing w:line="360" w:lineRule="auto"/>
              <w:jc w:val="center"/>
              <w:rPr>
                <w:rFonts w:ascii="宋体" w:hAnsi="宋体" w:cs="宋体"/>
                <w:bCs/>
                <w:color w:val="auto"/>
                <w:sz w:val="24"/>
                <w:lang w:val="zh-CN"/>
              </w:rPr>
            </w:pPr>
            <w:r>
              <w:rPr>
                <w:rFonts w:hint="eastAsia" w:ascii="宋体" w:hAnsi="宋体" w:cs="宋体"/>
                <w:bCs/>
                <w:color w:val="auto"/>
                <w:sz w:val="24"/>
                <w:lang w:val="zh-CN"/>
              </w:rPr>
              <w:t>供应商信用承诺函</w:t>
            </w:r>
          </w:p>
        </w:tc>
        <w:tc>
          <w:tcPr>
            <w:tcW w:w="5844" w:type="dxa"/>
            <w:tcBorders>
              <w:top w:val="single" w:color="auto" w:sz="4" w:space="0"/>
              <w:left w:val="single" w:color="auto" w:sz="4" w:space="0"/>
              <w:bottom w:val="single" w:color="auto" w:sz="4" w:space="0"/>
              <w:right w:val="single" w:color="auto" w:sz="4" w:space="0"/>
            </w:tcBorders>
            <w:vAlign w:val="center"/>
          </w:tcPr>
          <w:p w14:paraId="06CACC61">
            <w:pPr>
              <w:spacing w:line="360" w:lineRule="auto"/>
              <w:jc w:val="left"/>
              <w:rPr>
                <w:rFonts w:ascii="宋体" w:hAnsi="宋体" w:cs="宋体"/>
                <w:bCs/>
                <w:color w:val="auto"/>
                <w:sz w:val="24"/>
                <w:lang w:val="zh-CN"/>
              </w:rPr>
            </w:pPr>
            <w:r>
              <w:rPr>
                <w:rFonts w:hint="eastAsia" w:ascii="宋体" w:hAnsi="宋体" w:cs="宋体"/>
                <w:bCs/>
                <w:color w:val="auto"/>
                <w:sz w:val="24"/>
                <w:lang w:val="zh-CN"/>
              </w:rPr>
              <w:t>按照磋商文件第八章3.5格式填写</w:t>
            </w:r>
          </w:p>
        </w:tc>
      </w:tr>
      <w:tr w14:paraId="10A7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6EB04FAB">
            <w:pPr>
              <w:spacing w:line="360" w:lineRule="auto"/>
              <w:jc w:val="center"/>
              <w:rPr>
                <w:rFonts w:ascii="宋体" w:hAnsi="宋体"/>
                <w:b/>
                <w:bCs/>
                <w:color w:val="auto"/>
                <w:sz w:val="24"/>
              </w:rPr>
            </w:pPr>
            <w:r>
              <w:rPr>
                <w:rFonts w:hint="eastAsia" w:ascii="宋体" w:hAnsi="宋体"/>
                <w:b/>
                <w:bCs/>
                <w:color w:val="auto"/>
                <w:sz w:val="24"/>
              </w:rPr>
              <w:t>3</w:t>
            </w:r>
          </w:p>
        </w:tc>
        <w:tc>
          <w:tcPr>
            <w:tcW w:w="2516" w:type="dxa"/>
            <w:tcBorders>
              <w:top w:val="single" w:color="auto" w:sz="4" w:space="0"/>
              <w:left w:val="single" w:color="auto" w:sz="4" w:space="0"/>
              <w:bottom w:val="single" w:color="auto" w:sz="4" w:space="0"/>
              <w:right w:val="single" w:color="auto" w:sz="4" w:space="0"/>
            </w:tcBorders>
            <w:vAlign w:val="center"/>
          </w:tcPr>
          <w:p w14:paraId="18A7FD5A">
            <w:pPr>
              <w:spacing w:line="360" w:lineRule="auto"/>
              <w:jc w:val="center"/>
              <w:rPr>
                <w:rFonts w:ascii="宋体" w:hAnsi="宋体" w:cs="宋体"/>
                <w:bCs/>
                <w:color w:val="auto"/>
                <w:sz w:val="24"/>
                <w:lang w:val="zh-CN"/>
              </w:rPr>
            </w:pPr>
            <w:r>
              <w:rPr>
                <w:rFonts w:hint="eastAsia" w:ascii="宋体" w:hAnsi="宋体" w:cs="宋体"/>
                <w:bCs/>
                <w:color w:val="auto"/>
                <w:sz w:val="24"/>
                <w:lang w:val="zh-CN"/>
              </w:rPr>
              <w:t>磋商报价</w:t>
            </w:r>
          </w:p>
        </w:tc>
        <w:tc>
          <w:tcPr>
            <w:tcW w:w="5844" w:type="dxa"/>
            <w:tcBorders>
              <w:top w:val="single" w:color="auto" w:sz="4" w:space="0"/>
              <w:left w:val="single" w:color="auto" w:sz="4" w:space="0"/>
              <w:bottom w:val="single" w:color="auto" w:sz="4" w:space="0"/>
              <w:right w:val="single" w:color="auto" w:sz="4" w:space="0"/>
            </w:tcBorders>
          </w:tcPr>
          <w:p w14:paraId="65540E0E">
            <w:pPr>
              <w:spacing w:line="360" w:lineRule="auto"/>
              <w:rPr>
                <w:rFonts w:ascii="宋体" w:hAnsi="宋体" w:cs="宋体"/>
                <w:bCs/>
                <w:color w:val="auto"/>
                <w:sz w:val="24"/>
                <w:lang w:val="zh-CN"/>
              </w:rPr>
            </w:pPr>
            <w:r>
              <w:rPr>
                <w:rFonts w:hint="eastAsia" w:ascii="宋体" w:hAnsi="宋体" w:cs="宋体"/>
                <w:bCs/>
                <w:color w:val="auto"/>
                <w:sz w:val="24"/>
                <w:lang w:val="zh-CN"/>
              </w:rPr>
              <w:t>响应报价是否超出磋商文件中规定的预算金额，超出预算金额的投标无效。如供应商须知前附表规定最高限价，则超出预算金额和最高限价的投标无效。</w:t>
            </w:r>
          </w:p>
        </w:tc>
      </w:tr>
      <w:tr w14:paraId="4862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3D7C9FF0">
            <w:pPr>
              <w:spacing w:line="360" w:lineRule="auto"/>
              <w:jc w:val="center"/>
              <w:rPr>
                <w:rFonts w:ascii="宋体" w:hAnsi="宋体"/>
                <w:b/>
                <w:bCs/>
                <w:color w:val="auto"/>
                <w:sz w:val="24"/>
              </w:rPr>
            </w:pPr>
            <w:r>
              <w:rPr>
                <w:rFonts w:hint="eastAsia" w:ascii="宋体" w:hAnsi="宋体"/>
                <w:b/>
                <w:bCs/>
                <w:color w:val="auto"/>
                <w:sz w:val="24"/>
              </w:rPr>
              <w:t>4</w:t>
            </w:r>
          </w:p>
        </w:tc>
        <w:tc>
          <w:tcPr>
            <w:tcW w:w="2516" w:type="dxa"/>
            <w:tcBorders>
              <w:top w:val="single" w:color="auto" w:sz="4" w:space="0"/>
              <w:left w:val="single" w:color="auto" w:sz="4" w:space="0"/>
              <w:bottom w:val="single" w:color="auto" w:sz="4" w:space="0"/>
              <w:right w:val="single" w:color="auto" w:sz="4" w:space="0"/>
            </w:tcBorders>
            <w:vAlign w:val="center"/>
          </w:tcPr>
          <w:p w14:paraId="3E91523A">
            <w:pPr>
              <w:spacing w:line="360" w:lineRule="auto"/>
              <w:jc w:val="center"/>
              <w:rPr>
                <w:rFonts w:ascii="宋体" w:hAnsi="宋体" w:cs="宋体"/>
                <w:bCs/>
                <w:color w:val="auto"/>
                <w:sz w:val="24"/>
                <w:lang w:val="zh-CN"/>
              </w:rPr>
            </w:pPr>
            <w:r>
              <w:rPr>
                <w:rFonts w:hint="eastAsia" w:ascii="宋体" w:hAnsi="宋体" w:cs="宋体"/>
                <w:bCs/>
                <w:color w:val="auto"/>
                <w:sz w:val="24"/>
                <w:lang w:val="zh-CN"/>
              </w:rPr>
              <w:t>磋商承诺函</w:t>
            </w:r>
          </w:p>
        </w:tc>
        <w:tc>
          <w:tcPr>
            <w:tcW w:w="5844" w:type="dxa"/>
            <w:tcBorders>
              <w:top w:val="single" w:color="auto" w:sz="4" w:space="0"/>
              <w:left w:val="single" w:color="auto" w:sz="4" w:space="0"/>
              <w:bottom w:val="single" w:color="auto" w:sz="4" w:space="0"/>
              <w:right w:val="single" w:color="auto" w:sz="4" w:space="0"/>
            </w:tcBorders>
            <w:vAlign w:val="center"/>
          </w:tcPr>
          <w:p w14:paraId="7A66E2AD">
            <w:pPr>
              <w:spacing w:line="360" w:lineRule="auto"/>
              <w:rPr>
                <w:rFonts w:ascii="宋体" w:hAnsi="宋体" w:cs="宋体"/>
                <w:bCs/>
                <w:color w:val="auto"/>
                <w:sz w:val="24"/>
                <w:lang w:val="zh-CN"/>
              </w:rPr>
            </w:pPr>
            <w:r>
              <w:rPr>
                <w:rFonts w:hint="eastAsia" w:ascii="宋体" w:hAnsi="宋体" w:cs="宋体"/>
                <w:bCs/>
                <w:color w:val="auto"/>
                <w:sz w:val="24"/>
                <w:lang w:val="zh-CN"/>
              </w:rPr>
              <w:t>按照磋商文件第八章3.4格式填写。</w:t>
            </w:r>
          </w:p>
        </w:tc>
      </w:tr>
      <w:tr w14:paraId="12E0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3E9EC306">
            <w:pPr>
              <w:spacing w:line="360" w:lineRule="auto"/>
              <w:jc w:val="center"/>
              <w:rPr>
                <w:rFonts w:ascii="宋体" w:hAnsi="宋体"/>
                <w:b/>
                <w:bCs/>
                <w:color w:val="auto"/>
                <w:sz w:val="24"/>
              </w:rPr>
            </w:pPr>
            <w:r>
              <w:rPr>
                <w:rFonts w:hint="eastAsia" w:ascii="宋体" w:hAnsi="宋体"/>
                <w:b/>
                <w:bCs/>
                <w:color w:val="auto"/>
                <w:sz w:val="24"/>
              </w:rPr>
              <w:t>5</w:t>
            </w:r>
          </w:p>
        </w:tc>
        <w:tc>
          <w:tcPr>
            <w:tcW w:w="2516" w:type="dxa"/>
            <w:tcBorders>
              <w:top w:val="single" w:color="auto" w:sz="4" w:space="0"/>
              <w:left w:val="single" w:color="auto" w:sz="4" w:space="0"/>
              <w:bottom w:val="single" w:color="auto" w:sz="4" w:space="0"/>
              <w:right w:val="single" w:color="auto" w:sz="4" w:space="0"/>
            </w:tcBorders>
            <w:vAlign w:val="center"/>
          </w:tcPr>
          <w:p w14:paraId="21AF03B0">
            <w:pPr>
              <w:spacing w:line="360" w:lineRule="auto"/>
              <w:jc w:val="center"/>
              <w:rPr>
                <w:rFonts w:ascii="宋体" w:hAnsi="宋体" w:cs="宋体"/>
                <w:bCs/>
                <w:color w:val="auto"/>
                <w:sz w:val="24"/>
              </w:rPr>
            </w:pPr>
            <w:r>
              <w:rPr>
                <w:rFonts w:hint="eastAsia" w:ascii="宋体" w:hAnsi="宋体" w:cs="宋体"/>
                <w:bCs/>
                <w:color w:val="auto"/>
                <w:sz w:val="24"/>
              </w:rPr>
              <w:t>中小企业</w:t>
            </w:r>
          </w:p>
        </w:tc>
        <w:tc>
          <w:tcPr>
            <w:tcW w:w="5844" w:type="dxa"/>
            <w:tcBorders>
              <w:top w:val="single" w:color="auto" w:sz="4" w:space="0"/>
              <w:left w:val="single" w:color="auto" w:sz="4" w:space="0"/>
              <w:bottom w:val="single" w:color="auto" w:sz="4" w:space="0"/>
              <w:right w:val="single" w:color="auto" w:sz="4" w:space="0"/>
            </w:tcBorders>
            <w:vAlign w:val="center"/>
          </w:tcPr>
          <w:p w14:paraId="34F505DE">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（1）中、小、微型企业出具《中小企业声明函》</w:t>
            </w:r>
          </w:p>
          <w:p w14:paraId="15C0F93E">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（2）残疾人福利性单位出具《残疾人福利企业声明函》</w:t>
            </w:r>
          </w:p>
          <w:p w14:paraId="3FA3386C">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（3）监狱企业提供由省级以上监狱管理局、戒毒管理局(含新疆生产建设兵团)出具的属于监狱企业的证明文件</w:t>
            </w:r>
          </w:p>
        </w:tc>
      </w:tr>
      <w:tr w14:paraId="0D1D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10C1D06F">
            <w:pPr>
              <w:spacing w:line="360" w:lineRule="auto"/>
              <w:jc w:val="center"/>
              <w:rPr>
                <w:rFonts w:ascii="宋体" w:hAnsi="宋体"/>
                <w:b/>
                <w:color w:val="auto"/>
                <w:sz w:val="24"/>
              </w:rPr>
            </w:pPr>
            <w:r>
              <w:rPr>
                <w:rFonts w:hint="eastAsia" w:ascii="宋体" w:hAnsi="宋体"/>
                <w:b/>
                <w:color w:val="auto"/>
                <w:sz w:val="24"/>
              </w:rPr>
              <w:t>6</w:t>
            </w:r>
          </w:p>
        </w:tc>
        <w:tc>
          <w:tcPr>
            <w:tcW w:w="2516" w:type="dxa"/>
            <w:tcBorders>
              <w:top w:val="single" w:color="auto" w:sz="4" w:space="0"/>
              <w:left w:val="single" w:color="auto" w:sz="4" w:space="0"/>
              <w:bottom w:val="single" w:color="auto" w:sz="4" w:space="0"/>
              <w:right w:val="single" w:color="auto" w:sz="4" w:space="0"/>
            </w:tcBorders>
            <w:vAlign w:val="center"/>
          </w:tcPr>
          <w:p w14:paraId="2299EA0C">
            <w:pPr>
              <w:spacing w:line="360" w:lineRule="auto"/>
              <w:jc w:val="center"/>
              <w:rPr>
                <w:rFonts w:ascii="宋体" w:hAnsi="宋体" w:cs="宋体"/>
                <w:bCs/>
                <w:color w:val="auto"/>
                <w:sz w:val="24"/>
                <w:lang w:val="zh-CN"/>
              </w:rPr>
            </w:pPr>
            <w:r>
              <w:rPr>
                <w:rFonts w:hint="eastAsia" w:ascii="宋体" w:hAnsi="宋体" w:cs="宋体"/>
                <w:bCs/>
                <w:color w:val="auto"/>
                <w:sz w:val="24"/>
                <w:lang w:val="zh-CN"/>
              </w:rPr>
              <w:t>供应商身份证明</w:t>
            </w:r>
          </w:p>
          <w:p w14:paraId="6042AD3D">
            <w:pPr>
              <w:spacing w:line="360" w:lineRule="auto"/>
              <w:jc w:val="center"/>
              <w:rPr>
                <w:rFonts w:ascii="宋体" w:hAnsi="宋体" w:cs="宋体"/>
                <w:bCs/>
                <w:color w:val="auto"/>
                <w:sz w:val="24"/>
                <w:lang w:val="zh-CN"/>
              </w:rPr>
            </w:pPr>
            <w:r>
              <w:rPr>
                <w:rFonts w:hint="eastAsia" w:ascii="宋体" w:hAnsi="宋体" w:cs="宋体"/>
                <w:bCs/>
                <w:color w:val="auto"/>
                <w:sz w:val="24"/>
                <w:lang w:val="zh-CN"/>
              </w:rPr>
              <w:t>及授权</w:t>
            </w:r>
          </w:p>
        </w:tc>
        <w:tc>
          <w:tcPr>
            <w:tcW w:w="5844" w:type="dxa"/>
            <w:tcBorders>
              <w:top w:val="single" w:color="auto" w:sz="4" w:space="0"/>
              <w:left w:val="single" w:color="auto" w:sz="4" w:space="0"/>
              <w:bottom w:val="single" w:color="auto" w:sz="4" w:space="0"/>
              <w:right w:val="single" w:color="auto" w:sz="4" w:space="0"/>
            </w:tcBorders>
          </w:tcPr>
          <w:p w14:paraId="5AC7854E">
            <w:pPr>
              <w:spacing w:line="360" w:lineRule="auto"/>
              <w:rPr>
                <w:rFonts w:ascii="宋体" w:hAnsi="宋体" w:cs="宋体"/>
                <w:color w:val="auto"/>
                <w:kern w:val="0"/>
                <w:sz w:val="24"/>
                <w:szCs w:val="24"/>
                <w:lang w:val="zh-CN"/>
              </w:rPr>
            </w:pPr>
            <w:r>
              <w:rPr>
                <w:rFonts w:hint="eastAsia" w:ascii="宋体" w:hAnsi="宋体" w:cs="宋体"/>
                <w:color w:val="auto"/>
                <w:kern w:val="0"/>
                <w:sz w:val="24"/>
                <w:szCs w:val="24"/>
                <w:lang w:val="zh-CN"/>
              </w:rPr>
              <w:t>（1）法定代表人身份证明或提供法定代表人授权委托书及被授权人身份证明。（法人提供）</w:t>
            </w:r>
          </w:p>
          <w:p w14:paraId="4F7F6F2B">
            <w:pPr>
              <w:spacing w:line="360" w:lineRule="auto"/>
              <w:rPr>
                <w:rFonts w:ascii="宋体" w:hAnsi="宋体" w:cs="宋体"/>
                <w:color w:val="auto"/>
                <w:kern w:val="0"/>
                <w:sz w:val="24"/>
                <w:szCs w:val="24"/>
                <w:lang w:val="zh-CN"/>
              </w:rPr>
            </w:pPr>
            <w:r>
              <w:rPr>
                <w:rFonts w:hint="eastAsia" w:ascii="宋体" w:hAnsi="宋体" w:cs="宋体"/>
                <w:color w:val="auto"/>
                <w:kern w:val="0"/>
                <w:sz w:val="24"/>
                <w:szCs w:val="24"/>
                <w:lang w:val="zh-CN"/>
              </w:rPr>
              <w:t>（2）单位负责人身份证明或提供单位负责人授权委托书及被授权人身份证明。（非法人提供）</w:t>
            </w:r>
          </w:p>
          <w:p w14:paraId="3C3A180F">
            <w:pPr>
              <w:spacing w:line="360" w:lineRule="auto"/>
              <w:rPr>
                <w:rFonts w:ascii="宋体" w:hAnsi="宋体" w:cs="宋体"/>
                <w:color w:val="auto"/>
                <w:kern w:val="0"/>
                <w:sz w:val="24"/>
                <w:szCs w:val="24"/>
                <w:lang w:val="zh-CN"/>
              </w:rPr>
            </w:pPr>
            <w:r>
              <w:rPr>
                <w:rFonts w:hint="eastAsia" w:ascii="宋体" w:hAnsi="宋体" w:cs="宋体"/>
                <w:color w:val="auto"/>
                <w:kern w:val="0"/>
                <w:sz w:val="24"/>
                <w:szCs w:val="24"/>
                <w:lang w:val="zh-CN"/>
              </w:rPr>
              <w:t>注：</w:t>
            </w:r>
          </w:p>
          <w:p w14:paraId="12D7F515">
            <w:pPr>
              <w:spacing w:line="360" w:lineRule="auto"/>
              <w:rPr>
                <w:rFonts w:ascii="宋体" w:hAnsi="宋体" w:cs="宋体"/>
                <w:color w:val="auto"/>
                <w:kern w:val="0"/>
                <w:sz w:val="24"/>
                <w:szCs w:val="24"/>
                <w:lang w:val="zh-CN"/>
              </w:rPr>
            </w:pPr>
            <w:r>
              <w:rPr>
                <w:rFonts w:hint="eastAsia" w:ascii="宋体" w:hAnsi="宋体" w:cs="宋体"/>
                <w:color w:val="auto"/>
                <w:kern w:val="0"/>
                <w:sz w:val="24"/>
                <w:szCs w:val="24"/>
                <w:lang w:val="zh-CN"/>
              </w:rPr>
              <w:t>①企业（银行、保险、石油石化、电力、电信等行业除外）、事业单位和社会团体以法人身份参加磋商的，法定代表人应与实际提交的“营业执照等证明文件”载明的一致。</w:t>
            </w:r>
          </w:p>
          <w:p w14:paraId="762CF685">
            <w:pPr>
              <w:spacing w:line="360" w:lineRule="auto"/>
              <w:rPr>
                <w:rFonts w:ascii="宋体" w:hAnsi="宋体" w:cs="宋体"/>
                <w:color w:val="auto"/>
                <w:kern w:val="0"/>
                <w:sz w:val="24"/>
                <w:szCs w:val="24"/>
                <w:lang w:val="zh-CN"/>
              </w:rPr>
            </w:pPr>
            <w:r>
              <w:rPr>
                <w:rFonts w:hint="eastAsia" w:ascii="宋体" w:hAnsi="宋体" w:cs="宋体"/>
                <w:color w:val="auto"/>
                <w:kern w:val="0"/>
                <w:sz w:val="24"/>
                <w:szCs w:val="24"/>
                <w:lang w:val="zh-CN"/>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14:paraId="7FFD5755">
            <w:pPr>
              <w:spacing w:line="360" w:lineRule="auto"/>
              <w:rPr>
                <w:rFonts w:ascii="宋体" w:hAnsi="宋体" w:cs="宋体"/>
                <w:color w:val="auto"/>
                <w:kern w:val="0"/>
                <w:sz w:val="24"/>
                <w:szCs w:val="24"/>
                <w:lang w:val="zh-CN"/>
              </w:rPr>
            </w:pPr>
            <w:r>
              <w:rPr>
                <w:rFonts w:hint="eastAsia" w:ascii="宋体" w:hAnsi="宋体" w:cs="宋体"/>
                <w:color w:val="auto"/>
                <w:kern w:val="0"/>
                <w:sz w:val="24"/>
                <w:szCs w:val="24"/>
                <w:lang w:val="zh-CN"/>
              </w:rPr>
              <w:t>③供应商为自然人的，无需填写法定代表人授权书。</w:t>
            </w:r>
          </w:p>
        </w:tc>
      </w:tr>
      <w:tr w14:paraId="10FD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42921CE3">
            <w:pPr>
              <w:spacing w:line="360" w:lineRule="auto"/>
              <w:jc w:val="center"/>
              <w:rPr>
                <w:rFonts w:ascii="宋体" w:hAnsi="宋体"/>
                <w:b/>
                <w:color w:val="auto"/>
                <w:sz w:val="24"/>
              </w:rPr>
            </w:pPr>
            <w:r>
              <w:rPr>
                <w:rFonts w:hint="eastAsia" w:ascii="宋体" w:hAnsi="宋体"/>
                <w:b/>
                <w:color w:val="auto"/>
                <w:sz w:val="24"/>
              </w:rPr>
              <w:t>7</w:t>
            </w:r>
          </w:p>
        </w:tc>
        <w:tc>
          <w:tcPr>
            <w:tcW w:w="2516" w:type="dxa"/>
            <w:tcBorders>
              <w:top w:val="single" w:color="auto" w:sz="4" w:space="0"/>
              <w:left w:val="single" w:color="auto" w:sz="4" w:space="0"/>
              <w:bottom w:val="single" w:color="auto" w:sz="4" w:space="0"/>
              <w:right w:val="single" w:color="auto" w:sz="4" w:space="0"/>
            </w:tcBorders>
            <w:vAlign w:val="center"/>
          </w:tcPr>
          <w:p w14:paraId="34EB2B3D">
            <w:pPr>
              <w:spacing w:line="360" w:lineRule="auto"/>
              <w:jc w:val="center"/>
              <w:rPr>
                <w:rFonts w:ascii="宋体" w:hAnsi="宋体"/>
                <w:color w:val="auto"/>
                <w:sz w:val="24"/>
              </w:rPr>
            </w:pPr>
            <w:r>
              <w:rPr>
                <w:rFonts w:hint="eastAsia" w:ascii="宋体" w:hAnsi="宋体"/>
                <w:color w:val="auto"/>
                <w:sz w:val="24"/>
              </w:rPr>
              <w:t>单位负责人为同一人或者存在直接控股、管理关系的不同供应商，不得参加同一合同项下的政府采购活动</w:t>
            </w:r>
          </w:p>
        </w:tc>
        <w:tc>
          <w:tcPr>
            <w:tcW w:w="5844" w:type="dxa"/>
            <w:tcBorders>
              <w:top w:val="single" w:color="auto" w:sz="4" w:space="0"/>
              <w:left w:val="single" w:color="auto" w:sz="4" w:space="0"/>
              <w:bottom w:val="single" w:color="auto" w:sz="4" w:space="0"/>
              <w:right w:val="single" w:color="auto" w:sz="4" w:space="0"/>
            </w:tcBorders>
            <w:vAlign w:val="center"/>
          </w:tcPr>
          <w:p w14:paraId="39D57735">
            <w:pPr>
              <w:spacing w:line="360" w:lineRule="auto"/>
              <w:jc w:val="left"/>
              <w:rPr>
                <w:rFonts w:ascii="宋体" w:hAnsi="宋体" w:cs="宋体"/>
                <w:color w:val="auto"/>
                <w:kern w:val="0"/>
                <w:sz w:val="24"/>
                <w:szCs w:val="24"/>
                <w:lang w:val="zh-CN"/>
              </w:rPr>
            </w:pPr>
            <w:r>
              <w:rPr>
                <w:rFonts w:hint="eastAsia" w:ascii="宋体" w:hAnsi="宋体" w:cs="宋体"/>
                <w:color w:val="auto"/>
                <w:kern w:val="0"/>
                <w:sz w:val="24"/>
                <w:szCs w:val="24"/>
                <w:lang w:val="zh-CN"/>
              </w:rPr>
              <w:t>供应商提供与参加本项目响应的其他供应商之间，单位负责人不为同一人并且不存在直接控股、管理关系承诺函（承诺函格式自拟）。</w:t>
            </w:r>
          </w:p>
          <w:p w14:paraId="52EEA0E2">
            <w:pPr>
              <w:spacing w:line="360" w:lineRule="auto"/>
              <w:jc w:val="left"/>
              <w:rPr>
                <w:rFonts w:ascii="宋体" w:hAnsi="宋体" w:cs="宋体"/>
                <w:color w:val="auto"/>
                <w:kern w:val="0"/>
                <w:sz w:val="24"/>
                <w:szCs w:val="24"/>
                <w:lang w:val="zh-CN"/>
              </w:rPr>
            </w:pPr>
          </w:p>
        </w:tc>
      </w:tr>
      <w:tr w14:paraId="63146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4B2850D1">
            <w:pPr>
              <w:spacing w:line="360" w:lineRule="auto"/>
              <w:jc w:val="center"/>
              <w:rPr>
                <w:rFonts w:ascii="宋体" w:hAnsi="宋体"/>
                <w:b/>
                <w:color w:val="auto"/>
                <w:sz w:val="24"/>
              </w:rPr>
            </w:pPr>
            <w:r>
              <w:rPr>
                <w:rFonts w:hint="eastAsia" w:ascii="宋体" w:hAnsi="宋体"/>
                <w:b/>
                <w:color w:val="auto"/>
                <w:sz w:val="24"/>
              </w:rPr>
              <w:t>8</w:t>
            </w:r>
          </w:p>
        </w:tc>
        <w:tc>
          <w:tcPr>
            <w:tcW w:w="2516" w:type="dxa"/>
            <w:tcBorders>
              <w:top w:val="single" w:color="auto" w:sz="4" w:space="0"/>
              <w:left w:val="single" w:color="auto" w:sz="4" w:space="0"/>
              <w:bottom w:val="single" w:color="auto" w:sz="4" w:space="0"/>
              <w:right w:val="single" w:color="auto" w:sz="4" w:space="0"/>
            </w:tcBorders>
            <w:vAlign w:val="center"/>
          </w:tcPr>
          <w:p w14:paraId="48B87C29">
            <w:pPr>
              <w:spacing w:line="360" w:lineRule="auto"/>
              <w:jc w:val="center"/>
              <w:rPr>
                <w:rFonts w:ascii="宋体" w:hAnsi="宋体"/>
                <w:color w:val="auto"/>
                <w:sz w:val="24"/>
              </w:rPr>
            </w:pPr>
            <w:r>
              <w:rPr>
                <w:rFonts w:hint="eastAsia" w:ascii="宋体" w:hAnsi="宋体"/>
                <w:color w:val="auto"/>
                <w:sz w:val="24"/>
              </w:rPr>
              <w:t>为本项目提供整体设计、规范编制或者项目管理、监理、检测等服务的供应商不得参加本项目响应</w:t>
            </w:r>
          </w:p>
        </w:tc>
        <w:tc>
          <w:tcPr>
            <w:tcW w:w="5844" w:type="dxa"/>
            <w:tcBorders>
              <w:top w:val="single" w:color="auto" w:sz="4" w:space="0"/>
              <w:left w:val="single" w:color="auto" w:sz="4" w:space="0"/>
              <w:bottom w:val="single" w:color="auto" w:sz="4" w:space="0"/>
              <w:right w:val="single" w:color="auto" w:sz="4" w:space="0"/>
            </w:tcBorders>
            <w:vAlign w:val="center"/>
          </w:tcPr>
          <w:p w14:paraId="4FDA5D61">
            <w:pPr>
              <w:spacing w:line="360" w:lineRule="auto"/>
              <w:jc w:val="left"/>
              <w:rPr>
                <w:rFonts w:ascii="宋体" w:hAnsi="宋体" w:cs="宋体"/>
                <w:color w:val="auto"/>
                <w:kern w:val="0"/>
                <w:sz w:val="24"/>
                <w:szCs w:val="24"/>
              </w:rPr>
            </w:pPr>
            <w:bookmarkStart w:id="15" w:name="baidusnap2"/>
            <w:bookmarkEnd w:id="15"/>
            <w:r>
              <w:rPr>
                <w:rFonts w:hint="eastAsia" w:ascii="宋体" w:hAnsi="宋体" w:cs="宋体"/>
                <w:color w:val="auto"/>
                <w:kern w:val="0"/>
                <w:sz w:val="24"/>
                <w:szCs w:val="24"/>
                <w:lang w:val="zh-CN"/>
              </w:rPr>
              <w:t>供应商提供未为本项目提供整体设计、</w:t>
            </w:r>
            <w:bookmarkStart w:id="16" w:name="baidusnap9"/>
            <w:bookmarkEnd w:id="16"/>
            <w:r>
              <w:rPr>
                <w:rFonts w:hint="eastAsia" w:ascii="宋体" w:hAnsi="宋体" w:cs="宋体"/>
                <w:color w:val="auto"/>
                <w:kern w:val="0"/>
                <w:sz w:val="24"/>
                <w:szCs w:val="24"/>
                <w:lang w:val="zh-CN"/>
              </w:rPr>
              <w:t>规范编制或者项目管理、监理、检测等服务承诺函（承诺函格式自拟）。</w:t>
            </w:r>
            <w:r>
              <w:rPr>
                <w:rFonts w:hint="eastAsia" w:ascii="宋体" w:hAnsi="宋体" w:cs="宋体"/>
                <w:color w:val="auto"/>
                <w:kern w:val="0"/>
                <w:sz w:val="24"/>
                <w:szCs w:val="24"/>
              </w:rPr>
              <w:t>(工程项目须提供承诺函，货物和服务项目不提供承诺函。)</w:t>
            </w:r>
          </w:p>
          <w:p w14:paraId="73E1F8AD">
            <w:pPr>
              <w:spacing w:line="360" w:lineRule="auto"/>
              <w:jc w:val="left"/>
              <w:rPr>
                <w:rFonts w:ascii="宋体" w:hAnsi="宋体" w:cs="宋体"/>
                <w:color w:val="auto"/>
                <w:kern w:val="0"/>
                <w:sz w:val="24"/>
                <w:szCs w:val="24"/>
              </w:rPr>
            </w:pPr>
          </w:p>
        </w:tc>
      </w:tr>
      <w:tr w14:paraId="0C20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14:paraId="0D7A1705">
            <w:pPr>
              <w:spacing w:line="360" w:lineRule="auto"/>
              <w:contextualSpacing/>
              <w:jc w:val="center"/>
              <w:rPr>
                <w:rFonts w:ascii="宋体" w:hAnsi="宋体"/>
                <w:b/>
                <w:color w:val="auto"/>
                <w:sz w:val="22"/>
              </w:rPr>
            </w:pPr>
            <w:r>
              <w:rPr>
                <w:rFonts w:hint="eastAsia" w:ascii="宋体" w:hAnsi="宋体"/>
                <w:b/>
                <w:color w:val="auto"/>
                <w:sz w:val="22"/>
                <w:szCs w:val="22"/>
              </w:rPr>
              <w:t>9</w:t>
            </w:r>
          </w:p>
        </w:tc>
        <w:tc>
          <w:tcPr>
            <w:tcW w:w="2516" w:type="dxa"/>
            <w:tcBorders>
              <w:top w:val="single" w:color="auto" w:sz="4" w:space="0"/>
              <w:left w:val="single" w:color="auto" w:sz="4" w:space="0"/>
              <w:bottom w:val="single" w:color="auto" w:sz="4" w:space="0"/>
              <w:right w:val="single" w:color="auto" w:sz="4" w:space="0"/>
            </w:tcBorders>
            <w:vAlign w:val="center"/>
          </w:tcPr>
          <w:p w14:paraId="52869F02">
            <w:pPr>
              <w:spacing w:line="360" w:lineRule="auto"/>
              <w:jc w:val="center"/>
              <w:rPr>
                <w:rFonts w:ascii="宋体" w:hAnsi="宋体"/>
                <w:b/>
                <w:bCs/>
                <w:color w:val="auto"/>
                <w:sz w:val="22"/>
              </w:rPr>
            </w:pPr>
            <w:r>
              <w:rPr>
                <w:rFonts w:hint="eastAsia" w:ascii="宋体" w:hAnsi="宋体"/>
                <w:b/>
                <w:bCs/>
                <w:color w:val="auto"/>
                <w:sz w:val="24"/>
              </w:rPr>
              <w:t>投标供应商须具备的特殊资质证书</w:t>
            </w:r>
          </w:p>
        </w:tc>
        <w:tc>
          <w:tcPr>
            <w:tcW w:w="5844" w:type="dxa"/>
            <w:tcBorders>
              <w:top w:val="single" w:color="auto" w:sz="4" w:space="0"/>
              <w:left w:val="single" w:color="auto" w:sz="4" w:space="0"/>
              <w:bottom w:val="single" w:color="auto" w:sz="4" w:space="0"/>
              <w:right w:val="single" w:color="auto" w:sz="4" w:space="0"/>
            </w:tcBorders>
            <w:vAlign w:val="center"/>
          </w:tcPr>
          <w:p w14:paraId="1F7E468E">
            <w:pPr>
              <w:pStyle w:val="32"/>
              <w:wordWrap w:val="0"/>
              <w:spacing w:before="0" w:beforeAutospacing="0" w:after="0" w:afterAutospacing="0" w:line="360" w:lineRule="auto"/>
              <w:contextualSpacing/>
              <w:rPr>
                <w:color w:val="auto"/>
              </w:rPr>
            </w:pPr>
            <w:r>
              <w:rPr>
                <w:rFonts w:hint="eastAsia"/>
                <w:color w:val="auto"/>
              </w:rPr>
              <w:t>供应商须具备市政公用工程施工总承包贰级及以上（含贰级）资质（未换发新资质证书的按照原相关规定执行，即未换发新资质证书的须具备市政公用工程施工总承包叁级及以上（含叁级）资质，且资质证书在有效期之内），且具有有效的安全生产许可证；其中投标人拟派项目经理须具备市政公用工程专业贰级及以上（含贰级）注册建造师执业资格，具备有效的安全生产考核合格证，且未担任其他在施建设工程项目的项目经理。</w:t>
            </w:r>
          </w:p>
        </w:tc>
      </w:tr>
    </w:tbl>
    <w:p w14:paraId="3F6F8812">
      <w:pPr>
        <w:pStyle w:val="22"/>
        <w:spacing w:line="360" w:lineRule="auto"/>
        <w:rPr>
          <w:rFonts w:hint="eastAsia" w:ascii="宋体" w:hAnsi="宋体"/>
          <w:b/>
          <w:color w:val="auto"/>
        </w:rPr>
      </w:pPr>
    </w:p>
    <w:p w14:paraId="45BC7114">
      <w:pPr>
        <w:pStyle w:val="22"/>
        <w:spacing w:line="360" w:lineRule="auto"/>
        <w:rPr>
          <w:rFonts w:ascii="宋体" w:hAnsi="宋体"/>
          <w:b/>
          <w:color w:val="auto"/>
        </w:rPr>
      </w:pPr>
      <w:r>
        <w:rPr>
          <w:rFonts w:hint="eastAsia" w:ascii="宋体" w:hAnsi="宋体"/>
          <w:b/>
          <w:color w:val="auto"/>
        </w:rPr>
        <w:t>二、评审</w:t>
      </w:r>
    </w:p>
    <w:p w14:paraId="17A6161F">
      <w:pPr>
        <w:spacing w:line="360" w:lineRule="auto"/>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（一）评标方法</w:t>
      </w:r>
    </w:p>
    <w:p w14:paraId="493880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zh-CN"/>
        </w:rPr>
        <w:t>本项目采用综合评分法，总分为100分。</w:t>
      </w:r>
    </w:p>
    <w:p w14:paraId="576FE4D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color w:val="auto"/>
          <w:sz w:val="24"/>
          <w:szCs w:val="24"/>
          <w:lang w:val="zh-CN"/>
        </w:rPr>
      </w:pPr>
      <w:r>
        <w:rPr>
          <w:rFonts w:hint="eastAsia" w:ascii="宋体" w:hAnsi="宋体" w:cs="宋体"/>
          <w:b/>
          <w:color w:val="auto"/>
          <w:sz w:val="24"/>
          <w:szCs w:val="24"/>
          <w:lang w:val="zh-CN"/>
        </w:rPr>
        <w:t>（二）磋商小组负责具体评标事务，并独立履行下列职责</w:t>
      </w:r>
    </w:p>
    <w:p w14:paraId="5B9DBD9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cs="宋体"/>
          <w:b/>
          <w:color w:val="auto"/>
          <w:sz w:val="24"/>
          <w:szCs w:val="24"/>
          <w:lang w:val="zh-CN"/>
        </w:rPr>
      </w:pPr>
      <w:r>
        <w:rPr>
          <w:rFonts w:hint="eastAsia" w:ascii="宋体" w:hAnsi="宋体" w:cs="宋体"/>
          <w:b/>
          <w:color w:val="auto"/>
          <w:sz w:val="24"/>
          <w:szCs w:val="24"/>
          <w:lang w:val="zh-CN"/>
        </w:rPr>
        <w:t>1、审查、评价响应文件是否符合磋商文件的商务、技术等实质性要求；</w:t>
      </w:r>
    </w:p>
    <w:p w14:paraId="0CCBD87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szCs w:val="24"/>
          <w:lang w:val="zh-CN"/>
        </w:rPr>
      </w:pPr>
      <w:r>
        <w:rPr>
          <w:rFonts w:hint="eastAsia" w:ascii="宋体" w:hAnsi="宋体" w:cs="宋体"/>
          <w:color w:val="auto"/>
          <w:sz w:val="24"/>
          <w:szCs w:val="24"/>
          <w:lang w:val="zh-CN"/>
        </w:rPr>
        <w:t>磋商小组对符合资格的供应商的响应文件进行符合性审查，以确定其是否满足采购需求等实质性要求。</w:t>
      </w:r>
    </w:p>
    <w:tbl>
      <w:tblPr>
        <w:tblStyle w:val="34"/>
        <w:tblW w:w="8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1"/>
      </w:tblGrid>
      <w:tr w14:paraId="1A5A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2C5D5508">
            <w:pPr>
              <w:autoSpaceDE w:val="0"/>
              <w:autoSpaceDN w:val="0"/>
              <w:spacing w:line="360" w:lineRule="auto"/>
              <w:contextualSpacing/>
              <w:jc w:val="center"/>
              <w:rPr>
                <w:rFonts w:cs="FangSong_GB2312" w:asciiTheme="minorEastAsia" w:hAnsiTheme="minorEastAsia"/>
                <w:color w:val="auto"/>
                <w:sz w:val="24"/>
                <w:lang w:val="zh-CN"/>
              </w:rPr>
            </w:pPr>
            <w:r>
              <w:rPr>
                <w:rFonts w:hint="eastAsia" w:asciiTheme="minorEastAsia" w:hAnsiTheme="minorEastAsia"/>
                <w:b/>
                <w:color w:val="auto"/>
                <w:sz w:val="24"/>
              </w:rPr>
              <w:t>符合性审查</w:t>
            </w:r>
            <w:r>
              <w:rPr>
                <w:rFonts w:asciiTheme="minorEastAsia" w:hAnsiTheme="minorEastAsia"/>
                <w:b/>
                <w:color w:val="auto"/>
                <w:sz w:val="24"/>
              </w:rPr>
              <w:t>因素</w:t>
            </w:r>
          </w:p>
        </w:tc>
      </w:tr>
      <w:tr w14:paraId="72860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2CE23F50">
            <w:pPr>
              <w:autoSpaceDE w:val="0"/>
              <w:autoSpaceDN w:val="0"/>
              <w:spacing w:line="360" w:lineRule="auto"/>
              <w:contextualSpacing/>
              <w:jc w:val="left"/>
              <w:rPr>
                <w:rFonts w:cs="FangSong_GB2312" w:asciiTheme="minorEastAsia" w:hAnsiTheme="minorEastAsia"/>
                <w:color w:val="auto"/>
                <w:sz w:val="24"/>
                <w:lang w:val="zh-CN"/>
              </w:rPr>
            </w:pPr>
            <w:r>
              <w:rPr>
                <w:rFonts w:hint="eastAsia" w:cs="FangSong_GB2312" w:asciiTheme="minorEastAsia" w:hAnsiTheme="minorEastAsia"/>
                <w:color w:val="auto"/>
                <w:sz w:val="24"/>
                <w:lang w:val="zh-CN"/>
              </w:rPr>
              <w:t>（1）响应文件未按磋商文件要求签署、盖章的；</w:t>
            </w:r>
          </w:p>
        </w:tc>
      </w:tr>
      <w:tr w14:paraId="30FA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00B87A0F">
            <w:pPr>
              <w:autoSpaceDE w:val="0"/>
              <w:autoSpaceDN w:val="0"/>
              <w:spacing w:line="360" w:lineRule="auto"/>
              <w:contextualSpacing/>
              <w:jc w:val="left"/>
              <w:rPr>
                <w:rFonts w:cs="FangSong_GB2312" w:asciiTheme="minorEastAsia" w:hAnsiTheme="minorEastAsia"/>
                <w:color w:val="auto"/>
                <w:sz w:val="24"/>
                <w:lang w:val="zh-CN"/>
              </w:rPr>
            </w:pPr>
            <w:r>
              <w:rPr>
                <w:rFonts w:hint="eastAsia" w:cs="FangSong_GB2312" w:asciiTheme="minorEastAsia" w:hAnsiTheme="minorEastAsia"/>
                <w:color w:val="auto"/>
                <w:sz w:val="24"/>
                <w:lang w:val="zh-CN"/>
              </w:rPr>
              <w:t>（2）不同供应商的响应文件由同一单位或者个人编制；</w:t>
            </w:r>
          </w:p>
        </w:tc>
      </w:tr>
      <w:tr w14:paraId="692D2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7A6B33F0">
            <w:pPr>
              <w:autoSpaceDE w:val="0"/>
              <w:autoSpaceDN w:val="0"/>
              <w:spacing w:line="360" w:lineRule="auto"/>
              <w:contextualSpacing/>
              <w:jc w:val="left"/>
              <w:rPr>
                <w:rFonts w:cs="FangSong_GB2312" w:asciiTheme="minorEastAsia" w:hAnsiTheme="minorEastAsia"/>
                <w:color w:val="auto"/>
                <w:sz w:val="24"/>
                <w:lang w:val="zh-CN"/>
              </w:rPr>
            </w:pPr>
            <w:r>
              <w:rPr>
                <w:rFonts w:hint="eastAsia" w:cs="FangSong_GB2312" w:asciiTheme="minorEastAsia" w:hAnsiTheme="minorEastAsia"/>
                <w:color w:val="auto"/>
                <w:sz w:val="24"/>
                <w:lang w:val="zh-CN"/>
              </w:rPr>
              <w:t>（3）响应文件含有采购人不能接受的附加条件的；</w:t>
            </w:r>
          </w:p>
        </w:tc>
      </w:tr>
      <w:tr w14:paraId="7546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06B08D9F">
            <w:pPr>
              <w:autoSpaceDE w:val="0"/>
              <w:autoSpaceDN w:val="0"/>
              <w:spacing w:line="360" w:lineRule="auto"/>
              <w:contextualSpacing/>
              <w:jc w:val="left"/>
              <w:rPr>
                <w:rFonts w:cs="FangSong_GB2312" w:asciiTheme="minorEastAsia" w:hAnsiTheme="minorEastAsia"/>
                <w:color w:val="auto"/>
                <w:sz w:val="24"/>
                <w:lang w:val="zh-CN"/>
              </w:rPr>
            </w:pPr>
            <w:r>
              <w:rPr>
                <w:rFonts w:hint="eastAsia" w:cs="FangSong_GB2312" w:asciiTheme="minorEastAsia" w:hAnsiTheme="minorEastAsia"/>
                <w:color w:val="auto"/>
                <w:sz w:val="24"/>
                <w:lang w:val="zh-CN"/>
              </w:rPr>
              <w:t>（4）不同供应商委托同一单位或者个人办理响应事宜；</w:t>
            </w:r>
          </w:p>
        </w:tc>
      </w:tr>
      <w:tr w14:paraId="3E21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219F8AB3">
            <w:pPr>
              <w:autoSpaceDE w:val="0"/>
              <w:autoSpaceDN w:val="0"/>
              <w:spacing w:line="360" w:lineRule="auto"/>
              <w:contextualSpacing/>
              <w:jc w:val="left"/>
              <w:rPr>
                <w:rFonts w:cs="FangSong_GB2312" w:asciiTheme="minorEastAsia" w:hAnsiTheme="minorEastAsia"/>
                <w:color w:val="auto"/>
                <w:sz w:val="24"/>
                <w:lang w:val="zh-CN"/>
              </w:rPr>
            </w:pPr>
            <w:r>
              <w:rPr>
                <w:rFonts w:hint="eastAsia" w:cs="FangSong_GB2312" w:asciiTheme="minorEastAsia" w:hAnsiTheme="minorEastAsia"/>
                <w:color w:val="auto"/>
                <w:sz w:val="24"/>
                <w:lang w:val="zh-CN"/>
              </w:rPr>
              <w:t>（5）不同供应商的响应文件载明的项目管理成员或者联系人员为同一人；</w:t>
            </w:r>
          </w:p>
        </w:tc>
      </w:tr>
      <w:tr w14:paraId="412E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6630B692">
            <w:pPr>
              <w:autoSpaceDE w:val="0"/>
              <w:autoSpaceDN w:val="0"/>
              <w:spacing w:line="360" w:lineRule="auto"/>
              <w:contextualSpacing/>
              <w:jc w:val="left"/>
              <w:rPr>
                <w:rFonts w:cs="FangSong_GB2312" w:asciiTheme="minorEastAsia" w:hAnsiTheme="minorEastAsia"/>
                <w:color w:val="auto"/>
                <w:sz w:val="24"/>
                <w:lang w:val="zh-CN"/>
              </w:rPr>
            </w:pPr>
            <w:r>
              <w:rPr>
                <w:rFonts w:hint="eastAsia" w:cs="FangSong_GB2312" w:asciiTheme="minorEastAsia" w:hAnsiTheme="minorEastAsia"/>
                <w:color w:val="auto"/>
                <w:sz w:val="24"/>
                <w:lang w:val="zh-CN"/>
              </w:rPr>
              <w:t>（6）不同供应商的响应文件异常一致或者响应报价呈规律性差异；</w:t>
            </w:r>
          </w:p>
        </w:tc>
      </w:tr>
      <w:tr w14:paraId="6D28F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2DEC8A87">
            <w:pPr>
              <w:autoSpaceDE w:val="0"/>
              <w:autoSpaceDN w:val="0"/>
              <w:spacing w:line="360" w:lineRule="auto"/>
              <w:contextualSpacing/>
              <w:jc w:val="left"/>
              <w:rPr>
                <w:rFonts w:cs="FangSong_GB2312" w:asciiTheme="minorEastAsia" w:hAnsiTheme="minorEastAsia"/>
                <w:color w:val="auto"/>
                <w:sz w:val="24"/>
                <w:lang w:val="zh-CN"/>
              </w:rPr>
            </w:pPr>
            <w:r>
              <w:rPr>
                <w:rFonts w:hint="eastAsia" w:cs="FangSong_GB2312" w:asciiTheme="minorEastAsia" w:hAnsiTheme="minorEastAsia"/>
                <w:color w:val="auto"/>
                <w:sz w:val="24"/>
                <w:lang w:val="zh-CN"/>
              </w:rPr>
              <w:t>（7）不同供应商的响应文件相互混装；</w:t>
            </w:r>
          </w:p>
        </w:tc>
      </w:tr>
      <w:tr w14:paraId="0FBEF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756FB6AE">
            <w:pPr>
              <w:autoSpaceDE w:val="0"/>
              <w:autoSpaceDN w:val="0"/>
              <w:spacing w:line="360" w:lineRule="auto"/>
              <w:contextualSpacing/>
              <w:jc w:val="left"/>
              <w:rPr>
                <w:rFonts w:cs="FangSong_GB2312" w:asciiTheme="minorEastAsia" w:hAnsiTheme="minorEastAsia"/>
                <w:color w:val="auto"/>
                <w:sz w:val="24"/>
                <w:lang w:val="zh-CN"/>
              </w:rPr>
            </w:pPr>
            <w:r>
              <w:rPr>
                <w:rFonts w:hint="eastAsia" w:cs="FangSong_GB2312" w:asciiTheme="minorEastAsia" w:hAnsiTheme="minorEastAsia"/>
                <w:color w:val="auto"/>
                <w:sz w:val="24"/>
                <w:lang w:val="zh-CN"/>
              </w:rPr>
              <w:t>（8）已标价工程量清单；</w:t>
            </w:r>
          </w:p>
        </w:tc>
      </w:tr>
      <w:tr w14:paraId="0411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57B17C55">
            <w:pPr>
              <w:autoSpaceDE w:val="0"/>
              <w:autoSpaceDN w:val="0"/>
              <w:spacing w:line="360" w:lineRule="auto"/>
              <w:contextualSpacing/>
              <w:jc w:val="left"/>
              <w:rPr>
                <w:rFonts w:cs="FangSong_GB2312" w:asciiTheme="minorEastAsia" w:hAnsiTheme="minorEastAsia"/>
                <w:color w:val="auto"/>
                <w:sz w:val="24"/>
                <w:lang w:val="zh-CN"/>
              </w:rPr>
            </w:pPr>
            <w:r>
              <w:rPr>
                <w:rFonts w:hint="eastAsia" w:cs="FangSong_GB2312" w:asciiTheme="minorEastAsia" w:hAnsiTheme="minorEastAsia"/>
                <w:color w:val="auto"/>
                <w:sz w:val="24"/>
                <w:lang w:val="zh-CN"/>
              </w:rPr>
              <w:t>（</w:t>
            </w:r>
            <w:r>
              <w:rPr>
                <w:rFonts w:hint="eastAsia" w:cs="FangSong_GB2312" w:asciiTheme="minorEastAsia" w:hAnsiTheme="minorEastAsia"/>
                <w:color w:val="auto"/>
                <w:sz w:val="24"/>
              </w:rPr>
              <w:t>9</w:t>
            </w:r>
            <w:r>
              <w:rPr>
                <w:rFonts w:hint="eastAsia" w:cs="FangSong_GB2312" w:asciiTheme="minorEastAsia" w:hAnsiTheme="minorEastAsia"/>
                <w:color w:val="auto"/>
                <w:sz w:val="24"/>
                <w:lang w:val="zh-CN"/>
              </w:rPr>
              <w:t>）法律、法规和磋商文件规定的其他无效情形；</w:t>
            </w:r>
          </w:p>
        </w:tc>
      </w:tr>
    </w:tbl>
    <w:p w14:paraId="515AA95A">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注：符合性审查中所涉及到的证书及材料，均须在电子响应文件中提供原件扫描件（或图片）。</w:t>
      </w:r>
    </w:p>
    <w:p w14:paraId="2ECDA796">
      <w:pPr>
        <w:spacing w:line="360" w:lineRule="auto"/>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2、要求供应商对响应文件有关事项作出澄清或者说明；</w:t>
      </w:r>
    </w:p>
    <w:p w14:paraId="580B45A8">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对于响应文件中含义不明确、同类问题表述不一致或者有明显文字和计算错误的内容，磋商小组应当以书面形式要求供应商作出必要的澄清、说明或者补正。</w:t>
      </w:r>
    </w:p>
    <w:p w14:paraId="2700A0A4">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供应商的澄清、说明或者补正应当采用书面形式，并加盖公章，或者由法定代表人或其授权的代表签字。供应商的澄清、说明或者补正不得超出响应文件的范围或者改变响应文件的实质性内容。</w:t>
      </w:r>
    </w:p>
    <w:p w14:paraId="57FD1911">
      <w:pPr>
        <w:numPr>
          <w:ilvl w:val="0"/>
          <w:numId w:val="4"/>
        </w:numPr>
        <w:spacing w:line="360" w:lineRule="auto"/>
        <w:ind w:firstLine="465"/>
        <w:contextualSpacing/>
        <w:jc w:val="left"/>
        <w:rPr>
          <w:rFonts w:ascii="宋体" w:hAnsi="宋体" w:cs="宋体"/>
          <w:b/>
          <w:color w:val="auto"/>
          <w:sz w:val="24"/>
          <w:szCs w:val="24"/>
          <w:lang w:val="zh-CN"/>
        </w:rPr>
      </w:pPr>
      <w:r>
        <w:rPr>
          <w:rFonts w:hint="eastAsia" w:ascii="宋体" w:hAnsi="宋体" w:cs="宋体"/>
          <w:b/>
          <w:color w:val="auto"/>
          <w:sz w:val="24"/>
          <w:szCs w:val="24"/>
          <w:lang w:val="zh-CN"/>
        </w:rPr>
        <w:t>对响应文件进行比较和评价；</w:t>
      </w:r>
    </w:p>
    <w:p w14:paraId="530ADC49">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14:paraId="66231BE8">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注：评标标准中所涉及到的证书及材料，均须在电子响应文件中提供原件扫描件（或图片）。</w:t>
      </w:r>
    </w:p>
    <w:p w14:paraId="1B22EDD6">
      <w:pPr>
        <w:pStyle w:val="22"/>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（1）价格分计算</w:t>
      </w:r>
    </w:p>
    <w:p w14:paraId="47649536">
      <w:pPr>
        <w:spacing w:line="360" w:lineRule="auto"/>
        <w:ind w:firstLine="480" w:firstLineChars="200"/>
        <w:jc w:val="left"/>
        <w:rPr>
          <w:rFonts w:ascii="宋体" w:hAnsi="宋体" w:cs="宋体"/>
          <w:color w:val="auto"/>
          <w:sz w:val="24"/>
          <w:szCs w:val="24"/>
          <w:lang w:val="zh-CN"/>
        </w:rPr>
      </w:pPr>
      <w:r>
        <w:rPr>
          <w:rFonts w:ascii="宋体" w:hAnsi="宋体" w:cs="宋体"/>
          <w:color w:val="auto"/>
          <w:sz w:val="24"/>
          <w:szCs w:val="24"/>
          <w:lang w:val="zh-CN"/>
        </w:rPr>
        <w:t>价格分采用低价优先法计算，即满足</w:t>
      </w:r>
      <w:r>
        <w:rPr>
          <w:rFonts w:hint="eastAsia" w:ascii="宋体" w:hAnsi="宋体" w:cs="宋体"/>
          <w:color w:val="auto"/>
          <w:sz w:val="24"/>
          <w:szCs w:val="24"/>
        </w:rPr>
        <w:t>响应</w:t>
      </w:r>
      <w:r>
        <w:rPr>
          <w:rFonts w:ascii="宋体" w:hAnsi="宋体" w:cs="宋体"/>
          <w:color w:val="auto"/>
          <w:sz w:val="24"/>
          <w:szCs w:val="24"/>
          <w:lang w:val="zh-CN"/>
        </w:rPr>
        <w:t>文件要求且</w:t>
      </w:r>
      <w:r>
        <w:rPr>
          <w:rFonts w:hint="eastAsia" w:ascii="宋体" w:hAnsi="宋体" w:cs="宋体"/>
          <w:color w:val="auto"/>
          <w:sz w:val="24"/>
          <w:szCs w:val="24"/>
        </w:rPr>
        <w:t>最终报价</w:t>
      </w:r>
      <w:r>
        <w:rPr>
          <w:rFonts w:ascii="宋体" w:hAnsi="宋体" w:cs="宋体"/>
          <w:color w:val="auto"/>
          <w:sz w:val="24"/>
          <w:szCs w:val="24"/>
          <w:lang w:val="zh-CN"/>
        </w:rPr>
        <w:t>最低的</w:t>
      </w:r>
      <w:r>
        <w:rPr>
          <w:rFonts w:hint="eastAsia" w:ascii="宋体" w:hAnsi="宋体" w:cs="宋体"/>
          <w:color w:val="auto"/>
          <w:sz w:val="24"/>
          <w:szCs w:val="24"/>
        </w:rPr>
        <w:t>供应商的</w:t>
      </w:r>
      <w:r>
        <w:rPr>
          <w:rFonts w:ascii="宋体" w:hAnsi="宋体" w:cs="宋体"/>
          <w:color w:val="auto"/>
          <w:sz w:val="24"/>
          <w:szCs w:val="24"/>
          <w:lang w:val="zh-CN"/>
        </w:rPr>
        <w:t>报价为评标基准价，其价格分为满分。因落实政府采购政策进行价格调整的，以调整后的价格计算评标基准价和投标报价。</w:t>
      </w:r>
    </w:p>
    <w:p w14:paraId="72575C2B">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1）如果本项目非专门面向中小企业采购，对</w:t>
      </w:r>
      <w:r>
        <w:rPr>
          <w:rFonts w:ascii="宋体" w:hAnsi="宋体" w:cs="宋体"/>
          <w:color w:val="auto"/>
          <w:sz w:val="24"/>
          <w:szCs w:val="24"/>
          <w:lang w:val="zh-CN"/>
        </w:rPr>
        <w:t>符合</w:t>
      </w:r>
      <w:r>
        <w:rPr>
          <w:rFonts w:hint="eastAsia" w:ascii="宋体" w:hAnsi="宋体" w:cs="宋体"/>
          <w:color w:val="auto"/>
          <w:sz w:val="24"/>
          <w:szCs w:val="24"/>
          <w:lang w:val="zh-CN"/>
        </w:rPr>
        <w:t>《政府采购促进中小企业发展管理办法》(财库〔2020〕46号、《关于进一步加大政府采购支持中小企业力度的通知》（财库〔2022〕19号）</w:t>
      </w:r>
      <w:r>
        <w:rPr>
          <w:rFonts w:ascii="宋体" w:hAnsi="宋体" w:cs="宋体"/>
          <w:color w:val="auto"/>
          <w:sz w:val="24"/>
          <w:szCs w:val="24"/>
          <w:lang w:val="zh-CN"/>
        </w:rPr>
        <w:t>规定的小微企业报价</w:t>
      </w:r>
      <w:r>
        <w:rPr>
          <w:rFonts w:hint="eastAsia" w:ascii="宋体" w:hAnsi="宋体" w:cs="宋体"/>
          <w:color w:val="auto"/>
          <w:sz w:val="24"/>
          <w:szCs w:val="24"/>
          <w:lang w:val="zh-CN"/>
        </w:rPr>
        <w:t>给予20%（工程项目5%）的扣除，用扣除后的价格参与评审。</w:t>
      </w:r>
      <w:r>
        <w:rPr>
          <w:rFonts w:ascii="宋体" w:hAnsi="宋体" w:cs="宋体"/>
          <w:color w:val="auto"/>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color w:val="auto"/>
          <w:sz w:val="24"/>
          <w:szCs w:val="24"/>
          <w:lang w:val="zh-CN"/>
        </w:rPr>
        <w:t>6</w:t>
      </w:r>
      <w:r>
        <w:rPr>
          <w:rFonts w:ascii="宋体" w:hAnsi="宋体" w:cs="宋体"/>
          <w:color w:val="auto"/>
          <w:sz w:val="24"/>
          <w:szCs w:val="24"/>
          <w:lang w:val="zh-CN"/>
        </w:rPr>
        <w:t>%</w:t>
      </w:r>
      <w:r>
        <w:rPr>
          <w:rFonts w:hint="eastAsia" w:ascii="宋体" w:hAnsi="宋体" w:cs="宋体"/>
          <w:color w:val="auto"/>
          <w:sz w:val="24"/>
          <w:szCs w:val="24"/>
          <w:lang w:val="zh-CN"/>
        </w:rPr>
        <w:t>（工程项目2%）</w:t>
      </w:r>
      <w:r>
        <w:rPr>
          <w:rFonts w:ascii="宋体" w:hAnsi="宋体" w:cs="宋体"/>
          <w:color w:val="auto"/>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color w:val="auto"/>
          <w:sz w:val="24"/>
          <w:szCs w:val="24"/>
          <w:lang w:val="zh-CN"/>
        </w:rPr>
        <w:t>按照本次采购标的所属行业的划型标准，符合条件的中小企业应按照招标文件格式要求提供《中小企业声明函》，</w:t>
      </w:r>
      <w:r>
        <w:rPr>
          <w:rFonts w:ascii="宋体" w:hAnsi="宋体" w:cs="宋体"/>
          <w:color w:val="auto"/>
          <w:sz w:val="24"/>
          <w:szCs w:val="24"/>
          <w:lang w:val="zh-CN"/>
        </w:rPr>
        <w:t>否则不得享受相关中小企业扶持政策。</w:t>
      </w:r>
    </w:p>
    <w:p w14:paraId="654BA1F7">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小型和微型企业不包含民办非企业单位。</w:t>
      </w:r>
    </w:p>
    <w:p w14:paraId="58417812">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符合中小企业划分标准的个体工商户，在政府采购活动中视同中小企业。</w:t>
      </w:r>
    </w:p>
    <w:p w14:paraId="72FB19A0">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14:paraId="4DFDD313">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57BB9C93">
      <w:pPr>
        <w:pStyle w:val="22"/>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（2）</w:t>
      </w:r>
      <w:r>
        <w:rPr>
          <w:rFonts w:ascii="宋体" w:hAnsi="宋体" w:cs="宋体"/>
          <w:b/>
          <w:color w:val="auto"/>
          <w:kern w:val="2"/>
          <w:lang w:val="zh-CN"/>
        </w:rPr>
        <w:t>关于相同品牌产品（服务类项目不适用本条款规定）</w:t>
      </w:r>
    </w:p>
    <w:p w14:paraId="0DCB693B">
      <w:pPr>
        <w:spacing w:line="360" w:lineRule="auto"/>
        <w:ind w:firstLine="480" w:firstLineChars="200"/>
        <w:jc w:val="left"/>
        <w:rPr>
          <w:rFonts w:ascii="宋体" w:hAnsi="宋体" w:cs="宋体"/>
          <w:color w:val="auto"/>
          <w:sz w:val="24"/>
          <w:szCs w:val="24"/>
          <w:lang w:val="zh-CN"/>
        </w:rPr>
      </w:pPr>
      <w:r>
        <w:rPr>
          <w:rFonts w:ascii="宋体" w:hAnsi="宋体" w:cs="宋体"/>
          <w:color w:val="auto"/>
          <w:sz w:val="24"/>
          <w:szCs w:val="24"/>
          <w:lang w:val="zh-CN"/>
        </w:rPr>
        <w:t>采用最低评标价法的，提供相同品牌产品的不同</w:t>
      </w:r>
      <w:r>
        <w:rPr>
          <w:rFonts w:hint="eastAsia" w:ascii="宋体" w:hAnsi="宋体" w:cs="宋体"/>
          <w:color w:val="auto"/>
          <w:sz w:val="24"/>
          <w:szCs w:val="24"/>
        </w:rPr>
        <w:t>供应商</w:t>
      </w:r>
      <w:r>
        <w:rPr>
          <w:rFonts w:ascii="宋体" w:hAnsi="宋体" w:cs="宋体"/>
          <w:color w:val="auto"/>
          <w:sz w:val="24"/>
          <w:szCs w:val="24"/>
          <w:lang w:val="zh-CN"/>
        </w:rPr>
        <w:t>参加同一合同项下投标的，以其中通过资格审查、符合性审查且报价最低的参加评标；报价相同的，由采购人或者采购人委托评标委员会</w:t>
      </w:r>
      <w:r>
        <w:rPr>
          <w:rFonts w:hint="eastAsia" w:ascii="宋体" w:hAnsi="宋体" w:cs="宋体"/>
          <w:color w:val="auto"/>
          <w:sz w:val="24"/>
          <w:szCs w:val="24"/>
          <w:lang w:val="zh-CN"/>
        </w:rPr>
        <w:t>采取随机抽取</w:t>
      </w:r>
      <w:r>
        <w:rPr>
          <w:rFonts w:ascii="宋体" w:hAnsi="宋体" w:cs="宋体"/>
          <w:color w:val="auto"/>
          <w:sz w:val="24"/>
          <w:szCs w:val="24"/>
          <w:lang w:val="zh-CN"/>
        </w:rPr>
        <w:t>方式确定一个参加评标的</w:t>
      </w:r>
      <w:r>
        <w:rPr>
          <w:rFonts w:hint="eastAsia" w:ascii="宋体" w:hAnsi="宋体" w:cs="宋体"/>
          <w:color w:val="auto"/>
          <w:sz w:val="24"/>
          <w:szCs w:val="24"/>
        </w:rPr>
        <w:t>供应商</w:t>
      </w:r>
      <w:r>
        <w:rPr>
          <w:rFonts w:ascii="宋体" w:hAnsi="宋体" w:cs="宋体"/>
          <w:color w:val="auto"/>
          <w:sz w:val="24"/>
          <w:szCs w:val="24"/>
          <w:lang w:val="zh-CN"/>
        </w:rPr>
        <w:t>人，其他投标无效。</w:t>
      </w:r>
    </w:p>
    <w:p w14:paraId="56AA7F77">
      <w:pPr>
        <w:spacing w:line="360" w:lineRule="auto"/>
        <w:ind w:firstLine="480" w:firstLineChars="200"/>
        <w:jc w:val="left"/>
        <w:rPr>
          <w:rFonts w:ascii="宋体" w:hAnsi="宋体" w:cs="宋体"/>
          <w:color w:val="auto"/>
          <w:sz w:val="24"/>
          <w:szCs w:val="24"/>
          <w:lang w:val="zh-CN"/>
        </w:rPr>
      </w:pPr>
      <w:r>
        <w:rPr>
          <w:rFonts w:ascii="宋体" w:hAnsi="宋体" w:cs="宋体"/>
          <w:color w:val="auto"/>
          <w:sz w:val="24"/>
          <w:szCs w:val="24"/>
          <w:lang w:val="zh-CN"/>
        </w:rPr>
        <w:t>采用综合评分法的，提供相同品牌产品</w:t>
      </w:r>
      <w:r>
        <w:rPr>
          <w:rFonts w:hint="eastAsia" w:ascii="宋体" w:hAnsi="宋体" w:cs="宋体"/>
          <w:color w:val="auto"/>
          <w:sz w:val="24"/>
          <w:szCs w:val="24"/>
          <w:lang w:val="zh-CN"/>
        </w:rPr>
        <w:t>（</w:t>
      </w:r>
      <w:r>
        <w:rPr>
          <w:rFonts w:ascii="宋体" w:hAnsi="宋体" w:cs="宋体"/>
          <w:color w:val="auto"/>
          <w:sz w:val="24"/>
          <w:szCs w:val="24"/>
          <w:lang w:val="zh-CN"/>
        </w:rPr>
        <w:t>非单一产品采购项目，多家</w:t>
      </w:r>
      <w:r>
        <w:rPr>
          <w:rFonts w:hint="eastAsia" w:ascii="宋体" w:hAnsi="宋体" w:cs="宋体"/>
          <w:color w:val="auto"/>
          <w:sz w:val="24"/>
          <w:szCs w:val="24"/>
          <w:lang w:val="zh-CN"/>
        </w:rPr>
        <w:t>供应商</w:t>
      </w:r>
      <w:r>
        <w:rPr>
          <w:rFonts w:ascii="宋体" w:hAnsi="宋体" w:cs="宋体"/>
          <w:color w:val="auto"/>
          <w:sz w:val="24"/>
          <w:szCs w:val="24"/>
          <w:lang w:val="zh-CN"/>
        </w:rPr>
        <w:t>提供的核心产品品牌相同</w:t>
      </w:r>
      <w:r>
        <w:rPr>
          <w:rFonts w:hint="eastAsia" w:ascii="宋体" w:hAnsi="宋体" w:cs="宋体"/>
          <w:color w:val="auto"/>
          <w:sz w:val="24"/>
          <w:szCs w:val="24"/>
          <w:lang w:val="zh-CN"/>
        </w:rPr>
        <w:t>）</w:t>
      </w:r>
      <w:r>
        <w:rPr>
          <w:rFonts w:ascii="宋体" w:hAnsi="宋体" w:cs="宋体"/>
          <w:color w:val="auto"/>
          <w:sz w:val="24"/>
          <w:szCs w:val="24"/>
          <w:lang w:val="zh-CN"/>
        </w:rPr>
        <w:t>且通过资格审查、符合性审查的不同</w:t>
      </w:r>
      <w:r>
        <w:rPr>
          <w:rFonts w:hint="eastAsia" w:ascii="宋体" w:hAnsi="宋体" w:cs="宋体"/>
          <w:color w:val="auto"/>
          <w:sz w:val="24"/>
          <w:szCs w:val="24"/>
          <w:lang w:val="zh-CN"/>
        </w:rPr>
        <w:t>供应商</w:t>
      </w:r>
      <w:r>
        <w:rPr>
          <w:rFonts w:ascii="宋体" w:hAnsi="宋体" w:cs="宋体"/>
          <w:color w:val="auto"/>
          <w:sz w:val="24"/>
          <w:szCs w:val="24"/>
          <w:lang w:val="zh-CN"/>
        </w:rPr>
        <w:t>参加同一合同项下投标的，按一家</w:t>
      </w:r>
      <w:r>
        <w:rPr>
          <w:rFonts w:hint="eastAsia" w:ascii="宋体" w:hAnsi="宋体" w:cs="宋体"/>
          <w:color w:val="auto"/>
          <w:sz w:val="24"/>
          <w:szCs w:val="24"/>
          <w:lang w:val="zh-CN"/>
        </w:rPr>
        <w:t>供应商</w:t>
      </w:r>
      <w:r>
        <w:rPr>
          <w:rFonts w:ascii="宋体" w:hAnsi="宋体" w:cs="宋体"/>
          <w:color w:val="auto"/>
          <w:sz w:val="24"/>
          <w:szCs w:val="24"/>
          <w:lang w:val="zh-CN"/>
        </w:rPr>
        <w:t>计算，评审后得分最高的同品牌</w:t>
      </w:r>
      <w:r>
        <w:rPr>
          <w:rFonts w:hint="eastAsia" w:ascii="宋体" w:hAnsi="宋体" w:cs="宋体"/>
          <w:color w:val="auto"/>
          <w:sz w:val="24"/>
          <w:szCs w:val="24"/>
          <w:lang w:val="zh-CN"/>
        </w:rPr>
        <w:t>供应商</w:t>
      </w:r>
      <w:r>
        <w:rPr>
          <w:rFonts w:ascii="宋体" w:hAnsi="宋体" w:cs="宋体"/>
          <w:color w:val="auto"/>
          <w:sz w:val="24"/>
          <w:szCs w:val="24"/>
          <w:lang w:val="zh-CN"/>
        </w:rPr>
        <w:t>作为</w:t>
      </w:r>
      <w:r>
        <w:rPr>
          <w:rFonts w:hint="eastAsia" w:ascii="宋体" w:hAnsi="宋体" w:cs="宋体"/>
          <w:color w:val="auto"/>
          <w:sz w:val="24"/>
          <w:szCs w:val="24"/>
          <w:lang w:val="zh-CN"/>
        </w:rPr>
        <w:t>成交</w:t>
      </w:r>
      <w:r>
        <w:rPr>
          <w:rFonts w:ascii="宋体" w:hAnsi="宋体" w:cs="宋体"/>
          <w:color w:val="auto"/>
          <w:sz w:val="24"/>
          <w:szCs w:val="24"/>
          <w:lang w:val="zh-CN"/>
        </w:rPr>
        <w:t>候选人推荐；评审得分相同的，</w:t>
      </w:r>
      <w:r>
        <w:rPr>
          <w:rFonts w:hint="eastAsia" w:ascii="宋体" w:hAnsi="宋体" w:cs="宋体"/>
          <w:color w:val="auto"/>
          <w:sz w:val="24"/>
          <w:szCs w:val="24"/>
          <w:lang w:val="zh-CN"/>
        </w:rPr>
        <w:t>由采购人或者采购人委托评标委员会</w:t>
      </w:r>
      <w:r>
        <w:rPr>
          <w:rFonts w:ascii="宋体" w:hAnsi="宋体" w:cs="宋体"/>
          <w:color w:val="auto"/>
          <w:sz w:val="24"/>
          <w:szCs w:val="24"/>
          <w:lang w:val="zh-CN"/>
        </w:rPr>
        <w:t>采取随机抽取方式确定</w:t>
      </w:r>
      <w:r>
        <w:rPr>
          <w:rFonts w:hint="eastAsia" w:ascii="宋体" w:hAnsi="宋体" w:cs="宋体"/>
          <w:color w:val="auto"/>
          <w:sz w:val="24"/>
          <w:szCs w:val="24"/>
          <w:lang w:val="zh-CN"/>
        </w:rPr>
        <w:t>一个供应商获得成交人推荐资格</w:t>
      </w:r>
      <w:r>
        <w:rPr>
          <w:rFonts w:ascii="宋体" w:hAnsi="宋体" w:cs="宋体"/>
          <w:color w:val="auto"/>
          <w:sz w:val="24"/>
          <w:szCs w:val="24"/>
          <w:lang w:val="zh-CN"/>
        </w:rPr>
        <w:t>，其他同品牌</w:t>
      </w:r>
      <w:r>
        <w:rPr>
          <w:rFonts w:hint="eastAsia" w:ascii="宋体" w:hAnsi="宋体" w:cs="宋体"/>
          <w:color w:val="auto"/>
          <w:sz w:val="24"/>
          <w:szCs w:val="24"/>
          <w:lang w:val="zh-CN"/>
        </w:rPr>
        <w:t>供应商</w:t>
      </w:r>
      <w:r>
        <w:rPr>
          <w:rFonts w:ascii="宋体" w:hAnsi="宋体" w:cs="宋体"/>
          <w:color w:val="auto"/>
          <w:sz w:val="24"/>
          <w:szCs w:val="24"/>
          <w:lang w:val="zh-CN"/>
        </w:rPr>
        <w:t>不作为</w:t>
      </w:r>
      <w:r>
        <w:rPr>
          <w:rFonts w:hint="eastAsia" w:ascii="宋体" w:hAnsi="宋体" w:cs="宋体"/>
          <w:color w:val="auto"/>
          <w:sz w:val="24"/>
          <w:szCs w:val="24"/>
          <w:lang w:val="zh-CN"/>
        </w:rPr>
        <w:t>成交</w:t>
      </w:r>
      <w:r>
        <w:rPr>
          <w:rFonts w:ascii="宋体" w:hAnsi="宋体" w:cs="宋体"/>
          <w:color w:val="auto"/>
          <w:sz w:val="24"/>
          <w:szCs w:val="24"/>
          <w:lang w:val="zh-CN"/>
        </w:rPr>
        <w:t>候选人。</w:t>
      </w:r>
    </w:p>
    <w:p w14:paraId="501635BF">
      <w:pPr>
        <w:pStyle w:val="22"/>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（3）强制采购节能产品和优先采购节能产品、优先采购环保产品</w:t>
      </w:r>
    </w:p>
    <w:p w14:paraId="5166DF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szCs w:val="24"/>
          <w:lang w:val="zh-CN"/>
        </w:rPr>
      </w:pPr>
      <w:r>
        <w:rPr>
          <w:rFonts w:hint="eastAsia" w:ascii="宋体" w:hAnsi="宋体" w:cs="宋体"/>
          <w:color w:val="auto"/>
          <w:sz w:val="24"/>
          <w:szCs w:val="24"/>
          <w:lang w:val="zh-CN"/>
        </w:rPr>
        <w:t>1）对《节能产品政府采购品目清单》所列的政府强制采购节能产品，供应商投标文件中应提供具有国家确定的认证机构出具的、处于有效期之内的节能产品认证证书，否则将承担其投标被视为非实质性响应投标的风险。</w:t>
      </w:r>
    </w:p>
    <w:p w14:paraId="239200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szCs w:val="24"/>
          <w:lang w:val="zh-CN"/>
        </w:rPr>
      </w:pPr>
      <w:r>
        <w:rPr>
          <w:rFonts w:hint="eastAsia" w:ascii="宋体" w:hAnsi="宋体" w:cs="宋体"/>
          <w:color w:val="auto"/>
          <w:sz w:val="24"/>
          <w:szCs w:val="24"/>
          <w:lang w:val="zh-CN"/>
        </w:rPr>
        <w:t>供应商所投产品若属于《节能产品政府采购品目清单》优先采购产品，投标文件中应提供具有国家确定的认证机构出具的、处于有效期之内的节能产品认证证书，评标委员会根据本项目评标标准予以判定并赋分。</w:t>
      </w:r>
    </w:p>
    <w:p w14:paraId="10DF7F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szCs w:val="24"/>
          <w:lang w:val="zh-CN"/>
        </w:rPr>
      </w:pPr>
      <w:r>
        <w:rPr>
          <w:rFonts w:hint="eastAsia" w:ascii="宋体" w:hAnsi="宋体" w:cs="宋体"/>
          <w:color w:val="auto"/>
          <w:sz w:val="24"/>
          <w:szCs w:val="24"/>
          <w:lang w:val="zh-CN"/>
        </w:rPr>
        <w:t>2）供应商所投产品若属于《环境标志产品政府采购品目清单》内产品，投标文件中应提供具有国家确定的认证机构出具的、处于有效期之内的环境标志产品认证证书，评标委员会根据本项目评标标准予以判定并赋分。</w:t>
      </w:r>
    </w:p>
    <w:p w14:paraId="0CA4EA40">
      <w:pPr>
        <w:autoSpaceDE w:val="0"/>
        <w:autoSpaceDN w:val="0"/>
        <w:spacing w:line="360" w:lineRule="auto"/>
        <w:ind w:firstLine="482" w:firstLineChars="200"/>
        <w:contextualSpacing/>
        <w:rPr>
          <w:rFonts w:ascii="宋体" w:hAnsi="宋体" w:cs="宋体"/>
          <w:b/>
          <w:color w:val="auto"/>
          <w:sz w:val="24"/>
          <w:szCs w:val="24"/>
          <w:lang w:val="zh-CN"/>
        </w:rPr>
      </w:pPr>
      <w:r>
        <w:rPr>
          <w:rFonts w:hint="eastAsia" w:ascii="宋体" w:hAnsi="宋体" w:cs="宋体"/>
          <w:b/>
          <w:color w:val="auto"/>
          <w:sz w:val="24"/>
          <w:szCs w:val="24"/>
          <w:lang w:val="zh-CN"/>
        </w:rPr>
        <w:t>（4）网络关键设备、网络安全专用产品要求</w:t>
      </w:r>
    </w:p>
    <w:p w14:paraId="45C5BE0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1、本项目网络关键设备：无；网络安全专用产品：无</w:t>
      </w:r>
    </w:p>
    <w:p w14:paraId="3AB6E47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2、本项目中涉及网络关键设备或网络安全专用产品的，执行国家互联网信息办公室、工业和信息化部、公安部和国家认证认可监督管理委员会2023年第2号《关于调整&lt;网络关键设备和网络安全专用产品目录&gt;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43F5958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3、提供资料（下列资料任意一项）</w:t>
      </w:r>
    </w:p>
    <w:p w14:paraId="1A48007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①网络关键设备和网络安全专用产品安全认证证书；</w:t>
      </w:r>
    </w:p>
    <w:p w14:paraId="77532E8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②网络关键设备安全检测证书、网络安全专用产品安全检测证书；③计算机信息系统安全专用产品销售许可证；</w:t>
      </w:r>
    </w:p>
    <w:p w14:paraId="6BB30AE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④中国网信网或工业和信息化部网站或公安部网站或国家认证认可监督管理委员会网站公布的认证、检测结果（提供公布安全认证、安全检测结果页面网址和安全认证、检测结果截图）。</w:t>
      </w:r>
    </w:p>
    <w:p w14:paraId="68647258">
      <w:pPr>
        <w:pStyle w:val="22"/>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（5）投标无效情形</w:t>
      </w:r>
    </w:p>
    <w:p w14:paraId="4D25FCF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color w:val="auto"/>
        </w:rPr>
      </w:pPr>
      <w:r>
        <w:rPr>
          <w:rFonts w:hint="eastAsia" w:ascii="宋体" w:hAnsi="宋体" w:cs="宋体"/>
          <w:color w:val="auto"/>
          <w:kern w:val="0"/>
          <w:sz w:val="24"/>
          <w:szCs w:val="24"/>
        </w:rPr>
        <w:t>根据《河南省财政厅关于防范供应商串通投标促进政府采购公平竞争的通知》（豫财购﹝2021﹞6号）要求，参与同一个标段的供应商存在下列情形之一的，其投标文件无效：</w:t>
      </w:r>
    </w:p>
    <w:p w14:paraId="5BFD69D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(一)不同供应商的电子投标(响应)文件上传计算机的网卡MAC地址、CPU序列号和硬盘序列号等硬件信息相同的；</w:t>
      </w:r>
    </w:p>
    <w:p w14:paraId="2A9ECD2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(二)不同供应商的投标(响应)文件由同一电子设备编制、打印加密或者上传；</w:t>
      </w:r>
    </w:p>
    <w:p w14:paraId="6CA830C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(三)不同供应商的投标(响应)文件由同一电子设备打印、复印；</w:t>
      </w:r>
    </w:p>
    <w:p w14:paraId="359A679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(四)不同供应商的投标(响应)文件由同一人送达或者分发，或者不同供应商联系人为同一人或不同联系人的联系电话一致的；</w:t>
      </w:r>
    </w:p>
    <w:p w14:paraId="41F9905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(五)不同供应商的投标(响应)文件的内容存在两处以上细节错误一致；</w:t>
      </w:r>
    </w:p>
    <w:p w14:paraId="609AC74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(六)不同供应商的法定代表人、委托代理人、项目经理、项目负责人等由同一个单位缴纳社会保险或者领取报酬的；</w:t>
      </w:r>
    </w:p>
    <w:p w14:paraId="3EB2D81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(七)不同供应商投标(响应)文件中法定代表人或者负责人签字出自同一人之手；</w:t>
      </w:r>
    </w:p>
    <w:p w14:paraId="5151F97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(八)其它涉嫌串通的情形。</w:t>
      </w:r>
    </w:p>
    <w:p w14:paraId="3547DB7B">
      <w:pPr>
        <w:tabs>
          <w:tab w:val="left" w:pos="1260"/>
        </w:tabs>
        <w:autoSpaceDE w:val="0"/>
        <w:autoSpaceDN w:val="0"/>
        <w:spacing w:line="360" w:lineRule="auto"/>
        <w:ind w:firstLine="482" w:firstLineChars="200"/>
        <w:rPr>
          <w:rFonts w:ascii="宋体" w:hAnsi="宋体" w:cs="宋体"/>
          <w:b/>
          <w:color w:val="auto"/>
          <w:sz w:val="24"/>
          <w:lang w:val="zh-CN"/>
        </w:rPr>
      </w:pPr>
      <w:r>
        <w:rPr>
          <w:rFonts w:hint="eastAsia" w:ascii="宋体" w:hAnsi="宋体" w:cs="宋体"/>
          <w:b/>
          <w:color w:val="auto"/>
          <w:sz w:val="24"/>
          <w:szCs w:val="24"/>
          <w:lang w:val="zh-CN"/>
        </w:rPr>
        <w:t>（</w:t>
      </w:r>
      <w:r>
        <w:rPr>
          <w:rFonts w:hint="eastAsia" w:ascii="宋体" w:hAnsi="宋体" w:cs="宋体"/>
          <w:b/>
          <w:color w:val="auto"/>
          <w:sz w:val="24"/>
          <w:szCs w:val="24"/>
        </w:rPr>
        <w:t>6</w:t>
      </w:r>
      <w:r>
        <w:rPr>
          <w:rFonts w:hint="eastAsia" w:ascii="宋体" w:hAnsi="宋体" w:cs="宋体"/>
          <w:b/>
          <w:color w:val="auto"/>
          <w:sz w:val="24"/>
          <w:szCs w:val="24"/>
          <w:lang w:val="zh-CN"/>
        </w:rPr>
        <w:t>）</w:t>
      </w:r>
      <w:r>
        <w:rPr>
          <w:rFonts w:hint="eastAsia" w:ascii="宋体" w:hAnsi="宋体" w:cs="宋体"/>
          <w:b/>
          <w:color w:val="auto"/>
          <w:sz w:val="24"/>
          <w:lang w:val="zh-CN"/>
        </w:rPr>
        <w:t>评标标准</w:t>
      </w:r>
    </w:p>
    <w:tbl>
      <w:tblPr>
        <w:tblStyle w:val="34"/>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435"/>
        <w:gridCol w:w="899"/>
      </w:tblGrid>
      <w:tr w14:paraId="0C049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762" w:type="dxa"/>
            <w:vAlign w:val="center"/>
          </w:tcPr>
          <w:p w14:paraId="03AA9F9D">
            <w:pPr>
              <w:spacing w:line="360" w:lineRule="auto"/>
              <w:jc w:val="center"/>
              <w:rPr>
                <w:rFonts w:ascii="宋体" w:hAnsi="宋体" w:cs="宋体"/>
                <w:color w:val="auto"/>
                <w:sz w:val="24"/>
                <w:szCs w:val="24"/>
              </w:rPr>
            </w:pPr>
            <w:r>
              <w:rPr>
                <w:rFonts w:hint="eastAsia" w:ascii="宋体" w:hAnsi="宋体" w:cs="宋体"/>
                <w:color w:val="auto"/>
                <w:sz w:val="24"/>
                <w:szCs w:val="24"/>
              </w:rPr>
              <w:t>分值构成</w:t>
            </w:r>
          </w:p>
          <w:p w14:paraId="2A374211">
            <w:pPr>
              <w:spacing w:line="360" w:lineRule="auto"/>
              <w:jc w:val="center"/>
              <w:rPr>
                <w:rFonts w:ascii="宋体" w:hAnsi="宋体" w:cs="宋体"/>
                <w:color w:val="auto"/>
                <w:sz w:val="24"/>
                <w:szCs w:val="24"/>
              </w:rPr>
            </w:pPr>
            <w:r>
              <w:rPr>
                <w:rFonts w:hint="eastAsia" w:ascii="宋体" w:hAnsi="宋体"/>
                <w:color w:val="auto"/>
                <w:sz w:val="24"/>
                <w:szCs w:val="24"/>
              </w:rPr>
              <w:t>(总分100分)</w:t>
            </w:r>
          </w:p>
        </w:tc>
        <w:tc>
          <w:tcPr>
            <w:tcW w:w="7334" w:type="dxa"/>
            <w:gridSpan w:val="2"/>
            <w:vAlign w:val="center"/>
          </w:tcPr>
          <w:p w14:paraId="12A682D6">
            <w:pPr>
              <w:spacing w:line="360" w:lineRule="auto"/>
              <w:contextualSpacing/>
              <w:rPr>
                <w:rFonts w:ascii="宋体" w:hAnsi="宋体"/>
                <w:color w:val="auto"/>
                <w:sz w:val="24"/>
                <w:szCs w:val="24"/>
              </w:rPr>
            </w:pPr>
            <w:r>
              <w:rPr>
                <w:rFonts w:hint="eastAsia" w:ascii="宋体" w:hAnsi="宋体"/>
                <w:color w:val="auto"/>
                <w:sz w:val="24"/>
                <w:szCs w:val="24"/>
              </w:rPr>
              <w:t>价格分值：30分</w:t>
            </w:r>
          </w:p>
          <w:p w14:paraId="58F7801B">
            <w:pPr>
              <w:spacing w:line="360" w:lineRule="auto"/>
              <w:contextualSpacing/>
              <w:rPr>
                <w:rFonts w:ascii="宋体" w:hAnsi="宋体"/>
                <w:color w:val="auto"/>
                <w:sz w:val="24"/>
                <w:szCs w:val="24"/>
              </w:rPr>
            </w:pPr>
            <w:r>
              <w:rPr>
                <w:rFonts w:hint="eastAsia" w:ascii="宋体" w:hAnsi="宋体"/>
                <w:color w:val="auto"/>
                <w:sz w:val="24"/>
                <w:szCs w:val="24"/>
              </w:rPr>
              <w:t>商务部分：</w:t>
            </w:r>
            <w:r>
              <w:rPr>
                <w:rFonts w:hint="eastAsia" w:ascii="宋体" w:hAnsi="宋体"/>
                <w:color w:val="auto"/>
                <w:sz w:val="24"/>
                <w:szCs w:val="24"/>
                <w:lang w:val="en-US" w:eastAsia="zh-CN"/>
              </w:rPr>
              <w:t>3</w:t>
            </w:r>
            <w:r>
              <w:rPr>
                <w:rFonts w:hint="eastAsia" w:ascii="宋体" w:hAnsi="宋体"/>
                <w:color w:val="auto"/>
                <w:sz w:val="24"/>
                <w:szCs w:val="24"/>
              </w:rPr>
              <w:t>0分</w:t>
            </w:r>
          </w:p>
          <w:p w14:paraId="39EC9E67">
            <w:pPr>
              <w:spacing w:line="360" w:lineRule="auto"/>
              <w:rPr>
                <w:rFonts w:ascii="宋体" w:hAnsi="宋体" w:cs="宋体"/>
                <w:color w:val="auto"/>
                <w:sz w:val="24"/>
                <w:szCs w:val="24"/>
              </w:rPr>
            </w:pPr>
            <w:r>
              <w:rPr>
                <w:rFonts w:hint="eastAsia" w:ascii="宋体" w:hAnsi="宋体"/>
                <w:color w:val="auto"/>
                <w:sz w:val="24"/>
                <w:szCs w:val="24"/>
              </w:rPr>
              <w:t>技术部分：</w:t>
            </w:r>
            <w:r>
              <w:rPr>
                <w:rFonts w:hint="eastAsia" w:ascii="宋体" w:hAnsi="宋体"/>
                <w:color w:val="auto"/>
                <w:sz w:val="24"/>
                <w:szCs w:val="24"/>
                <w:lang w:val="en-US" w:eastAsia="zh-CN"/>
              </w:rPr>
              <w:t>4</w:t>
            </w:r>
            <w:r>
              <w:rPr>
                <w:rFonts w:hint="eastAsia" w:ascii="宋体" w:hAnsi="宋体"/>
                <w:color w:val="auto"/>
                <w:sz w:val="24"/>
                <w:szCs w:val="24"/>
              </w:rPr>
              <w:t>0分</w:t>
            </w:r>
          </w:p>
        </w:tc>
      </w:tr>
      <w:tr w14:paraId="1E994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6" w:type="dxa"/>
            <w:gridSpan w:val="3"/>
            <w:vAlign w:val="center"/>
          </w:tcPr>
          <w:p w14:paraId="475E77A5">
            <w:pPr>
              <w:spacing w:line="360" w:lineRule="auto"/>
              <w:jc w:val="center"/>
              <w:rPr>
                <w:rFonts w:ascii="宋体" w:hAnsi="宋体" w:cs="宋体"/>
                <w:b/>
                <w:color w:val="auto"/>
                <w:sz w:val="24"/>
                <w:szCs w:val="24"/>
              </w:rPr>
            </w:pPr>
            <w:r>
              <w:rPr>
                <w:rFonts w:hint="eastAsia" w:ascii="宋体" w:hAnsi="宋体" w:cs="宋体"/>
                <w:b/>
                <w:color w:val="auto"/>
                <w:sz w:val="24"/>
                <w:szCs w:val="24"/>
              </w:rPr>
              <w:t>价格部分（满分30分）</w:t>
            </w:r>
          </w:p>
        </w:tc>
      </w:tr>
      <w:tr w14:paraId="3D954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14:paraId="2113372B">
            <w:pPr>
              <w:spacing w:line="360" w:lineRule="auto"/>
              <w:jc w:val="center"/>
              <w:rPr>
                <w:rFonts w:ascii="宋体" w:hAnsi="宋体" w:cs="宋体"/>
                <w:b/>
                <w:color w:val="auto"/>
                <w:sz w:val="24"/>
                <w:szCs w:val="24"/>
              </w:rPr>
            </w:pPr>
            <w:r>
              <w:rPr>
                <w:rFonts w:hint="eastAsia" w:ascii="宋体" w:hAnsi="宋体" w:cs="宋体"/>
                <w:b/>
                <w:color w:val="auto"/>
                <w:sz w:val="24"/>
                <w:szCs w:val="24"/>
              </w:rPr>
              <w:t>评分因素</w:t>
            </w:r>
          </w:p>
        </w:tc>
        <w:tc>
          <w:tcPr>
            <w:tcW w:w="6435" w:type="dxa"/>
            <w:vAlign w:val="center"/>
          </w:tcPr>
          <w:p w14:paraId="14956194">
            <w:pPr>
              <w:spacing w:line="360" w:lineRule="auto"/>
              <w:jc w:val="center"/>
              <w:rPr>
                <w:rFonts w:ascii="宋体" w:hAnsi="宋体" w:cs="宋体"/>
                <w:b/>
                <w:color w:val="auto"/>
                <w:sz w:val="24"/>
                <w:szCs w:val="24"/>
              </w:rPr>
            </w:pPr>
            <w:r>
              <w:rPr>
                <w:rFonts w:hint="eastAsia" w:ascii="宋体" w:hAnsi="宋体" w:cs="宋体"/>
                <w:b/>
                <w:color w:val="auto"/>
                <w:sz w:val="24"/>
                <w:szCs w:val="24"/>
              </w:rPr>
              <w:t>评标标准</w:t>
            </w:r>
          </w:p>
        </w:tc>
        <w:tc>
          <w:tcPr>
            <w:tcW w:w="899" w:type="dxa"/>
            <w:vAlign w:val="center"/>
          </w:tcPr>
          <w:p w14:paraId="1A20481D">
            <w:pPr>
              <w:spacing w:line="360" w:lineRule="auto"/>
              <w:jc w:val="center"/>
              <w:rPr>
                <w:rFonts w:ascii="宋体" w:hAnsi="宋体" w:cs="宋体"/>
                <w:b/>
                <w:color w:val="auto"/>
                <w:sz w:val="24"/>
                <w:szCs w:val="24"/>
              </w:rPr>
            </w:pPr>
            <w:r>
              <w:rPr>
                <w:rFonts w:hint="eastAsia" w:ascii="宋体" w:hAnsi="宋体" w:cs="宋体"/>
                <w:b/>
                <w:color w:val="auto"/>
                <w:sz w:val="24"/>
                <w:szCs w:val="24"/>
              </w:rPr>
              <w:t>分值</w:t>
            </w:r>
          </w:p>
        </w:tc>
      </w:tr>
      <w:tr w14:paraId="3F6E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762" w:type="dxa"/>
            <w:vAlign w:val="center"/>
          </w:tcPr>
          <w:p w14:paraId="559F8557">
            <w:pPr>
              <w:spacing w:line="360" w:lineRule="auto"/>
              <w:jc w:val="center"/>
              <w:rPr>
                <w:rFonts w:ascii="宋体" w:hAnsi="宋体" w:cs="宋体"/>
                <w:color w:val="auto"/>
                <w:sz w:val="24"/>
                <w:szCs w:val="24"/>
              </w:rPr>
            </w:pPr>
            <w:r>
              <w:rPr>
                <w:rFonts w:hint="eastAsia" w:ascii="宋体" w:hAnsi="宋体" w:cs="宋体"/>
                <w:color w:val="auto"/>
                <w:sz w:val="24"/>
                <w:szCs w:val="24"/>
              </w:rPr>
              <w:t>最终磋商报价评分标准</w:t>
            </w:r>
          </w:p>
        </w:tc>
        <w:tc>
          <w:tcPr>
            <w:tcW w:w="6435" w:type="dxa"/>
            <w:vAlign w:val="center"/>
          </w:tcPr>
          <w:p w14:paraId="1EF91A49">
            <w:pPr>
              <w:pStyle w:val="94"/>
              <w:spacing w:line="360" w:lineRule="auto"/>
              <w:jc w:val="left"/>
              <w:rPr>
                <w:color w:val="auto"/>
                <w:sz w:val="24"/>
                <w:szCs w:val="24"/>
              </w:rPr>
            </w:pPr>
            <w:r>
              <w:rPr>
                <w:rFonts w:hint="eastAsia"/>
                <w:color w:val="auto"/>
                <w:sz w:val="24"/>
                <w:szCs w:val="24"/>
              </w:rPr>
              <w:t>满足磋商文件要求且最低的最终磋商报价为磋商基准价，其价格分为满分</w:t>
            </w:r>
            <w:r>
              <w:rPr>
                <w:rFonts w:hint="eastAsia"/>
                <w:color w:val="auto"/>
                <w:sz w:val="24"/>
                <w:szCs w:val="24"/>
                <w:lang w:val="en-US"/>
              </w:rPr>
              <w:t>30分</w:t>
            </w:r>
            <w:r>
              <w:rPr>
                <w:rFonts w:hint="eastAsia"/>
                <w:color w:val="auto"/>
                <w:sz w:val="24"/>
                <w:szCs w:val="24"/>
              </w:rPr>
              <w:t>。其他供应商的报价得分计算：</w:t>
            </w:r>
          </w:p>
          <w:p w14:paraId="325A82EF">
            <w:pPr>
              <w:spacing w:line="360" w:lineRule="auto"/>
              <w:rPr>
                <w:rFonts w:ascii="宋体" w:hAnsi="宋体" w:cs="宋体"/>
                <w:color w:val="auto"/>
                <w:sz w:val="24"/>
                <w:szCs w:val="24"/>
              </w:rPr>
            </w:pPr>
            <w:r>
              <w:rPr>
                <w:rFonts w:hint="eastAsia" w:ascii="宋体" w:hAnsi="宋体" w:cs="宋体"/>
                <w:color w:val="auto"/>
                <w:sz w:val="24"/>
                <w:szCs w:val="24"/>
              </w:rPr>
              <w:t>报价得分=(磋商基准价／最终磋商报价)×30</w:t>
            </w:r>
          </w:p>
        </w:tc>
        <w:tc>
          <w:tcPr>
            <w:tcW w:w="899" w:type="dxa"/>
            <w:vAlign w:val="center"/>
          </w:tcPr>
          <w:p w14:paraId="7264E100">
            <w:pPr>
              <w:spacing w:line="360" w:lineRule="auto"/>
              <w:jc w:val="center"/>
              <w:rPr>
                <w:rFonts w:ascii="宋体" w:hAnsi="宋体" w:cs="宋体"/>
                <w:color w:val="auto"/>
                <w:sz w:val="24"/>
                <w:szCs w:val="24"/>
              </w:rPr>
            </w:pPr>
            <w:r>
              <w:rPr>
                <w:rFonts w:hint="eastAsia" w:ascii="宋体" w:hAnsi="宋体" w:cs="宋体"/>
                <w:color w:val="auto"/>
                <w:sz w:val="24"/>
                <w:szCs w:val="24"/>
              </w:rPr>
              <w:t>30分</w:t>
            </w:r>
          </w:p>
        </w:tc>
      </w:tr>
      <w:tr w14:paraId="45B84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6" w:type="dxa"/>
            <w:gridSpan w:val="3"/>
            <w:vAlign w:val="center"/>
          </w:tcPr>
          <w:p w14:paraId="775EF277">
            <w:pPr>
              <w:spacing w:line="360" w:lineRule="auto"/>
              <w:jc w:val="center"/>
              <w:rPr>
                <w:rFonts w:ascii="宋体" w:hAnsi="宋体" w:cs="宋体"/>
                <w:b/>
                <w:color w:val="auto"/>
                <w:sz w:val="24"/>
                <w:szCs w:val="24"/>
              </w:rPr>
            </w:pPr>
            <w:r>
              <w:rPr>
                <w:rFonts w:hint="eastAsia" w:ascii="宋体" w:hAnsi="宋体" w:cs="宋体"/>
                <w:b/>
                <w:color w:val="auto"/>
                <w:sz w:val="24"/>
                <w:szCs w:val="24"/>
              </w:rPr>
              <w:t>商务部分（满分</w:t>
            </w:r>
            <w:r>
              <w:rPr>
                <w:rFonts w:hint="eastAsia" w:ascii="宋体" w:hAnsi="宋体" w:cs="宋体"/>
                <w:b/>
                <w:color w:val="auto"/>
                <w:sz w:val="24"/>
                <w:szCs w:val="24"/>
                <w:lang w:val="en-US" w:eastAsia="zh-CN"/>
              </w:rPr>
              <w:t>3</w:t>
            </w:r>
            <w:r>
              <w:rPr>
                <w:rFonts w:hint="eastAsia" w:ascii="宋体" w:hAnsi="宋体" w:cs="宋体"/>
                <w:b/>
                <w:color w:val="auto"/>
                <w:sz w:val="24"/>
                <w:szCs w:val="24"/>
              </w:rPr>
              <w:t>0分）</w:t>
            </w:r>
          </w:p>
        </w:tc>
      </w:tr>
      <w:tr w14:paraId="46F7C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14:paraId="40933568">
            <w:pPr>
              <w:spacing w:line="360" w:lineRule="auto"/>
              <w:jc w:val="center"/>
              <w:rPr>
                <w:rFonts w:ascii="宋体" w:hAnsi="宋体" w:cs="宋体"/>
                <w:b/>
                <w:color w:val="auto"/>
                <w:sz w:val="24"/>
                <w:szCs w:val="24"/>
              </w:rPr>
            </w:pPr>
            <w:r>
              <w:rPr>
                <w:rFonts w:hint="eastAsia" w:ascii="宋体" w:hAnsi="宋体" w:cs="宋体"/>
                <w:b/>
                <w:color w:val="auto"/>
                <w:sz w:val="24"/>
                <w:szCs w:val="24"/>
              </w:rPr>
              <w:t>评分因素</w:t>
            </w:r>
          </w:p>
        </w:tc>
        <w:tc>
          <w:tcPr>
            <w:tcW w:w="6435" w:type="dxa"/>
            <w:vAlign w:val="center"/>
          </w:tcPr>
          <w:p w14:paraId="5AD28AA9">
            <w:pPr>
              <w:spacing w:line="360" w:lineRule="auto"/>
              <w:jc w:val="center"/>
              <w:rPr>
                <w:rFonts w:ascii="宋体" w:hAnsi="宋体" w:cs="宋体"/>
                <w:b/>
                <w:color w:val="auto"/>
                <w:sz w:val="24"/>
                <w:szCs w:val="24"/>
              </w:rPr>
            </w:pPr>
            <w:r>
              <w:rPr>
                <w:rFonts w:hint="eastAsia" w:ascii="宋体" w:hAnsi="宋体" w:cs="宋体"/>
                <w:b/>
                <w:color w:val="auto"/>
                <w:sz w:val="24"/>
                <w:szCs w:val="24"/>
              </w:rPr>
              <w:t>评标标准</w:t>
            </w:r>
          </w:p>
        </w:tc>
        <w:tc>
          <w:tcPr>
            <w:tcW w:w="899" w:type="dxa"/>
            <w:vAlign w:val="center"/>
          </w:tcPr>
          <w:p w14:paraId="6AA6C3D4">
            <w:pPr>
              <w:spacing w:line="360" w:lineRule="auto"/>
              <w:jc w:val="center"/>
              <w:rPr>
                <w:rFonts w:ascii="宋体" w:hAnsi="宋体" w:cs="宋体"/>
                <w:b/>
                <w:color w:val="auto"/>
                <w:sz w:val="24"/>
                <w:szCs w:val="24"/>
              </w:rPr>
            </w:pPr>
            <w:r>
              <w:rPr>
                <w:rFonts w:hint="eastAsia" w:ascii="宋体" w:hAnsi="宋体" w:cs="宋体"/>
                <w:b/>
                <w:color w:val="auto"/>
                <w:sz w:val="24"/>
                <w:szCs w:val="24"/>
              </w:rPr>
              <w:t>分值</w:t>
            </w:r>
          </w:p>
        </w:tc>
      </w:tr>
      <w:tr w14:paraId="1207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762" w:type="dxa"/>
            <w:vMerge w:val="restart"/>
            <w:vAlign w:val="center"/>
          </w:tcPr>
          <w:p w14:paraId="7280B45B">
            <w:pPr>
              <w:spacing w:line="360" w:lineRule="auto"/>
              <w:contextualSpacing/>
              <w:jc w:val="center"/>
              <w:rPr>
                <w:rFonts w:ascii="宋体" w:hAnsi="宋体" w:cs="宋体"/>
                <w:color w:val="auto"/>
                <w:sz w:val="24"/>
                <w:szCs w:val="24"/>
              </w:rPr>
            </w:pPr>
            <w:r>
              <w:rPr>
                <w:rFonts w:hint="eastAsia" w:ascii="宋体" w:hAnsi="宋体" w:cs="Cambria Math"/>
                <w:color w:val="auto"/>
                <w:sz w:val="24"/>
                <w:szCs w:val="24"/>
              </w:rPr>
              <w:t>项目班子配备</w:t>
            </w:r>
          </w:p>
        </w:tc>
        <w:tc>
          <w:tcPr>
            <w:tcW w:w="6435" w:type="dxa"/>
            <w:vAlign w:val="center"/>
          </w:tcPr>
          <w:p w14:paraId="4662B4DB">
            <w:pPr>
              <w:pStyle w:val="17"/>
              <w:spacing w:before="0" w:beforeAutospacing="0" w:after="0" w:line="360" w:lineRule="auto"/>
              <w:ind w:firstLine="0" w:firstLineChars="0"/>
              <w:contextualSpacing/>
              <w:jc w:val="left"/>
              <w:rPr>
                <w:rFonts w:hAnsi="宋体" w:cs="宋体"/>
                <w:color w:val="auto"/>
                <w:kern w:val="2"/>
                <w:sz w:val="24"/>
                <w:szCs w:val="24"/>
              </w:rPr>
            </w:pPr>
            <w:r>
              <w:rPr>
                <w:rFonts w:hint="eastAsia" w:hAnsi="宋体" w:cs="宋体"/>
                <w:color w:val="auto"/>
                <w:sz w:val="24"/>
                <w:szCs w:val="21"/>
              </w:rPr>
              <w:t>本项目拟配备项目组人员有施工员、质量员、安全员、材料员、资料员的(相同岗位不重复计分)，每提供一个得</w:t>
            </w:r>
            <w:r>
              <w:rPr>
                <w:rFonts w:hint="eastAsia" w:hAnsi="宋体" w:cs="宋体"/>
                <w:color w:val="auto"/>
                <w:sz w:val="24"/>
                <w:szCs w:val="21"/>
                <w:lang w:val="en-US" w:eastAsia="zh-CN"/>
              </w:rPr>
              <w:t>2</w:t>
            </w:r>
            <w:r>
              <w:rPr>
                <w:rFonts w:hint="eastAsia" w:hAnsi="宋体" w:cs="宋体"/>
                <w:color w:val="auto"/>
                <w:sz w:val="24"/>
                <w:szCs w:val="21"/>
              </w:rPr>
              <w:t>分</w:t>
            </w:r>
            <w:r>
              <w:rPr>
                <w:rFonts w:hint="eastAsia" w:hAnsi="宋体" w:cs="宋体"/>
                <w:color w:val="auto"/>
                <w:sz w:val="24"/>
                <w:szCs w:val="21"/>
                <w:lang w:eastAsia="zh-CN"/>
              </w:rPr>
              <w:t>，</w:t>
            </w:r>
            <w:r>
              <w:rPr>
                <w:rFonts w:hint="eastAsia" w:hAnsi="宋体" w:cs="宋体"/>
                <w:color w:val="auto"/>
                <w:sz w:val="24"/>
                <w:szCs w:val="21"/>
              </w:rPr>
              <w:t>本项最高得</w:t>
            </w:r>
            <w:r>
              <w:rPr>
                <w:rFonts w:hint="eastAsia" w:hAnsi="宋体" w:cs="宋体"/>
                <w:color w:val="auto"/>
                <w:sz w:val="24"/>
                <w:szCs w:val="21"/>
                <w:lang w:val="en-US" w:eastAsia="zh-CN"/>
              </w:rPr>
              <w:t>10</w:t>
            </w:r>
            <w:r>
              <w:rPr>
                <w:rFonts w:hint="eastAsia" w:hAnsi="宋体" w:cs="宋体"/>
                <w:color w:val="auto"/>
                <w:sz w:val="24"/>
                <w:szCs w:val="21"/>
              </w:rPr>
              <w:t>分。（以证书原件扫描件或图片为准）</w:t>
            </w:r>
          </w:p>
        </w:tc>
        <w:tc>
          <w:tcPr>
            <w:tcW w:w="899" w:type="dxa"/>
            <w:vAlign w:val="center"/>
          </w:tcPr>
          <w:p w14:paraId="59A1E045">
            <w:pPr>
              <w:spacing w:line="360" w:lineRule="auto"/>
              <w:contextualSpacing/>
              <w:jc w:val="center"/>
              <w:rPr>
                <w:rFonts w:ascii="宋体" w:hAnsi="宋体" w:cs="宋体"/>
                <w:color w:val="auto"/>
                <w:sz w:val="24"/>
                <w:szCs w:val="24"/>
              </w:rPr>
            </w:pPr>
            <w:r>
              <w:rPr>
                <w:rFonts w:hint="eastAsia" w:ascii="宋体" w:hAnsi="宋体"/>
                <w:color w:val="auto"/>
                <w:sz w:val="24"/>
                <w:szCs w:val="24"/>
                <w:lang w:val="en-US" w:eastAsia="zh-CN"/>
              </w:rPr>
              <w:t>10</w:t>
            </w:r>
            <w:r>
              <w:rPr>
                <w:rFonts w:hint="eastAsia" w:ascii="宋体" w:hAnsi="宋体"/>
                <w:color w:val="auto"/>
                <w:sz w:val="24"/>
                <w:szCs w:val="24"/>
              </w:rPr>
              <w:t>分</w:t>
            </w:r>
          </w:p>
        </w:tc>
      </w:tr>
      <w:tr w14:paraId="14926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62" w:type="dxa"/>
            <w:vMerge w:val="continue"/>
            <w:tcBorders>
              <w:bottom w:val="single" w:color="auto" w:sz="4" w:space="0"/>
            </w:tcBorders>
            <w:vAlign w:val="center"/>
          </w:tcPr>
          <w:p w14:paraId="5E68606C">
            <w:pPr>
              <w:spacing w:line="360" w:lineRule="auto"/>
              <w:contextualSpacing/>
              <w:jc w:val="center"/>
              <w:rPr>
                <w:rFonts w:ascii="宋体" w:hAnsi="宋体" w:cs="宋体"/>
                <w:color w:val="auto"/>
                <w:sz w:val="24"/>
                <w:szCs w:val="24"/>
              </w:rPr>
            </w:pPr>
          </w:p>
        </w:tc>
        <w:tc>
          <w:tcPr>
            <w:tcW w:w="6435" w:type="dxa"/>
            <w:tcBorders>
              <w:top w:val="single" w:color="auto" w:sz="4" w:space="0"/>
              <w:left w:val="single" w:color="auto" w:sz="4" w:space="0"/>
              <w:bottom w:val="single" w:color="auto" w:sz="4" w:space="0"/>
              <w:right w:val="single" w:color="auto" w:sz="4" w:space="0"/>
            </w:tcBorders>
            <w:vAlign w:val="center"/>
          </w:tcPr>
          <w:p w14:paraId="2DF59293">
            <w:pPr>
              <w:spacing w:line="360" w:lineRule="auto"/>
              <w:contextualSpacing/>
              <w:textAlignment w:val="baseline"/>
              <w:rPr>
                <w:rFonts w:ascii="宋体" w:hAnsi="宋体" w:cs="宋体"/>
                <w:color w:val="auto"/>
                <w:sz w:val="24"/>
                <w:szCs w:val="24"/>
              </w:rPr>
            </w:pPr>
            <w:r>
              <w:rPr>
                <w:rFonts w:hint="eastAsia" w:ascii="宋体" w:hAnsi="宋体"/>
                <w:bCs/>
                <w:color w:val="auto"/>
                <w:sz w:val="24"/>
                <w:szCs w:val="24"/>
              </w:rPr>
              <w:t>项目班子配备中（项目负责人除外），每具有一个中级职称得2分，每具有一个高级职称得4分，本项最高得4分。</w:t>
            </w:r>
          </w:p>
        </w:tc>
        <w:tc>
          <w:tcPr>
            <w:tcW w:w="899" w:type="dxa"/>
            <w:vAlign w:val="center"/>
          </w:tcPr>
          <w:p w14:paraId="1942F906">
            <w:pPr>
              <w:spacing w:line="360" w:lineRule="auto"/>
              <w:contextualSpacing/>
              <w:jc w:val="center"/>
              <w:rPr>
                <w:rFonts w:ascii="宋体" w:hAnsi="宋体" w:cs="宋体"/>
                <w:color w:val="auto"/>
                <w:sz w:val="24"/>
                <w:szCs w:val="24"/>
              </w:rPr>
            </w:pPr>
            <w:r>
              <w:rPr>
                <w:rFonts w:hint="eastAsia" w:ascii="宋体" w:hAnsi="宋体"/>
                <w:color w:val="auto"/>
                <w:sz w:val="24"/>
                <w:szCs w:val="24"/>
              </w:rPr>
              <w:t>4分</w:t>
            </w:r>
          </w:p>
        </w:tc>
      </w:tr>
      <w:tr w14:paraId="5710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62" w:type="dxa"/>
            <w:vMerge w:val="restart"/>
            <w:tcBorders>
              <w:top w:val="single" w:color="auto" w:sz="4" w:space="0"/>
              <w:left w:val="single" w:color="auto" w:sz="4" w:space="0"/>
              <w:right w:val="single" w:color="auto" w:sz="4" w:space="0"/>
            </w:tcBorders>
            <w:vAlign w:val="center"/>
          </w:tcPr>
          <w:p w14:paraId="759219D0">
            <w:pPr>
              <w:spacing w:line="360" w:lineRule="auto"/>
              <w:contextualSpacing/>
              <w:jc w:val="center"/>
              <w:rPr>
                <w:rFonts w:ascii="宋体" w:hAnsi="宋体" w:cs="宋体"/>
                <w:color w:val="auto"/>
                <w:sz w:val="24"/>
                <w:szCs w:val="24"/>
              </w:rPr>
            </w:pPr>
            <w:r>
              <w:rPr>
                <w:rFonts w:hint="eastAsia" w:ascii="宋体" w:hAnsi="宋体" w:cs="Cambria Math"/>
                <w:color w:val="auto"/>
                <w:sz w:val="24"/>
                <w:szCs w:val="24"/>
              </w:rPr>
              <w:t>业绩</w:t>
            </w:r>
          </w:p>
        </w:tc>
        <w:tc>
          <w:tcPr>
            <w:tcW w:w="6435" w:type="dxa"/>
            <w:tcBorders>
              <w:top w:val="single" w:color="auto" w:sz="4" w:space="0"/>
              <w:left w:val="single" w:color="auto" w:sz="4" w:space="0"/>
              <w:bottom w:val="single" w:color="auto" w:sz="4" w:space="0"/>
              <w:right w:val="single" w:color="auto" w:sz="4" w:space="0"/>
            </w:tcBorders>
            <w:vAlign w:val="center"/>
          </w:tcPr>
          <w:p w14:paraId="53010303">
            <w:pPr>
              <w:spacing w:line="360" w:lineRule="auto"/>
              <w:contextualSpacing/>
              <w:jc w:val="left"/>
              <w:rPr>
                <w:rFonts w:hint="eastAsia" w:ascii="宋体" w:hAnsi="宋体" w:eastAsia="宋体" w:cs="宋体"/>
                <w:color w:val="auto"/>
                <w:sz w:val="24"/>
                <w:szCs w:val="24"/>
              </w:rPr>
            </w:pPr>
            <w:r>
              <w:rPr>
                <w:rFonts w:hint="eastAsia" w:ascii="宋体" w:hAnsi="宋体" w:eastAsia="宋体" w:cs="宋体"/>
                <w:bCs/>
                <w:color w:val="auto"/>
                <w:kern w:val="0"/>
                <w:sz w:val="24"/>
                <w:szCs w:val="24"/>
                <w:lang w:val="en-GB"/>
              </w:rPr>
              <w:t>供应商提供</w:t>
            </w:r>
            <w:r>
              <w:rPr>
                <w:rFonts w:hint="eastAsia" w:ascii="宋体" w:hAnsi="宋体" w:eastAsia="宋体" w:cs="宋体"/>
                <w:bCs/>
                <w:color w:val="auto"/>
                <w:sz w:val="24"/>
                <w:szCs w:val="24"/>
              </w:rPr>
              <w:t>2021年</w:t>
            </w:r>
            <w:r>
              <w:rPr>
                <w:rFonts w:hint="eastAsia" w:ascii="宋体" w:hAnsi="宋体" w:eastAsia="宋体" w:cs="宋体"/>
                <w:bCs/>
                <w:color w:val="auto"/>
                <w:sz w:val="24"/>
                <w:szCs w:val="24"/>
                <w:lang w:val="en-US" w:eastAsia="zh-CN"/>
              </w:rPr>
              <w:t>11</w:t>
            </w:r>
            <w:r>
              <w:rPr>
                <w:rFonts w:hint="eastAsia" w:ascii="宋体" w:hAnsi="宋体" w:eastAsia="宋体" w:cs="宋体"/>
                <w:bCs/>
                <w:color w:val="auto"/>
                <w:sz w:val="24"/>
                <w:szCs w:val="24"/>
              </w:rPr>
              <w:t>月以来，具有类似项目业绩。（应提供合同、中标通知书</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缺一项不得分）每提供一份得4分，本项最多得8分，不提供者为0分。</w:t>
            </w:r>
          </w:p>
        </w:tc>
        <w:tc>
          <w:tcPr>
            <w:tcW w:w="899" w:type="dxa"/>
            <w:vAlign w:val="center"/>
          </w:tcPr>
          <w:p w14:paraId="0561EEE1">
            <w:pPr>
              <w:spacing w:line="360" w:lineRule="auto"/>
              <w:contextualSpacing/>
              <w:jc w:val="center"/>
              <w:rPr>
                <w:rFonts w:ascii="宋体" w:hAnsi="宋体" w:cs="宋体"/>
                <w:color w:val="auto"/>
                <w:sz w:val="24"/>
                <w:szCs w:val="24"/>
              </w:rPr>
            </w:pPr>
            <w:r>
              <w:rPr>
                <w:rFonts w:hint="eastAsia" w:ascii="宋体" w:hAnsi="宋体"/>
                <w:color w:val="auto"/>
                <w:sz w:val="24"/>
                <w:szCs w:val="24"/>
              </w:rPr>
              <w:t>8分</w:t>
            </w:r>
          </w:p>
        </w:tc>
      </w:tr>
      <w:tr w14:paraId="0E49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62" w:type="dxa"/>
            <w:vMerge w:val="continue"/>
            <w:tcBorders>
              <w:left w:val="single" w:color="auto" w:sz="4" w:space="0"/>
              <w:bottom w:val="single" w:color="auto" w:sz="4" w:space="0"/>
              <w:right w:val="single" w:color="auto" w:sz="4" w:space="0"/>
            </w:tcBorders>
            <w:vAlign w:val="center"/>
          </w:tcPr>
          <w:p w14:paraId="4C7BFAF4">
            <w:pPr>
              <w:spacing w:line="360" w:lineRule="auto"/>
              <w:contextualSpacing/>
              <w:jc w:val="center"/>
              <w:rPr>
                <w:rFonts w:ascii="宋体" w:hAnsi="宋体" w:cs="Cambria Math"/>
                <w:color w:val="auto"/>
                <w:sz w:val="24"/>
                <w:szCs w:val="24"/>
              </w:rPr>
            </w:pPr>
          </w:p>
        </w:tc>
        <w:tc>
          <w:tcPr>
            <w:tcW w:w="6435" w:type="dxa"/>
            <w:tcBorders>
              <w:top w:val="single" w:color="auto" w:sz="4" w:space="0"/>
              <w:left w:val="single" w:color="auto" w:sz="4" w:space="0"/>
              <w:bottom w:val="single" w:color="auto" w:sz="4" w:space="0"/>
              <w:right w:val="single" w:color="auto" w:sz="4" w:space="0"/>
            </w:tcBorders>
            <w:vAlign w:val="center"/>
          </w:tcPr>
          <w:p w14:paraId="244737FF">
            <w:pPr>
              <w:spacing w:line="360" w:lineRule="auto"/>
              <w:contextualSpacing/>
              <w:jc w:val="left"/>
              <w:rPr>
                <w:rFonts w:hint="eastAsia" w:ascii="宋体" w:hAnsi="宋体" w:eastAsia="宋体" w:cs="宋体"/>
                <w:bCs/>
                <w:color w:val="auto"/>
                <w:kern w:val="0"/>
                <w:sz w:val="24"/>
                <w:szCs w:val="24"/>
                <w:lang w:val="en-GB"/>
              </w:rPr>
            </w:pPr>
            <w:r>
              <w:rPr>
                <w:rFonts w:hint="eastAsia" w:ascii="宋体" w:hAnsi="宋体" w:eastAsia="宋体" w:cs="宋体"/>
                <w:color w:val="auto"/>
                <w:sz w:val="24"/>
                <w:szCs w:val="24"/>
              </w:rPr>
              <w:t>拟派项目经理近年承建过类似工程者每项得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分，最多得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分(以中标通知书和合同协议书或（合同协议书和竣工验收证明材料）原件扫描件（或图片）为准)；若上述资料不显示项目经理姓名，还须同时提供相关证明文件)，与企业业绩可同时计算；否则不得分。</w:t>
            </w:r>
          </w:p>
        </w:tc>
        <w:tc>
          <w:tcPr>
            <w:tcW w:w="899" w:type="dxa"/>
            <w:vAlign w:val="center"/>
          </w:tcPr>
          <w:p w14:paraId="39FCAF20">
            <w:pPr>
              <w:spacing w:line="360" w:lineRule="auto"/>
              <w:contextualSpacing/>
              <w:jc w:val="center"/>
              <w:rPr>
                <w:rFonts w:ascii="宋体" w:hAnsi="宋体"/>
                <w:color w:val="auto"/>
                <w:sz w:val="24"/>
                <w:szCs w:val="24"/>
              </w:rPr>
            </w:pPr>
            <w:r>
              <w:rPr>
                <w:rFonts w:hint="eastAsia" w:ascii="宋体" w:hAnsi="宋体"/>
                <w:color w:val="auto"/>
                <w:sz w:val="24"/>
                <w:szCs w:val="24"/>
                <w:lang w:val="en-US" w:eastAsia="zh-CN"/>
              </w:rPr>
              <w:t>4</w:t>
            </w:r>
            <w:r>
              <w:rPr>
                <w:rFonts w:hint="eastAsia" w:ascii="宋体" w:hAnsi="宋体"/>
                <w:color w:val="auto"/>
                <w:sz w:val="24"/>
                <w:szCs w:val="24"/>
              </w:rPr>
              <w:t>分</w:t>
            </w:r>
          </w:p>
        </w:tc>
      </w:tr>
      <w:tr w14:paraId="0C457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62" w:type="dxa"/>
            <w:tcBorders>
              <w:left w:val="single" w:color="auto" w:sz="4" w:space="0"/>
              <w:bottom w:val="single" w:color="auto" w:sz="4" w:space="0"/>
              <w:right w:val="single" w:color="auto" w:sz="4" w:space="0"/>
            </w:tcBorders>
            <w:vAlign w:val="center"/>
          </w:tcPr>
          <w:p w14:paraId="663EBD48">
            <w:pPr>
              <w:spacing w:line="360" w:lineRule="auto"/>
              <w:contextualSpacing/>
              <w:jc w:val="center"/>
              <w:rPr>
                <w:rFonts w:ascii="宋体" w:hAnsi="宋体" w:cs="Cambria Math"/>
                <w:color w:val="auto"/>
                <w:sz w:val="24"/>
                <w:szCs w:val="24"/>
              </w:rPr>
            </w:pPr>
            <w:r>
              <w:rPr>
                <w:rFonts w:hint="eastAsia" w:ascii="宋体" w:hAnsi="宋体" w:eastAsia="宋体" w:cs="宋体"/>
                <w:color w:val="auto"/>
                <w:kern w:val="0"/>
                <w:sz w:val="24"/>
                <w:szCs w:val="24"/>
                <w:highlight w:val="none"/>
                <w:shd w:val="clear" w:color="auto" w:fill="FFFFFF"/>
              </w:rPr>
              <w:t>履职尽责承诺</w:t>
            </w:r>
          </w:p>
        </w:tc>
        <w:tc>
          <w:tcPr>
            <w:tcW w:w="6435" w:type="dxa"/>
            <w:tcBorders>
              <w:top w:val="single" w:color="auto" w:sz="4" w:space="0"/>
              <w:left w:val="single" w:color="auto" w:sz="4" w:space="0"/>
              <w:bottom w:val="single" w:color="auto" w:sz="4" w:space="0"/>
              <w:right w:val="single" w:color="auto" w:sz="4" w:space="0"/>
            </w:tcBorders>
            <w:vAlign w:val="center"/>
          </w:tcPr>
          <w:p w14:paraId="4C11798F">
            <w:pPr>
              <w:keepNext w:val="0"/>
              <w:keepLines w:val="0"/>
              <w:pageBreakBefore w:val="0"/>
              <w:widowControl/>
              <w:suppressLineNumbers w:val="0"/>
              <w:wordWrap/>
              <w:overflowPunct/>
              <w:topLinePunct w:val="0"/>
              <w:bidi w:val="0"/>
              <w:adjustRightInd w:val="0"/>
              <w:snapToGrid w:val="0"/>
              <w:spacing w:line="400" w:lineRule="exact"/>
              <w:ind w:left="0" w:right="0"/>
              <w:jc w:val="left"/>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履职尽责承诺：根据供应商在响应文件中提供的履职尽责承 诺进行赋分：</w:t>
            </w:r>
          </w:p>
          <w:p w14:paraId="4A7BFC3F">
            <w:pPr>
              <w:keepNext w:val="0"/>
              <w:keepLines w:val="0"/>
              <w:pageBreakBefore w:val="0"/>
              <w:widowControl/>
              <w:suppressLineNumbers w:val="0"/>
              <w:wordWrap/>
              <w:overflowPunct/>
              <w:topLinePunct w:val="0"/>
              <w:bidi w:val="0"/>
              <w:adjustRightInd w:val="0"/>
              <w:snapToGrid w:val="0"/>
              <w:spacing w:line="400" w:lineRule="exact"/>
              <w:ind w:left="0" w:right="0"/>
              <w:jc w:val="left"/>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（1）具有全面、详实、可行、合法有效的技术保障措施承诺，其中包括各关键岗位人员的在岗、更换等履职尽责承诺，并提供供应商履约保证的得 4分；</w:t>
            </w:r>
          </w:p>
          <w:p w14:paraId="3A920BA1">
            <w:pPr>
              <w:keepNext w:val="0"/>
              <w:keepLines w:val="0"/>
              <w:pageBreakBefore w:val="0"/>
              <w:widowControl/>
              <w:numPr>
                <w:ilvl w:val="0"/>
                <w:numId w:val="0"/>
              </w:numPr>
              <w:suppressLineNumbers w:val="0"/>
              <w:wordWrap/>
              <w:overflowPunct/>
              <w:topLinePunct w:val="0"/>
              <w:bidi w:val="0"/>
              <w:adjustRightInd w:val="0"/>
              <w:snapToGrid w:val="0"/>
              <w:spacing w:line="400" w:lineRule="exact"/>
              <w:ind w:left="0" w:right="0"/>
              <w:jc w:val="left"/>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（2）具有可行、合法有效的技术保障措施承诺，其中包括各关键岗位人员的在岗、更换等履职尽责承诺，并提供供应商履约保证的得2分；</w:t>
            </w:r>
          </w:p>
          <w:p w14:paraId="101248E4">
            <w:pPr>
              <w:keepNext w:val="0"/>
              <w:keepLines w:val="0"/>
              <w:pageBreakBefore w:val="0"/>
              <w:widowControl/>
              <w:numPr>
                <w:ilvl w:val="0"/>
                <w:numId w:val="0"/>
              </w:numPr>
              <w:suppressLineNumbers w:val="0"/>
              <w:wordWrap/>
              <w:overflowPunct/>
              <w:topLinePunct w:val="0"/>
              <w:bidi w:val="0"/>
              <w:adjustRightInd w:val="0"/>
              <w:snapToGrid w:val="0"/>
              <w:spacing w:line="400" w:lineRule="exact"/>
              <w:ind w:left="0" w:right="0"/>
              <w:jc w:val="left"/>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（3）履职尽责承诺偏离项目实际情况，可行性低的得 1 分。</w:t>
            </w:r>
          </w:p>
          <w:p w14:paraId="15BC4B3C">
            <w:pPr>
              <w:spacing w:line="360" w:lineRule="auto"/>
              <w:contextualSpacing/>
              <w:jc w:val="left"/>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shd w:val="clear" w:color="auto" w:fill="FFFFFF"/>
                <w:lang w:val="en-US" w:eastAsia="zh-CN" w:bidi="ar-SA"/>
              </w:rPr>
              <w:t>无履职尽责承诺的不得分，本项最高得4分。</w:t>
            </w:r>
          </w:p>
        </w:tc>
        <w:tc>
          <w:tcPr>
            <w:tcW w:w="899" w:type="dxa"/>
            <w:vAlign w:val="center"/>
          </w:tcPr>
          <w:p w14:paraId="65ED72E0">
            <w:pPr>
              <w:spacing w:line="360" w:lineRule="auto"/>
              <w:contextualSpacing/>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4</w:t>
            </w:r>
            <w:r>
              <w:rPr>
                <w:rFonts w:hint="eastAsia" w:ascii="宋体" w:hAnsi="宋体"/>
                <w:color w:val="auto"/>
                <w:sz w:val="24"/>
                <w:szCs w:val="24"/>
              </w:rPr>
              <w:t>分</w:t>
            </w:r>
          </w:p>
        </w:tc>
      </w:tr>
      <w:tr w14:paraId="18341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096" w:type="dxa"/>
            <w:gridSpan w:val="3"/>
            <w:vAlign w:val="center"/>
          </w:tcPr>
          <w:p w14:paraId="4C5E3D7D">
            <w:pPr>
              <w:spacing w:line="360" w:lineRule="auto"/>
              <w:jc w:val="center"/>
              <w:rPr>
                <w:rFonts w:ascii="宋体" w:hAnsi="宋体" w:cs="宋体"/>
                <w:b/>
                <w:color w:val="auto"/>
                <w:sz w:val="24"/>
                <w:szCs w:val="24"/>
              </w:rPr>
            </w:pPr>
            <w:r>
              <w:rPr>
                <w:rFonts w:hint="eastAsia" w:ascii="宋体" w:hAnsi="宋体" w:cs="宋体"/>
                <w:b/>
                <w:color w:val="auto"/>
                <w:sz w:val="24"/>
                <w:szCs w:val="24"/>
              </w:rPr>
              <w:t>技术部分（满分</w:t>
            </w:r>
            <w:r>
              <w:rPr>
                <w:rFonts w:hint="eastAsia" w:ascii="宋体" w:hAnsi="宋体" w:cs="宋体"/>
                <w:b/>
                <w:color w:val="auto"/>
                <w:sz w:val="24"/>
                <w:szCs w:val="24"/>
                <w:lang w:val="en-US" w:eastAsia="zh-CN"/>
              </w:rPr>
              <w:t>4</w:t>
            </w:r>
            <w:r>
              <w:rPr>
                <w:rFonts w:hint="eastAsia" w:ascii="宋体" w:hAnsi="宋体"/>
                <w:b/>
                <w:color w:val="auto"/>
                <w:sz w:val="24"/>
                <w:szCs w:val="24"/>
              </w:rPr>
              <w:t>0</w:t>
            </w:r>
            <w:r>
              <w:rPr>
                <w:rFonts w:hint="eastAsia" w:ascii="宋体" w:hAnsi="宋体" w:cs="宋体"/>
                <w:b/>
                <w:color w:val="auto"/>
                <w:sz w:val="24"/>
                <w:szCs w:val="24"/>
              </w:rPr>
              <w:t>分）</w:t>
            </w:r>
          </w:p>
        </w:tc>
      </w:tr>
      <w:tr w14:paraId="7FB1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14:paraId="127C1104">
            <w:pPr>
              <w:spacing w:line="360" w:lineRule="auto"/>
              <w:jc w:val="center"/>
              <w:rPr>
                <w:rFonts w:ascii="宋体" w:hAnsi="宋体" w:cs="宋体"/>
                <w:b/>
                <w:color w:val="auto"/>
                <w:sz w:val="24"/>
                <w:szCs w:val="24"/>
              </w:rPr>
            </w:pPr>
            <w:r>
              <w:rPr>
                <w:rFonts w:hint="eastAsia" w:ascii="宋体" w:hAnsi="宋体" w:cs="宋体"/>
                <w:b/>
                <w:color w:val="auto"/>
                <w:sz w:val="24"/>
                <w:szCs w:val="24"/>
              </w:rPr>
              <w:t>评分因素</w:t>
            </w:r>
          </w:p>
        </w:tc>
        <w:tc>
          <w:tcPr>
            <w:tcW w:w="6435" w:type="dxa"/>
            <w:vAlign w:val="center"/>
          </w:tcPr>
          <w:p w14:paraId="11351158">
            <w:pPr>
              <w:spacing w:line="360" w:lineRule="auto"/>
              <w:jc w:val="center"/>
              <w:rPr>
                <w:rFonts w:ascii="宋体" w:hAnsi="宋体" w:cs="宋体"/>
                <w:b/>
                <w:color w:val="auto"/>
                <w:sz w:val="24"/>
                <w:szCs w:val="24"/>
              </w:rPr>
            </w:pPr>
            <w:r>
              <w:rPr>
                <w:rFonts w:hint="eastAsia" w:ascii="宋体" w:hAnsi="宋体" w:cs="宋体"/>
                <w:b/>
                <w:color w:val="auto"/>
                <w:sz w:val="24"/>
                <w:szCs w:val="24"/>
              </w:rPr>
              <w:t>评标标准</w:t>
            </w:r>
          </w:p>
        </w:tc>
        <w:tc>
          <w:tcPr>
            <w:tcW w:w="899" w:type="dxa"/>
            <w:vAlign w:val="center"/>
          </w:tcPr>
          <w:p w14:paraId="2D132BDB">
            <w:pPr>
              <w:spacing w:line="360" w:lineRule="auto"/>
              <w:jc w:val="center"/>
              <w:rPr>
                <w:rFonts w:ascii="宋体" w:hAnsi="宋体" w:cs="宋体"/>
                <w:b/>
                <w:color w:val="auto"/>
                <w:sz w:val="24"/>
                <w:szCs w:val="24"/>
              </w:rPr>
            </w:pPr>
            <w:r>
              <w:rPr>
                <w:rFonts w:hint="eastAsia" w:ascii="宋体" w:hAnsi="宋体" w:cs="宋体"/>
                <w:b/>
                <w:color w:val="auto"/>
                <w:sz w:val="24"/>
                <w:szCs w:val="24"/>
              </w:rPr>
              <w:t>分值</w:t>
            </w:r>
          </w:p>
        </w:tc>
      </w:tr>
      <w:tr w14:paraId="189C9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14:paraId="0654DF6A">
            <w:pPr>
              <w:spacing w:line="500" w:lineRule="exact"/>
              <w:jc w:val="center"/>
              <w:rPr>
                <w:rFonts w:ascii="宋体" w:hAnsi="宋体" w:cs="宋体"/>
                <w:color w:val="auto"/>
                <w:sz w:val="24"/>
                <w:szCs w:val="24"/>
              </w:rPr>
            </w:pPr>
            <w:r>
              <w:rPr>
                <w:rFonts w:hint="eastAsia" w:hAnsi="宋体" w:cs="宋体"/>
                <w:bCs/>
                <w:color w:val="auto"/>
                <w:sz w:val="24"/>
                <w:szCs w:val="24"/>
              </w:rPr>
              <w:t>施工方案与技术措施</w:t>
            </w:r>
          </w:p>
        </w:tc>
        <w:tc>
          <w:tcPr>
            <w:tcW w:w="6435" w:type="dxa"/>
            <w:vAlign w:val="center"/>
          </w:tcPr>
          <w:p w14:paraId="4D69B00D">
            <w:pPr>
              <w:spacing w:line="360" w:lineRule="auto"/>
              <w:rPr>
                <w:rFonts w:ascii="宋体" w:hAnsi="宋体" w:cs="宋体"/>
                <w:color w:val="auto"/>
                <w:sz w:val="24"/>
                <w:szCs w:val="24"/>
                <w:highlight w:val="yellow"/>
              </w:rPr>
            </w:pPr>
            <w:r>
              <w:rPr>
                <w:rFonts w:hint="eastAsia" w:ascii="宋体" w:hAnsi="宋体" w:cs="宋体"/>
                <w:color w:val="auto"/>
                <w:sz w:val="24"/>
              </w:rPr>
              <w:t>有施工方案（含工程特点、施工重点与难点及绿色施工）及技术措施。</w:t>
            </w:r>
            <w:r>
              <w:rPr>
                <w:rFonts w:hint="eastAsia" w:ascii="宋体" w:hAnsi="宋体"/>
                <w:color w:val="auto"/>
                <w:sz w:val="24"/>
                <w:szCs w:val="24"/>
              </w:rPr>
              <w:t>内容详实可行的得</w:t>
            </w:r>
            <w:r>
              <w:rPr>
                <w:rFonts w:hint="eastAsia" w:ascii="宋体" w:hAnsi="宋体"/>
                <w:color w:val="auto"/>
                <w:sz w:val="24"/>
                <w:szCs w:val="24"/>
                <w:lang w:val="en-US" w:eastAsia="zh-CN"/>
              </w:rPr>
              <w:t>5</w:t>
            </w:r>
            <w:r>
              <w:rPr>
                <w:rFonts w:hint="eastAsia" w:ascii="宋体" w:hAnsi="宋体"/>
                <w:color w:val="auto"/>
                <w:sz w:val="24"/>
                <w:szCs w:val="24"/>
              </w:rPr>
              <w:t>分，内容基本完整、不缺项但可行性一般的得</w:t>
            </w:r>
            <w:r>
              <w:rPr>
                <w:rFonts w:hint="eastAsia" w:ascii="宋体" w:hAnsi="宋体"/>
                <w:color w:val="auto"/>
                <w:sz w:val="24"/>
                <w:szCs w:val="24"/>
                <w:lang w:val="en-US" w:eastAsia="zh-CN"/>
              </w:rPr>
              <w:t>3</w:t>
            </w:r>
            <w:r>
              <w:rPr>
                <w:rFonts w:hint="eastAsia" w:ascii="宋体" w:hAnsi="宋体"/>
                <w:color w:val="auto"/>
                <w:sz w:val="24"/>
                <w:szCs w:val="24"/>
              </w:rPr>
              <w:t>分，</w:t>
            </w:r>
            <w:r>
              <w:rPr>
                <w:rFonts w:hint="eastAsia" w:hAnsi="宋体" w:cs="宋体"/>
                <w:bCs/>
                <w:color w:val="auto"/>
                <w:sz w:val="24"/>
                <w:szCs w:val="24"/>
              </w:rPr>
              <w:t>措施有明显</w:t>
            </w:r>
            <w:r>
              <w:rPr>
                <w:rFonts w:hint="eastAsia" w:ascii="宋体" w:hAnsi="宋体"/>
                <w:color w:val="auto"/>
                <w:sz w:val="24"/>
                <w:szCs w:val="24"/>
              </w:rPr>
              <w:t>缺项但有简单描述的得1分；否则不得分。</w:t>
            </w:r>
          </w:p>
        </w:tc>
        <w:tc>
          <w:tcPr>
            <w:tcW w:w="899" w:type="dxa"/>
            <w:vAlign w:val="center"/>
          </w:tcPr>
          <w:p w14:paraId="765AB5FB">
            <w:pPr>
              <w:spacing w:line="360" w:lineRule="auto"/>
              <w:jc w:val="center"/>
              <w:rPr>
                <w:rFonts w:ascii="宋体" w:hAnsi="宋体" w:cs="宋体"/>
                <w:color w:val="auto"/>
                <w:sz w:val="24"/>
                <w:szCs w:val="24"/>
              </w:rPr>
            </w:pPr>
            <w:r>
              <w:rPr>
                <w:rFonts w:hint="eastAsia" w:ascii="宋体" w:hAnsi="宋体"/>
                <w:color w:val="auto"/>
                <w:sz w:val="24"/>
                <w:szCs w:val="24"/>
                <w:lang w:val="en-US" w:eastAsia="zh-CN"/>
              </w:rPr>
              <w:t>5</w:t>
            </w:r>
            <w:r>
              <w:rPr>
                <w:rFonts w:hint="eastAsia" w:ascii="宋体" w:hAnsi="宋体"/>
                <w:color w:val="auto"/>
                <w:sz w:val="24"/>
                <w:szCs w:val="24"/>
              </w:rPr>
              <w:t>分</w:t>
            </w:r>
          </w:p>
        </w:tc>
      </w:tr>
      <w:tr w14:paraId="47D0C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1762" w:type="dxa"/>
            <w:vAlign w:val="center"/>
          </w:tcPr>
          <w:p w14:paraId="0853AD12">
            <w:pPr>
              <w:spacing w:line="500" w:lineRule="exact"/>
              <w:jc w:val="center"/>
              <w:rPr>
                <w:rFonts w:ascii="宋体" w:hAnsi="宋体" w:cs="宋体"/>
                <w:bCs/>
                <w:color w:val="auto"/>
                <w:sz w:val="24"/>
              </w:rPr>
            </w:pPr>
            <w:r>
              <w:rPr>
                <w:rFonts w:hint="eastAsia" w:hAnsi="宋体" w:cs="宋体"/>
                <w:bCs/>
                <w:color w:val="auto"/>
                <w:sz w:val="24"/>
                <w:szCs w:val="24"/>
              </w:rPr>
              <w:t>质量管理体系与措施</w:t>
            </w:r>
          </w:p>
        </w:tc>
        <w:tc>
          <w:tcPr>
            <w:tcW w:w="6435" w:type="dxa"/>
            <w:vAlign w:val="center"/>
          </w:tcPr>
          <w:p w14:paraId="76F699AC">
            <w:pPr>
              <w:spacing w:line="360" w:lineRule="auto"/>
              <w:rPr>
                <w:rFonts w:ascii="宋体" w:hAnsi="宋体" w:cs="宋体"/>
                <w:color w:val="auto"/>
                <w:sz w:val="24"/>
              </w:rPr>
            </w:pPr>
            <w:r>
              <w:rPr>
                <w:rFonts w:hint="eastAsia" w:ascii="宋体" w:hAnsi="宋体" w:cs="宋体"/>
                <w:color w:val="auto"/>
                <w:sz w:val="24"/>
              </w:rPr>
              <w:t>质量保证措施：有质量管理目标、质量管理体系和职责，质量控制体系及措施。</w:t>
            </w:r>
            <w:r>
              <w:rPr>
                <w:rFonts w:hint="eastAsia" w:ascii="宋体" w:hAnsi="宋体"/>
                <w:color w:val="auto"/>
                <w:sz w:val="24"/>
                <w:szCs w:val="24"/>
              </w:rPr>
              <w:t>内容详实可行的得</w:t>
            </w:r>
            <w:r>
              <w:rPr>
                <w:rFonts w:hint="eastAsia" w:ascii="宋体" w:hAnsi="宋体"/>
                <w:color w:val="auto"/>
                <w:sz w:val="24"/>
                <w:szCs w:val="24"/>
                <w:lang w:val="en-US" w:eastAsia="zh-CN"/>
              </w:rPr>
              <w:t>5</w:t>
            </w:r>
            <w:r>
              <w:rPr>
                <w:rFonts w:hint="eastAsia" w:ascii="宋体" w:hAnsi="宋体"/>
                <w:color w:val="auto"/>
                <w:sz w:val="24"/>
                <w:szCs w:val="24"/>
              </w:rPr>
              <w:t>分，内容基本完整、不缺项但可行性一般的得</w:t>
            </w:r>
            <w:r>
              <w:rPr>
                <w:rFonts w:hint="eastAsia" w:ascii="宋体" w:hAnsi="宋体"/>
                <w:color w:val="auto"/>
                <w:sz w:val="24"/>
                <w:szCs w:val="24"/>
                <w:lang w:val="en-US" w:eastAsia="zh-CN"/>
              </w:rPr>
              <w:t>3</w:t>
            </w:r>
            <w:r>
              <w:rPr>
                <w:rFonts w:hint="eastAsia" w:ascii="宋体" w:hAnsi="宋体"/>
                <w:color w:val="auto"/>
                <w:sz w:val="24"/>
                <w:szCs w:val="24"/>
              </w:rPr>
              <w:t>分，</w:t>
            </w:r>
            <w:r>
              <w:rPr>
                <w:rFonts w:hint="eastAsia" w:hAnsi="宋体" w:cs="宋体"/>
                <w:bCs/>
                <w:color w:val="auto"/>
                <w:sz w:val="24"/>
                <w:szCs w:val="24"/>
              </w:rPr>
              <w:t>措施有明显</w:t>
            </w:r>
            <w:r>
              <w:rPr>
                <w:rFonts w:hint="eastAsia" w:ascii="宋体" w:hAnsi="宋体"/>
                <w:color w:val="auto"/>
                <w:sz w:val="24"/>
                <w:szCs w:val="24"/>
              </w:rPr>
              <w:t>缺项但有简单描述的得1分；否则不得分。</w:t>
            </w:r>
          </w:p>
        </w:tc>
        <w:tc>
          <w:tcPr>
            <w:tcW w:w="899" w:type="dxa"/>
            <w:vAlign w:val="center"/>
          </w:tcPr>
          <w:p w14:paraId="6498E456">
            <w:pPr>
              <w:spacing w:line="360" w:lineRule="auto"/>
              <w:jc w:val="center"/>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分</w:t>
            </w:r>
          </w:p>
        </w:tc>
      </w:tr>
      <w:tr w14:paraId="2ABBB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14:paraId="041720A4">
            <w:pPr>
              <w:spacing w:line="500" w:lineRule="exact"/>
              <w:jc w:val="center"/>
              <w:rPr>
                <w:rFonts w:ascii="宋体" w:hAnsi="宋体" w:cs="宋体"/>
                <w:color w:val="auto"/>
                <w:sz w:val="24"/>
                <w:szCs w:val="24"/>
              </w:rPr>
            </w:pPr>
            <w:r>
              <w:rPr>
                <w:rFonts w:hint="eastAsia" w:hAnsi="宋体" w:cs="宋体"/>
                <w:bCs/>
                <w:color w:val="auto"/>
                <w:sz w:val="24"/>
                <w:szCs w:val="24"/>
              </w:rPr>
              <w:t>安全管理体系与措施</w:t>
            </w:r>
          </w:p>
        </w:tc>
        <w:tc>
          <w:tcPr>
            <w:tcW w:w="6435" w:type="dxa"/>
            <w:vAlign w:val="center"/>
          </w:tcPr>
          <w:p w14:paraId="10FF14C4">
            <w:pPr>
              <w:spacing w:line="360" w:lineRule="auto"/>
              <w:rPr>
                <w:rFonts w:ascii="宋体" w:hAnsi="宋体" w:cs="宋体"/>
                <w:color w:val="auto"/>
                <w:sz w:val="24"/>
                <w:szCs w:val="24"/>
              </w:rPr>
            </w:pPr>
            <w:r>
              <w:rPr>
                <w:rFonts w:hint="eastAsia" w:ascii="宋体" w:hAnsi="宋体" w:cs="宋体"/>
                <w:color w:val="auto"/>
                <w:sz w:val="24"/>
                <w:szCs w:val="24"/>
              </w:rPr>
              <w:t>安全保证措施：有安全生产管理目标，有安全生产管理体系、责任体系，有安全生产管理制度和措施。</w:t>
            </w:r>
            <w:r>
              <w:rPr>
                <w:rFonts w:hint="eastAsia" w:ascii="宋体" w:hAnsi="宋体"/>
                <w:color w:val="auto"/>
                <w:sz w:val="24"/>
                <w:szCs w:val="24"/>
              </w:rPr>
              <w:t>内容详实可行的得</w:t>
            </w:r>
            <w:r>
              <w:rPr>
                <w:rFonts w:hint="eastAsia" w:ascii="宋体" w:hAnsi="宋体"/>
                <w:color w:val="auto"/>
                <w:sz w:val="24"/>
                <w:szCs w:val="24"/>
                <w:lang w:val="en-US" w:eastAsia="zh-CN"/>
              </w:rPr>
              <w:t>5</w:t>
            </w:r>
            <w:r>
              <w:rPr>
                <w:rFonts w:hint="eastAsia" w:ascii="宋体" w:hAnsi="宋体"/>
                <w:color w:val="auto"/>
                <w:sz w:val="24"/>
                <w:szCs w:val="24"/>
              </w:rPr>
              <w:t>分，内容基本完整、不缺项但可行性一般的得</w:t>
            </w:r>
            <w:r>
              <w:rPr>
                <w:rFonts w:hint="eastAsia" w:ascii="宋体" w:hAnsi="宋体"/>
                <w:color w:val="auto"/>
                <w:sz w:val="24"/>
                <w:szCs w:val="24"/>
                <w:lang w:val="en-US" w:eastAsia="zh-CN"/>
              </w:rPr>
              <w:t>3</w:t>
            </w:r>
            <w:r>
              <w:rPr>
                <w:rFonts w:hint="eastAsia" w:ascii="宋体" w:hAnsi="宋体"/>
                <w:color w:val="auto"/>
                <w:sz w:val="24"/>
                <w:szCs w:val="24"/>
              </w:rPr>
              <w:t>分，</w:t>
            </w:r>
            <w:r>
              <w:rPr>
                <w:rFonts w:hint="eastAsia" w:hAnsi="宋体" w:cs="宋体"/>
                <w:bCs/>
                <w:color w:val="auto"/>
                <w:sz w:val="24"/>
                <w:szCs w:val="24"/>
              </w:rPr>
              <w:t>措施有明显</w:t>
            </w:r>
            <w:r>
              <w:rPr>
                <w:rFonts w:hint="eastAsia" w:ascii="宋体" w:hAnsi="宋体"/>
                <w:color w:val="auto"/>
                <w:sz w:val="24"/>
                <w:szCs w:val="24"/>
              </w:rPr>
              <w:t>缺项但有简单描述的得1分；否则不得分。</w:t>
            </w:r>
          </w:p>
        </w:tc>
        <w:tc>
          <w:tcPr>
            <w:tcW w:w="899" w:type="dxa"/>
            <w:vAlign w:val="center"/>
          </w:tcPr>
          <w:p w14:paraId="7BC9F34E">
            <w:pPr>
              <w:spacing w:line="360" w:lineRule="auto"/>
              <w:jc w:val="center"/>
              <w:rPr>
                <w:rFonts w:ascii="宋体" w:hAnsi="宋体" w:cs="宋体"/>
                <w:color w:val="auto"/>
                <w:sz w:val="24"/>
                <w:szCs w:val="24"/>
              </w:rPr>
            </w:pPr>
            <w:r>
              <w:rPr>
                <w:rFonts w:hint="eastAsia" w:ascii="宋体" w:hAnsi="宋体"/>
                <w:color w:val="auto"/>
                <w:sz w:val="24"/>
                <w:szCs w:val="24"/>
                <w:lang w:val="en-US" w:eastAsia="zh-CN"/>
              </w:rPr>
              <w:t>5</w:t>
            </w:r>
            <w:r>
              <w:rPr>
                <w:rFonts w:hint="eastAsia" w:ascii="宋体" w:hAnsi="宋体"/>
                <w:color w:val="auto"/>
                <w:sz w:val="24"/>
                <w:szCs w:val="24"/>
              </w:rPr>
              <w:t>分</w:t>
            </w:r>
          </w:p>
        </w:tc>
      </w:tr>
      <w:tr w14:paraId="4D9B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14:paraId="33DA3061">
            <w:pPr>
              <w:spacing w:line="500" w:lineRule="exact"/>
              <w:jc w:val="center"/>
              <w:rPr>
                <w:rFonts w:hint="eastAsia" w:hAnsi="宋体" w:cs="宋体"/>
                <w:bCs/>
                <w:color w:val="auto"/>
                <w:sz w:val="24"/>
                <w:szCs w:val="24"/>
              </w:rPr>
            </w:pPr>
            <w:r>
              <w:rPr>
                <w:rFonts w:hint="eastAsia" w:ascii="宋体" w:hAnsi="宋体" w:eastAsia="宋体" w:cs="宋体"/>
                <w:color w:val="auto"/>
                <w:spacing w:val="-3"/>
                <w:sz w:val="24"/>
                <w:szCs w:val="24"/>
                <w:highlight w:val="none"/>
              </w:rPr>
              <w:t>文明施工管理体系</w:t>
            </w:r>
            <w:r>
              <w:rPr>
                <w:rFonts w:hint="eastAsia" w:ascii="宋体" w:hAnsi="宋体" w:eastAsia="宋体" w:cs="宋体"/>
                <w:color w:val="auto"/>
                <w:spacing w:val="-5"/>
                <w:sz w:val="24"/>
                <w:szCs w:val="24"/>
                <w:highlight w:val="none"/>
              </w:rPr>
              <w:t>与措施</w:t>
            </w:r>
          </w:p>
        </w:tc>
        <w:tc>
          <w:tcPr>
            <w:tcW w:w="6435" w:type="dxa"/>
            <w:vAlign w:val="center"/>
          </w:tcPr>
          <w:p w14:paraId="06EBB6DB">
            <w:pPr>
              <w:spacing w:line="360" w:lineRule="auto"/>
              <w:rPr>
                <w:rFonts w:hint="eastAsia" w:ascii="宋体" w:hAnsi="宋体" w:cs="宋体"/>
                <w:color w:val="auto"/>
                <w:sz w:val="24"/>
                <w:szCs w:val="24"/>
              </w:rPr>
            </w:pPr>
            <w:r>
              <w:rPr>
                <w:rFonts w:hint="eastAsia" w:ascii="宋体" w:hAnsi="宋体" w:eastAsia="宋体" w:cs="宋体"/>
                <w:color w:val="auto"/>
                <w:spacing w:val="-7"/>
                <w:sz w:val="24"/>
                <w:szCs w:val="24"/>
                <w:highlight w:val="none"/>
              </w:rPr>
              <w:t>创文明标准化工地目标明确，有针对项目实际情况，科学可行的创建计划和符合相关标准、规范、规程的创建保证措施和文明措施费用投入使用计划，现场施工区、生活区、办公区等设置科学规范，符合有关文明施工、健康卫生的规定。</w:t>
            </w:r>
            <w:r>
              <w:rPr>
                <w:rFonts w:hint="eastAsia" w:ascii="宋体" w:hAnsi="宋体" w:eastAsia="宋体" w:cs="宋体"/>
                <w:color w:val="auto"/>
                <w:spacing w:val="-1"/>
                <w:sz w:val="24"/>
                <w:szCs w:val="24"/>
                <w:highlight w:val="none"/>
              </w:rPr>
              <w:t>内</w:t>
            </w:r>
            <w:r>
              <w:rPr>
                <w:rFonts w:hint="eastAsia" w:ascii="宋体" w:hAnsi="宋体" w:eastAsia="宋体" w:cs="宋体"/>
                <w:color w:val="auto"/>
                <w:spacing w:val="-2"/>
                <w:sz w:val="24"/>
                <w:szCs w:val="24"/>
                <w:highlight w:val="none"/>
              </w:rPr>
              <w:t>容详实可行的得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1"/>
                <w:sz w:val="24"/>
                <w:szCs w:val="24"/>
                <w:highlight w:val="none"/>
              </w:rPr>
              <w:t>分，内容完整、不缺项但可行性一般的得</w:t>
            </w:r>
            <w:r>
              <w:rPr>
                <w:rFonts w:hint="eastAsia" w:ascii="宋体" w:hAnsi="宋体" w:eastAsia="宋体" w:cs="宋体"/>
                <w:color w:val="auto"/>
                <w:spacing w:val="-49"/>
                <w:sz w:val="24"/>
                <w:szCs w:val="24"/>
                <w:highlight w:val="none"/>
                <w:lang w:val="en-US" w:eastAsia="zh-CN"/>
              </w:rPr>
              <w:t>3</w:t>
            </w:r>
            <w:r>
              <w:rPr>
                <w:rFonts w:hint="eastAsia" w:ascii="宋体" w:hAnsi="宋体" w:eastAsia="宋体" w:cs="宋体"/>
                <w:color w:val="auto"/>
                <w:spacing w:val="-1"/>
                <w:sz w:val="24"/>
                <w:szCs w:val="24"/>
                <w:highlight w:val="none"/>
              </w:rPr>
              <w:t>分，措施</w:t>
            </w:r>
            <w:r>
              <w:rPr>
                <w:rFonts w:hint="eastAsia" w:ascii="宋体" w:hAnsi="宋体" w:eastAsia="宋体" w:cs="宋体"/>
                <w:color w:val="auto"/>
                <w:spacing w:val="-3"/>
                <w:sz w:val="24"/>
                <w:szCs w:val="24"/>
                <w:highlight w:val="none"/>
              </w:rPr>
              <w:t>有明显缺项但有简单描述的得</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3"/>
                <w:sz w:val="24"/>
                <w:szCs w:val="24"/>
                <w:highlight w:val="none"/>
              </w:rPr>
              <w:t>1</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3"/>
                <w:sz w:val="24"/>
                <w:szCs w:val="24"/>
                <w:highlight w:val="none"/>
              </w:rPr>
              <w:t>分；否则不得分。</w:t>
            </w:r>
          </w:p>
        </w:tc>
        <w:tc>
          <w:tcPr>
            <w:tcW w:w="899" w:type="dxa"/>
            <w:vAlign w:val="center"/>
          </w:tcPr>
          <w:p w14:paraId="5D5A1A04">
            <w:pPr>
              <w:spacing w:line="360" w:lineRule="auto"/>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5</w:t>
            </w:r>
            <w:r>
              <w:rPr>
                <w:rFonts w:hint="eastAsia" w:ascii="宋体" w:hAnsi="宋体"/>
                <w:color w:val="auto"/>
                <w:sz w:val="24"/>
                <w:szCs w:val="24"/>
              </w:rPr>
              <w:t>分</w:t>
            </w:r>
          </w:p>
        </w:tc>
      </w:tr>
      <w:tr w14:paraId="4984E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14:paraId="2675F762">
            <w:pPr>
              <w:spacing w:line="500" w:lineRule="exact"/>
              <w:jc w:val="center"/>
              <w:rPr>
                <w:rFonts w:ascii="宋体" w:hAnsi="宋体" w:cs="宋体"/>
                <w:color w:val="auto"/>
                <w:sz w:val="24"/>
                <w:szCs w:val="24"/>
              </w:rPr>
            </w:pPr>
            <w:r>
              <w:rPr>
                <w:rFonts w:hint="eastAsia" w:hAnsi="宋体" w:cs="宋体"/>
                <w:bCs/>
                <w:color w:val="auto"/>
                <w:sz w:val="24"/>
                <w:szCs w:val="24"/>
              </w:rPr>
              <w:t>工程进度计划与措施</w:t>
            </w:r>
          </w:p>
        </w:tc>
        <w:tc>
          <w:tcPr>
            <w:tcW w:w="6435" w:type="dxa"/>
            <w:vAlign w:val="center"/>
          </w:tcPr>
          <w:p w14:paraId="451B6241">
            <w:pPr>
              <w:spacing w:line="360" w:lineRule="auto"/>
              <w:rPr>
                <w:rFonts w:ascii="宋体" w:hAnsi="宋体" w:cs="宋体"/>
                <w:color w:val="auto"/>
                <w:sz w:val="24"/>
                <w:szCs w:val="24"/>
                <w:highlight w:val="yellow"/>
              </w:rPr>
            </w:pPr>
            <w:r>
              <w:rPr>
                <w:rFonts w:hint="eastAsia" w:ascii="宋体" w:hAnsi="宋体" w:cs="宋体"/>
                <w:color w:val="auto"/>
                <w:sz w:val="24"/>
                <w:szCs w:val="24"/>
              </w:rPr>
              <w:t>工期保证措施：有工期目标和工期保证体系，进度控制和管理措施，安全管理体系与措施。</w:t>
            </w:r>
            <w:r>
              <w:rPr>
                <w:rFonts w:hint="eastAsia" w:ascii="宋体" w:hAnsi="宋体"/>
                <w:color w:val="auto"/>
                <w:sz w:val="24"/>
                <w:szCs w:val="24"/>
              </w:rPr>
              <w:t>内容详实可行的得</w:t>
            </w:r>
            <w:r>
              <w:rPr>
                <w:rFonts w:hint="eastAsia" w:ascii="宋体" w:hAnsi="宋体"/>
                <w:color w:val="auto"/>
                <w:sz w:val="24"/>
                <w:szCs w:val="24"/>
                <w:lang w:val="en-US" w:eastAsia="zh-CN"/>
              </w:rPr>
              <w:t>5</w:t>
            </w:r>
            <w:r>
              <w:rPr>
                <w:rFonts w:hint="eastAsia" w:ascii="宋体" w:hAnsi="宋体"/>
                <w:color w:val="auto"/>
                <w:sz w:val="24"/>
                <w:szCs w:val="24"/>
              </w:rPr>
              <w:t>分，内容基本完整、不缺项但可行性一般的得</w:t>
            </w:r>
            <w:r>
              <w:rPr>
                <w:rFonts w:hint="eastAsia" w:ascii="宋体" w:hAnsi="宋体"/>
                <w:color w:val="auto"/>
                <w:sz w:val="24"/>
                <w:szCs w:val="24"/>
                <w:lang w:val="en-US" w:eastAsia="zh-CN"/>
              </w:rPr>
              <w:t>3</w:t>
            </w:r>
            <w:r>
              <w:rPr>
                <w:rFonts w:hint="eastAsia" w:ascii="宋体" w:hAnsi="宋体"/>
                <w:color w:val="auto"/>
                <w:sz w:val="24"/>
                <w:szCs w:val="24"/>
              </w:rPr>
              <w:t>分，</w:t>
            </w:r>
            <w:r>
              <w:rPr>
                <w:rFonts w:hint="eastAsia" w:hAnsi="宋体" w:cs="宋体"/>
                <w:bCs/>
                <w:color w:val="auto"/>
                <w:sz w:val="24"/>
                <w:szCs w:val="24"/>
              </w:rPr>
              <w:t>措施有明显</w:t>
            </w:r>
            <w:r>
              <w:rPr>
                <w:rFonts w:hint="eastAsia" w:ascii="宋体" w:hAnsi="宋体"/>
                <w:color w:val="auto"/>
                <w:sz w:val="24"/>
                <w:szCs w:val="24"/>
              </w:rPr>
              <w:t>缺项但有简单描述的得1分；否则不得分。</w:t>
            </w:r>
          </w:p>
        </w:tc>
        <w:tc>
          <w:tcPr>
            <w:tcW w:w="899" w:type="dxa"/>
            <w:vAlign w:val="center"/>
          </w:tcPr>
          <w:p w14:paraId="2BBD8EE2">
            <w:pPr>
              <w:spacing w:line="360" w:lineRule="auto"/>
              <w:jc w:val="center"/>
              <w:rPr>
                <w:rFonts w:ascii="宋体" w:hAnsi="宋体" w:cs="宋体"/>
                <w:color w:val="auto"/>
                <w:sz w:val="24"/>
                <w:szCs w:val="24"/>
              </w:rPr>
            </w:pPr>
            <w:r>
              <w:rPr>
                <w:rFonts w:hint="eastAsia" w:ascii="宋体" w:hAnsi="宋体"/>
                <w:color w:val="auto"/>
                <w:sz w:val="24"/>
                <w:szCs w:val="24"/>
                <w:lang w:val="en-US" w:eastAsia="zh-CN"/>
              </w:rPr>
              <w:t>5</w:t>
            </w:r>
            <w:r>
              <w:rPr>
                <w:rFonts w:hint="eastAsia" w:ascii="宋体" w:hAnsi="宋体"/>
                <w:color w:val="auto"/>
                <w:sz w:val="24"/>
                <w:szCs w:val="24"/>
              </w:rPr>
              <w:t>分</w:t>
            </w:r>
          </w:p>
        </w:tc>
      </w:tr>
      <w:tr w14:paraId="6FD9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14:paraId="5E19FD00">
            <w:pPr>
              <w:jc w:val="center"/>
              <w:rPr>
                <w:rFonts w:ascii="宋体" w:hAnsi="宋体" w:cs="宋体"/>
                <w:color w:val="auto"/>
                <w:sz w:val="24"/>
                <w:szCs w:val="24"/>
              </w:rPr>
            </w:pPr>
            <w:r>
              <w:rPr>
                <w:rFonts w:hint="eastAsia" w:hAnsi="宋体" w:cs="宋体"/>
                <w:bCs/>
                <w:color w:val="auto"/>
                <w:sz w:val="24"/>
                <w:szCs w:val="24"/>
              </w:rPr>
              <w:t>资源配备计划</w:t>
            </w:r>
          </w:p>
        </w:tc>
        <w:tc>
          <w:tcPr>
            <w:tcW w:w="6435" w:type="dxa"/>
            <w:vAlign w:val="center"/>
          </w:tcPr>
          <w:p w14:paraId="03E257B5">
            <w:pPr>
              <w:spacing w:line="360" w:lineRule="auto"/>
              <w:rPr>
                <w:rFonts w:ascii="宋体" w:hAnsi="宋体" w:cs="宋体"/>
                <w:color w:val="auto"/>
                <w:sz w:val="24"/>
                <w:szCs w:val="24"/>
              </w:rPr>
            </w:pPr>
            <w:r>
              <w:rPr>
                <w:rFonts w:hint="eastAsia" w:hAnsi="宋体" w:cs="宋体"/>
                <w:bCs/>
                <w:color w:val="auto"/>
                <w:sz w:val="24"/>
                <w:szCs w:val="24"/>
              </w:rPr>
              <w:t>资源配备计划主要包括：</w:t>
            </w:r>
            <w:r>
              <w:rPr>
                <w:rFonts w:hint="eastAsia" w:cs="宋体"/>
                <w:color w:val="auto"/>
                <w:sz w:val="24"/>
                <w:szCs w:val="24"/>
              </w:rPr>
              <w:t>设备配备计划、劳动力配备计划、其他施工生产资源类的配备计划、资金使用计划等内容。</w:t>
            </w:r>
            <w:r>
              <w:rPr>
                <w:rFonts w:hint="eastAsia" w:ascii="宋体" w:hAnsi="宋体"/>
                <w:color w:val="auto"/>
                <w:sz w:val="24"/>
                <w:szCs w:val="24"/>
              </w:rPr>
              <w:t>内容详实可行的得</w:t>
            </w:r>
            <w:r>
              <w:rPr>
                <w:rFonts w:hint="eastAsia" w:ascii="宋体" w:hAnsi="宋体"/>
                <w:color w:val="auto"/>
                <w:sz w:val="24"/>
                <w:szCs w:val="24"/>
                <w:lang w:val="en-US" w:eastAsia="zh-CN"/>
              </w:rPr>
              <w:t>5</w:t>
            </w:r>
            <w:r>
              <w:rPr>
                <w:rFonts w:hint="eastAsia" w:ascii="宋体" w:hAnsi="宋体"/>
                <w:color w:val="auto"/>
                <w:sz w:val="24"/>
                <w:szCs w:val="24"/>
              </w:rPr>
              <w:t>分，内容基本完整、不缺项但可行性一般的得</w:t>
            </w:r>
            <w:r>
              <w:rPr>
                <w:rFonts w:hint="eastAsia" w:ascii="宋体" w:hAnsi="宋体"/>
                <w:color w:val="auto"/>
                <w:sz w:val="24"/>
                <w:szCs w:val="24"/>
                <w:lang w:val="en-US" w:eastAsia="zh-CN"/>
              </w:rPr>
              <w:t>3</w:t>
            </w:r>
            <w:r>
              <w:rPr>
                <w:rFonts w:hint="eastAsia" w:ascii="宋体" w:hAnsi="宋体"/>
                <w:color w:val="auto"/>
                <w:sz w:val="24"/>
                <w:szCs w:val="24"/>
              </w:rPr>
              <w:t>分，</w:t>
            </w:r>
            <w:r>
              <w:rPr>
                <w:rFonts w:hint="eastAsia" w:hAnsi="宋体" w:cs="宋体"/>
                <w:bCs/>
                <w:color w:val="auto"/>
                <w:sz w:val="24"/>
                <w:szCs w:val="24"/>
              </w:rPr>
              <w:t>措施有明显</w:t>
            </w:r>
            <w:r>
              <w:rPr>
                <w:rFonts w:hint="eastAsia" w:ascii="宋体" w:hAnsi="宋体"/>
                <w:color w:val="auto"/>
                <w:sz w:val="24"/>
                <w:szCs w:val="24"/>
              </w:rPr>
              <w:t>缺项但有简单描述的得1分；否则不得分。</w:t>
            </w:r>
          </w:p>
        </w:tc>
        <w:tc>
          <w:tcPr>
            <w:tcW w:w="899" w:type="dxa"/>
            <w:vAlign w:val="center"/>
          </w:tcPr>
          <w:p w14:paraId="28A15952">
            <w:pPr>
              <w:spacing w:line="360" w:lineRule="auto"/>
              <w:jc w:val="center"/>
              <w:rPr>
                <w:rFonts w:ascii="宋体" w:hAnsi="宋体" w:cs="宋体"/>
                <w:color w:val="auto"/>
                <w:sz w:val="24"/>
                <w:szCs w:val="24"/>
              </w:rPr>
            </w:pPr>
            <w:r>
              <w:rPr>
                <w:rFonts w:hint="eastAsia" w:ascii="宋体" w:hAnsi="宋体"/>
                <w:color w:val="auto"/>
                <w:sz w:val="24"/>
                <w:szCs w:val="24"/>
                <w:lang w:val="en-US" w:eastAsia="zh-CN"/>
              </w:rPr>
              <w:t>5</w:t>
            </w:r>
            <w:r>
              <w:rPr>
                <w:rFonts w:hint="eastAsia" w:ascii="宋体" w:hAnsi="宋体"/>
                <w:color w:val="auto"/>
                <w:sz w:val="24"/>
                <w:szCs w:val="24"/>
              </w:rPr>
              <w:t>分</w:t>
            </w:r>
          </w:p>
        </w:tc>
      </w:tr>
      <w:tr w14:paraId="1BA0C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14:paraId="0402CBFC">
            <w:pPr>
              <w:jc w:val="center"/>
              <w:rPr>
                <w:rFonts w:ascii="宋体" w:hAnsi="宋体" w:cs="宋体"/>
                <w:color w:val="auto"/>
                <w:sz w:val="24"/>
                <w:szCs w:val="24"/>
              </w:rPr>
            </w:pPr>
            <w:r>
              <w:rPr>
                <w:rFonts w:hint="eastAsia" w:cs="宋体"/>
                <w:color w:val="auto"/>
                <w:sz w:val="24"/>
                <w:szCs w:val="24"/>
              </w:rPr>
              <w:t>环保管理体系与措施</w:t>
            </w:r>
          </w:p>
        </w:tc>
        <w:tc>
          <w:tcPr>
            <w:tcW w:w="6435" w:type="dxa"/>
            <w:vAlign w:val="center"/>
          </w:tcPr>
          <w:p w14:paraId="37CCCBB3">
            <w:pPr>
              <w:spacing w:line="360" w:lineRule="auto"/>
              <w:rPr>
                <w:rFonts w:ascii="宋体" w:hAnsi="宋体" w:cs="宋体"/>
                <w:color w:val="auto"/>
                <w:sz w:val="24"/>
                <w:szCs w:val="24"/>
                <w:highlight w:val="yellow"/>
              </w:rPr>
            </w:pPr>
            <w:r>
              <w:rPr>
                <w:rFonts w:hint="eastAsia" w:ascii="宋体" w:hAnsi="宋体" w:cs="宋体"/>
                <w:color w:val="auto"/>
                <w:sz w:val="24"/>
              </w:rPr>
              <w:t>环境保护体系和保证措施：有如防尘措施、防噪措施、危废物品处置、建筑垃圾处理。内容详实的得</w:t>
            </w:r>
            <w:r>
              <w:rPr>
                <w:rFonts w:hint="eastAsia" w:ascii="宋体" w:hAnsi="宋体" w:cs="宋体"/>
                <w:color w:val="auto"/>
                <w:sz w:val="24"/>
                <w:lang w:val="en-US" w:eastAsia="zh-CN"/>
              </w:rPr>
              <w:t>5</w:t>
            </w:r>
            <w:r>
              <w:rPr>
                <w:rFonts w:hint="eastAsia" w:ascii="宋体" w:hAnsi="宋体" w:cs="宋体"/>
                <w:color w:val="auto"/>
                <w:sz w:val="24"/>
              </w:rPr>
              <w:t>分，内容基本完整且不缺项的得</w:t>
            </w:r>
            <w:r>
              <w:rPr>
                <w:rFonts w:hint="eastAsia" w:ascii="宋体" w:hAnsi="宋体" w:cs="宋体"/>
                <w:color w:val="auto"/>
                <w:sz w:val="24"/>
                <w:lang w:val="en-US" w:eastAsia="zh-CN"/>
              </w:rPr>
              <w:t>3</w:t>
            </w:r>
            <w:r>
              <w:rPr>
                <w:rFonts w:hint="eastAsia" w:ascii="宋体" w:hAnsi="宋体" w:cs="宋体"/>
                <w:color w:val="auto"/>
                <w:sz w:val="24"/>
              </w:rPr>
              <w:t>分，不缺项且有简单描述的得1分；否则不得分。</w:t>
            </w:r>
          </w:p>
        </w:tc>
        <w:tc>
          <w:tcPr>
            <w:tcW w:w="899" w:type="dxa"/>
            <w:vAlign w:val="center"/>
          </w:tcPr>
          <w:p w14:paraId="34E3192B">
            <w:pPr>
              <w:spacing w:line="360" w:lineRule="auto"/>
              <w:jc w:val="center"/>
              <w:rPr>
                <w:rFonts w:ascii="宋体" w:hAnsi="宋体" w:cs="宋体"/>
                <w:color w:val="auto"/>
                <w:sz w:val="24"/>
                <w:szCs w:val="24"/>
              </w:rPr>
            </w:pPr>
            <w:r>
              <w:rPr>
                <w:rFonts w:hint="eastAsia" w:ascii="宋体" w:hAnsi="宋体"/>
                <w:color w:val="auto"/>
                <w:sz w:val="24"/>
                <w:szCs w:val="24"/>
                <w:lang w:val="en-US" w:eastAsia="zh-CN"/>
              </w:rPr>
              <w:t>5</w:t>
            </w:r>
            <w:r>
              <w:rPr>
                <w:rFonts w:hint="eastAsia" w:ascii="宋体" w:hAnsi="宋体"/>
                <w:color w:val="auto"/>
                <w:sz w:val="24"/>
                <w:szCs w:val="24"/>
              </w:rPr>
              <w:t>分</w:t>
            </w:r>
          </w:p>
        </w:tc>
      </w:tr>
      <w:tr w14:paraId="0D41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14:paraId="5AF32A60">
            <w:pPr>
              <w:spacing w:line="360" w:lineRule="auto"/>
              <w:contextualSpacing/>
              <w:jc w:val="center"/>
              <w:rPr>
                <w:rFonts w:cs="宋体"/>
                <w:color w:val="auto"/>
                <w:sz w:val="24"/>
                <w:szCs w:val="24"/>
              </w:rPr>
            </w:pPr>
            <w:r>
              <w:rPr>
                <w:rFonts w:hint="eastAsia" w:ascii="宋体" w:hAnsi="宋体" w:cs="宋体"/>
                <w:color w:val="auto"/>
                <w:sz w:val="24"/>
                <w:szCs w:val="24"/>
              </w:rPr>
              <w:t>服务承诺</w:t>
            </w:r>
          </w:p>
        </w:tc>
        <w:tc>
          <w:tcPr>
            <w:tcW w:w="6435" w:type="dxa"/>
            <w:vAlign w:val="center"/>
          </w:tcPr>
          <w:p w14:paraId="3D2B7091">
            <w:pPr>
              <w:numPr>
                <w:ilvl w:val="0"/>
                <w:numId w:val="0"/>
              </w:numPr>
              <w:adjustRightInd w:val="0"/>
              <w:spacing w:line="360" w:lineRule="auto"/>
              <w:jc w:val="left"/>
              <w:rPr>
                <w:rFonts w:ascii="宋体" w:hAnsi="宋体" w:cs="宋体"/>
                <w:color w:val="auto"/>
                <w:sz w:val="24"/>
              </w:rPr>
            </w:pPr>
            <w:r>
              <w:rPr>
                <w:rFonts w:hint="eastAsia" w:ascii="宋体" w:hAnsi="宋体"/>
                <w:color w:val="auto"/>
                <w:sz w:val="24"/>
                <w:szCs w:val="22"/>
              </w:rPr>
              <w:t>供应商针对本项目特点作出服务方案（质保期内外维修、保养服务方案）。内容详实可行的得</w:t>
            </w:r>
            <w:r>
              <w:rPr>
                <w:rFonts w:hint="eastAsia" w:ascii="宋体" w:hAnsi="宋体"/>
                <w:color w:val="auto"/>
                <w:sz w:val="24"/>
                <w:szCs w:val="22"/>
                <w:lang w:val="en-US" w:eastAsia="zh-CN"/>
              </w:rPr>
              <w:t>5</w:t>
            </w:r>
            <w:r>
              <w:rPr>
                <w:rFonts w:hint="eastAsia" w:ascii="宋体" w:hAnsi="宋体"/>
                <w:color w:val="auto"/>
                <w:sz w:val="24"/>
                <w:szCs w:val="22"/>
              </w:rPr>
              <w:t>分，内容基本完整且不缺项的得</w:t>
            </w:r>
            <w:r>
              <w:rPr>
                <w:rFonts w:hint="eastAsia" w:ascii="宋体" w:hAnsi="宋体"/>
                <w:color w:val="auto"/>
                <w:sz w:val="24"/>
                <w:szCs w:val="22"/>
                <w:lang w:val="en-US" w:eastAsia="zh-CN"/>
              </w:rPr>
              <w:t>3</w:t>
            </w:r>
            <w:r>
              <w:rPr>
                <w:rFonts w:hint="eastAsia" w:ascii="宋体" w:hAnsi="宋体"/>
                <w:color w:val="auto"/>
                <w:sz w:val="24"/>
                <w:szCs w:val="22"/>
              </w:rPr>
              <w:t>分，不缺项且有简单描述的得</w:t>
            </w:r>
            <w:r>
              <w:rPr>
                <w:rFonts w:hint="eastAsia" w:ascii="宋体" w:hAnsi="宋体"/>
                <w:color w:val="auto"/>
                <w:sz w:val="24"/>
                <w:szCs w:val="22"/>
                <w:lang w:val="en-US" w:eastAsia="zh-CN"/>
              </w:rPr>
              <w:t>1</w:t>
            </w:r>
            <w:r>
              <w:rPr>
                <w:rFonts w:hint="eastAsia" w:ascii="宋体" w:hAnsi="宋体"/>
                <w:color w:val="auto"/>
                <w:sz w:val="24"/>
                <w:szCs w:val="22"/>
              </w:rPr>
              <w:t>分；否则不得分。</w:t>
            </w:r>
          </w:p>
        </w:tc>
        <w:tc>
          <w:tcPr>
            <w:tcW w:w="899" w:type="dxa"/>
            <w:vAlign w:val="center"/>
          </w:tcPr>
          <w:p w14:paraId="538E3447">
            <w:pPr>
              <w:spacing w:line="360" w:lineRule="auto"/>
              <w:contextualSpacing/>
              <w:jc w:val="center"/>
              <w:rPr>
                <w:rFonts w:ascii="宋体" w:hAnsi="宋体"/>
                <w:color w:val="auto"/>
                <w:sz w:val="24"/>
                <w:szCs w:val="24"/>
              </w:rPr>
            </w:pPr>
            <w:r>
              <w:rPr>
                <w:rFonts w:hint="eastAsia" w:ascii="宋体" w:hAnsi="宋体"/>
                <w:color w:val="auto"/>
                <w:sz w:val="24"/>
                <w:szCs w:val="24"/>
                <w:lang w:val="en-US" w:eastAsia="zh-CN"/>
              </w:rPr>
              <w:t>5</w:t>
            </w:r>
            <w:r>
              <w:rPr>
                <w:rFonts w:hint="eastAsia" w:ascii="宋体" w:hAnsi="宋体"/>
                <w:color w:val="auto"/>
                <w:sz w:val="24"/>
                <w:szCs w:val="24"/>
              </w:rPr>
              <w:t>分</w:t>
            </w:r>
          </w:p>
        </w:tc>
      </w:tr>
    </w:tbl>
    <w:p w14:paraId="3BAE8816">
      <w:pPr>
        <w:keepNext w:val="0"/>
        <w:keepLines w:val="0"/>
        <w:pageBreakBefore w:val="0"/>
        <w:widowControl w:val="0"/>
        <w:kinsoku/>
        <w:overflowPunct/>
        <w:topLinePunct w:val="0"/>
        <w:bidi w:val="0"/>
        <w:adjustRightInd/>
        <w:snapToGrid/>
        <w:spacing w:line="360" w:lineRule="auto"/>
        <w:ind w:firstLine="482" w:firstLineChars="200"/>
        <w:textAlignment w:val="auto"/>
        <w:rPr>
          <w:rFonts w:ascii="宋体" w:hAnsi="宋体" w:cs="仿宋_GB2312"/>
          <w:b/>
          <w:color w:val="auto"/>
          <w:lang w:val="zh-CN"/>
        </w:rPr>
      </w:pPr>
      <w:r>
        <w:rPr>
          <w:rFonts w:hint="eastAsia" w:hAnsi="宋体" w:cs="仿宋_GB2312"/>
          <w:b/>
          <w:color w:val="auto"/>
          <w:sz w:val="24"/>
          <w:szCs w:val="24"/>
          <w:lang w:val="zh-CN"/>
        </w:rPr>
        <w:t>注：评标标准中所涉及到的证书及材料不需提供原件，均应在电子响应文件中提供原件扫描件（或图片）</w:t>
      </w:r>
    </w:p>
    <w:p w14:paraId="6CC6FB23">
      <w:pPr>
        <w:pStyle w:val="22"/>
        <w:keepNext w:val="0"/>
        <w:keepLines w:val="0"/>
        <w:pageBreakBefore w:val="0"/>
        <w:widowControl w:val="0"/>
        <w:kinsoku/>
        <w:overflowPunct/>
        <w:topLinePunct w:val="0"/>
        <w:bidi w:val="0"/>
        <w:adjustRightInd/>
        <w:snapToGrid/>
        <w:spacing w:line="360" w:lineRule="auto"/>
        <w:ind w:firstLine="482" w:firstLineChars="200"/>
        <w:textAlignment w:val="auto"/>
        <w:rPr>
          <w:rFonts w:ascii="宋体" w:hAnsi="宋体" w:cs="仿宋_GB2312"/>
          <w:color w:val="auto"/>
          <w:szCs w:val="21"/>
          <w:lang w:val="zh-CN"/>
        </w:rPr>
      </w:pPr>
      <w:r>
        <w:rPr>
          <w:rFonts w:hint="eastAsia" w:ascii="宋体" w:hAnsi="宋体" w:cs="仿宋_GB2312"/>
          <w:b/>
          <w:color w:val="auto"/>
          <w:szCs w:val="21"/>
          <w:lang w:val="zh-CN"/>
        </w:rPr>
        <w:t>（</w:t>
      </w:r>
      <w:r>
        <w:rPr>
          <w:rFonts w:hint="eastAsia" w:ascii="宋体" w:hAnsi="宋体" w:cs="仿宋_GB2312"/>
          <w:b/>
          <w:color w:val="auto"/>
          <w:szCs w:val="21"/>
        </w:rPr>
        <w:t>7</w:t>
      </w:r>
      <w:r>
        <w:rPr>
          <w:rFonts w:hint="eastAsia" w:ascii="宋体" w:hAnsi="宋体" w:cs="仿宋_GB2312"/>
          <w:b/>
          <w:color w:val="auto"/>
          <w:szCs w:val="21"/>
          <w:lang w:val="zh-CN"/>
        </w:rPr>
        <w:t>）评标结果汇总完成后，除下列情形外，任何人不得修改评标结果：</w:t>
      </w:r>
    </w:p>
    <w:p w14:paraId="115D0368">
      <w:pPr>
        <w:keepNext w:val="0"/>
        <w:keepLines w:val="0"/>
        <w:pageBreakBefore w:val="0"/>
        <w:widowControl w:val="0"/>
        <w:tabs>
          <w:tab w:val="left" w:pos="1260"/>
        </w:tabs>
        <w:kinsoku/>
        <w:overflowPunct/>
        <w:topLinePunct w:val="0"/>
        <w:autoSpaceDE w:val="0"/>
        <w:autoSpaceDN w:val="0"/>
        <w:bidi w:val="0"/>
        <w:adjustRightInd/>
        <w:snapToGrid/>
        <w:spacing w:line="360" w:lineRule="auto"/>
        <w:ind w:firstLine="480" w:firstLineChars="200"/>
        <w:textAlignment w:val="auto"/>
        <w:rPr>
          <w:rFonts w:ascii="宋体" w:hAnsi="宋体" w:cs="仿宋_GB2312"/>
          <w:color w:val="auto"/>
          <w:sz w:val="24"/>
          <w:lang w:val="zh-CN"/>
        </w:rPr>
      </w:pPr>
      <w:r>
        <w:rPr>
          <w:rFonts w:hint="eastAsia" w:ascii="宋体" w:hAnsi="宋体" w:cs="仿宋_GB2312"/>
          <w:color w:val="auto"/>
          <w:sz w:val="24"/>
          <w:lang w:val="zh-CN"/>
        </w:rPr>
        <w:t>1）分值汇总计算错误的；</w:t>
      </w:r>
    </w:p>
    <w:p w14:paraId="74F9CB20">
      <w:pPr>
        <w:keepNext w:val="0"/>
        <w:keepLines w:val="0"/>
        <w:pageBreakBefore w:val="0"/>
        <w:widowControl w:val="0"/>
        <w:tabs>
          <w:tab w:val="left" w:pos="1260"/>
        </w:tabs>
        <w:kinsoku/>
        <w:overflowPunct/>
        <w:topLinePunct w:val="0"/>
        <w:autoSpaceDE w:val="0"/>
        <w:autoSpaceDN w:val="0"/>
        <w:bidi w:val="0"/>
        <w:adjustRightInd/>
        <w:snapToGrid/>
        <w:spacing w:line="360" w:lineRule="auto"/>
        <w:ind w:firstLine="480" w:firstLineChars="200"/>
        <w:textAlignment w:val="auto"/>
        <w:rPr>
          <w:rFonts w:ascii="宋体" w:hAnsi="宋体" w:cs="仿宋_GB2312"/>
          <w:color w:val="auto"/>
          <w:sz w:val="24"/>
          <w:lang w:val="zh-CN"/>
        </w:rPr>
      </w:pPr>
      <w:r>
        <w:rPr>
          <w:rFonts w:hint="eastAsia" w:ascii="宋体" w:hAnsi="宋体" w:cs="仿宋_GB2312"/>
          <w:color w:val="auto"/>
          <w:sz w:val="24"/>
          <w:lang w:val="zh-CN"/>
        </w:rPr>
        <w:t>2）分项评分超出评分标准范围的；</w:t>
      </w:r>
    </w:p>
    <w:p w14:paraId="26F0774D">
      <w:pPr>
        <w:keepNext w:val="0"/>
        <w:keepLines w:val="0"/>
        <w:pageBreakBefore w:val="0"/>
        <w:widowControl w:val="0"/>
        <w:tabs>
          <w:tab w:val="left" w:pos="1260"/>
        </w:tabs>
        <w:kinsoku/>
        <w:overflowPunct/>
        <w:topLinePunct w:val="0"/>
        <w:autoSpaceDE w:val="0"/>
        <w:autoSpaceDN w:val="0"/>
        <w:bidi w:val="0"/>
        <w:adjustRightInd/>
        <w:snapToGrid/>
        <w:spacing w:line="360" w:lineRule="auto"/>
        <w:ind w:firstLine="480" w:firstLineChars="200"/>
        <w:textAlignment w:val="auto"/>
        <w:rPr>
          <w:rFonts w:ascii="宋体" w:hAnsi="宋体" w:cs="仿宋_GB2312"/>
          <w:color w:val="auto"/>
          <w:sz w:val="24"/>
          <w:lang w:val="zh-CN"/>
        </w:rPr>
      </w:pPr>
      <w:r>
        <w:rPr>
          <w:rFonts w:hint="eastAsia" w:ascii="宋体" w:hAnsi="宋体" w:cs="仿宋_GB2312"/>
          <w:color w:val="auto"/>
          <w:sz w:val="24"/>
          <w:lang w:val="zh-CN"/>
        </w:rPr>
        <w:t>3）磋商小组成员对客观评审因素评分不一致的；</w:t>
      </w:r>
    </w:p>
    <w:p w14:paraId="050CAEE1">
      <w:pPr>
        <w:keepNext w:val="0"/>
        <w:keepLines w:val="0"/>
        <w:pageBreakBefore w:val="0"/>
        <w:widowControl w:val="0"/>
        <w:tabs>
          <w:tab w:val="left" w:pos="1260"/>
        </w:tabs>
        <w:kinsoku/>
        <w:overflowPunct/>
        <w:topLinePunct w:val="0"/>
        <w:autoSpaceDE w:val="0"/>
        <w:autoSpaceDN w:val="0"/>
        <w:bidi w:val="0"/>
        <w:adjustRightInd/>
        <w:snapToGrid/>
        <w:spacing w:line="360" w:lineRule="auto"/>
        <w:ind w:firstLine="480" w:firstLineChars="200"/>
        <w:textAlignment w:val="auto"/>
        <w:rPr>
          <w:rFonts w:ascii="宋体" w:hAnsi="宋体" w:cs="仿宋_GB2312"/>
          <w:color w:val="auto"/>
          <w:sz w:val="24"/>
          <w:lang w:val="zh-CN"/>
        </w:rPr>
      </w:pPr>
      <w:r>
        <w:rPr>
          <w:rFonts w:hint="eastAsia" w:ascii="宋体" w:hAnsi="宋体" w:cs="仿宋_GB2312"/>
          <w:color w:val="auto"/>
          <w:sz w:val="24"/>
          <w:lang w:val="zh-CN"/>
        </w:rPr>
        <w:t>4）经磋商小组认定评分畸高、畸低的。</w:t>
      </w:r>
    </w:p>
    <w:p w14:paraId="7B2F3BE6">
      <w:pPr>
        <w:keepNext w:val="0"/>
        <w:keepLines w:val="0"/>
        <w:pageBreakBefore w:val="0"/>
        <w:widowControl w:val="0"/>
        <w:tabs>
          <w:tab w:val="left" w:pos="1260"/>
        </w:tabs>
        <w:kinsoku/>
        <w:overflowPunct/>
        <w:topLinePunct w:val="0"/>
        <w:autoSpaceDE w:val="0"/>
        <w:autoSpaceDN w:val="0"/>
        <w:bidi w:val="0"/>
        <w:adjustRightInd/>
        <w:snapToGrid/>
        <w:spacing w:line="360" w:lineRule="auto"/>
        <w:ind w:firstLine="480" w:firstLineChars="200"/>
        <w:textAlignment w:val="auto"/>
        <w:rPr>
          <w:rFonts w:ascii="宋体" w:hAnsi="宋体" w:cs="仿宋_GB2312"/>
          <w:color w:val="auto"/>
          <w:sz w:val="24"/>
          <w:lang w:val="zh-CN"/>
        </w:rPr>
      </w:pPr>
      <w:r>
        <w:rPr>
          <w:rFonts w:hint="eastAsia" w:ascii="宋体" w:hAnsi="宋体" w:cs="仿宋_GB2312"/>
          <w:color w:val="auto"/>
          <w:sz w:val="24"/>
          <w:lang w:val="zh-CN"/>
        </w:rPr>
        <w:t>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14:paraId="4E42DA5F">
      <w:pPr>
        <w:keepNext w:val="0"/>
        <w:keepLines w:val="0"/>
        <w:pageBreakBefore w:val="0"/>
        <w:widowControl w:val="0"/>
        <w:tabs>
          <w:tab w:val="left" w:pos="1260"/>
        </w:tabs>
        <w:kinsoku/>
        <w:overflowPunct/>
        <w:topLinePunct w:val="0"/>
        <w:autoSpaceDE w:val="0"/>
        <w:autoSpaceDN w:val="0"/>
        <w:bidi w:val="0"/>
        <w:adjustRightInd/>
        <w:snapToGrid/>
        <w:spacing w:line="360" w:lineRule="auto"/>
        <w:ind w:firstLine="480" w:firstLineChars="200"/>
        <w:textAlignment w:val="auto"/>
        <w:rPr>
          <w:rFonts w:ascii="宋体" w:hAnsi="宋体" w:cs="仿宋_GB2312"/>
          <w:color w:val="auto"/>
          <w:sz w:val="24"/>
          <w:lang w:val="zh-CN"/>
        </w:rPr>
      </w:pPr>
      <w:r>
        <w:rPr>
          <w:rFonts w:hint="eastAsia" w:ascii="宋体" w:hAnsi="宋体" w:cs="仿宋_GB2312"/>
          <w:color w:val="auto"/>
          <w:sz w:val="24"/>
          <w:lang w:val="zh-CN"/>
        </w:rPr>
        <w:t>供应商对本条第一款情形提出质疑的，采购人或者采购代理机构可以组织原磋商小组进行重新评审，重新评审改变评标结果的，应当书面报告本级财政部门。</w:t>
      </w:r>
    </w:p>
    <w:p w14:paraId="3B251F86">
      <w:pPr>
        <w:keepNext w:val="0"/>
        <w:keepLines w:val="0"/>
        <w:pageBreakBefore w:val="0"/>
        <w:widowControl w:val="0"/>
        <w:kinsoku/>
        <w:wordWrap w:val="0"/>
        <w:overflowPunct/>
        <w:topLinePunct w:val="0"/>
        <w:bidi w:val="0"/>
        <w:adjustRightInd/>
        <w:snapToGrid/>
        <w:spacing w:line="360" w:lineRule="auto"/>
        <w:ind w:firstLine="482" w:firstLineChars="200"/>
        <w:textAlignment w:val="auto"/>
        <w:rPr>
          <w:color w:val="auto"/>
        </w:rPr>
      </w:pPr>
      <w:r>
        <w:rPr>
          <w:rFonts w:hint="eastAsia" w:ascii="宋体" w:hAnsi="宋体" w:cs="仿宋_GB2312"/>
          <w:b/>
          <w:bCs/>
          <w:color w:val="auto"/>
          <w:sz w:val="24"/>
          <w:lang w:val="zh-CN"/>
        </w:rPr>
        <w:t>（</w:t>
      </w:r>
      <w:r>
        <w:rPr>
          <w:rFonts w:hint="eastAsia" w:ascii="宋体" w:hAnsi="宋体" w:cs="仿宋_GB2312"/>
          <w:b/>
          <w:bCs/>
          <w:color w:val="auto"/>
          <w:sz w:val="24"/>
        </w:rPr>
        <w:t>8</w:t>
      </w:r>
      <w:r>
        <w:rPr>
          <w:rFonts w:hint="eastAsia" w:ascii="宋体" w:hAnsi="宋体" w:cs="仿宋_GB2312"/>
          <w:b/>
          <w:bCs/>
          <w:color w:val="auto"/>
          <w:sz w:val="24"/>
          <w:lang w:val="zh-CN"/>
        </w:rPr>
        <w:t>）</w:t>
      </w:r>
      <w:r>
        <w:rPr>
          <w:rFonts w:hint="eastAsia" w:ascii="宋体" w:hAnsi="宋体" w:cs="仿宋_GB2312"/>
          <w:color w:val="auto"/>
          <w:sz w:val="24"/>
          <w:lang w:val="zh-CN"/>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14:paraId="19913BED">
      <w:pPr>
        <w:keepNext w:val="0"/>
        <w:keepLines w:val="0"/>
        <w:pageBreakBefore w:val="0"/>
        <w:widowControl w:val="0"/>
        <w:kinsoku/>
        <w:wordWrap w:val="0"/>
        <w:overflowPunct/>
        <w:topLinePunct w:val="0"/>
        <w:bidi w:val="0"/>
        <w:adjustRightInd/>
        <w:snapToGrid/>
        <w:spacing w:line="360" w:lineRule="auto"/>
        <w:ind w:firstLine="482" w:firstLineChars="200"/>
        <w:textAlignment w:val="auto"/>
        <w:rPr>
          <w:rFonts w:hint="eastAsia" w:ascii="宋体" w:hAnsi="宋体" w:eastAsia="宋体" w:cs="仿宋_GB2312"/>
          <w:b/>
          <w:bCs/>
          <w:color w:val="auto"/>
          <w:sz w:val="24"/>
          <w:lang w:val="zh-CN" w:eastAsia="zh-CN"/>
        </w:rPr>
      </w:pPr>
      <w:r>
        <w:rPr>
          <w:rFonts w:hint="eastAsia" w:ascii="宋体" w:hAnsi="宋体" w:cs="仿宋_GB2312"/>
          <w:b/>
          <w:bCs/>
          <w:color w:val="auto"/>
          <w:sz w:val="24"/>
          <w:lang w:val="zh-CN"/>
        </w:rPr>
        <w:t>（</w:t>
      </w:r>
      <w:r>
        <w:rPr>
          <w:rFonts w:hint="eastAsia" w:ascii="宋体" w:hAnsi="宋体" w:cs="仿宋_GB2312"/>
          <w:b/>
          <w:bCs/>
          <w:color w:val="auto"/>
          <w:sz w:val="24"/>
        </w:rPr>
        <w:t>9）推荐成交候选供应商</w:t>
      </w:r>
    </w:p>
    <w:p w14:paraId="475635D3">
      <w:pPr>
        <w:keepNext w:val="0"/>
        <w:keepLines w:val="0"/>
        <w:pageBreakBefore w:val="0"/>
        <w:widowControl w:val="0"/>
        <w:kinsoku/>
        <w:wordWrap w:val="0"/>
        <w:overflowPunct/>
        <w:topLinePunct w:val="0"/>
        <w:bidi w:val="0"/>
        <w:adjustRightInd/>
        <w:snapToGrid/>
        <w:spacing w:line="360" w:lineRule="auto"/>
        <w:ind w:firstLine="480" w:firstLineChars="200"/>
        <w:textAlignment w:val="auto"/>
        <w:rPr>
          <w:color w:val="auto"/>
          <w:lang w:val="zh-CN"/>
        </w:rPr>
      </w:pPr>
      <w:r>
        <w:rPr>
          <w:rFonts w:hint="eastAsia" w:ascii="宋体" w:hAnsi="宋体" w:cs="仿宋_GB2312"/>
          <w:color w:val="auto"/>
          <w:sz w:val="24"/>
        </w:rPr>
        <w:t>磋商小组应当根据综合评分情况，按照评审得分由高到低顺序推荐3名以上成交候选供应商，并编写评审报告。符合《政府采购竞争性磋商采购方式管理暂行办法》【（财库2014）214号】第二十一条第三款情形的，市场竞争不充分的科研项目，以及需要扶持的科技成果转化项目可以推荐</w:t>
      </w:r>
      <w:r>
        <w:rPr>
          <w:rFonts w:ascii="宋体" w:hAnsi="宋体" w:cs="仿宋_GB2312"/>
          <w:color w:val="auto"/>
          <w:sz w:val="24"/>
        </w:rPr>
        <w:t>2</w:t>
      </w:r>
      <w:r>
        <w:rPr>
          <w:rFonts w:hint="eastAsia" w:ascii="宋体" w:hAnsi="宋体" w:cs="仿宋_GB2312"/>
          <w:color w:val="auto"/>
          <w:sz w:val="24"/>
        </w:rPr>
        <w:t>家成交候选供应商。评审得分相同的，按照最后报价由低到高的顺序推荐。评审得分且最后报价相同的，按照技术指标优劣顺序推荐。</w:t>
      </w:r>
    </w:p>
    <w:p w14:paraId="110B2120">
      <w:pPr>
        <w:keepNext w:val="0"/>
        <w:keepLines w:val="0"/>
        <w:pageBreakBefore w:val="0"/>
        <w:widowControl w:val="0"/>
        <w:tabs>
          <w:tab w:val="left" w:pos="1260"/>
        </w:tabs>
        <w:kinsoku/>
        <w:overflowPunct/>
        <w:topLinePunct w:val="0"/>
        <w:autoSpaceDE w:val="0"/>
        <w:autoSpaceDN w:val="0"/>
        <w:bidi w:val="0"/>
        <w:adjustRightInd/>
        <w:snapToGrid/>
        <w:spacing w:line="360" w:lineRule="auto"/>
        <w:ind w:firstLine="482" w:firstLineChars="200"/>
        <w:textAlignment w:val="auto"/>
        <w:rPr>
          <w:rFonts w:ascii="宋体" w:hAnsi="宋体" w:cs="仿宋_GB2312"/>
          <w:b/>
          <w:color w:val="auto"/>
          <w:sz w:val="24"/>
          <w:szCs w:val="24"/>
          <w:lang w:val="zh-CN"/>
        </w:rPr>
      </w:pPr>
      <w:r>
        <w:rPr>
          <w:rFonts w:hint="eastAsia" w:ascii="宋体" w:hAnsi="宋体" w:cs="仿宋_GB2312"/>
          <w:b/>
          <w:color w:val="auto"/>
          <w:sz w:val="24"/>
          <w:szCs w:val="24"/>
          <w:lang w:val="zh-CN"/>
        </w:rPr>
        <w:t>（</w:t>
      </w:r>
      <w:r>
        <w:rPr>
          <w:rFonts w:hint="eastAsia" w:ascii="宋体" w:hAnsi="宋体" w:cs="仿宋_GB2312"/>
          <w:b/>
          <w:color w:val="auto"/>
          <w:sz w:val="24"/>
          <w:szCs w:val="24"/>
        </w:rPr>
        <w:t>10</w:t>
      </w:r>
      <w:r>
        <w:rPr>
          <w:rFonts w:hint="eastAsia" w:ascii="宋体" w:hAnsi="宋体" w:cs="仿宋_GB2312"/>
          <w:b/>
          <w:color w:val="auto"/>
          <w:sz w:val="24"/>
          <w:szCs w:val="24"/>
          <w:lang w:val="zh-CN"/>
        </w:rPr>
        <w:t>）磋商小组争议处理</w:t>
      </w:r>
    </w:p>
    <w:p w14:paraId="13AB784F">
      <w:pPr>
        <w:keepNext w:val="0"/>
        <w:keepLines w:val="0"/>
        <w:pageBreakBefore w:val="0"/>
        <w:widowControl w:val="0"/>
        <w:tabs>
          <w:tab w:val="left" w:pos="1260"/>
        </w:tabs>
        <w:kinsoku/>
        <w:overflowPunct/>
        <w:topLinePunct w:val="0"/>
        <w:autoSpaceDE w:val="0"/>
        <w:autoSpaceDN w:val="0"/>
        <w:bidi w:val="0"/>
        <w:adjustRightInd/>
        <w:snapToGrid/>
        <w:spacing w:line="360" w:lineRule="auto"/>
        <w:ind w:firstLine="480" w:firstLineChars="200"/>
        <w:textAlignment w:val="auto"/>
        <w:rPr>
          <w:rFonts w:ascii="宋体" w:hAnsi="宋体" w:cs="仿宋_GB2312"/>
          <w:color w:val="auto"/>
          <w:sz w:val="24"/>
          <w:szCs w:val="24"/>
          <w:lang w:val="zh-CN"/>
        </w:rPr>
      </w:pPr>
      <w:r>
        <w:rPr>
          <w:rFonts w:hint="eastAsia" w:ascii="宋体" w:hAnsi="宋体" w:cs="仿宋_GB2312"/>
          <w:color w:val="auto"/>
          <w:sz w:val="24"/>
          <w:szCs w:val="24"/>
          <w:lang w:val="zh-CN"/>
        </w:rPr>
        <w:t>磋商小组成员对需要共同认定的事项存在争议的，应当按照少数服从多数的原则作出结论。持不同意见的磋商小组成员应当在评标报告上签署不同意见及理由，否则视为同意评标报告。</w:t>
      </w:r>
    </w:p>
    <w:p w14:paraId="580A1756">
      <w:pPr>
        <w:spacing w:line="360" w:lineRule="auto"/>
        <w:contextualSpacing/>
        <w:jc w:val="left"/>
        <w:rPr>
          <w:rFonts w:ascii="宋体" w:hAnsi="宋体" w:cs="宋体"/>
          <w:b/>
          <w:color w:val="auto"/>
          <w:sz w:val="24"/>
          <w:szCs w:val="24"/>
          <w:lang w:val="zh-CN"/>
        </w:rPr>
      </w:pPr>
      <w:r>
        <w:rPr>
          <w:rFonts w:hint="eastAsia" w:ascii="宋体" w:hAnsi="宋体" w:cs="宋体"/>
          <w:b/>
          <w:color w:val="auto"/>
          <w:sz w:val="24"/>
          <w:szCs w:val="24"/>
          <w:lang w:val="zh-CN"/>
        </w:rPr>
        <w:t>4、确定成交候选人名单，以及根据采购人委托直接确定成交人。</w:t>
      </w:r>
    </w:p>
    <w:p w14:paraId="714E2B31">
      <w:pPr>
        <w:spacing w:line="360" w:lineRule="auto"/>
        <w:jc w:val="center"/>
        <w:outlineLvl w:val="0"/>
        <w:rPr>
          <w:rFonts w:ascii="宋体" w:hAnsi="宋体"/>
          <w:b/>
          <w:color w:val="auto"/>
          <w:kern w:val="0"/>
          <w:sz w:val="36"/>
          <w:szCs w:val="36"/>
        </w:rPr>
      </w:pPr>
      <w:r>
        <w:rPr>
          <w:rFonts w:hint="eastAsia" w:ascii="宋体" w:hAnsi="宋体"/>
          <w:b/>
          <w:color w:val="auto"/>
          <w:kern w:val="0"/>
          <w:sz w:val="32"/>
          <w:szCs w:val="32"/>
        </w:rPr>
        <w:br w:type="page"/>
      </w:r>
      <w:bookmarkStart w:id="17" w:name="_Toc138068727"/>
      <w:r>
        <w:rPr>
          <w:rFonts w:hint="eastAsia" w:ascii="宋体" w:hAnsi="宋体"/>
          <w:b/>
          <w:color w:val="auto"/>
          <w:kern w:val="0"/>
          <w:sz w:val="32"/>
          <w:szCs w:val="32"/>
        </w:rPr>
        <w:t>第七章</w:t>
      </w:r>
      <w:r>
        <w:rPr>
          <w:rFonts w:hint="eastAsia" w:ascii="宋体" w:hAnsi="宋体"/>
          <w:b/>
          <w:color w:val="auto"/>
          <w:kern w:val="0"/>
          <w:sz w:val="32"/>
          <w:szCs w:val="32"/>
          <w:lang w:val="en-US" w:eastAsia="zh-CN"/>
        </w:rPr>
        <w:t xml:space="preserve"> </w:t>
      </w:r>
      <w:r>
        <w:rPr>
          <w:rFonts w:hint="eastAsia" w:ascii="宋体" w:hAnsi="宋体"/>
          <w:b/>
          <w:color w:val="auto"/>
          <w:kern w:val="0"/>
          <w:sz w:val="32"/>
          <w:szCs w:val="32"/>
        </w:rPr>
        <w:t>合同条款及格式</w:t>
      </w:r>
      <w:bookmarkEnd w:id="17"/>
    </w:p>
    <w:p w14:paraId="01FCD461">
      <w:pPr>
        <w:pStyle w:val="22"/>
        <w:adjustRightInd w:val="0"/>
        <w:snapToGrid w:val="0"/>
        <w:spacing w:line="360" w:lineRule="auto"/>
        <w:jc w:val="center"/>
        <w:rPr>
          <w:rFonts w:ascii="宋体" w:hAnsi="宋体"/>
          <w:b/>
          <w:color w:val="auto"/>
        </w:rPr>
      </w:pPr>
      <w:r>
        <w:rPr>
          <w:rFonts w:hint="eastAsia" w:ascii="宋体" w:hAnsi="宋体"/>
          <w:b/>
          <w:color w:val="auto"/>
        </w:rPr>
        <w:t>采用由中华人民共和国住房和城乡建设部与国家工商行政管理局联合制定的《建设工程施工合同》(GF2017-0201)签订合同。</w:t>
      </w:r>
    </w:p>
    <w:p w14:paraId="697A1D95">
      <w:pPr>
        <w:pStyle w:val="22"/>
        <w:adjustRightInd w:val="0"/>
        <w:snapToGrid w:val="0"/>
        <w:spacing w:line="360" w:lineRule="auto"/>
        <w:jc w:val="center"/>
        <w:rPr>
          <w:rFonts w:ascii="宋体" w:hAnsi="宋体"/>
          <w:b/>
          <w:color w:val="auto"/>
          <w:sz w:val="36"/>
          <w:szCs w:val="36"/>
        </w:rPr>
      </w:pPr>
    </w:p>
    <w:p w14:paraId="0E0D0ED6">
      <w:pPr>
        <w:pStyle w:val="22"/>
        <w:adjustRightInd w:val="0"/>
        <w:snapToGrid w:val="0"/>
        <w:spacing w:line="360" w:lineRule="auto"/>
        <w:jc w:val="center"/>
        <w:rPr>
          <w:rFonts w:ascii="宋体" w:hAnsi="宋体"/>
          <w:b/>
          <w:color w:val="auto"/>
          <w:sz w:val="36"/>
          <w:szCs w:val="36"/>
        </w:rPr>
      </w:pPr>
    </w:p>
    <w:p w14:paraId="10419B42">
      <w:pPr>
        <w:rPr>
          <w:rFonts w:ascii="宋体" w:hAnsi="宋体"/>
          <w:b/>
          <w:color w:val="auto"/>
          <w:kern w:val="0"/>
          <w:sz w:val="32"/>
          <w:szCs w:val="32"/>
        </w:rPr>
      </w:pPr>
      <w:bookmarkStart w:id="18" w:name="_Toc138068728"/>
      <w:r>
        <w:rPr>
          <w:rFonts w:hint="eastAsia" w:ascii="宋体" w:hAnsi="宋体"/>
          <w:b/>
          <w:color w:val="auto"/>
          <w:kern w:val="0"/>
          <w:sz w:val="32"/>
          <w:szCs w:val="32"/>
        </w:rPr>
        <w:br w:type="page"/>
      </w:r>
    </w:p>
    <w:p w14:paraId="04433453">
      <w:pPr>
        <w:spacing w:line="360" w:lineRule="auto"/>
        <w:jc w:val="center"/>
        <w:outlineLvl w:val="0"/>
        <w:rPr>
          <w:rFonts w:ascii="宋体" w:hAnsi="宋体"/>
          <w:b/>
          <w:color w:val="auto"/>
          <w:kern w:val="0"/>
          <w:sz w:val="32"/>
          <w:szCs w:val="32"/>
        </w:rPr>
      </w:pPr>
      <w:r>
        <w:rPr>
          <w:rFonts w:hint="eastAsia" w:ascii="宋体" w:hAnsi="宋体"/>
          <w:b/>
          <w:color w:val="auto"/>
          <w:kern w:val="0"/>
          <w:sz w:val="32"/>
          <w:szCs w:val="32"/>
        </w:rPr>
        <w:t>第八章</w:t>
      </w:r>
      <w:r>
        <w:rPr>
          <w:rFonts w:hint="eastAsia" w:ascii="宋体" w:hAnsi="宋体"/>
          <w:b/>
          <w:color w:val="auto"/>
          <w:kern w:val="0"/>
          <w:sz w:val="32"/>
          <w:szCs w:val="32"/>
          <w:lang w:val="en-US" w:eastAsia="zh-CN"/>
        </w:rPr>
        <w:t xml:space="preserve"> </w:t>
      </w:r>
      <w:r>
        <w:rPr>
          <w:rFonts w:hint="eastAsia" w:ascii="宋体" w:hAnsi="宋体"/>
          <w:b/>
          <w:color w:val="auto"/>
          <w:kern w:val="0"/>
          <w:sz w:val="32"/>
          <w:szCs w:val="32"/>
        </w:rPr>
        <w:t>响应文件有关格式</w:t>
      </w:r>
      <w:bookmarkEnd w:id="18"/>
    </w:p>
    <w:p w14:paraId="5657CDE5">
      <w:pPr>
        <w:tabs>
          <w:tab w:val="left" w:pos="1260"/>
        </w:tabs>
        <w:autoSpaceDE w:val="0"/>
        <w:autoSpaceDN w:val="0"/>
        <w:adjustRightIn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（如涉及本项目的提供）</w:t>
      </w:r>
    </w:p>
    <w:p w14:paraId="51E3B582">
      <w:pPr>
        <w:spacing w:line="360" w:lineRule="auto"/>
        <w:jc w:val="center"/>
        <w:rPr>
          <w:rFonts w:ascii="宋体" w:hAnsi="宋体" w:cs="宋体"/>
          <w:b/>
          <w:color w:val="auto"/>
          <w:sz w:val="32"/>
          <w:szCs w:val="32"/>
        </w:rPr>
      </w:pPr>
    </w:p>
    <w:p w14:paraId="65C9B7EF">
      <w:pPr>
        <w:jc w:val="left"/>
        <w:rPr>
          <w:rFonts w:ascii="宋体"/>
          <w:b/>
          <w:color w:val="auto"/>
          <w:sz w:val="32"/>
        </w:rPr>
      </w:pPr>
      <w:bookmarkStart w:id="19" w:name="_Toc184023138"/>
      <w:bookmarkStart w:id="20" w:name="_Toc138068729"/>
      <w:bookmarkStart w:id="21" w:name="_Toc186274126"/>
      <w:bookmarkStart w:id="22" w:name="_Toc174185203"/>
    </w:p>
    <w:p w14:paraId="30B35613">
      <w:pPr>
        <w:rPr>
          <w:rFonts w:ascii="宋体"/>
          <w:color w:val="auto"/>
          <w:sz w:val="28"/>
          <w:u w:val="single"/>
        </w:rPr>
      </w:pPr>
    </w:p>
    <w:p w14:paraId="6D5DE6FC">
      <w:pPr>
        <w:jc w:val="center"/>
        <w:rPr>
          <w:rFonts w:ascii="宋体"/>
          <w:b/>
          <w:color w:val="auto"/>
          <w:sz w:val="40"/>
          <w:u w:val="single"/>
        </w:rPr>
      </w:pPr>
      <w:r>
        <w:rPr>
          <w:rFonts w:hint="eastAsia" w:ascii="宋体" w:hAnsi="宋体"/>
          <w:b/>
          <w:color w:val="auto"/>
          <w:sz w:val="40"/>
          <w:u w:val="single"/>
        </w:rPr>
        <w:t xml:space="preserve">                （项目名称）</w:t>
      </w:r>
    </w:p>
    <w:p w14:paraId="509A587B">
      <w:pPr>
        <w:jc w:val="center"/>
        <w:rPr>
          <w:rFonts w:ascii="宋体"/>
          <w:color w:val="auto"/>
          <w:sz w:val="28"/>
          <w:u w:val="single"/>
        </w:rPr>
      </w:pPr>
    </w:p>
    <w:p w14:paraId="491A302E">
      <w:pPr>
        <w:rPr>
          <w:rFonts w:ascii="宋体"/>
          <w:color w:val="auto"/>
        </w:rPr>
      </w:pPr>
    </w:p>
    <w:p w14:paraId="2506A825">
      <w:pPr>
        <w:rPr>
          <w:rFonts w:ascii="宋体"/>
          <w:color w:val="auto"/>
        </w:rPr>
      </w:pPr>
    </w:p>
    <w:p w14:paraId="75F5E326">
      <w:pPr>
        <w:jc w:val="center"/>
        <w:rPr>
          <w:rFonts w:ascii="宋体"/>
          <w:color w:val="auto"/>
          <w:sz w:val="72"/>
        </w:rPr>
      </w:pPr>
      <w:r>
        <w:rPr>
          <w:rFonts w:hint="eastAsia" w:ascii="宋体" w:hAnsi="宋体"/>
          <w:color w:val="auto"/>
          <w:sz w:val="72"/>
        </w:rPr>
        <w:t>响 应文件</w:t>
      </w:r>
    </w:p>
    <w:p w14:paraId="34AB3C32">
      <w:pPr>
        <w:rPr>
          <w:rFonts w:ascii="宋体"/>
          <w:color w:val="auto"/>
          <w:sz w:val="28"/>
        </w:rPr>
      </w:pPr>
    </w:p>
    <w:p w14:paraId="64D32FC7">
      <w:pPr>
        <w:jc w:val="center"/>
        <w:rPr>
          <w:rFonts w:ascii="宋体"/>
          <w:color w:val="auto"/>
          <w:sz w:val="28"/>
        </w:rPr>
      </w:pPr>
      <w:r>
        <w:rPr>
          <w:rFonts w:hint="eastAsia" w:ascii="宋体" w:hAnsi="宋体"/>
          <w:color w:val="auto"/>
          <w:sz w:val="28"/>
        </w:rPr>
        <w:t>项目编号：</w:t>
      </w:r>
    </w:p>
    <w:p w14:paraId="56CA0BBD">
      <w:pPr>
        <w:rPr>
          <w:rFonts w:ascii="宋体"/>
          <w:color w:val="auto"/>
          <w:sz w:val="28"/>
        </w:rPr>
      </w:pPr>
    </w:p>
    <w:p w14:paraId="244C5427">
      <w:pPr>
        <w:rPr>
          <w:rFonts w:ascii="宋体"/>
          <w:color w:val="auto"/>
          <w:sz w:val="28"/>
        </w:rPr>
      </w:pPr>
    </w:p>
    <w:p w14:paraId="024F8EE4">
      <w:pPr>
        <w:spacing w:after="120"/>
        <w:ind w:left="200" w:firstLine="200"/>
        <w:rPr>
          <w:color w:val="auto"/>
        </w:rPr>
      </w:pPr>
    </w:p>
    <w:p w14:paraId="1F82FEC8">
      <w:pPr>
        <w:rPr>
          <w:rFonts w:ascii="宋体"/>
          <w:color w:val="auto"/>
          <w:sz w:val="28"/>
        </w:rPr>
      </w:pPr>
    </w:p>
    <w:p w14:paraId="4746DE85">
      <w:pPr>
        <w:pStyle w:val="18"/>
        <w:rPr>
          <w:rFonts w:ascii="宋体"/>
          <w:color w:val="auto"/>
          <w:sz w:val="28"/>
        </w:rPr>
      </w:pPr>
    </w:p>
    <w:p w14:paraId="58FF5EFB">
      <w:pPr>
        <w:rPr>
          <w:rFonts w:ascii="宋体"/>
          <w:color w:val="auto"/>
          <w:sz w:val="28"/>
        </w:rPr>
      </w:pPr>
    </w:p>
    <w:p w14:paraId="3D688BE8">
      <w:pPr>
        <w:rPr>
          <w:rFonts w:ascii="宋体"/>
          <w:color w:val="auto"/>
          <w:sz w:val="28"/>
        </w:rPr>
      </w:pPr>
    </w:p>
    <w:p w14:paraId="7601D90A">
      <w:pPr>
        <w:spacing w:line="360" w:lineRule="auto"/>
        <w:ind w:left="1079"/>
        <w:jc w:val="left"/>
        <w:rPr>
          <w:rFonts w:ascii="宋体"/>
          <w:color w:val="auto"/>
          <w:sz w:val="28"/>
          <w:u w:val="single"/>
        </w:rPr>
      </w:pPr>
      <w:r>
        <w:rPr>
          <w:rFonts w:hint="eastAsia" w:ascii="宋体" w:hAnsi="宋体"/>
          <w:color w:val="auto"/>
          <w:sz w:val="28"/>
        </w:rPr>
        <w:t>供 应 商：（盖单位章）</w:t>
      </w:r>
    </w:p>
    <w:p w14:paraId="15008700">
      <w:pPr>
        <w:spacing w:line="360" w:lineRule="auto"/>
        <w:ind w:left="1079"/>
        <w:jc w:val="left"/>
        <w:rPr>
          <w:rFonts w:ascii="宋体"/>
          <w:color w:val="auto"/>
          <w:sz w:val="28"/>
        </w:rPr>
      </w:pPr>
      <w:r>
        <w:rPr>
          <w:rFonts w:hint="eastAsia" w:ascii="宋体" w:hAnsi="宋体"/>
          <w:color w:val="auto"/>
          <w:sz w:val="28"/>
        </w:rPr>
        <w:t>法定代表人或其委托代理人：（签字或盖章）</w:t>
      </w:r>
    </w:p>
    <w:p w14:paraId="7626C4C6">
      <w:pPr>
        <w:spacing w:line="360" w:lineRule="auto"/>
        <w:jc w:val="center"/>
        <w:rPr>
          <w:rFonts w:ascii="宋体"/>
          <w:color w:val="auto"/>
          <w:sz w:val="28"/>
        </w:rPr>
      </w:pPr>
      <w:r>
        <w:rPr>
          <w:rFonts w:hint="eastAsia" w:ascii="宋体" w:hAnsi="宋体"/>
          <w:color w:val="auto"/>
          <w:sz w:val="28"/>
        </w:rPr>
        <w:t>年月日</w:t>
      </w:r>
    </w:p>
    <w:p w14:paraId="368E0C0B">
      <w:pPr>
        <w:tabs>
          <w:tab w:val="left" w:pos="1260"/>
        </w:tabs>
        <w:autoSpaceDE w:val="0"/>
        <w:autoSpaceDN w:val="0"/>
        <w:contextualSpacing/>
        <w:rPr>
          <w:rFonts w:ascii="宋体" w:hAnsi="宋体"/>
          <w:b/>
          <w:color w:val="auto"/>
          <w:sz w:val="24"/>
        </w:rPr>
      </w:pPr>
    </w:p>
    <w:p w14:paraId="41CC2A11">
      <w:pPr>
        <w:pStyle w:val="22"/>
        <w:spacing w:line="360" w:lineRule="auto"/>
        <w:jc w:val="center"/>
        <w:outlineLvl w:val="1"/>
        <w:rPr>
          <w:rFonts w:hAnsi="宋体"/>
          <w:b/>
          <w:bCs/>
          <w:snapToGrid w:val="0"/>
          <w:color w:val="auto"/>
          <w:sz w:val="28"/>
          <w:szCs w:val="28"/>
        </w:rPr>
      </w:pPr>
      <w:r>
        <w:rPr>
          <w:rFonts w:hint="eastAsia" w:hAnsi="宋体"/>
          <w:b/>
          <w:bCs/>
          <w:snapToGrid w:val="0"/>
          <w:color w:val="auto"/>
          <w:sz w:val="28"/>
          <w:szCs w:val="28"/>
        </w:rPr>
        <w:t>一、供应商应答索引表</w:t>
      </w:r>
      <w:bookmarkEnd w:id="19"/>
      <w:bookmarkEnd w:id="20"/>
      <w:bookmarkEnd w:id="21"/>
      <w:bookmarkEnd w:id="22"/>
    </w:p>
    <w:tbl>
      <w:tblPr>
        <w:tblStyle w:val="34"/>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27"/>
        <w:gridCol w:w="3985"/>
        <w:gridCol w:w="1422"/>
        <w:gridCol w:w="1333"/>
        <w:gridCol w:w="1352"/>
      </w:tblGrid>
      <w:tr w14:paraId="1B138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50" w:type="pct"/>
            <w:tcBorders>
              <w:top w:val="single" w:color="000000" w:sz="6" w:space="0"/>
              <w:left w:val="single" w:color="000000" w:sz="6" w:space="0"/>
              <w:bottom w:val="single" w:color="000000" w:sz="6" w:space="0"/>
              <w:right w:val="single" w:color="000000" w:sz="6" w:space="0"/>
            </w:tcBorders>
            <w:vAlign w:val="center"/>
          </w:tcPr>
          <w:p w14:paraId="785A8537">
            <w:pPr>
              <w:snapToGrid w:val="0"/>
              <w:spacing w:line="360" w:lineRule="auto"/>
              <w:jc w:val="center"/>
              <w:rPr>
                <w:rFonts w:ascii="宋体" w:hAnsi="宋体" w:cs="微软雅黑"/>
                <w:b/>
                <w:color w:val="auto"/>
              </w:rPr>
            </w:pPr>
            <w:r>
              <w:rPr>
                <w:rFonts w:hint="eastAsia" w:ascii="宋体" w:hAnsi="宋体" w:cs="微软雅黑"/>
                <w:b/>
                <w:color w:val="auto"/>
              </w:rPr>
              <w:t>序号</w:t>
            </w:r>
          </w:p>
        </w:tc>
        <w:tc>
          <w:tcPr>
            <w:tcW w:w="2338" w:type="pct"/>
            <w:tcBorders>
              <w:top w:val="single" w:color="000000" w:sz="6" w:space="0"/>
              <w:left w:val="single" w:color="000000" w:sz="6" w:space="0"/>
              <w:bottom w:val="single" w:color="000000" w:sz="6" w:space="0"/>
              <w:right w:val="single" w:color="000000" w:sz="6" w:space="0"/>
            </w:tcBorders>
            <w:vAlign w:val="center"/>
          </w:tcPr>
          <w:p w14:paraId="77D79E61">
            <w:pPr>
              <w:snapToGrid w:val="0"/>
              <w:spacing w:line="360" w:lineRule="auto"/>
              <w:jc w:val="center"/>
              <w:rPr>
                <w:rFonts w:ascii="宋体" w:hAnsi="宋体" w:cs="微软雅黑"/>
                <w:b/>
                <w:color w:val="auto"/>
              </w:rPr>
            </w:pPr>
            <w:r>
              <w:rPr>
                <w:rFonts w:hint="eastAsia" w:ascii="宋体" w:hAnsi="宋体" w:cs="微软雅黑"/>
                <w:b/>
                <w:color w:val="auto"/>
              </w:rPr>
              <w:t>项  目</w:t>
            </w:r>
          </w:p>
        </w:tc>
        <w:tc>
          <w:tcPr>
            <w:tcW w:w="834" w:type="pct"/>
            <w:tcBorders>
              <w:top w:val="single" w:color="000000" w:sz="6" w:space="0"/>
              <w:left w:val="single" w:color="000000" w:sz="6" w:space="0"/>
              <w:bottom w:val="single" w:color="000000" w:sz="6" w:space="0"/>
              <w:right w:val="single" w:color="000000" w:sz="6" w:space="0"/>
            </w:tcBorders>
            <w:vAlign w:val="center"/>
          </w:tcPr>
          <w:p w14:paraId="7B2ED763">
            <w:pPr>
              <w:snapToGrid w:val="0"/>
              <w:spacing w:line="360" w:lineRule="auto"/>
              <w:jc w:val="center"/>
              <w:rPr>
                <w:rFonts w:ascii="宋体" w:hAnsi="宋体" w:cs="微软雅黑"/>
                <w:b/>
                <w:color w:val="auto"/>
              </w:rPr>
            </w:pPr>
            <w:r>
              <w:rPr>
                <w:rFonts w:hint="eastAsia" w:ascii="宋体" w:hAnsi="宋体" w:cs="微软雅黑"/>
                <w:b/>
                <w:color w:val="auto"/>
              </w:rPr>
              <w:t>供应商应答</w:t>
            </w:r>
          </w:p>
          <w:p w14:paraId="625DAB29">
            <w:pPr>
              <w:snapToGrid w:val="0"/>
              <w:spacing w:line="360" w:lineRule="auto"/>
              <w:jc w:val="center"/>
              <w:rPr>
                <w:rFonts w:ascii="宋体" w:hAnsi="宋体" w:cs="微软雅黑"/>
                <w:b/>
                <w:color w:val="auto"/>
              </w:rPr>
            </w:pPr>
            <w:r>
              <w:rPr>
                <w:rFonts w:hint="eastAsia" w:ascii="宋体" w:hAnsi="宋体" w:cs="微软雅黑"/>
                <w:b/>
                <w:color w:val="auto"/>
              </w:rPr>
              <w:t>（有/没有）</w:t>
            </w:r>
          </w:p>
        </w:tc>
        <w:tc>
          <w:tcPr>
            <w:tcW w:w="782" w:type="pct"/>
            <w:tcBorders>
              <w:top w:val="single" w:color="000000" w:sz="6" w:space="0"/>
              <w:left w:val="single" w:color="000000" w:sz="6" w:space="0"/>
              <w:bottom w:val="single" w:color="000000" w:sz="6" w:space="0"/>
              <w:right w:val="single" w:color="000000" w:sz="6" w:space="0"/>
            </w:tcBorders>
            <w:vAlign w:val="center"/>
          </w:tcPr>
          <w:p w14:paraId="4A438B60">
            <w:pPr>
              <w:snapToGrid w:val="0"/>
              <w:spacing w:line="360" w:lineRule="auto"/>
              <w:jc w:val="center"/>
              <w:rPr>
                <w:rFonts w:ascii="宋体" w:hAnsi="宋体" w:cs="微软雅黑"/>
                <w:b/>
                <w:color w:val="auto"/>
              </w:rPr>
            </w:pPr>
            <w:r>
              <w:rPr>
                <w:rFonts w:hint="eastAsia" w:ascii="宋体" w:hAnsi="宋体" w:cs="微软雅黑"/>
                <w:b/>
                <w:color w:val="auto"/>
              </w:rPr>
              <w:t>响应文件中所在页码</w:t>
            </w:r>
          </w:p>
        </w:tc>
        <w:tc>
          <w:tcPr>
            <w:tcW w:w="793" w:type="pct"/>
            <w:tcBorders>
              <w:top w:val="single" w:color="000000" w:sz="6" w:space="0"/>
              <w:left w:val="single" w:color="000000" w:sz="6" w:space="0"/>
              <w:bottom w:val="single" w:color="000000" w:sz="6" w:space="0"/>
              <w:right w:val="single" w:color="000000" w:sz="6" w:space="0"/>
            </w:tcBorders>
            <w:vAlign w:val="center"/>
          </w:tcPr>
          <w:p w14:paraId="5FF9814C">
            <w:pPr>
              <w:snapToGrid w:val="0"/>
              <w:spacing w:line="360" w:lineRule="auto"/>
              <w:jc w:val="center"/>
              <w:rPr>
                <w:rFonts w:ascii="宋体" w:hAnsi="宋体" w:cs="微软雅黑"/>
                <w:b/>
                <w:color w:val="auto"/>
              </w:rPr>
            </w:pPr>
            <w:r>
              <w:rPr>
                <w:rFonts w:hint="eastAsia" w:ascii="宋体" w:hAnsi="宋体" w:cs="微软雅黑"/>
                <w:b/>
                <w:color w:val="auto"/>
              </w:rPr>
              <w:t>备注说明</w:t>
            </w:r>
          </w:p>
        </w:tc>
      </w:tr>
      <w:tr w14:paraId="45708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50" w:type="pct"/>
            <w:tcBorders>
              <w:top w:val="single" w:color="000000" w:sz="6" w:space="0"/>
              <w:left w:val="single" w:color="000000" w:sz="6" w:space="0"/>
              <w:bottom w:val="single" w:color="000000" w:sz="6" w:space="0"/>
              <w:right w:val="single" w:color="000000" w:sz="6" w:space="0"/>
            </w:tcBorders>
            <w:vAlign w:val="center"/>
          </w:tcPr>
          <w:p w14:paraId="7405B411">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w:t>
            </w:r>
          </w:p>
        </w:tc>
        <w:tc>
          <w:tcPr>
            <w:tcW w:w="2338" w:type="pct"/>
            <w:tcBorders>
              <w:top w:val="single" w:color="000000" w:sz="6" w:space="0"/>
              <w:left w:val="single" w:color="000000" w:sz="6" w:space="0"/>
              <w:bottom w:val="single" w:color="000000" w:sz="6" w:space="0"/>
              <w:right w:val="single" w:color="000000" w:sz="6" w:space="0"/>
            </w:tcBorders>
            <w:vAlign w:val="center"/>
          </w:tcPr>
          <w:p w14:paraId="5DF69EF8">
            <w:pPr>
              <w:pStyle w:val="22"/>
              <w:kinsoku w:val="0"/>
              <w:overflowPunct w:val="0"/>
              <w:autoSpaceDE w:val="0"/>
              <w:autoSpaceDN w:val="0"/>
              <w:spacing w:line="360" w:lineRule="auto"/>
              <w:rPr>
                <w:rFonts w:hAnsi="宋体" w:cs="微软雅黑"/>
                <w:bCs/>
                <w:color w:val="auto"/>
                <w:sz w:val="21"/>
                <w:szCs w:val="21"/>
              </w:rPr>
            </w:pPr>
            <w:r>
              <w:rPr>
                <w:rFonts w:hint="eastAsia" w:hAnsi="宋体"/>
                <w:color w:val="auto"/>
                <w:sz w:val="21"/>
                <w:szCs w:val="21"/>
              </w:rPr>
              <w:t>供应商应答索引表</w:t>
            </w:r>
          </w:p>
        </w:tc>
        <w:tc>
          <w:tcPr>
            <w:tcW w:w="834" w:type="pct"/>
            <w:tcBorders>
              <w:top w:val="single" w:color="000000" w:sz="6" w:space="0"/>
              <w:left w:val="single" w:color="000000" w:sz="6" w:space="0"/>
              <w:bottom w:val="single" w:color="000000" w:sz="6" w:space="0"/>
              <w:right w:val="single" w:color="000000" w:sz="6" w:space="0"/>
            </w:tcBorders>
            <w:vAlign w:val="center"/>
          </w:tcPr>
          <w:p w14:paraId="778736FA">
            <w:pPr>
              <w:snapToGrid w:val="0"/>
              <w:spacing w:line="360" w:lineRule="auto"/>
              <w:jc w:val="center"/>
              <w:rPr>
                <w:rFonts w:ascii="宋体" w:hAnsi="宋体" w:cs="微软雅黑"/>
                <w:color w:val="auto"/>
              </w:rPr>
            </w:pPr>
          </w:p>
        </w:tc>
        <w:tc>
          <w:tcPr>
            <w:tcW w:w="782" w:type="pct"/>
            <w:tcBorders>
              <w:top w:val="single" w:color="000000" w:sz="6" w:space="0"/>
              <w:left w:val="single" w:color="000000" w:sz="6" w:space="0"/>
              <w:bottom w:val="single" w:color="000000" w:sz="6" w:space="0"/>
              <w:right w:val="single" w:color="000000" w:sz="6" w:space="0"/>
            </w:tcBorders>
            <w:vAlign w:val="center"/>
          </w:tcPr>
          <w:p w14:paraId="266AC493">
            <w:pPr>
              <w:snapToGrid w:val="0"/>
              <w:spacing w:line="360" w:lineRule="auto"/>
              <w:rPr>
                <w:rFonts w:ascii="宋体" w:hAnsi="宋体" w:cs="微软雅黑"/>
                <w:color w:val="auto"/>
              </w:rPr>
            </w:pPr>
          </w:p>
        </w:tc>
        <w:tc>
          <w:tcPr>
            <w:tcW w:w="793" w:type="pct"/>
            <w:tcBorders>
              <w:top w:val="single" w:color="000000" w:sz="6" w:space="0"/>
              <w:left w:val="single" w:color="000000" w:sz="6" w:space="0"/>
              <w:bottom w:val="single" w:color="000000" w:sz="6" w:space="0"/>
              <w:right w:val="single" w:color="000000" w:sz="6" w:space="0"/>
            </w:tcBorders>
            <w:vAlign w:val="center"/>
          </w:tcPr>
          <w:p w14:paraId="142388B5">
            <w:pPr>
              <w:snapToGrid w:val="0"/>
              <w:spacing w:line="360" w:lineRule="auto"/>
              <w:rPr>
                <w:rFonts w:ascii="宋体" w:hAnsi="宋体" w:cs="微软雅黑"/>
                <w:color w:val="auto"/>
              </w:rPr>
            </w:pPr>
          </w:p>
        </w:tc>
      </w:tr>
      <w:tr w14:paraId="76556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50" w:type="pct"/>
            <w:tcBorders>
              <w:top w:val="single" w:color="000000" w:sz="6" w:space="0"/>
              <w:left w:val="single" w:color="000000" w:sz="6" w:space="0"/>
              <w:bottom w:val="single" w:color="000000" w:sz="6" w:space="0"/>
              <w:right w:val="single" w:color="000000" w:sz="6" w:space="0"/>
            </w:tcBorders>
            <w:vAlign w:val="center"/>
          </w:tcPr>
          <w:p w14:paraId="404D70E5">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2</w:t>
            </w:r>
          </w:p>
        </w:tc>
        <w:tc>
          <w:tcPr>
            <w:tcW w:w="2338" w:type="pct"/>
            <w:tcBorders>
              <w:top w:val="single" w:color="000000" w:sz="6" w:space="0"/>
              <w:left w:val="single" w:color="000000" w:sz="6" w:space="0"/>
              <w:bottom w:val="single" w:color="000000" w:sz="6" w:space="0"/>
              <w:right w:val="single" w:color="000000" w:sz="6" w:space="0"/>
            </w:tcBorders>
            <w:vAlign w:val="center"/>
          </w:tcPr>
          <w:p w14:paraId="7444C4E3">
            <w:pPr>
              <w:pStyle w:val="22"/>
              <w:kinsoku w:val="0"/>
              <w:overflowPunct w:val="0"/>
              <w:autoSpaceDE w:val="0"/>
              <w:autoSpaceDN w:val="0"/>
              <w:spacing w:line="360" w:lineRule="auto"/>
              <w:rPr>
                <w:rFonts w:hAnsi="宋体"/>
                <w:color w:val="auto"/>
                <w:sz w:val="21"/>
                <w:szCs w:val="21"/>
              </w:rPr>
            </w:pPr>
            <w:r>
              <w:rPr>
                <w:rFonts w:hint="eastAsia" w:hAnsi="宋体"/>
                <w:color w:val="auto"/>
                <w:sz w:val="21"/>
                <w:szCs w:val="21"/>
              </w:rPr>
              <w:t>磋商一览表</w:t>
            </w:r>
          </w:p>
        </w:tc>
        <w:tc>
          <w:tcPr>
            <w:tcW w:w="834" w:type="pct"/>
            <w:tcBorders>
              <w:top w:val="single" w:color="000000" w:sz="6" w:space="0"/>
              <w:left w:val="single" w:color="000000" w:sz="6" w:space="0"/>
              <w:bottom w:val="single" w:color="000000" w:sz="6" w:space="0"/>
              <w:right w:val="single" w:color="000000" w:sz="6" w:space="0"/>
            </w:tcBorders>
            <w:vAlign w:val="center"/>
          </w:tcPr>
          <w:p w14:paraId="28DA67A9">
            <w:pPr>
              <w:snapToGrid w:val="0"/>
              <w:spacing w:line="360" w:lineRule="auto"/>
              <w:jc w:val="center"/>
              <w:rPr>
                <w:rFonts w:ascii="宋体" w:hAnsi="宋体" w:cs="微软雅黑"/>
                <w:color w:val="auto"/>
              </w:rPr>
            </w:pPr>
          </w:p>
        </w:tc>
        <w:tc>
          <w:tcPr>
            <w:tcW w:w="782" w:type="pct"/>
            <w:tcBorders>
              <w:top w:val="single" w:color="000000" w:sz="6" w:space="0"/>
              <w:left w:val="single" w:color="000000" w:sz="6" w:space="0"/>
              <w:bottom w:val="single" w:color="000000" w:sz="6" w:space="0"/>
              <w:right w:val="single" w:color="000000" w:sz="6" w:space="0"/>
            </w:tcBorders>
            <w:vAlign w:val="center"/>
          </w:tcPr>
          <w:p w14:paraId="1D78022D">
            <w:pPr>
              <w:snapToGrid w:val="0"/>
              <w:spacing w:line="360" w:lineRule="auto"/>
              <w:rPr>
                <w:rFonts w:ascii="宋体" w:hAnsi="宋体" w:cs="微软雅黑"/>
                <w:color w:val="auto"/>
              </w:rPr>
            </w:pPr>
          </w:p>
        </w:tc>
        <w:tc>
          <w:tcPr>
            <w:tcW w:w="793" w:type="pct"/>
            <w:tcBorders>
              <w:top w:val="single" w:color="000000" w:sz="6" w:space="0"/>
              <w:left w:val="single" w:color="000000" w:sz="6" w:space="0"/>
              <w:bottom w:val="single" w:color="000000" w:sz="6" w:space="0"/>
              <w:right w:val="single" w:color="000000" w:sz="6" w:space="0"/>
            </w:tcBorders>
            <w:vAlign w:val="center"/>
          </w:tcPr>
          <w:p w14:paraId="16BC5C47">
            <w:pPr>
              <w:snapToGrid w:val="0"/>
              <w:spacing w:line="360" w:lineRule="auto"/>
              <w:rPr>
                <w:rFonts w:ascii="宋体" w:hAnsi="宋体" w:cs="微软雅黑"/>
                <w:color w:val="auto"/>
              </w:rPr>
            </w:pPr>
          </w:p>
        </w:tc>
      </w:tr>
      <w:tr w14:paraId="5D25E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50" w:type="pct"/>
            <w:tcBorders>
              <w:top w:val="single" w:color="000000" w:sz="6" w:space="0"/>
              <w:left w:val="single" w:color="000000" w:sz="6" w:space="0"/>
              <w:bottom w:val="single" w:color="000000" w:sz="6" w:space="0"/>
              <w:right w:val="single" w:color="000000" w:sz="6" w:space="0"/>
            </w:tcBorders>
            <w:vAlign w:val="center"/>
          </w:tcPr>
          <w:p w14:paraId="3192E566">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3</w:t>
            </w:r>
          </w:p>
        </w:tc>
        <w:tc>
          <w:tcPr>
            <w:tcW w:w="2338" w:type="pct"/>
            <w:tcBorders>
              <w:top w:val="single" w:color="000000" w:sz="6" w:space="0"/>
              <w:left w:val="single" w:color="000000" w:sz="6" w:space="0"/>
              <w:bottom w:val="single" w:color="000000" w:sz="6" w:space="0"/>
              <w:right w:val="single" w:color="000000" w:sz="6" w:space="0"/>
            </w:tcBorders>
            <w:vAlign w:val="center"/>
          </w:tcPr>
          <w:p w14:paraId="02224FE8">
            <w:pPr>
              <w:pStyle w:val="22"/>
              <w:kinsoku w:val="0"/>
              <w:overflowPunct w:val="0"/>
              <w:autoSpaceDE w:val="0"/>
              <w:autoSpaceDN w:val="0"/>
              <w:spacing w:line="360" w:lineRule="auto"/>
              <w:rPr>
                <w:rFonts w:hAnsi="宋体" w:cs="微软雅黑"/>
                <w:bCs/>
                <w:color w:val="auto"/>
                <w:sz w:val="21"/>
                <w:szCs w:val="21"/>
              </w:rPr>
            </w:pPr>
            <w:r>
              <w:rPr>
                <w:rFonts w:hint="eastAsia" w:hAnsi="宋体"/>
                <w:color w:val="auto"/>
                <w:sz w:val="21"/>
                <w:szCs w:val="21"/>
              </w:rPr>
              <w:t>投标函</w:t>
            </w:r>
          </w:p>
        </w:tc>
        <w:tc>
          <w:tcPr>
            <w:tcW w:w="834" w:type="pct"/>
            <w:tcBorders>
              <w:top w:val="single" w:color="000000" w:sz="6" w:space="0"/>
              <w:left w:val="single" w:color="000000" w:sz="6" w:space="0"/>
              <w:bottom w:val="single" w:color="000000" w:sz="6" w:space="0"/>
              <w:right w:val="single" w:color="000000" w:sz="6" w:space="0"/>
            </w:tcBorders>
            <w:vAlign w:val="center"/>
          </w:tcPr>
          <w:p w14:paraId="52AE75F4">
            <w:pPr>
              <w:snapToGrid w:val="0"/>
              <w:spacing w:line="360" w:lineRule="auto"/>
              <w:jc w:val="center"/>
              <w:rPr>
                <w:rFonts w:ascii="宋体" w:hAnsi="宋体" w:cs="微软雅黑"/>
                <w:color w:val="auto"/>
              </w:rPr>
            </w:pPr>
          </w:p>
        </w:tc>
        <w:tc>
          <w:tcPr>
            <w:tcW w:w="782" w:type="pct"/>
            <w:tcBorders>
              <w:top w:val="single" w:color="000000" w:sz="6" w:space="0"/>
              <w:left w:val="single" w:color="000000" w:sz="6" w:space="0"/>
              <w:bottom w:val="single" w:color="000000" w:sz="6" w:space="0"/>
              <w:right w:val="single" w:color="000000" w:sz="6" w:space="0"/>
            </w:tcBorders>
            <w:vAlign w:val="center"/>
          </w:tcPr>
          <w:p w14:paraId="7FA510A2">
            <w:pPr>
              <w:snapToGrid w:val="0"/>
              <w:spacing w:line="360" w:lineRule="auto"/>
              <w:rPr>
                <w:rFonts w:ascii="宋体" w:hAnsi="宋体" w:cs="微软雅黑"/>
                <w:color w:val="auto"/>
              </w:rPr>
            </w:pPr>
          </w:p>
        </w:tc>
        <w:tc>
          <w:tcPr>
            <w:tcW w:w="793" w:type="pct"/>
            <w:tcBorders>
              <w:top w:val="single" w:color="000000" w:sz="6" w:space="0"/>
              <w:left w:val="single" w:color="000000" w:sz="6" w:space="0"/>
              <w:bottom w:val="single" w:color="000000" w:sz="6" w:space="0"/>
              <w:right w:val="single" w:color="000000" w:sz="6" w:space="0"/>
            </w:tcBorders>
            <w:vAlign w:val="center"/>
          </w:tcPr>
          <w:p w14:paraId="6523029E">
            <w:pPr>
              <w:snapToGrid w:val="0"/>
              <w:spacing w:line="360" w:lineRule="auto"/>
              <w:rPr>
                <w:rFonts w:ascii="宋体" w:hAnsi="宋体" w:cs="微软雅黑"/>
                <w:color w:val="auto"/>
              </w:rPr>
            </w:pPr>
          </w:p>
        </w:tc>
      </w:tr>
      <w:tr w14:paraId="64637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50" w:type="pct"/>
            <w:tcBorders>
              <w:top w:val="single" w:color="000000" w:sz="6" w:space="0"/>
              <w:left w:val="single" w:color="000000" w:sz="6" w:space="0"/>
              <w:bottom w:val="single" w:color="000000" w:sz="6" w:space="0"/>
              <w:right w:val="single" w:color="000000" w:sz="6" w:space="0"/>
            </w:tcBorders>
            <w:vAlign w:val="center"/>
          </w:tcPr>
          <w:p w14:paraId="1F0ADF10">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4</w:t>
            </w:r>
          </w:p>
        </w:tc>
        <w:tc>
          <w:tcPr>
            <w:tcW w:w="2338" w:type="pct"/>
            <w:tcBorders>
              <w:top w:val="single" w:color="000000" w:sz="6" w:space="0"/>
              <w:left w:val="single" w:color="000000" w:sz="6" w:space="0"/>
              <w:bottom w:val="single" w:color="000000" w:sz="6" w:space="0"/>
              <w:right w:val="single" w:color="000000" w:sz="6" w:space="0"/>
            </w:tcBorders>
            <w:vAlign w:val="center"/>
          </w:tcPr>
          <w:p w14:paraId="5A50C87B">
            <w:pPr>
              <w:pStyle w:val="22"/>
              <w:kinsoku w:val="0"/>
              <w:overflowPunct w:val="0"/>
              <w:autoSpaceDE w:val="0"/>
              <w:autoSpaceDN w:val="0"/>
              <w:spacing w:line="360" w:lineRule="auto"/>
              <w:rPr>
                <w:rFonts w:hAnsi="宋体"/>
                <w:color w:val="auto"/>
                <w:sz w:val="21"/>
                <w:szCs w:val="21"/>
              </w:rPr>
            </w:pPr>
            <w:r>
              <w:rPr>
                <w:rFonts w:hint="eastAsia" w:ascii="宋体" w:hAnsi="宋体" w:cs="宋体"/>
                <w:bCs/>
                <w:color w:val="auto"/>
                <w:sz w:val="21"/>
                <w:szCs w:val="21"/>
                <w:lang w:val="zh-CN"/>
              </w:rPr>
              <w:t>法定代表人（单位负责人）资格证明书</w:t>
            </w:r>
          </w:p>
        </w:tc>
        <w:tc>
          <w:tcPr>
            <w:tcW w:w="834" w:type="pct"/>
            <w:tcBorders>
              <w:top w:val="single" w:color="000000" w:sz="6" w:space="0"/>
              <w:left w:val="single" w:color="000000" w:sz="6" w:space="0"/>
              <w:bottom w:val="single" w:color="000000" w:sz="6" w:space="0"/>
              <w:right w:val="single" w:color="000000" w:sz="6" w:space="0"/>
            </w:tcBorders>
            <w:vAlign w:val="center"/>
          </w:tcPr>
          <w:p w14:paraId="674B09EC">
            <w:pPr>
              <w:snapToGrid w:val="0"/>
              <w:spacing w:line="360" w:lineRule="auto"/>
              <w:jc w:val="center"/>
              <w:rPr>
                <w:rFonts w:ascii="宋体" w:hAnsi="宋体" w:cs="微软雅黑"/>
                <w:color w:val="auto"/>
              </w:rPr>
            </w:pPr>
          </w:p>
        </w:tc>
        <w:tc>
          <w:tcPr>
            <w:tcW w:w="782" w:type="pct"/>
            <w:tcBorders>
              <w:top w:val="single" w:color="000000" w:sz="6" w:space="0"/>
              <w:left w:val="single" w:color="000000" w:sz="6" w:space="0"/>
              <w:bottom w:val="single" w:color="000000" w:sz="6" w:space="0"/>
              <w:right w:val="single" w:color="000000" w:sz="6" w:space="0"/>
            </w:tcBorders>
            <w:vAlign w:val="center"/>
          </w:tcPr>
          <w:p w14:paraId="1965AB61">
            <w:pPr>
              <w:snapToGrid w:val="0"/>
              <w:spacing w:line="360" w:lineRule="auto"/>
              <w:rPr>
                <w:rFonts w:ascii="宋体" w:hAnsi="宋体" w:cs="微软雅黑"/>
                <w:color w:val="auto"/>
              </w:rPr>
            </w:pPr>
          </w:p>
        </w:tc>
        <w:tc>
          <w:tcPr>
            <w:tcW w:w="793" w:type="pct"/>
            <w:tcBorders>
              <w:top w:val="single" w:color="000000" w:sz="6" w:space="0"/>
              <w:left w:val="single" w:color="000000" w:sz="6" w:space="0"/>
              <w:bottom w:val="single" w:color="000000" w:sz="6" w:space="0"/>
              <w:right w:val="single" w:color="000000" w:sz="6" w:space="0"/>
            </w:tcBorders>
            <w:vAlign w:val="center"/>
          </w:tcPr>
          <w:p w14:paraId="02ADDE58">
            <w:pPr>
              <w:snapToGrid w:val="0"/>
              <w:spacing w:line="360" w:lineRule="auto"/>
              <w:rPr>
                <w:rFonts w:ascii="宋体" w:hAnsi="宋体" w:cs="微软雅黑"/>
                <w:color w:val="auto"/>
              </w:rPr>
            </w:pPr>
          </w:p>
        </w:tc>
      </w:tr>
      <w:tr w14:paraId="32FEB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50" w:type="pct"/>
            <w:tcBorders>
              <w:top w:val="single" w:color="000000" w:sz="6" w:space="0"/>
              <w:left w:val="single" w:color="000000" w:sz="6" w:space="0"/>
              <w:bottom w:val="single" w:color="000000" w:sz="6" w:space="0"/>
              <w:right w:val="single" w:color="000000" w:sz="6" w:space="0"/>
            </w:tcBorders>
            <w:vAlign w:val="center"/>
          </w:tcPr>
          <w:p w14:paraId="7C3EB2B9">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5</w:t>
            </w:r>
          </w:p>
        </w:tc>
        <w:tc>
          <w:tcPr>
            <w:tcW w:w="2338" w:type="pct"/>
            <w:tcBorders>
              <w:top w:val="single" w:color="000000" w:sz="6" w:space="0"/>
              <w:left w:val="single" w:color="000000" w:sz="6" w:space="0"/>
              <w:bottom w:val="single" w:color="000000" w:sz="6" w:space="0"/>
              <w:right w:val="single" w:color="000000" w:sz="6" w:space="0"/>
            </w:tcBorders>
            <w:vAlign w:val="center"/>
          </w:tcPr>
          <w:p w14:paraId="008AFEF5">
            <w:pPr>
              <w:pStyle w:val="22"/>
              <w:kinsoku w:val="0"/>
              <w:overflowPunct w:val="0"/>
              <w:autoSpaceDE w:val="0"/>
              <w:autoSpaceDN w:val="0"/>
              <w:spacing w:line="360" w:lineRule="auto"/>
              <w:rPr>
                <w:rFonts w:hAnsi="宋体"/>
                <w:color w:val="auto"/>
                <w:sz w:val="21"/>
                <w:szCs w:val="21"/>
              </w:rPr>
            </w:pPr>
            <w:r>
              <w:rPr>
                <w:rFonts w:hint="eastAsia" w:hAnsi="宋体"/>
                <w:color w:val="auto"/>
                <w:sz w:val="21"/>
                <w:szCs w:val="21"/>
              </w:rPr>
              <w:t>法定代表人（单位负责人）授权书</w:t>
            </w:r>
          </w:p>
        </w:tc>
        <w:tc>
          <w:tcPr>
            <w:tcW w:w="834" w:type="pct"/>
            <w:tcBorders>
              <w:top w:val="single" w:color="000000" w:sz="6" w:space="0"/>
              <w:left w:val="single" w:color="000000" w:sz="6" w:space="0"/>
              <w:bottom w:val="single" w:color="000000" w:sz="6" w:space="0"/>
              <w:right w:val="single" w:color="000000" w:sz="6" w:space="0"/>
            </w:tcBorders>
            <w:vAlign w:val="center"/>
          </w:tcPr>
          <w:p w14:paraId="71E8DB6A">
            <w:pPr>
              <w:snapToGrid w:val="0"/>
              <w:spacing w:line="360" w:lineRule="auto"/>
              <w:jc w:val="center"/>
              <w:rPr>
                <w:rFonts w:ascii="宋体" w:hAnsi="宋体" w:cs="微软雅黑"/>
                <w:color w:val="auto"/>
              </w:rPr>
            </w:pPr>
          </w:p>
        </w:tc>
        <w:tc>
          <w:tcPr>
            <w:tcW w:w="782" w:type="pct"/>
            <w:tcBorders>
              <w:top w:val="single" w:color="000000" w:sz="6" w:space="0"/>
              <w:left w:val="single" w:color="000000" w:sz="6" w:space="0"/>
              <w:bottom w:val="single" w:color="000000" w:sz="6" w:space="0"/>
              <w:right w:val="single" w:color="000000" w:sz="6" w:space="0"/>
            </w:tcBorders>
            <w:vAlign w:val="center"/>
          </w:tcPr>
          <w:p w14:paraId="09124F0E">
            <w:pPr>
              <w:snapToGrid w:val="0"/>
              <w:spacing w:line="360" w:lineRule="auto"/>
              <w:rPr>
                <w:rFonts w:ascii="宋体" w:hAnsi="宋体" w:cs="微软雅黑"/>
                <w:color w:val="auto"/>
              </w:rPr>
            </w:pPr>
          </w:p>
        </w:tc>
        <w:tc>
          <w:tcPr>
            <w:tcW w:w="793" w:type="pct"/>
            <w:tcBorders>
              <w:top w:val="single" w:color="000000" w:sz="6" w:space="0"/>
              <w:left w:val="single" w:color="000000" w:sz="6" w:space="0"/>
              <w:bottom w:val="single" w:color="000000" w:sz="6" w:space="0"/>
              <w:right w:val="single" w:color="000000" w:sz="6" w:space="0"/>
            </w:tcBorders>
            <w:vAlign w:val="center"/>
          </w:tcPr>
          <w:p w14:paraId="540D744A">
            <w:pPr>
              <w:snapToGrid w:val="0"/>
              <w:spacing w:line="360" w:lineRule="auto"/>
              <w:rPr>
                <w:rFonts w:ascii="宋体" w:hAnsi="宋体" w:cs="微软雅黑"/>
                <w:color w:val="auto"/>
              </w:rPr>
            </w:pPr>
          </w:p>
        </w:tc>
      </w:tr>
      <w:tr w14:paraId="0EE46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50" w:type="pct"/>
            <w:tcBorders>
              <w:top w:val="single" w:color="000000" w:sz="6" w:space="0"/>
              <w:left w:val="single" w:color="000000" w:sz="6" w:space="0"/>
              <w:bottom w:val="single" w:color="000000" w:sz="6" w:space="0"/>
              <w:right w:val="single" w:color="000000" w:sz="6" w:space="0"/>
            </w:tcBorders>
            <w:vAlign w:val="center"/>
          </w:tcPr>
          <w:p w14:paraId="58BBC8B8">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6</w:t>
            </w:r>
          </w:p>
        </w:tc>
        <w:tc>
          <w:tcPr>
            <w:tcW w:w="2338" w:type="pct"/>
            <w:tcBorders>
              <w:top w:val="single" w:color="000000" w:sz="6" w:space="0"/>
              <w:left w:val="single" w:color="000000" w:sz="6" w:space="0"/>
              <w:bottom w:val="single" w:color="000000" w:sz="6" w:space="0"/>
              <w:right w:val="single" w:color="000000" w:sz="6" w:space="0"/>
            </w:tcBorders>
            <w:vAlign w:val="center"/>
          </w:tcPr>
          <w:p w14:paraId="3FC31828">
            <w:pPr>
              <w:pStyle w:val="22"/>
              <w:kinsoku w:val="0"/>
              <w:overflowPunct w:val="0"/>
              <w:autoSpaceDE w:val="0"/>
              <w:autoSpaceDN w:val="0"/>
              <w:spacing w:line="360" w:lineRule="auto"/>
              <w:rPr>
                <w:rFonts w:hAnsi="宋体" w:cs="微软雅黑"/>
                <w:bCs/>
                <w:color w:val="auto"/>
                <w:sz w:val="21"/>
                <w:szCs w:val="21"/>
              </w:rPr>
            </w:pPr>
            <w:r>
              <w:rPr>
                <w:rFonts w:hint="eastAsia" w:ascii="宋体" w:hAnsi="宋体" w:cs="宋体"/>
                <w:bCs/>
                <w:color w:val="auto"/>
                <w:sz w:val="21"/>
                <w:szCs w:val="21"/>
                <w:lang w:val="zh-CN"/>
              </w:rPr>
              <w:t>磋商承诺函</w:t>
            </w:r>
          </w:p>
        </w:tc>
        <w:tc>
          <w:tcPr>
            <w:tcW w:w="834" w:type="pct"/>
            <w:tcBorders>
              <w:top w:val="single" w:color="000000" w:sz="6" w:space="0"/>
              <w:left w:val="single" w:color="000000" w:sz="6" w:space="0"/>
              <w:bottom w:val="single" w:color="000000" w:sz="6" w:space="0"/>
              <w:right w:val="single" w:color="000000" w:sz="6" w:space="0"/>
            </w:tcBorders>
            <w:vAlign w:val="center"/>
          </w:tcPr>
          <w:p w14:paraId="7881A065">
            <w:pPr>
              <w:snapToGrid w:val="0"/>
              <w:spacing w:line="360" w:lineRule="auto"/>
              <w:jc w:val="center"/>
              <w:rPr>
                <w:rFonts w:ascii="宋体" w:hAnsi="宋体" w:cs="微软雅黑"/>
                <w:color w:val="auto"/>
              </w:rPr>
            </w:pPr>
          </w:p>
        </w:tc>
        <w:tc>
          <w:tcPr>
            <w:tcW w:w="782" w:type="pct"/>
            <w:tcBorders>
              <w:top w:val="single" w:color="000000" w:sz="6" w:space="0"/>
              <w:left w:val="single" w:color="000000" w:sz="6" w:space="0"/>
              <w:bottom w:val="single" w:color="000000" w:sz="6" w:space="0"/>
              <w:right w:val="single" w:color="000000" w:sz="6" w:space="0"/>
            </w:tcBorders>
            <w:vAlign w:val="center"/>
          </w:tcPr>
          <w:p w14:paraId="03AB3131">
            <w:pPr>
              <w:snapToGrid w:val="0"/>
              <w:spacing w:line="360" w:lineRule="auto"/>
              <w:rPr>
                <w:rFonts w:ascii="宋体" w:hAnsi="宋体" w:cs="微软雅黑"/>
                <w:color w:val="auto"/>
              </w:rPr>
            </w:pPr>
          </w:p>
        </w:tc>
        <w:tc>
          <w:tcPr>
            <w:tcW w:w="793" w:type="pct"/>
            <w:tcBorders>
              <w:top w:val="single" w:color="000000" w:sz="6" w:space="0"/>
              <w:left w:val="single" w:color="000000" w:sz="6" w:space="0"/>
              <w:bottom w:val="single" w:color="000000" w:sz="6" w:space="0"/>
              <w:right w:val="single" w:color="000000" w:sz="6" w:space="0"/>
            </w:tcBorders>
            <w:vAlign w:val="center"/>
          </w:tcPr>
          <w:p w14:paraId="0610E2EF">
            <w:pPr>
              <w:snapToGrid w:val="0"/>
              <w:spacing w:line="360" w:lineRule="auto"/>
              <w:rPr>
                <w:rFonts w:ascii="宋体" w:hAnsi="宋体" w:cs="微软雅黑"/>
                <w:color w:val="auto"/>
              </w:rPr>
            </w:pPr>
          </w:p>
        </w:tc>
      </w:tr>
      <w:tr w14:paraId="17CC4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50" w:type="pct"/>
            <w:tcBorders>
              <w:top w:val="single" w:color="000000" w:sz="6" w:space="0"/>
              <w:left w:val="single" w:color="000000" w:sz="6" w:space="0"/>
              <w:bottom w:val="single" w:color="000000" w:sz="6" w:space="0"/>
              <w:right w:val="single" w:color="000000" w:sz="6" w:space="0"/>
            </w:tcBorders>
            <w:vAlign w:val="center"/>
          </w:tcPr>
          <w:p w14:paraId="4C34F273">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7</w:t>
            </w:r>
          </w:p>
        </w:tc>
        <w:tc>
          <w:tcPr>
            <w:tcW w:w="2338" w:type="pct"/>
            <w:tcBorders>
              <w:top w:val="single" w:color="000000" w:sz="6" w:space="0"/>
              <w:left w:val="single" w:color="000000" w:sz="6" w:space="0"/>
              <w:bottom w:val="single" w:color="000000" w:sz="6" w:space="0"/>
              <w:right w:val="single" w:color="000000" w:sz="6" w:space="0"/>
            </w:tcBorders>
            <w:vAlign w:val="center"/>
          </w:tcPr>
          <w:p w14:paraId="6B4F8A12">
            <w:pPr>
              <w:pStyle w:val="22"/>
              <w:kinsoku w:val="0"/>
              <w:overflowPunct w:val="0"/>
              <w:autoSpaceDE w:val="0"/>
              <w:autoSpaceDN w:val="0"/>
              <w:spacing w:line="360" w:lineRule="auto"/>
              <w:rPr>
                <w:rFonts w:hAnsi="宋体" w:cs="微软雅黑"/>
                <w:bCs/>
                <w:color w:val="auto"/>
                <w:sz w:val="21"/>
                <w:szCs w:val="21"/>
              </w:rPr>
            </w:pPr>
            <w:r>
              <w:rPr>
                <w:rFonts w:hint="eastAsia" w:hAnsi="宋体"/>
                <w:color w:val="auto"/>
                <w:sz w:val="21"/>
                <w:szCs w:val="21"/>
              </w:rPr>
              <w:t>襄城县政府采购供应商信用承诺函</w:t>
            </w:r>
          </w:p>
        </w:tc>
        <w:tc>
          <w:tcPr>
            <w:tcW w:w="834" w:type="pct"/>
            <w:tcBorders>
              <w:top w:val="single" w:color="000000" w:sz="6" w:space="0"/>
              <w:left w:val="single" w:color="000000" w:sz="6" w:space="0"/>
              <w:bottom w:val="single" w:color="000000" w:sz="6" w:space="0"/>
              <w:right w:val="single" w:color="000000" w:sz="6" w:space="0"/>
            </w:tcBorders>
            <w:vAlign w:val="center"/>
          </w:tcPr>
          <w:p w14:paraId="0BAF41A9">
            <w:pPr>
              <w:spacing w:line="360" w:lineRule="auto"/>
              <w:jc w:val="center"/>
              <w:rPr>
                <w:color w:val="auto"/>
              </w:rPr>
            </w:pPr>
          </w:p>
        </w:tc>
        <w:tc>
          <w:tcPr>
            <w:tcW w:w="782" w:type="pct"/>
            <w:tcBorders>
              <w:top w:val="single" w:color="000000" w:sz="6" w:space="0"/>
              <w:left w:val="single" w:color="000000" w:sz="6" w:space="0"/>
              <w:bottom w:val="single" w:color="000000" w:sz="6" w:space="0"/>
              <w:right w:val="single" w:color="000000" w:sz="6" w:space="0"/>
            </w:tcBorders>
            <w:vAlign w:val="center"/>
          </w:tcPr>
          <w:p w14:paraId="19A89731">
            <w:pPr>
              <w:snapToGrid w:val="0"/>
              <w:spacing w:line="360" w:lineRule="auto"/>
              <w:rPr>
                <w:rFonts w:ascii="宋体" w:hAnsi="宋体" w:cs="微软雅黑"/>
                <w:color w:val="auto"/>
              </w:rPr>
            </w:pPr>
          </w:p>
        </w:tc>
        <w:tc>
          <w:tcPr>
            <w:tcW w:w="793" w:type="pct"/>
            <w:tcBorders>
              <w:top w:val="single" w:color="000000" w:sz="6" w:space="0"/>
              <w:left w:val="single" w:color="000000" w:sz="6" w:space="0"/>
              <w:bottom w:val="single" w:color="000000" w:sz="6" w:space="0"/>
              <w:right w:val="single" w:color="000000" w:sz="6" w:space="0"/>
            </w:tcBorders>
            <w:vAlign w:val="center"/>
          </w:tcPr>
          <w:p w14:paraId="677D9B48">
            <w:pPr>
              <w:snapToGrid w:val="0"/>
              <w:spacing w:line="360" w:lineRule="auto"/>
              <w:rPr>
                <w:rFonts w:ascii="宋体" w:hAnsi="宋体" w:cs="微软雅黑"/>
                <w:color w:val="auto"/>
              </w:rPr>
            </w:pPr>
          </w:p>
        </w:tc>
      </w:tr>
      <w:tr w14:paraId="454F1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50" w:type="pct"/>
            <w:tcBorders>
              <w:top w:val="single" w:color="000000" w:sz="6" w:space="0"/>
              <w:left w:val="single" w:color="000000" w:sz="6" w:space="0"/>
              <w:bottom w:val="single" w:color="000000" w:sz="6" w:space="0"/>
              <w:right w:val="single" w:color="000000" w:sz="6" w:space="0"/>
            </w:tcBorders>
            <w:vAlign w:val="center"/>
          </w:tcPr>
          <w:p w14:paraId="31A39C41">
            <w:pPr>
              <w:adjustRightInd w:val="0"/>
              <w:snapToGrid w:val="0"/>
              <w:spacing w:line="360" w:lineRule="auto"/>
              <w:jc w:val="center"/>
              <w:textAlignment w:val="baseline"/>
              <w:rPr>
                <w:rFonts w:ascii="宋体" w:hAnsi="宋体" w:cs="宋体"/>
                <w:bCs/>
                <w:color w:val="auto"/>
                <w:lang w:val="zh-CN"/>
              </w:rPr>
            </w:pPr>
            <w:r>
              <w:rPr>
                <w:rFonts w:hint="eastAsia" w:ascii="宋体" w:hAnsi="宋体" w:cs="宋体"/>
                <w:bCs/>
                <w:color w:val="auto"/>
                <w:lang w:val="zh-CN"/>
              </w:rPr>
              <w:t>8</w:t>
            </w:r>
          </w:p>
        </w:tc>
        <w:tc>
          <w:tcPr>
            <w:tcW w:w="2338" w:type="pct"/>
            <w:tcBorders>
              <w:top w:val="single" w:color="000000" w:sz="6" w:space="0"/>
              <w:left w:val="single" w:color="000000" w:sz="6" w:space="0"/>
              <w:bottom w:val="single" w:color="000000" w:sz="6" w:space="0"/>
              <w:right w:val="single" w:color="000000" w:sz="6" w:space="0"/>
            </w:tcBorders>
            <w:vAlign w:val="center"/>
          </w:tcPr>
          <w:p w14:paraId="028547FC">
            <w:pPr>
              <w:pStyle w:val="22"/>
              <w:kinsoku w:val="0"/>
              <w:overflowPunct w:val="0"/>
              <w:autoSpaceDE w:val="0"/>
              <w:autoSpaceDN w:val="0"/>
              <w:spacing w:line="360" w:lineRule="auto"/>
              <w:rPr>
                <w:rFonts w:ascii="宋体" w:hAnsi="宋体" w:cs="宋体"/>
                <w:bCs/>
                <w:color w:val="auto"/>
                <w:sz w:val="21"/>
                <w:szCs w:val="21"/>
                <w:lang w:val="zh-CN"/>
              </w:rPr>
            </w:pPr>
            <w:r>
              <w:rPr>
                <w:rFonts w:hint="eastAsia" w:ascii="宋体" w:hAnsi="宋体" w:cs="宋体"/>
                <w:bCs/>
                <w:color w:val="auto"/>
                <w:sz w:val="21"/>
                <w:szCs w:val="21"/>
                <w:lang w:val="zh-CN"/>
              </w:rPr>
              <w:t>联合体协议（</w:t>
            </w:r>
            <w:r>
              <w:rPr>
                <w:rFonts w:hint="eastAsia" w:ascii="宋体" w:hAnsi="宋体" w:cs="宋体"/>
                <w:bCs/>
                <w:color w:val="auto"/>
                <w:sz w:val="21"/>
                <w:szCs w:val="21"/>
              </w:rPr>
              <w:t>若有</w:t>
            </w:r>
            <w:r>
              <w:rPr>
                <w:rFonts w:hint="eastAsia" w:ascii="宋体" w:hAnsi="宋体" w:cs="宋体"/>
                <w:bCs/>
                <w:color w:val="auto"/>
                <w:sz w:val="21"/>
                <w:szCs w:val="21"/>
                <w:lang w:val="zh-CN"/>
              </w:rPr>
              <w:t>）</w:t>
            </w:r>
          </w:p>
        </w:tc>
        <w:tc>
          <w:tcPr>
            <w:tcW w:w="834" w:type="pct"/>
            <w:tcBorders>
              <w:top w:val="single" w:color="000000" w:sz="6" w:space="0"/>
              <w:left w:val="single" w:color="000000" w:sz="6" w:space="0"/>
              <w:bottom w:val="single" w:color="000000" w:sz="6" w:space="0"/>
              <w:right w:val="single" w:color="000000" w:sz="6" w:space="0"/>
            </w:tcBorders>
            <w:vAlign w:val="center"/>
          </w:tcPr>
          <w:p w14:paraId="7D2CF22E">
            <w:pPr>
              <w:spacing w:line="360" w:lineRule="auto"/>
              <w:jc w:val="center"/>
              <w:rPr>
                <w:color w:val="auto"/>
              </w:rPr>
            </w:pPr>
          </w:p>
        </w:tc>
        <w:tc>
          <w:tcPr>
            <w:tcW w:w="782" w:type="pct"/>
            <w:tcBorders>
              <w:top w:val="single" w:color="000000" w:sz="6" w:space="0"/>
              <w:left w:val="single" w:color="000000" w:sz="6" w:space="0"/>
              <w:bottom w:val="single" w:color="000000" w:sz="6" w:space="0"/>
              <w:right w:val="single" w:color="000000" w:sz="6" w:space="0"/>
            </w:tcBorders>
            <w:vAlign w:val="center"/>
          </w:tcPr>
          <w:p w14:paraId="5A49A76A">
            <w:pPr>
              <w:snapToGrid w:val="0"/>
              <w:spacing w:line="360" w:lineRule="auto"/>
              <w:rPr>
                <w:rFonts w:ascii="宋体" w:hAnsi="宋体" w:cs="微软雅黑"/>
                <w:color w:val="auto"/>
              </w:rPr>
            </w:pPr>
          </w:p>
        </w:tc>
        <w:tc>
          <w:tcPr>
            <w:tcW w:w="793" w:type="pct"/>
            <w:tcBorders>
              <w:top w:val="single" w:color="000000" w:sz="6" w:space="0"/>
              <w:left w:val="single" w:color="000000" w:sz="6" w:space="0"/>
              <w:bottom w:val="single" w:color="000000" w:sz="6" w:space="0"/>
              <w:right w:val="single" w:color="000000" w:sz="6" w:space="0"/>
            </w:tcBorders>
            <w:vAlign w:val="center"/>
          </w:tcPr>
          <w:p w14:paraId="0577DA3A">
            <w:pPr>
              <w:snapToGrid w:val="0"/>
              <w:spacing w:line="360" w:lineRule="auto"/>
              <w:rPr>
                <w:rFonts w:ascii="宋体" w:hAnsi="宋体" w:cs="微软雅黑"/>
                <w:color w:val="auto"/>
              </w:rPr>
            </w:pPr>
          </w:p>
        </w:tc>
      </w:tr>
      <w:tr w14:paraId="030A0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50" w:type="pct"/>
            <w:tcBorders>
              <w:top w:val="single" w:color="000000" w:sz="6" w:space="0"/>
              <w:left w:val="single" w:color="000000" w:sz="6" w:space="0"/>
              <w:bottom w:val="single" w:color="000000" w:sz="6" w:space="0"/>
              <w:right w:val="single" w:color="000000" w:sz="6" w:space="0"/>
            </w:tcBorders>
            <w:vAlign w:val="center"/>
          </w:tcPr>
          <w:p w14:paraId="15B6CDE0">
            <w:pPr>
              <w:adjustRightInd w:val="0"/>
              <w:snapToGrid w:val="0"/>
              <w:spacing w:line="360" w:lineRule="auto"/>
              <w:jc w:val="center"/>
              <w:textAlignment w:val="baseline"/>
              <w:rPr>
                <w:rFonts w:ascii="宋体" w:hAnsi="宋体" w:cs="宋体"/>
                <w:bCs/>
                <w:color w:val="auto"/>
                <w:lang w:val="zh-CN"/>
              </w:rPr>
            </w:pPr>
            <w:r>
              <w:rPr>
                <w:rFonts w:hint="eastAsia" w:ascii="宋体" w:hAnsi="宋体" w:cs="宋体"/>
                <w:bCs/>
                <w:color w:val="auto"/>
                <w:lang w:val="zh-CN"/>
              </w:rPr>
              <w:t>9</w:t>
            </w:r>
          </w:p>
        </w:tc>
        <w:tc>
          <w:tcPr>
            <w:tcW w:w="2338" w:type="pct"/>
            <w:tcBorders>
              <w:top w:val="single" w:color="000000" w:sz="6" w:space="0"/>
              <w:left w:val="single" w:color="000000" w:sz="6" w:space="0"/>
              <w:bottom w:val="single" w:color="000000" w:sz="6" w:space="0"/>
              <w:right w:val="single" w:color="000000" w:sz="6" w:space="0"/>
            </w:tcBorders>
            <w:vAlign w:val="center"/>
          </w:tcPr>
          <w:p w14:paraId="6D69842D">
            <w:pPr>
              <w:pStyle w:val="22"/>
              <w:kinsoku w:val="0"/>
              <w:overflowPunct w:val="0"/>
              <w:autoSpaceDE w:val="0"/>
              <w:autoSpaceDN w:val="0"/>
              <w:spacing w:line="360" w:lineRule="auto"/>
              <w:rPr>
                <w:rFonts w:ascii="宋体" w:hAnsi="宋体" w:cs="宋体"/>
                <w:bCs/>
                <w:color w:val="auto"/>
                <w:sz w:val="21"/>
                <w:szCs w:val="21"/>
                <w:lang w:val="zh-CN"/>
              </w:rPr>
            </w:pPr>
            <w:r>
              <w:rPr>
                <w:rFonts w:hint="eastAsia" w:ascii="宋体" w:hAnsi="宋体" w:cs="宋体"/>
                <w:bCs/>
                <w:color w:val="auto"/>
                <w:sz w:val="21"/>
                <w:szCs w:val="21"/>
                <w:lang w:val="zh-CN"/>
              </w:rPr>
              <w:t>供应商与参加本项目响应的其他供应商之间，单位负责人不为同一人并且不存在直接控股、管理关系承诺函</w:t>
            </w:r>
          </w:p>
        </w:tc>
        <w:tc>
          <w:tcPr>
            <w:tcW w:w="834" w:type="pct"/>
            <w:tcBorders>
              <w:top w:val="single" w:color="000000" w:sz="6" w:space="0"/>
              <w:left w:val="single" w:color="000000" w:sz="6" w:space="0"/>
              <w:bottom w:val="single" w:color="000000" w:sz="6" w:space="0"/>
              <w:right w:val="single" w:color="000000" w:sz="6" w:space="0"/>
            </w:tcBorders>
            <w:vAlign w:val="center"/>
          </w:tcPr>
          <w:p w14:paraId="11F7A103">
            <w:pPr>
              <w:spacing w:line="360" w:lineRule="auto"/>
              <w:jc w:val="center"/>
              <w:rPr>
                <w:color w:val="auto"/>
              </w:rPr>
            </w:pPr>
          </w:p>
        </w:tc>
        <w:tc>
          <w:tcPr>
            <w:tcW w:w="782" w:type="pct"/>
            <w:tcBorders>
              <w:top w:val="single" w:color="000000" w:sz="6" w:space="0"/>
              <w:left w:val="single" w:color="000000" w:sz="6" w:space="0"/>
              <w:bottom w:val="single" w:color="000000" w:sz="6" w:space="0"/>
              <w:right w:val="single" w:color="000000" w:sz="6" w:space="0"/>
            </w:tcBorders>
            <w:vAlign w:val="center"/>
          </w:tcPr>
          <w:p w14:paraId="403405EF">
            <w:pPr>
              <w:snapToGrid w:val="0"/>
              <w:spacing w:line="360" w:lineRule="auto"/>
              <w:rPr>
                <w:rFonts w:ascii="宋体" w:hAnsi="宋体" w:cs="微软雅黑"/>
                <w:color w:val="auto"/>
              </w:rPr>
            </w:pPr>
          </w:p>
        </w:tc>
        <w:tc>
          <w:tcPr>
            <w:tcW w:w="793" w:type="pct"/>
            <w:tcBorders>
              <w:top w:val="single" w:color="000000" w:sz="6" w:space="0"/>
              <w:left w:val="single" w:color="000000" w:sz="6" w:space="0"/>
              <w:bottom w:val="single" w:color="000000" w:sz="6" w:space="0"/>
              <w:right w:val="single" w:color="000000" w:sz="6" w:space="0"/>
            </w:tcBorders>
            <w:vAlign w:val="center"/>
          </w:tcPr>
          <w:p w14:paraId="229E0E22">
            <w:pPr>
              <w:snapToGrid w:val="0"/>
              <w:spacing w:line="360" w:lineRule="auto"/>
              <w:rPr>
                <w:rFonts w:ascii="宋体" w:hAnsi="宋体" w:cs="微软雅黑"/>
                <w:color w:val="auto"/>
              </w:rPr>
            </w:pPr>
          </w:p>
        </w:tc>
      </w:tr>
      <w:tr w14:paraId="75440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50" w:type="pct"/>
            <w:tcBorders>
              <w:top w:val="single" w:color="000000" w:sz="6" w:space="0"/>
              <w:left w:val="single" w:color="000000" w:sz="6" w:space="0"/>
              <w:bottom w:val="single" w:color="000000" w:sz="6" w:space="0"/>
              <w:right w:val="single" w:color="000000" w:sz="6" w:space="0"/>
            </w:tcBorders>
            <w:vAlign w:val="center"/>
          </w:tcPr>
          <w:p w14:paraId="6A11B079">
            <w:pPr>
              <w:adjustRightInd w:val="0"/>
              <w:snapToGrid w:val="0"/>
              <w:spacing w:line="360" w:lineRule="auto"/>
              <w:jc w:val="center"/>
              <w:textAlignment w:val="baseline"/>
              <w:rPr>
                <w:rFonts w:ascii="宋体" w:hAnsi="宋体" w:cs="宋体"/>
                <w:bCs/>
                <w:color w:val="auto"/>
                <w:lang w:val="zh-CN"/>
              </w:rPr>
            </w:pPr>
            <w:r>
              <w:rPr>
                <w:rFonts w:hint="eastAsia" w:ascii="宋体" w:hAnsi="宋体" w:cs="宋体"/>
                <w:bCs/>
                <w:color w:val="auto"/>
                <w:lang w:val="zh-CN"/>
              </w:rPr>
              <w:t>10</w:t>
            </w:r>
          </w:p>
        </w:tc>
        <w:tc>
          <w:tcPr>
            <w:tcW w:w="2338" w:type="pct"/>
            <w:tcBorders>
              <w:top w:val="single" w:color="000000" w:sz="6" w:space="0"/>
              <w:left w:val="single" w:color="000000" w:sz="6" w:space="0"/>
              <w:bottom w:val="single" w:color="000000" w:sz="6" w:space="0"/>
              <w:right w:val="single" w:color="000000" w:sz="6" w:space="0"/>
            </w:tcBorders>
            <w:vAlign w:val="center"/>
          </w:tcPr>
          <w:p w14:paraId="25EC7F1B">
            <w:pPr>
              <w:pStyle w:val="22"/>
              <w:kinsoku w:val="0"/>
              <w:overflowPunct w:val="0"/>
              <w:autoSpaceDE w:val="0"/>
              <w:autoSpaceDN w:val="0"/>
              <w:spacing w:line="360" w:lineRule="auto"/>
              <w:rPr>
                <w:rFonts w:ascii="宋体" w:hAnsi="宋体" w:cs="宋体"/>
                <w:bCs/>
                <w:color w:val="auto"/>
                <w:sz w:val="21"/>
                <w:szCs w:val="21"/>
                <w:lang w:val="zh-CN"/>
              </w:rPr>
            </w:pPr>
            <w:r>
              <w:rPr>
                <w:rFonts w:hint="eastAsia" w:ascii="宋体" w:hAnsi="宋体" w:cs="仿宋_GB2312"/>
                <w:color w:val="auto"/>
                <w:sz w:val="21"/>
                <w:szCs w:val="21"/>
                <w:lang w:val="zh-CN"/>
              </w:rPr>
              <w:t>供应商未为本项目提供整体设计、规范编制或者项目管理、监理、检测等服务承诺函</w:t>
            </w:r>
          </w:p>
        </w:tc>
        <w:tc>
          <w:tcPr>
            <w:tcW w:w="834" w:type="pct"/>
            <w:tcBorders>
              <w:top w:val="single" w:color="000000" w:sz="6" w:space="0"/>
              <w:left w:val="single" w:color="000000" w:sz="6" w:space="0"/>
              <w:bottom w:val="single" w:color="000000" w:sz="6" w:space="0"/>
              <w:right w:val="single" w:color="000000" w:sz="6" w:space="0"/>
            </w:tcBorders>
            <w:vAlign w:val="center"/>
          </w:tcPr>
          <w:p w14:paraId="66CFB602">
            <w:pPr>
              <w:spacing w:line="360" w:lineRule="auto"/>
              <w:jc w:val="center"/>
              <w:rPr>
                <w:color w:val="auto"/>
              </w:rPr>
            </w:pPr>
          </w:p>
        </w:tc>
        <w:tc>
          <w:tcPr>
            <w:tcW w:w="782" w:type="pct"/>
            <w:tcBorders>
              <w:top w:val="single" w:color="000000" w:sz="6" w:space="0"/>
              <w:left w:val="single" w:color="000000" w:sz="6" w:space="0"/>
              <w:bottom w:val="single" w:color="000000" w:sz="6" w:space="0"/>
              <w:right w:val="single" w:color="000000" w:sz="6" w:space="0"/>
            </w:tcBorders>
            <w:vAlign w:val="center"/>
          </w:tcPr>
          <w:p w14:paraId="40BCFA39">
            <w:pPr>
              <w:snapToGrid w:val="0"/>
              <w:spacing w:line="360" w:lineRule="auto"/>
              <w:rPr>
                <w:rFonts w:ascii="宋体" w:hAnsi="宋体" w:cs="微软雅黑"/>
                <w:color w:val="auto"/>
              </w:rPr>
            </w:pPr>
          </w:p>
        </w:tc>
        <w:tc>
          <w:tcPr>
            <w:tcW w:w="793" w:type="pct"/>
            <w:tcBorders>
              <w:top w:val="single" w:color="000000" w:sz="6" w:space="0"/>
              <w:left w:val="single" w:color="000000" w:sz="6" w:space="0"/>
              <w:bottom w:val="single" w:color="000000" w:sz="6" w:space="0"/>
              <w:right w:val="single" w:color="000000" w:sz="6" w:space="0"/>
            </w:tcBorders>
            <w:vAlign w:val="center"/>
          </w:tcPr>
          <w:p w14:paraId="5E3CA4C1">
            <w:pPr>
              <w:snapToGrid w:val="0"/>
              <w:spacing w:line="360" w:lineRule="auto"/>
              <w:rPr>
                <w:rFonts w:ascii="宋体" w:hAnsi="宋体" w:cs="微软雅黑"/>
                <w:color w:val="auto"/>
              </w:rPr>
            </w:pPr>
          </w:p>
        </w:tc>
      </w:tr>
      <w:tr w14:paraId="1EDBA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50" w:type="pct"/>
            <w:tcBorders>
              <w:top w:val="double" w:color="auto" w:sz="4" w:space="0"/>
              <w:left w:val="single" w:color="000000" w:sz="6" w:space="0"/>
              <w:bottom w:val="single" w:color="000000" w:sz="6" w:space="0"/>
              <w:right w:val="single" w:color="000000" w:sz="6" w:space="0"/>
            </w:tcBorders>
            <w:vAlign w:val="center"/>
          </w:tcPr>
          <w:p w14:paraId="7D69167E">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11</w:t>
            </w:r>
          </w:p>
        </w:tc>
        <w:tc>
          <w:tcPr>
            <w:tcW w:w="2338" w:type="pct"/>
            <w:tcBorders>
              <w:top w:val="double" w:color="auto" w:sz="4" w:space="0"/>
              <w:left w:val="single" w:color="000000" w:sz="6" w:space="0"/>
              <w:bottom w:val="single" w:color="000000" w:sz="6" w:space="0"/>
              <w:right w:val="single" w:color="000000" w:sz="6" w:space="0"/>
            </w:tcBorders>
            <w:vAlign w:val="center"/>
          </w:tcPr>
          <w:p w14:paraId="1FA37143">
            <w:pPr>
              <w:pStyle w:val="22"/>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已标价的工程量清单</w:t>
            </w:r>
          </w:p>
        </w:tc>
        <w:tc>
          <w:tcPr>
            <w:tcW w:w="834" w:type="pct"/>
            <w:tcBorders>
              <w:top w:val="double" w:color="auto" w:sz="4" w:space="0"/>
              <w:left w:val="single" w:color="000000" w:sz="6" w:space="0"/>
              <w:bottom w:val="single" w:color="000000" w:sz="6" w:space="0"/>
              <w:right w:val="single" w:color="000000" w:sz="6" w:space="0"/>
            </w:tcBorders>
            <w:vAlign w:val="center"/>
          </w:tcPr>
          <w:p w14:paraId="5B9FCE3F">
            <w:pPr>
              <w:spacing w:line="360" w:lineRule="auto"/>
              <w:jc w:val="center"/>
              <w:rPr>
                <w:color w:val="auto"/>
              </w:rPr>
            </w:pPr>
          </w:p>
        </w:tc>
        <w:tc>
          <w:tcPr>
            <w:tcW w:w="782" w:type="pct"/>
            <w:tcBorders>
              <w:top w:val="double" w:color="auto" w:sz="4" w:space="0"/>
              <w:left w:val="single" w:color="000000" w:sz="6" w:space="0"/>
              <w:bottom w:val="single" w:color="000000" w:sz="6" w:space="0"/>
              <w:right w:val="single" w:color="000000" w:sz="6" w:space="0"/>
            </w:tcBorders>
            <w:vAlign w:val="center"/>
          </w:tcPr>
          <w:p w14:paraId="6A4F1CB4">
            <w:pPr>
              <w:snapToGrid w:val="0"/>
              <w:spacing w:line="360" w:lineRule="auto"/>
              <w:rPr>
                <w:rFonts w:ascii="宋体" w:hAnsi="宋体" w:cs="微软雅黑"/>
                <w:color w:val="auto"/>
              </w:rPr>
            </w:pPr>
          </w:p>
        </w:tc>
        <w:tc>
          <w:tcPr>
            <w:tcW w:w="793" w:type="pct"/>
            <w:tcBorders>
              <w:top w:val="double" w:color="auto" w:sz="4" w:space="0"/>
              <w:left w:val="single" w:color="000000" w:sz="6" w:space="0"/>
              <w:bottom w:val="single" w:color="000000" w:sz="6" w:space="0"/>
              <w:right w:val="single" w:color="000000" w:sz="6" w:space="0"/>
            </w:tcBorders>
            <w:vAlign w:val="center"/>
          </w:tcPr>
          <w:p w14:paraId="14EF1C2C">
            <w:pPr>
              <w:snapToGrid w:val="0"/>
              <w:spacing w:line="360" w:lineRule="auto"/>
              <w:rPr>
                <w:rFonts w:ascii="宋体" w:hAnsi="宋体" w:cs="微软雅黑"/>
                <w:color w:val="auto"/>
              </w:rPr>
            </w:pPr>
          </w:p>
        </w:tc>
      </w:tr>
      <w:tr w14:paraId="1664C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50" w:type="pct"/>
            <w:tcBorders>
              <w:top w:val="single" w:color="000000" w:sz="6" w:space="0"/>
              <w:left w:val="single" w:color="000000" w:sz="6" w:space="0"/>
              <w:bottom w:val="single" w:color="000000" w:sz="6" w:space="0"/>
              <w:right w:val="single" w:color="000000" w:sz="6" w:space="0"/>
            </w:tcBorders>
            <w:vAlign w:val="center"/>
          </w:tcPr>
          <w:p w14:paraId="64823EE6">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12</w:t>
            </w:r>
          </w:p>
        </w:tc>
        <w:tc>
          <w:tcPr>
            <w:tcW w:w="2338" w:type="pct"/>
            <w:tcBorders>
              <w:top w:val="single" w:color="000000" w:sz="6" w:space="0"/>
              <w:left w:val="single" w:color="000000" w:sz="6" w:space="0"/>
              <w:bottom w:val="single" w:color="000000" w:sz="6" w:space="0"/>
              <w:right w:val="single" w:color="000000" w:sz="6" w:space="0"/>
            </w:tcBorders>
            <w:vAlign w:val="center"/>
          </w:tcPr>
          <w:p w14:paraId="65F219F6">
            <w:pPr>
              <w:pStyle w:val="22"/>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技术方案（实施方案）</w:t>
            </w:r>
          </w:p>
        </w:tc>
        <w:tc>
          <w:tcPr>
            <w:tcW w:w="834" w:type="pct"/>
            <w:tcBorders>
              <w:top w:val="single" w:color="000000" w:sz="6" w:space="0"/>
              <w:left w:val="single" w:color="000000" w:sz="6" w:space="0"/>
              <w:bottom w:val="single" w:color="000000" w:sz="6" w:space="0"/>
              <w:right w:val="single" w:color="000000" w:sz="6" w:space="0"/>
            </w:tcBorders>
            <w:vAlign w:val="center"/>
          </w:tcPr>
          <w:p w14:paraId="6CDD79D9">
            <w:pPr>
              <w:spacing w:line="360" w:lineRule="auto"/>
              <w:jc w:val="center"/>
              <w:rPr>
                <w:color w:val="auto"/>
              </w:rPr>
            </w:pPr>
          </w:p>
        </w:tc>
        <w:tc>
          <w:tcPr>
            <w:tcW w:w="782" w:type="pct"/>
            <w:tcBorders>
              <w:top w:val="single" w:color="000000" w:sz="6" w:space="0"/>
              <w:left w:val="single" w:color="000000" w:sz="6" w:space="0"/>
              <w:bottom w:val="single" w:color="000000" w:sz="6" w:space="0"/>
              <w:right w:val="single" w:color="000000" w:sz="6" w:space="0"/>
            </w:tcBorders>
            <w:vAlign w:val="center"/>
          </w:tcPr>
          <w:p w14:paraId="2E8E2DED">
            <w:pPr>
              <w:snapToGrid w:val="0"/>
              <w:spacing w:line="360" w:lineRule="auto"/>
              <w:rPr>
                <w:rFonts w:ascii="宋体" w:hAnsi="宋体" w:cs="微软雅黑"/>
                <w:color w:val="auto"/>
              </w:rPr>
            </w:pPr>
          </w:p>
        </w:tc>
        <w:tc>
          <w:tcPr>
            <w:tcW w:w="793" w:type="pct"/>
            <w:tcBorders>
              <w:top w:val="single" w:color="000000" w:sz="6" w:space="0"/>
              <w:left w:val="single" w:color="000000" w:sz="6" w:space="0"/>
              <w:bottom w:val="single" w:color="000000" w:sz="6" w:space="0"/>
              <w:right w:val="single" w:color="000000" w:sz="6" w:space="0"/>
            </w:tcBorders>
            <w:vAlign w:val="center"/>
          </w:tcPr>
          <w:p w14:paraId="460B92AE">
            <w:pPr>
              <w:snapToGrid w:val="0"/>
              <w:spacing w:line="360" w:lineRule="auto"/>
              <w:rPr>
                <w:rFonts w:ascii="宋体" w:hAnsi="宋体" w:cs="微软雅黑"/>
                <w:color w:val="auto"/>
              </w:rPr>
            </w:pPr>
          </w:p>
        </w:tc>
      </w:tr>
      <w:tr w14:paraId="42E83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50" w:type="pct"/>
            <w:tcBorders>
              <w:top w:val="single" w:color="000000" w:sz="6" w:space="0"/>
              <w:left w:val="single" w:color="000000" w:sz="6" w:space="0"/>
              <w:bottom w:val="single" w:color="000000" w:sz="6" w:space="0"/>
              <w:right w:val="single" w:color="000000" w:sz="6" w:space="0"/>
            </w:tcBorders>
            <w:vAlign w:val="center"/>
          </w:tcPr>
          <w:p w14:paraId="5E5CE962">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13</w:t>
            </w:r>
          </w:p>
        </w:tc>
        <w:tc>
          <w:tcPr>
            <w:tcW w:w="2338" w:type="pct"/>
            <w:tcBorders>
              <w:top w:val="single" w:color="000000" w:sz="6" w:space="0"/>
              <w:left w:val="single" w:color="000000" w:sz="6" w:space="0"/>
              <w:bottom w:val="single" w:color="000000" w:sz="6" w:space="0"/>
              <w:right w:val="single" w:color="000000" w:sz="6" w:space="0"/>
            </w:tcBorders>
            <w:vAlign w:val="center"/>
          </w:tcPr>
          <w:p w14:paraId="4F9C7ACE">
            <w:pPr>
              <w:pStyle w:val="22"/>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服务方案</w:t>
            </w:r>
          </w:p>
        </w:tc>
        <w:tc>
          <w:tcPr>
            <w:tcW w:w="834" w:type="pct"/>
            <w:tcBorders>
              <w:top w:val="single" w:color="000000" w:sz="6" w:space="0"/>
              <w:left w:val="single" w:color="000000" w:sz="6" w:space="0"/>
              <w:bottom w:val="single" w:color="000000" w:sz="6" w:space="0"/>
              <w:right w:val="single" w:color="000000" w:sz="6" w:space="0"/>
            </w:tcBorders>
            <w:vAlign w:val="center"/>
          </w:tcPr>
          <w:p w14:paraId="5E38533E">
            <w:pPr>
              <w:spacing w:line="360" w:lineRule="auto"/>
              <w:jc w:val="center"/>
              <w:rPr>
                <w:color w:val="auto"/>
              </w:rPr>
            </w:pPr>
          </w:p>
        </w:tc>
        <w:tc>
          <w:tcPr>
            <w:tcW w:w="782" w:type="pct"/>
            <w:tcBorders>
              <w:top w:val="single" w:color="auto" w:sz="4" w:space="0"/>
              <w:left w:val="single" w:color="000000" w:sz="6" w:space="0"/>
              <w:bottom w:val="single" w:color="000000" w:sz="6" w:space="0"/>
              <w:right w:val="single" w:color="000000" w:sz="6" w:space="0"/>
            </w:tcBorders>
            <w:vAlign w:val="center"/>
          </w:tcPr>
          <w:p w14:paraId="32890EBB">
            <w:pPr>
              <w:snapToGrid w:val="0"/>
              <w:spacing w:line="360" w:lineRule="auto"/>
              <w:rPr>
                <w:rFonts w:ascii="宋体" w:hAnsi="宋体" w:cs="微软雅黑"/>
                <w:color w:val="auto"/>
              </w:rPr>
            </w:pPr>
          </w:p>
        </w:tc>
        <w:tc>
          <w:tcPr>
            <w:tcW w:w="793" w:type="pct"/>
            <w:tcBorders>
              <w:top w:val="single" w:color="auto" w:sz="4" w:space="0"/>
              <w:left w:val="single" w:color="000000" w:sz="6" w:space="0"/>
              <w:bottom w:val="single" w:color="000000" w:sz="6" w:space="0"/>
              <w:right w:val="single" w:color="000000" w:sz="6" w:space="0"/>
            </w:tcBorders>
            <w:vAlign w:val="center"/>
          </w:tcPr>
          <w:p w14:paraId="479D7DB7">
            <w:pPr>
              <w:snapToGrid w:val="0"/>
              <w:spacing w:line="360" w:lineRule="auto"/>
              <w:rPr>
                <w:rFonts w:ascii="宋体" w:hAnsi="宋体" w:cs="微软雅黑"/>
                <w:color w:val="auto"/>
              </w:rPr>
            </w:pPr>
          </w:p>
        </w:tc>
      </w:tr>
      <w:tr w14:paraId="09A6E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50" w:type="pct"/>
            <w:tcBorders>
              <w:top w:val="single" w:color="000000" w:sz="6" w:space="0"/>
              <w:left w:val="single" w:color="000000" w:sz="6" w:space="0"/>
              <w:bottom w:val="single" w:color="000000" w:sz="6" w:space="0"/>
              <w:right w:val="single" w:color="000000" w:sz="6" w:space="0"/>
            </w:tcBorders>
            <w:vAlign w:val="center"/>
          </w:tcPr>
          <w:p w14:paraId="6E35155F">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14</w:t>
            </w:r>
          </w:p>
        </w:tc>
        <w:tc>
          <w:tcPr>
            <w:tcW w:w="2338" w:type="pct"/>
            <w:tcBorders>
              <w:top w:val="single" w:color="000000" w:sz="6" w:space="0"/>
              <w:left w:val="single" w:color="000000" w:sz="6" w:space="0"/>
              <w:bottom w:val="single" w:color="000000" w:sz="6" w:space="0"/>
              <w:right w:val="single" w:color="000000" w:sz="6" w:space="0"/>
            </w:tcBorders>
            <w:vAlign w:val="center"/>
          </w:tcPr>
          <w:p w14:paraId="025397C5">
            <w:pPr>
              <w:pStyle w:val="22"/>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业绩情况表</w:t>
            </w:r>
          </w:p>
        </w:tc>
        <w:tc>
          <w:tcPr>
            <w:tcW w:w="834" w:type="pct"/>
            <w:tcBorders>
              <w:top w:val="single" w:color="000000" w:sz="6" w:space="0"/>
              <w:left w:val="single" w:color="000000" w:sz="6" w:space="0"/>
              <w:bottom w:val="single" w:color="000000" w:sz="6" w:space="0"/>
              <w:right w:val="single" w:color="000000" w:sz="6" w:space="0"/>
            </w:tcBorders>
            <w:vAlign w:val="center"/>
          </w:tcPr>
          <w:p w14:paraId="78FCDE9C">
            <w:pPr>
              <w:spacing w:line="360" w:lineRule="auto"/>
              <w:jc w:val="center"/>
              <w:rPr>
                <w:color w:val="auto"/>
              </w:rPr>
            </w:pPr>
          </w:p>
        </w:tc>
        <w:tc>
          <w:tcPr>
            <w:tcW w:w="782" w:type="pct"/>
            <w:tcBorders>
              <w:top w:val="single" w:color="000000" w:sz="6" w:space="0"/>
              <w:left w:val="single" w:color="000000" w:sz="6" w:space="0"/>
              <w:bottom w:val="single" w:color="000000" w:sz="6" w:space="0"/>
              <w:right w:val="single" w:color="000000" w:sz="6" w:space="0"/>
            </w:tcBorders>
            <w:vAlign w:val="center"/>
          </w:tcPr>
          <w:p w14:paraId="4D069E7A">
            <w:pPr>
              <w:snapToGrid w:val="0"/>
              <w:spacing w:line="360" w:lineRule="auto"/>
              <w:rPr>
                <w:rFonts w:ascii="宋体" w:hAnsi="宋体" w:cs="微软雅黑"/>
                <w:color w:val="auto"/>
              </w:rPr>
            </w:pPr>
          </w:p>
        </w:tc>
        <w:tc>
          <w:tcPr>
            <w:tcW w:w="793" w:type="pct"/>
            <w:tcBorders>
              <w:top w:val="single" w:color="000000" w:sz="6" w:space="0"/>
              <w:left w:val="single" w:color="000000" w:sz="6" w:space="0"/>
              <w:bottom w:val="single" w:color="000000" w:sz="6" w:space="0"/>
              <w:right w:val="single" w:color="000000" w:sz="6" w:space="0"/>
            </w:tcBorders>
            <w:vAlign w:val="center"/>
          </w:tcPr>
          <w:p w14:paraId="53686E95">
            <w:pPr>
              <w:snapToGrid w:val="0"/>
              <w:spacing w:line="360" w:lineRule="auto"/>
              <w:rPr>
                <w:rFonts w:ascii="宋体" w:hAnsi="宋体" w:cs="微软雅黑"/>
                <w:color w:val="auto"/>
              </w:rPr>
            </w:pPr>
          </w:p>
        </w:tc>
      </w:tr>
      <w:tr w14:paraId="459AD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250" w:type="pct"/>
            <w:tcBorders>
              <w:top w:val="single" w:color="000000" w:sz="6" w:space="0"/>
              <w:left w:val="single" w:color="000000" w:sz="6" w:space="0"/>
              <w:bottom w:val="single" w:color="000000" w:sz="6" w:space="0"/>
              <w:right w:val="single" w:color="000000" w:sz="6" w:space="0"/>
            </w:tcBorders>
            <w:vAlign w:val="center"/>
          </w:tcPr>
          <w:p w14:paraId="6263BC70">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15</w:t>
            </w:r>
          </w:p>
        </w:tc>
        <w:tc>
          <w:tcPr>
            <w:tcW w:w="2338" w:type="pct"/>
            <w:tcBorders>
              <w:top w:val="single" w:color="000000" w:sz="6" w:space="0"/>
              <w:left w:val="single" w:color="000000" w:sz="6" w:space="0"/>
              <w:bottom w:val="single" w:color="000000" w:sz="6" w:space="0"/>
              <w:right w:val="single" w:color="000000" w:sz="6" w:space="0"/>
            </w:tcBorders>
            <w:vAlign w:val="center"/>
          </w:tcPr>
          <w:p w14:paraId="5CC1AF03">
            <w:pPr>
              <w:pStyle w:val="22"/>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政府强制采购节能产品品目清单情况</w:t>
            </w:r>
          </w:p>
        </w:tc>
        <w:tc>
          <w:tcPr>
            <w:tcW w:w="834" w:type="pct"/>
            <w:tcBorders>
              <w:top w:val="single" w:color="000000" w:sz="6" w:space="0"/>
              <w:left w:val="single" w:color="000000" w:sz="6" w:space="0"/>
              <w:bottom w:val="single" w:color="000000" w:sz="6" w:space="0"/>
              <w:right w:val="single" w:color="000000" w:sz="6" w:space="0"/>
            </w:tcBorders>
            <w:vAlign w:val="center"/>
          </w:tcPr>
          <w:p w14:paraId="4E6F915F">
            <w:pPr>
              <w:spacing w:line="360" w:lineRule="auto"/>
              <w:jc w:val="center"/>
              <w:rPr>
                <w:color w:val="auto"/>
              </w:rPr>
            </w:pPr>
          </w:p>
        </w:tc>
        <w:tc>
          <w:tcPr>
            <w:tcW w:w="782" w:type="pct"/>
            <w:tcBorders>
              <w:top w:val="single" w:color="000000" w:sz="6" w:space="0"/>
              <w:left w:val="single" w:color="000000" w:sz="6" w:space="0"/>
              <w:bottom w:val="single" w:color="000000" w:sz="6" w:space="0"/>
              <w:right w:val="single" w:color="000000" w:sz="6" w:space="0"/>
            </w:tcBorders>
            <w:vAlign w:val="center"/>
          </w:tcPr>
          <w:p w14:paraId="4B4077FB">
            <w:pPr>
              <w:snapToGrid w:val="0"/>
              <w:spacing w:line="360" w:lineRule="auto"/>
              <w:rPr>
                <w:rFonts w:ascii="宋体" w:hAnsi="宋体" w:cs="微软雅黑"/>
                <w:color w:val="auto"/>
              </w:rPr>
            </w:pPr>
          </w:p>
        </w:tc>
        <w:tc>
          <w:tcPr>
            <w:tcW w:w="793" w:type="pct"/>
            <w:tcBorders>
              <w:top w:val="single" w:color="000000" w:sz="6" w:space="0"/>
              <w:left w:val="single" w:color="000000" w:sz="6" w:space="0"/>
              <w:bottom w:val="single" w:color="000000" w:sz="6" w:space="0"/>
              <w:right w:val="single" w:color="000000" w:sz="6" w:space="0"/>
            </w:tcBorders>
            <w:vAlign w:val="center"/>
          </w:tcPr>
          <w:p w14:paraId="73D942B3">
            <w:pPr>
              <w:snapToGrid w:val="0"/>
              <w:spacing w:line="360" w:lineRule="auto"/>
              <w:rPr>
                <w:rFonts w:ascii="宋体" w:hAnsi="宋体" w:cs="微软雅黑"/>
                <w:color w:val="auto"/>
              </w:rPr>
            </w:pPr>
          </w:p>
        </w:tc>
      </w:tr>
      <w:tr w14:paraId="1FA29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50" w:type="pct"/>
            <w:tcBorders>
              <w:top w:val="single" w:color="000000" w:sz="6" w:space="0"/>
              <w:left w:val="single" w:color="000000" w:sz="6" w:space="0"/>
              <w:bottom w:val="single" w:color="000000" w:sz="6" w:space="0"/>
              <w:right w:val="single" w:color="000000" w:sz="6" w:space="0"/>
            </w:tcBorders>
            <w:vAlign w:val="center"/>
          </w:tcPr>
          <w:p w14:paraId="1F87B828">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16</w:t>
            </w:r>
          </w:p>
        </w:tc>
        <w:tc>
          <w:tcPr>
            <w:tcW w:w="2338" w:type="pct"/>
            <w:tcBorders>
              <w:top w:val="single" w:color="000000" w:sz="6" w:space="0"/>
              <w:left w:val="single" w:color="000000" w:sz="6" w:space="0"/>
              <w:bottom w:val="single" w:color="000000" w:sz="6" w:space="0"/>
              <w:right w:val="single" w:color="000000" w:sz="6" w:space="0"/>
            </w:tcBorders>
            <w:vAlign w:val="center"/>
          </w:tcPr>
          <w:p w14:paraId="628B122F">
            <w:pPr>
              <w:pStyle w:val="22"/>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优先采购节能产品政府采购品目清单情况</w:t>
            </w:r>
          </w:p>
        </w:tc>
        <w:tc>
          <w:tcPr>
            <w:tcW w:w="834" w:type="pct"/>
            <w:tcBorders>
              <w:top w:val="single" w:color="000000" w:sz="6" w:space="0"/>
              <w:left w:val="single" w:color="000000" w:sz="6" w:space="0"/>
              <w:bottom w:val="single" w:color="000000" w:sz="6" w:space="0"/>
              <w:right w:val="single" w:color="000000" w:sz="6" w:space="0"/>
            </w:tcBorders>
            <w:vAlign w:val="center"/>
          </w:tcPr>
          <w:p w14:paraId="3D1E60C3">
            <w:pPr>
              <w:spacing w:line="360" w:lineRule="auto"/>
              <w:jc w:val="center"/>
              <w:rPr>
                <w:color w:val="auto"/>
              </w:rPr>
            </w:pPr>
          </w:p>
        </w:tc>
        <w:tc>
          <w:tcPr>
            <w:tcW w:w="782" w:type="pct"/>
            <w:tcBorders>
              <w:top w:val="single" w:color="000000" w:sz="6" w:space="0"/>
              <w:left w:val="single" w:color="000000" w:sz="6" w:space="0"/>
              <w:bottom w:val="single" w:color="000000" w:sz="6" w:space="0"/>
              <w:right w:val="single" w:color="000000" w:sz="6" w:space="0"/>
            </w:tcBorders>
            <w:vAlign w:val="center"/>
          </w:tcPr>
          <w:p w14:paraId="0757F405">
            <w:pPr>
              <w:snapToGrid w:val="0"/>
              <w:spacing w:line="360" w:lineRule="auto"/>
              <w:rPr>
                <w:rFonts w:ascii="宋体" w:hAnsi="宋体" w:cs="微软雅黑"/>
                <w:color w:val="auto"/>
              </w:rPr>
            </w:pPr>
          </w:p>
        </w:tc>
        <w:tc>
          <w:tcPr>
            <w:tcW w:w="793" w:type="pct"/>
            <w:tcBorders>
              <w:top w:val="single" w:color="000000" w:sz="6" w:space="0"/>
              <w:left w:val="single" w:color="000000" w:sz="6" w:space="0"/>
              <w:bottom w:val="single" w:color="000000" w:sz="6" w:space="0"/>
              <w:right w:val="single" w:color="000000" w:sz="6" w:space="0"/>
            </w:tcBorders>
            <w:vAlign w:val="center"/>
          </w:tcPr>
          <w:p w14:paraId="0F79F8FB">
            <w:pPr>
              <w:snapToGrid w:val="0"/>
              <w:spacing w:line="360" w:lineRule="auto"/>
              <w:rPr>
                <w:rFonts w:ascii="宋体" w:hAnsi="宋体" w:cs="微软雅黑"/>
                <w:color w:val="auto"/>
              </w:rPr>
            </w:pPr>
          </w:p>
        </w:tc>
      </w:tr>
      <w:tr w14:paraId="48BB2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50" w:type="pct"/>
            <w:tcBorders>
              <w:top w:val="single" w:color="000000" w:sz="6" w:space="0"/>
              <w:left w:val="single" w:color="000000" w:sz="6" w:space="0"/>
              <w:bottom w:val="single" w:color="000000" w:sz="6" w:space="0"/>
              <w:right w:val="single" w:color="000000" w:sz="6" w:space="0"/>
            </w:tcBorders>
            <w:vAlign w:val="center"/>
          </w:tcPr>
          <w:p w14:paraId="6151184C">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17</w:t>
            </w:r>
          </w:p>
        </w:tc>
        <w:tc>
          <w:tcPr>
            <w:tcW w:w="2338" w:type="pct"/>
            <w:tcBorders>
              <w:top w:val="single" w:color="000000" w:sz="6" w:space="0"/>
              <w:left w:val="single" w:color="000000" w:sz="6" w:space="0"/>
              <w:bottom w:val="single" w:color="000000" w:sz="6" w:space="0"/>
              <w:right w:val="single" w:color="000000" w:sz="6" w:space="0"/>
            </w:tcBorders>
            <w:vAlign w:val="center"/>
          </w:tcPr>
          <w:p w14:paraId="08F02F23">
            <w:pPr>
              <w:pStyle w:val="22"/>
              <w:kinsoku w:val="0"/>
              <w:overflowPunct w:val="0"/>
              <w:autoSpaceDE w:val="0"/>
              <w:autoSpaceDN w:val="0"/>
              <w:spacing w:line="360" w:lineRule="auto"/>
              <w:rPr>
                <w:rFonts w:hAnsi="宋体" w:cs="微软雅黑"/>
                <w:bCs/>
                <w:color w:val="auto"/>
                <w:sz w:val="21"/>
                <w:szCs w:val="21"/>
              </w:rPr>
            </w:pPr>
            <w:r>
              <w:rPr>
                <w:rFonts w:hint="eastAsia" w:ascii="宋体" w:hAnsi="宋体"/>
                <w:color w:val="auto"/>
                <w:sz w:val="21"/>
                <w:szCs w:val="21"/>
                <w:lang w:val="en-GB"/>
              </w:rPr>
              <w:t>优先采购环境标志产品政府采购品目清单情况</w:t>
            </w:r>
          </w:p>
        </w:tc>
        <w:tc>
          <w:tcPr>
            <w:tcW w:w="834" w:type="pct"/>
            <w:tcBorders>
              <w:top w:val="single" w:color="000000" w:sz="6" w:space="0"/>
              <w:left w:val="single" w:color="000000" w:sz="6" w:space="0"/>
              <w:bottom w:val="single" w:color="000000" w:sz="6" w:space="0"/>
              <w:right w:val="single" w:color="000000" w:sz="6" w:space="0"/>
            </w:tcBorders>
            <w:vAlign w:val="center"/>
          </w:tcPr>
          <w:p w14:paraId="677C9281">
            <w:pPr>
              <w:spacing w:line="360" w:lineRule="auto"/>
              <w:jc w:val="center"/>
              <w:rPr>
                <w:color w:val="auto"/>
              </w:rPr>
            </w:pPr>
          </w:p>
        </w:tc>
        <w:tc>
          <w:tcPr>
            <w:tcW w:w="782" w:type="pct"/>
            <w:tcBorders>
              <w:top w:val="single" w:color="000000" w:sz="6" w:space="0"/>
              <w:left w:val="single" w:color="000000" w:sz="6" w:space="0"/>
              <w:bottom w:val="single" w:color="000000" w:sz="6" w:space="0"/>
              <w:right w:val="single" w:color="000000" w:sz="6" w:space="0"/>
            </w:tcBorders>
            <w:vAlign w:val="center"/>
          </w:tcPr>
          <w:p w14:paraId="48D089E4">
            <w:pPr>
              <w:snapToGrid w:val="0"/>
              <w:spacing w:line="360" w:lineRule="auto"/>
              <w:rPr>
                <w:rFonts w:ascii="宋体" w:hAnsi="宋体" w:cs="微软雅黑"/>
                <w:color w:val="auto"/>
              </w:rPr>
            </w:pPr>
          </w:p>
        </w:tc>
        <w:tc>
          <w:tcPr>
            <w:tcW w:w="793" w:type="pct"/>
            <w:tcBorders>
              <w:top w:val="single" w:color="000000" w:sz="6" w:space="0"/>
              <w:left w:val="single" w:color="000000" w:sz="6" w:space="0"/>
              <w:bottom w:val="single" w:color="000000" w:sz="6" w:space="0"/>
              <w:right w:val="single" w:color="000000" w:sz="6" w:space="0"/>
            </w:tcBorders>
            <w:vAlign w:val="center"/>
          </w:tcPr>
          <w:p w14:paraId="79F9DEF9">
            <w:pPr>
              <w:snapToGrid w:val="0"/>
              <w:spacing w:line="360" w:lineRule="auto"/>
              <w:rPr>
                <w:rFonts w:ascii="宋体" w:hAnsi="宋体" w:cs="微软雅黑"/>
                <w:color w:val="auto"/>
              </w:rPr>
            </w:pPr>
          </w:p>
        </w:tc>
      </w:tr>
      <w:tr w14:paraId="654D1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50" w:type="pct"/>
            <w:tcBorders>
              <w:top w:val="single" w:color="000000" w:sz="6" w:space="0"/>
              <w:left w:val="single" w:color="000000" w:sz="6" w:space="0"/>
              <w:bottom w:val="single" w:color="000000" w:sz="6" w:space="0"/>
              <w:right w:val="single" w:color="000000" w:sz="6" w:space="0"/>
            </w:tcBorders>
            <w:vAlign w:val="center"/>
          </w:tcPr>
          <w:p w14:paraId="7AA5382B">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18</w:t>
            </w:r>
          </w:p>
        </w:tc>
        <w:tc>
          <w:tcPr>
            <w:tcW w:w="2338" w:type="pct"/>
            <w:tcBorders>
              <w:top w:val="single" w:color="000000" w:sz="6" w:space="0"/>
              <w:left w:val="single" w:color="000000" w:sz="6" w:space="0"/>
              <w:bottom w:val="single" w:color="000000" w:sz="6" w:space="0"/>
              <w:right w:val="single" w:color="000000" w:sz="6" w:space="0"/>
            </w:tcBorders>
            <w:vAlign w:val="center"/>
          </w:tcPr>
          <w:p w14:paraId="3AFBF38C">
            <w:pPr>
              <w:pStyle w:val="22"/>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中小企业声明函</w:t>
            </w:r>
          </w:p>
        </w:tc>
        <w:tc>
          <w:tcPr>
            <w:tcW w:w="834" w:type="pct"/>
            <w:tcBorders>
              <w:top w:val="single" w:color="000000" w:sz="6" w:space="0"/>
              <w:left w:val="single" w:color="000000" w:sz="6" w:space="0"/>
              <w:bottom w:val="single" w:color="000000" w:sz="6" w:space="0"/>
              <w:right w:val="single" w:color="000000" w:sz="6" w:space="0"/>
            </w:tcBorders>
            <w:vAlign w:val="center"/>
          </w:tcPr>
          <w:p w14:paraId="7F19291D">
            <w:pPr>
              <w:spacing w:line="360" w:lineRule="auto"/>
              <w:jc w:val="center"/>
              <w:rPr>
                <w:color w:val="auto"/>
              </w:rPr>
            </w:pPr>
          </w:p>
        </w:tc>
        <w:tc>
          <w:tcPr>
            <w:tcW w:w="782" w:type="pct"/>
            <w:tcBorders>
              <w:top w:val="single" w:color="000000" w:sz="6" w:space="0"/>
              <w:left w:val="single" w:color="000000" w:sz="6" w:space="0"/>
              <w:bottom w:val="single" w:color="000000" w:sz="6" w:space="0"/>
              <w:right w:val="single" w:color="000000" w:sz="6" w:space="0"/>
            </w:tcBorders>
            <w:vAlign w:val="center"/>
          </w:tcPr>
          <w:p w14:paraId="190D45BF">
            <w:pPr>
              <w:snapToGrid w:val="0"/>
              <w:spacing w:line="360" w:lineRule="auto"/>
              <w:rPr>
                <w:rFonts w:ascii="宋体" w:hAnsi="宋体" w:cs="微软雅黑"/>
                <w:color w:val="auto"/>
              </w:rPr>
            </w:pPr>
          </w:p>
        </w:tc>
        <w:tc>
          <w:tcPr>
            <w:tcW w:w="793" w:type="pct"/>
            <w:tcBorders>
              <w:top w:val="single" w:color="000000" w:sz="6" w:space="0"/>
              <w:left w:val="single" w:color="000000" w:sz="6" w:space="0"/>
              <w:bottom w:val="single" w:color="000000" w:sz="6" w:space="0"/>
              <w:right w:val="single" w:color="000000" w:sz="6" w:space="0"/>
            </w:tcBorders>
            <w:vAlign w:val="center"/>
          </w:tcPr>
          <w:p w14:paraId="722A744D">
            <w:pPr>
              <w:snapToGrid w:val="0"/>
              <w:spacing w:line="360" w:lineRule="auto"/>
              <w:rPr>
                <w:rFonts w:ascii="宋体" w:hAnsi="宋体" w:cs="微软雅黑"/>
                <w:color w:val="auto"/>
              </w:rPr>
            </w:pPr>
          </w:p>
        </w:tc>
      </w:tr>
      <w:tr w14:paraId="5749A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50" w:type="pct"/>
            <w:tcBorders>
              <w:top w:val="single" w:color="000000" w:sz="6" w:space="0"/>
              <w:left w:val="single" w:color="000000" w:sz="6" w:space="0"/>
              <w:bottom w:val="single" w:color="000000" w:sz="6" w:space="0"/>
              <w:right w:val="single" w:color="000000" w:sz="6" w:space="0"/>
            </w:tcBorders>
            <w:vAlign w:val="center"/>
          </w:tcPr>
          <w:p w14:paraId="428B9208">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19</w:t>
            </w:r>
          </w:p>
        </w:tc>
        <w:tc>
          <w:tcPr>
            <w:tcW w:w="2338" w:type="pct"/>
            <w:tcBorders>
              <w:top w:val="single" w:color="000000" w:sz="6" w:space="0"/>
              <w:left w:val="single" w:color="000000" w:sz="6" w:space="0"/>
              <w:bottom w:val="single" w:color="000000" w:sz="6" w:space="0"/>
              <w:right w:val="single" w:color="000000" w:sz="6" w:space="0"/>
            </w:tcBorders>
            <w:vAlign w:val="center"/>
          </w:tcPr>
          <w:p w14:paraId="5306A90B">
            <w:pPr>
              <w:pStyle w:val="22"/>
              <w:kinsoku w:val="0"/>
              <w:overflowPunct w:val="0"/>
              <w:autoSpaceDE w:val="0"/>
              <w:autoSpaceDN w:val="0"/>
              <w:spacing w:line="360" w:lineRule="auto"/>
              <w:rPr>
                <w:rFonts w:hAnsi="宋体" w:cs="微软雅黑"/>
                <w:bCs/>
                <w:color w:val="auto"/>
                <w:sz w:val="21"/>
                <w:szCs w:val="21"/>
              </w:rPr>
            </w:pPr>
            <w:r>
              <w:rPr>
                <w:rFonts w:hint="eastAsia" w:ascii="宋体" w:hAnsi="宋体" w:cs="仿宋_GB2312"/>
                <w:color w:val="auto"/>
                <w:sz w:val="21"/>
                <w:szCs w:val="21"/>
                <w:lang w:val="zh-CN"/>
              </w:rPr>
              <w:t>残疾人福利性单位声明函</w:t>
            </w:r>
          </w:p>
        </w:tc>
        <w:tc>
          <w:tcPr>
            <w:tcW w:w="834" w:type="pct"/>
            <w:tcBorders>
              <w:top w:val="single" w:color="000000" w:sz="6" w:space="0"/>
              <w:left w:val="single" w:color="000000" w:sz="6" w:space="0"/>
              <w:bottom w:val="single" w:color="000000" w:sz="6" w:space="0"/>
              <w:right w:val="single" w:color="000000" w:sz="6" w:space="0"/>
            </w:tcBorders>
            <w:vAlign w:val="center"/>
          </w:tcPr>
          <w:p w14:paraId="546C5165">
            <w:pPr>
              <w:spacing w:line="360" w:lineRule="auto"/>
              <w:jc w:val="center"/>
              <w:rPr>
                <w:color w:val="auto"/>
              </w:rPr>
            </w:pPr>
          </w:p>
        </w:tc>
        <w:tc>
          <w:tcPr>
            <w:tcW w:w="782" w:type="pct"/>
            <w:tcBorders>
              <w:top w:val="single" w:color="000000" w:sz="6" w:space="0"/>
              <w:left w:val="single" w:color="000000" w:sz="6" w:space="0"/>
              <w:bottom w:val="single" w:color="000000" w:sz="6" w:space="0"/>
              <w:right w:val="single" w:color="000000" w:sz="6" w:space="0"/>
            </w:tcBorders>
            <w:vAlign w:val="center"/>
          </w:tcPr>
          <w:p w14:paraId="7F3F980A">
            <w:pPr>
              <w:snapToGrid w:val="0"/>
              <w:spacing w:line="360" w:lineRule="auto"/>
              <w:rPr>
                <w:rFonts w:ascii="宋体" w:hAnsi="宋体" w:cs="微软雅黑"/>
                <w:color w:val="auto"/>
              </w:rPr>
            </w:pPr>
          </w:p>
        </w:tc>
        <w:tc>
          <w:tcPr>
            <w:tcW w:w="793" w:type="pct"/>
            <w:tcBorders>
              <w:top w:val="single" w:color="000000" w:sz="6" w:space="0"/>
              <w:left w:val="single" w:color="000000" w:sz="6" w:space="0"/>
              <w:bottom w:val="single" w:color="000000" w:sz="6" w:space="0"/>
              <w:right w:val="single" w:color="000000" w:sz="6" w:space="0"/>
            </w:tcBorders>
            <w:vAlign w:val="center"/>
          </w:tcPr>
          <w:p w14:paraId="3CACB0F7">
            <w:pPr>
              <w:snapToGrid w:val="0"/>
              <w:spacing w:line="360" w:lineRule="auto"/>
              <w:rPr>
                <w:rFonts w:ascii="宋体" w:hAnsi="宋体" w:cs="微软雅黑"/>
                <w:color w:val="auto"/>
              </w:rPr>
            </w:pPr>
          </w:p>
        </w:tc>
      </w:tr>
      <w:tr w14:paraId="48FFF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50" w:type="pct"/>
            <w:tcBorders>
              <w:top w:val="single" w:color="000000" w:sz="6" w:space="0"/>
              <w:left w:val="single" w:color="000000" w:sz="6" w:space="0"/>
              <w:bottom w:val="single" w:color="000000" w:sz="6" w:space="0"/>
              <w:right w:val="single" w:color="000000" w:sz="6" w:space="0"/>
            </w:tcBorders>
            <w:vAlign w:val="center"/>
          </w:tcPr>
          <w:p w14:paraId="03021103">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20</w:t>
            </w:r>
          </w:p>
        </w:tc>
        <w:tc>
          <w:tcPr>
            <w:tcW w:w="2338" w:type="pct"/>
            <w:tcBorders>
              <w:top w:val="single" w:color="000000" w:sz="6" w:space="0"/>
              <w:left w:val="single" w:color="000000" w:sz="6" w:space="0"/>
              <w:bottom w:val="single" w:color="000000" w:sz="6" w:space="0"/>
              <w:right w:val="single" w:color="000000" w:sz="6" w:space="0"/>
            </w:tcBorders>
            <w:vAlign w:val="center"/>
          </w:tcPr>
          <w:p w14:paraId="451F56C6">
            <w:pPr>
              <w:pStyle w:val="22"/>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监狱企业证明文件</w:t>
            </w:r>
          </w:p>
        </w:tc>
        <w:tc>
          <w:tcPr>
            <w:tcW w:w="834" w:type="pct"/>
            <w:tcBorders>
              <w:top w:val="single" w:color="000000" w:sz="6" w:space="0"/>
              <w:left w:val="single" w:color="000000" w:sz="6" w:space="0"/>
              <w:bottom w:val="single" w:color="000000" w:sz="6" w:space="0"/>
              <w:right w:val="single" w:color="000000" w:sz="6" w:space="0"/>
            </w:tcBorders>
            <w:vAlign w:val="center"/>
          </w:tcPr>
          <w:p w14:paraId="558B076B">
            <w:pPr>
              <w:spacing w:line="360" w:lineRule="auto"/>
              <w:jc w:val="center"/>
              <w:rPr>
                <w:color w:val="auto"/>
              </w:rPr>
            </w:pPr>
          </w:p>
        </w:tc>
        <w:tc>
          <w:tcPr>
            <w:tcW w:w="782" w:type="pct"/>
            <w:tcBorders>
              <w:top w:val="single" w:color="000000" w:sz="6" w:space="0"/>
              <w:left w:val="single" w:color="000000" w:sz="6" w:space="0"/>
              <w:bottom w:val="single" w:color="000000" w:sz="6" w:space="0"/>
              <w:right w:val="single" w:color="000000" w:sz="6" w:space="0"/>
            </w:tcBorders>
            <w:vAlign w:val="center"/>
          </w:tcPr>
          <w:p w14:paraId="17A2F17E">
            <w:pPr>
              <w:snapToGrid w:val="0"/>
              <w:spacing w:line="360" w:lineRule="auto"/>
              <w:rPr>
                <w:rFonts w:ascii="宋体" w:hAnsi="宋体" w:cs="微软雅黑"/>
                <w:color w:val="auto"/>
              </w:rPr>
            </w:pPr>
          </w:p>
        </w:tc>
        <w:tc>
          <w:tcPr>
            <w:tcW w:w="793" w:type="pct"/>
            <w:tcBorders>
              <w:top w:val="single" w:color="000000" w:sz="6" w:space="0"/>
              <w:left w:val="single" w:color="000000" w:sz="6" w:space="0"/>
              <w:bottom w:val="single" w:color="000000" w:sz="6" w:space="0"/>
              <w:right w:val="single" w:color="000000" w:sz="6" w:space="0"/>
            </w:tcBorders>
            <w:vAlign w:val="center"/>
          </w:tcPr>
          <w:p w14:paraId="2D0723EE">
            <w:pPr>
              <w:snapToGrid w:val="0"/>
              <w:spacing w:line="360" w:lineRule="auto"/>
              <w:rPr>
                <w:rFonts w:ascii="宋体" w:hAnsi="宋体" w:cs="微软雅黑"/>
                <w:color w:val="auto"/>
              </w:rPr>
            </w:pPr>
          </w:p>
        </w:tc>
      </w:tr>
      <w:tr w14:paraId="216BB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50" w:type="pct"/>
            <w:tcBorders>
              <w:top w:val="single" w:color="000000" w:sz="6" w:space="0"/>
              <w:left w:val="single" w:color="000000" w:sz="6" w:space="0"/>
              <w:bottom w:val="single" w:color="000000" w:sz="6" w:space="0"/>
              <w:right w:val="single" w:color="000000" w:sz="6" w:space="0"/>
            </w:tcBorders>
            <w:vAlign w:val="center"/>
          </w:tcPr>
          <w:p w14:paraId="253EB971">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21</w:t>
            </w:r>
          </w:p>
        </w:tc>
        <w:tc>
          <w:tcPr>
            <w:tcW w:w="2338" w:type="pct"/>
            <w:tcBorders>
              <w:top w:val="single" w:color="000000" w:sz="6" w:space="0"/>
              <w:left w:val="single" w:color="000000" w:sz="6" w:space="0"/>
              <w:bottom w:val="single" w:color="000000" w:sz="6" w:space="0"/>
              <w:right w:val="single" w:color="000000" w:sz="6" w:space="0"/>
            </w:tcBorders>
            <w:vAlign w:val="center"/>
          </w:tcPr>
          <w:p w14:paraId="50E665F5">
            <w:pPr>
              <w:pStyle w:val="22"/>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其它资料</w:t>
            </w:r>
          </w:p>
        </w:tc>
        <w:tc>
          <w:tcPr>
            <w:tcW w:w="834" w:type="pct"/>
            <w:tcBorders>
              <w:top w:val="single" w:color="000000" w:sz="6" w:space="0"/>
              <w:left w:val="single" w:color="000000" w:sz="6" w:space="0"/>
              <w:bottom w:val="single" w:color="000000" w:sz="6" w:space="0"/>
              <w:right w:val="single" w:color="000000" w:sz="6" w:space="0"/>
            </w:tcBorders>
            <w:vAlign w:val="center"/>
          </w:tcPr>
          <w:p w14:paraId="2EA04218">
            <w:pPr>
              <w:spacing w:line="360" w:lineRule="auto"/>
              <w:jc w:val="center"/>
              <w:rPr>
                <w:color w:val="auto"/>
              </w:rPr>
            </w:pPr>
          </w:p>
        </w:tc>
        <w:tc>
          <w:tcPr>
            <w:tcW w:w="782" w:type="pct"/>
            <w:tcBorders>
              <w:top w:val="single" w:color="000000" w:sz="6" w:space="0"/>
              <w:left w:val="single" w:color="000000" w:sz="6" w:space="0"/>
              <w:bottom w:val="single" w:color="000000" w:sz="6" w:space="0"/>
              <w:right w:val="single" w:color="000000" w:sz="6" w:space="0"/>
            </w:tcBorders>
            <w:vAlign w:val="center"/>
          </w:tcPr>
          <w:p w14:paraId="48C281AF">
            <w:pPr>
              <w:snapToGrid w:val="0"/>
              <w:spacing w:line="360" w:lineRule="auto"/>
              <w:rPr>
                <w:rFonts w:ascii="宋体" w:hAnsi="宋体" w:cs="微软雅黑"/>
                <w:color w:val="auto"/>
              </w:rPr>
            </w:pPr>
          </w:p>
        </w:tc>
        <w:tc>
          <w:tcPr>
            <w:tcW w:w="793" w:type="pct"/>
            <w:tcBorders>
              <w:top w:val="single" w:color="000000" w:sz="6" w:space="0"/>
              <w:left w:val="single" w:color="000000" w:sz="6" w:space="0"/>
              <w:bottom w:val="single" w:color="000000" w:sz="6" w:space="0"/>
              <w:right w:val="single" w:color="000000" w:sz="6" w:space="0"/>
            </w:tcBorders>
            <w:vAlign w:val="center"/>
          </w:tcPr>
          <w:p w14:paraId="1F474A36">
            <w:pPr>
              <w:snapToGrid w:val="0"/>
              <w:spacing w:line="360" w:lineRule="auto"/>
              <w:rPr>
                <w:rFonts w:ascii="宋体" w:hAnsi="宋体" w:cs="微软雅黑"/>
                <w:color w:val="auto"/>
              </w:rPr>
            </w:pPr>
          </w:p>
        </w:tc>
      </w:tr>
    </w:tbl>
    <w:p w14:paraId="0BDEA0BD">
      <w:pPr>
        <w:pStyle w:val="22"/>
        <w:spacing w:line="360" w:lineRule="auto"/>
        <w:jc w:val="center"/>
        <w:outlineLvl w:val="1"/>
        <w:rPr>
          <w:rFonts w:ascii="等线 Light" w:hAnsi="等线 Light" w:eastAsia="等线 Light"/>
          <w:snapToGrid w:val="0"/>
          <w:color w:val="auto"/>
          <w:sz w:val="28"/>
          <w:szCs w:val="28"/>
        </w:rPr>
      </w:pPr>
      <w:r>
        <w:rPr>
          <w:rFonts w:hAnsi="宋体"/>
          <w:snapToGrid w:val="0"/>
          <w:color w:val="auto"/>
          <w:sz w:val="28"/>
          <w:szCs w:val="28"/>
        </w:rPr>
        <w:br w:type="page"/>
      </w:r>
      <w:bookmarkStart w:id="23" w:name="_Toc138068730"/>
      <w:r>
        <w:rPr>
          <w:rFonts w:hint="eastAsia" w:hAnsi="宋体"/>
          <w:b/>
          <w:bCs/>
          <w:snapToGrid w:val="0"/>
          <w:color w:val="auto"/>
          <w:sz w:val="28"/>
          <w:szCs w:val="28"/>
        </w:rPr>
        <w:t>二、报价一览表</w:t>
      </w:r>
      <w:bookmarkEnd w:id="23"/>
    </w:p>
    <w:p w14:paraId="57BD77F4">
      <w:pPr>
        <w:pStyle w:val="32"/>
        <w:spacing w:before="45" w:beforeAutospacing="0" w:after="120" w:afterAutospacing="0" w:line="360" w:lineRule="auto"/>
        <w:rPr>
          <w:color w:val="auto"/>
        </w:rPr>
      </w:pPr>
      <w:bookmarkStart w:id="24" w:name="_Hlk51678110"/>
      <w:r>
        <w:rPr>
          <w:rFonts w:hint="eastAsia"/>
          <w:color w:val="auto"/>
        </w:rPr>
        <w:t>项目编号：</w:t>
      </w:r>
    </w:p>
    <w:p w14:paraId="0F7141BA">
      <w:pPr>
        <w:pStyle w:val="32"/>
        <w:spacing w:before="210" w:beforeAutospacing="0" w:after="210" w:afterAutospacing="0" w:line="360" w:lineRule="auto"/>
        <w:rPr>
          <w:color w:val="auto"/>
        </w:rPr>
      </w:pPr>
      <w:r>
        <w:rPr>
          <w:rFonts w:hint="eastAsia"/>
          <w:color w:val="auto"/>
        </w:rPr>
        <w:t>项目名称：                                     单位：元（人民币）</w:t>
      </w:r>
    </w:p>
    <w:tbl>
      <w:tblPr>
        <w:tblStyle w:val="34"/>
        <w:tblW w:w="4998" w:type="pct"/>
        <w:jc w:val="center"/>
        <w:tblLayout w:type="autofit"/>
        <w:tblCellMar>
          <w:top w:w="0" w:type="dxa"/>
          <w:left w:w="108" w:type="dxa"/>
          <w:bottom w:w="0" w:type="dxa"/>
          <w:right w:w="108" w:type="dxa"/>
        </w:tblCellMar>
      </w:tblPr>
      <w:tblGrid>
        <w:gridCol w:w="1009"/>
        <w:gridCol w:w="2151"/>
        <w:gridCol w:w="3266"/>
        <w:gridCol w:w="1130"/>
        <w:gridCol w:w="963"/>
      </w:tblGrid>
      <w:tr w14:paraId="2BCBE143">
        <w:tblPrEx>
          <w:tblCellMar>
            <w:top w:w="0" w:type="dxa"/>
            <w:left w:w="108" w:type="dxa"/>
            <w:bottom w:w="0" w:type="dxa"/>
            <w:right w:w="108" w:type="dxa"/>
          </w:tblCellMar>
        </w:tblPrEx>
        <w:trPr>
          <w:trHeight w:val="864" w:hRule="atLeast"/>
          <w:jc w:val="center"/>
        </w:trPr>
        <w:tc>
          <w:tcPr>
            <w:tcW w:w="592" w:type="pct"/>
            <w:tcBorders>
              <w:top w:val="single" w:color="auto" w:sz="6" w:space="0"/>
              <w:left w:val="single" w:color="auto" w:sz="6" w:space="0"/>
              <w:bottom w:val="single" w:color="auto" w:sz="6" w:space="0"/>
              <w:right w:val="single" w:color="auto" w:sz="6" w:space="0"/>
            </w:tcBorders>
            <w:shd w:val="clear" w:color="auto" w:fill="F2F2F2"/>
            <w:vAlign w:val="center"/>
          </w:tcPr>
          <w:p w14:paraId="0380F696">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标包</w:t>
            </w:r>
          </w:p>
        </w:tc>
        <w:tc>
          <w:tcPr>
            <w:tcW w:w="1262" w:type="pct"/>
            <w:tcBorders>
              <w:top w:val="single" w:color="auto" w:sz="6" w:space="0"/>
              <w:left w:val="single" w:color="auto" w:sz="6" w:space="0"/>
              <w:bottom w:val="single" w:color="auto" w:sz="6" w:space="0"/>
              <w:right w:val="single" w:color="auto" w:sz="6" w:space="0"/>
            </w:tcBorders>
            <w:shd w:val="clear" w:color="auto" w:fill="F2F2F2"/>
            <w:vAlign w:val="center"/>
          </w:tcPr>
          <w:p w14:paraId="4F9D59DE">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供应商名称</w:t>
            </w:r>
          </w:p>
        </w:tc>
        <w:tc>
          <w:tcPr>
            <w:tcW w:w="1916" w:type="pct"/>
            <w:tcBorders>
              <w:top w:val="single" w:color="auto" w:sz="6" w:space="0"/>
              <w:left w:val="single" w:color="auto" w:sz="6" w:space="0"/>
              <w:bottom w:val="single" w:color="auto" w:sz="6" w:space="0"/>
              <w:right w:val="single" w:color="auto" w:sz="6" w:space="0"/>
            </w:tcBorders>
            <w:shd w:val="clear" w:color="auto" w:fill="F2F2F2"/>
            <w:vAlign w:val="center"/>
          </w:tcPr>
          <w:p w14:paraId="7B376884">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投标报价</w:t>
            </w:r>
          </w:p>
        </w:tc>
        <w:tc>
          <w:tcPr>
            <w:tcW w:w="663" w:type="pct"/>
            <w:tcBorders>
              <w:top w:val="single" w:color="auto" w:sz="6" w:space="0"/>
              <w:left w:val="single" w:color="auto" w:sz="6" w:space="0"/>
              <w:bottom w:val="single" w:color="auto" w:sz="6" w:space="0"/>
              <w:right w:val="single" w:color="auto" w:sz="6" w:space="0"/>
            </w:tcBorders>
            <w:shd w:val="clear" w:color="auto" w:fill="F2F2F2"/>
            <w:vAlign w:val="center"/>
          </w:tcPr>
          <w:p w14:paraId="6B15BD09">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合同履行期限</w:t>
            </w:r>
          </w:p>
        </w:tc>
        <w:tc>
          <w:tcPr>
            <w:tcW w:w="565" w:type="pct"/>
            <w:tcBorders>
              <w:top w:val="single" w:color="auto" w:sz="6" w:space="0"/>
              <w:left w:val="single" w:color="auto" w:sz="6" w:space="0"/>
              <w:bottom w:val="single" w:color="auto" w:sz="6" w:space="0"/>
              <w:right w:val="single" w:color="auto" w:sz="6" w:space="0"/>
            </w:tcBorders>
            <w:shd w:val="clear" w:color="auto" w:fill="F2F2F2"/>
            <w:vAlign w:val="center"/>
          </w:tcPr>
          <w:p w14:paraId="2B62065E">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备注</w:t>
            </w:r>
          </w:p>
        </w:tc>
      </w:tr>
      <w:tr w14:paraId="26BF43AD">
        <w:tblPrEx>
          <w:tblCellMar>
            <w:top w:w="0" w:type="dxa"/>
            <w:left w:w="108" w:type="dxa"/>
            <w:bottom w:w="0" w:type="dxa"/>
            <w:right w:w="108" w:type="dxa"/>
          </w:tblCellMar>
        </w:tblPrEx>
        <w:trPr>
          <w:trHeight w:val="864" w:hRule="atLeast"/>
          <w:jc w:val="center"/>
        </w:trPr>
        <w:tc>
          <w:tcPr>
            <w:tcW w:w="592" w:type="pct"/>
            <w:tcBorders>
              <w:top w:val="single" w:color="auto" w:sz="6" w:space="0"/>
              <w:left w:val="single" w:color="auto" w:sz="6" w:space="0"/>
              <w:bottom w:val="single" w:color="auto" w:sz="6" w:space="0"/>
              <w:right w:val="single" w:color="auto" w:sz="6" w:space="0"/>
            </w:tcBorders>
          </w:tcPr>
          <w:p w14:paraId="7C0E12BD">
            <w:pPr>
              <w:autoSpaceDE w:val="0"/>
              <w:autoSpaceDN w:val="0"/>
              <w:adjustRightInd w:val="0"/>
              <w:spacing w:line="360" w:lineRule="auto"/>
              <w:ind w:firstLine="240"/>
              <w:rPr>
                <w:rFonts w:ascii="等线" w:hAnsi="等线"/>
                <w:color w:val="auto"/>
                <w:sz w:val="24"/>
                <w:szCs w:val="24"/>
              </w:rPr>
            </w:pPr>
          </w:p>
        </w:tc>
        <w:tc>
          <w:tcPr>
            <w:tcW w:w="1262" w:type="pct"/>
            <w:tcBorders>
              <w:top w:val="single" w:color="auto" w:sz="6" w:space="0"/>
              <w:left w:val="single" w:color="auto" w:sz="6" w:space="0"/>
              <w:bottom w:val="single" w:color="auto" w:sz="6" w:space="0"/>
              <w:right w:val="single" w:color="auto" w:sz="6" w:space="0"/>
            </w:tcBorders>
            <w:vAlign w:val="center"/>
          </w:tcPr>
          <w:p w14:paraId="530B7E41">
            <w:pPr>
              <w:autoSpaceDE w:val="0"/>
              <w:autoSpaceDN w:val="0"/>
              <w:adjustRightInd w:val="0"/>
              <w:spacing w:line="360" w:lineRule="auto"/>
              <w:ind w:firstLine="240"/>
              <w:rPr>
                <w:rFonts w:ascii="等线" w:hAnsi="等线"/>
                <w:color w:val="auto"/>
                <w:sz w:val="24"/>
                <w:szCs w:val="24"/>
              </w:rPr>
            </w:pPr>
          </w:p>
        </w:tc>
        <w:tc>
          <w:tcPr>
            <w:tcW w:w="1916" w:type="pct"/>
            <w:tcBorders>
              <w:top w:val="single" w:color="auto" w:sz="6" w:space="0"/>
              <w:left w:val="single" w:color="auto" w:sz="6" w:space="0"/>
              <w:bottom w:val="single" w:color="auto" w:sz="6" w:space="0"/>
              <w:right w:val="single" w:color="auto" w:sz="6" w:space="0"/>
            </w:tcBorders>
            <w:vAlign w:val="center"/>
          </w:tcPr>
          <w:p w14:paraId="3AAA422F">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大写：　</w:t>
            </w:r>
          </w:p>
          <w:p w14:paraId="3BA3BC4A">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小写：</w:t>
            </w:r>
          </w:p>
        </w:tc>
        <w:tc>
          <w:tcPr>
            <w:tcW w:w="663" w:type="pct"/>
            <w:tcBorders>
              <w:top w:val="single" w:color="auto" w:sz="6" w:space="0"/>
              <w:left w:val="single" w:color="auto" w:sz="6" w:space="0"/>
              <w:bottom w:val="single" w:color="auto" w:sz="6" w:space="0"/>
              <w:right w:val="single" w:color="auto" w:sz="6" w:space="0"/>
            </w:tcBorders>
            <w:vAlign w:val="center"/>
          </w:tcPr>
          <w:p w14:paraId="33E4E918">
            <w:pPr>
              <w:autoSpaceDE w:val="0"/>
              <w:autoSpaceDN w:val="0"/>
              <w:adjustRightInd w:val="0"/>
              <w:spacing w:line="360" w:lineRule="auto"/>
              <w:ind w:firstLine="240"/>
              <w:rPr>
                <w:rFonts w:ascii="等线" w:hAnsi="等线" w:cs="宋体"/>
                <w:color w:val="auto"/>
                <w:sz w:val="24"/>
                <w:szCs w:val="24"/>
                <w:lang w:val="zh-CN"/>
              </w:rPr>
            </w:pPr>
          </w:p>
        </w:tc>
        <w:tc>
          <w:tcPr>
            <w:tcW w:w="565" w:type="pct"/>
            <w:tcBorders>
              <w:top w:val="single" w:color="auto" w:sz="6" w:space="0"/>
              <w:left w:val="single" w:color="auto" w:sz="6" w:space="0"/>
              <w:bottom w:val="single" w:color="auto" w:sz="6" w:space="0"/>
              <w:right w:val="single" w:color="auto" w:sz="6" w:space="0"/>
            </w:tcBorders>
            <w:vAlign w:val="center"/>
          </w:tcPr>
          <w:p w14:paraId="2F3A9199">
            <w:pPr>
              <w:autoSpaceDE w:val="0"/>
              <w:autoSpaceDN w:val="0"/>
              <w:adjustRightInd w:val="0"/>
              <w:spacing w:line="360" w:lineRule="auto"/>
              <w:ind w:firstLine="240"/>
              <w:rPr>
                <w:rFonts w:ascii="等线" w:hAnsi="等线" w:cs="宋体"/>
                <w:color w:val="auto"/>
                <w:sz w:val="24"/>
                <w:szCs w:val="24"/>
                <w:lang w:val="zh-CN"/>
              </w:rPr>
            </w:pPr>
          </w:p>
        </w:tc>
      </w:tr>
      <w:tr w14:paraId="4E8418EF">
        <w:tblPrEx>
          <w:tblCellMar>
            <w:top w:w="0" w:type="dxa"/>
            <w:left w:w="108" w:type="dxa"/>
            <w:bottom w:w="0" w:type="dxa"/>
            <w:right w:w="108" w:type="dxa"/>
          </w:tblCellMar>
        </w:tblPrEx>
        <w:trPr>
          <w:trHeight w:val="864" w:hRule="atLeast"/>
          <w:jc w:val="center"/>
        </w:trPr>
        <w:tc>
          <w:tcPr>
            <w:tcW w:w="592" w:type="pct"/>
            <w:tcBorders>
              <w:top w:val="single" w:color="auto" w:sz="6" w:space="0"/>
              <w:left w:val="single" w:color="auto" w:sz="6" w:space="0"/>
              <w:bottom w:val="single" w:color="auto" w:sz="6" w:space="0"/>
              <w:right w:val="single" w:color="auto" w:sz="6" w:space="0"/>
            </w:tcBorders>
          </w:tcPr>
          <w:p w14:paraId="1FD997BE">
            <w:pPr>
              <w:autoSpaceDE w:val="0"/>
              <w:autoSpaceDN w:val="0"/>
              <w:adjustRightInd w:val="0"/>
              <w:spacing w:line="360" w:lineRule="auto"/>
              <w:ind w:firstLine="240"/>
              <w:rPr>
                <w:rFonts w:ascii="等线" w:hAnsi="等线"/>
                <w:color w:val="auto"/>
                <w:sz w:val="24"/>
                <w:szCs w:val="24"/>
              </w:rPr>
            </w:pPr>
            <w:r>
              <w:rPr>
                <w:rFonts w:hint="eastAsia" w:ascii="等线" w:hAnsi="等线"/>
                <w:color w:val="auto"/>
                <w:sz w:val="24"/>
                <w:szCs w:val="24"/>
              </w:rPr>
              <w:t>...</w:t>
            </w:r>
          </w:p>
        </w:tc>
        <w:tc>
          <w:tcPr>
            <w:tcW w:w="1262" w:type="pct"/>
            <w:tcBorders>
              <w:top w:val="single" w:color="auto" w:sz="6" w:space="0"/>
              <w:left w:val="single" w:color="auto" w:sz="6" w:space="0"/>
              <w:bottom w:val="single" w:color="auto" w:sz="6" w:space="0"/>
              <w:right w:val="single" w:color="auto" w:sz="6" w:space="0"/>
            </w:tcBorders>
            <w:vAlign w:val="center"/>
          </w:tcPr>
          <w:p w14:paraId="3E2F7E32">
            <w:pPr>
              <w:autoSpaceDE w:val="0"/>
              <w:autoSpaceDN w:val="0"/>
              <w:adjustRightInd w:val="0"/>
              <w:spacing w:line="360" w:lineRule="auto"/>
              <w:ind w:firstLine="240"/>
              <w:rPr>
                <w:rFonts w:ascii="等线" w:hAnsi="等线"/>
                <w:color w:val="auto"/>
                <w:sz w:val="24"/>
                <w:szCs w:val="24"/>
              </w:rPr>
            </w:pPr>
          </w:p>
        </w:tc>
        <w:tc>
          <w:tcPr>
            <w:tcW w:w="1916" w:type="pct"/>
            <w:tcBorders>
              <w:top w:val="single" w:color="auto" w:sz="6" w:space="0"/>
              <w:left w:val="single" w:color="auto" w:sz="6" w:space="0"/>
              <w:bottom w:val="single" w:color="auto" w:sz="6" w:space="0"/>
              <w:right w:val="single" w:color="auto" w:sz="6" w:space="0"/>
            </w:tcBorders>
            <w:vAlign w:val="center"/>
          </w:tcPr>
          <w:p w14:paraId="35FBA14E">
            <w:pPr>
              <w:autoSpaceDE w:val="0"/>
              <w:autoSpaceDN w:val="0"/>
              <w:adjustRightInd w:val="0"/>
              <w:spacing w:line="360" w:lineRule="auto"/>
              <w:rPr>
                <w:rFonts w:ascii="等线" w:hAnsi="等线" w:cs="宋体"/>
                <w:color w:val="auto"/>
                <w:sz w:val="24"/>
                <w:szCs w:val="24"/>
                <w:lang w:val="zh-CN"/>
              </w:rPr>
            </w:pPr>
          </w:p>
        </w:tc>
        <w:tc>
          <w:tcPr>
            <w:tcW w:w="663" w:type="pct"/>
            <w:tcBorders>
              <w:top w:val="single" w:color="auto" w:sz="6" w:space="0"/>
              <w:left w:val="single" w:color="auto" w:sz="6" w:space="0"/>
              <w:bottom w:val="single" w:color="auto" w:sz="6" w:space="0"/>
              <w:right w:val="single" w:color="auto" w:sz="6" w:space="0"/>
            </w:tcBorders>
            <w:vAlign w:val="center"/>
          </w:tcPr>
          <w:p w14:paraId="53473BAA">
            <w:pPr>
              <w:autoSpaceDE w:val="0"/>
              <w:autoSpaceDN w:val="0"/>
              <w:adjustRightInd w:val="0"/>
              <w:spacing w:line="360" w:lineRule="auto"/>
              <w:ind w:firstLine="240"/>
              <w:rPr>
                <w:rFonts w:ascii="等线" w:hAnsi="等线" w:cs="宋体"/>
                <w:color w:val="auto"/>
                <w:sz w:val="24"/>
                <w:szCs w:val="24"/>
                <w:lang w:val="zh-CN"/>
              </w:rPr>
            </w:pPr>
          </w:p>
        </w:tc>
        <w:tc>
          <w:tcPr>
            <w:tcW w:w="565" w:type="pct"/>
            <w:tcBorders>
              <w:top w:val="single" w:color="auto" w:sz="6" w:space="0"/>
              <w:left w:val="single" w:color="auto" w:sz="6" w:space="0"/>
              <w:bottom w:val="single" w:color="auto" w:sz="6" w:space="0"/>
              <w:right w:val="single" w:color="auto" w:sz="6" w:space="0"/>
            </w:tcBorders>
            <w:vAlign w:val="center"/>
          </w:tcPr>
          <w:p w14:paraId="7BF8E9BC">
            <w:pPr>
              <w:autoSpaceDE w:val="0"/>
              <w:autoSpaceDN w:val="0"/>
              <w:adjustRightInd w:val="0"/>
              <w:spacing w:line="360" w:lineRule="auto"/>
              <w:ind w:firstLine="240"/>
              <w:rPr>
                <w:rFonts w:ascii="等线" w:hAnsi="等线" w:cs="宋体"/>
                <w:color w:val="auto"/>
                <w:sz w:val="24"/>
                <w:szCs w:val="24"/>
                <w:lang w:val="zh-CN"/>
              </w:rPr>
            </w:pPr>
          </w:p>
        </w:tc>
      </w:tr>
    </w:tbl>
    <w:p w14:paraId="615BA96D">
      <w:pPr>
        <w:pStyle w:val="32"/>
        <w:spacing w:before="210" w:beforeAutospacing="0" w:after="210" w:afterAutospacing="0" w:line="360" w:lineRule="auto"/>
        <w:rPr>
          <w:color w:val="auto"/>
        </w:rPr>
      </w:pPr>
    </w:p>
    <w:p w14:paraId="3A3AB26D">
      <w:pPr>
        <w:pStyle w:val="32"/>
        <w:spacing w:before="210" w:beforeAutospacing="0" w:after="210" w:afterAutospacing="0" w:line="360" w:lineRule="auto"/>
        <w:rPr>
          <w:color w:val="auto"/>
        </w:rPr>
      </w:pPr>
    </w:p>
    <w:p w14:paraId="4CA896E2">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供应商名称：</w:t>
      </w:r>
      <w:r>
        <w:rPr>
          <w:rFonts w:hint="eastAsia" w:ascii="等线" w:hAnsi="等线" w:cs="宋体"/>
          <w:color w:val="auto"/>
          <w:sz w:val="24"/>
          <w:szCs w:val="24"/>
          <w:u w:val="single"/>
          <w:lang w:val="zh-CN"/>
        </w:rPr>
        <w:t xml:space="preserve">  （全称）</w:t>
      </w:r>
      <w:r>
        <w:rPr>
          <w:rFonts w:hint="eastAsia" w:ascii="等线" w:hAnsi="等线" w:cs="宋体"/>
          <w:color w:val="auto"/>
          <w:sz w:val="24"/>
          <w:szCs w:val="24"/>
          <w:lang w:val="zh-CN"/>
        </w:rPr>
        <w:t>（公章）</w:t>
      </w:r>
    </w:p>
    <w:p w14:paraId="40E002F6">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供应商法定代表人（单位负责人）或授权代表签字：</w:t>
      </w:r>
    </w:p>
    <w:p w14:paraId="34570823">
      <w:pPr>
        <w:autoSpaceDE w:val="0"/>
        <w:autoSpaceDN w:val="0"/>
        <w:adjustRightInd w:val="0"/>
        <w:spacing w:line="360" w:lineRule="auto"/>
        <w:rPr>
          <w:rFonts w:ascii="等线" w:hAnsi="等线"/>
          <w:color w:val="auto"/>
          <w:sz w:val="24"/>
          <w:szCs w:val="24"/>
        </w:rPr>
      </w:pPr>
      <w:r>
        <w:rPr>
          <w:rFonts w:hint="eastAsia" w:ascii="等线" w:hAnsi="等线" w:cs="宋体"/>
          <w:color w:val="auto"/>
          <w:sz w:val="24"/>
          <w:szCs w:val="24"/>
          <w:lang w:val="zh-CN"/>
        </w:rPr>
        <w:t>日期： 年  月  日</w:t>
      </w:r>
    </w:p>
    <w:p w14:paraId="4FB43120">
      <w:pPr>
        <w:spacing w:line="360" w:lineRule="auto"/>
        <w:rPr>
          <w:rFonts w:ascii="宋体" w:hAnsi="宋体" w:cs="黑体"/>
          <w:b/>
          <w:bCs/>
          <w:color w:val="auto"/>
          <w:sz w:val="28"/>
          <w:szCs w:val="28"/>
          <w:lang w:val="zh-CN"/>
        </w:rPr>
      </w:pPr>
      <w:r>
        <w:rPr>
          <w:rFonts w:hint="eastAsia" w:ascii="宋体" w:hAnsi="宋体" w:cs="黑体"/>
          <w:b/>
          <w:bCs/>
          <w:color w:val="auto"/>
          <w:sz w:val="28"/>
          <w:szCs w:val="28"/>
          <w:lang w:val="zh-CN"/>
        </w:rPr>
        <w:br w:type="page"/>
      </w:r>
    </w:p>
    <w:p w14:paraId="6E673DEE">
      <w:pPr>
        <w:pStyle w:val="22"/>
        <w:spacing w:line="360" w:lineRule="auto"/>
        <w:jc w:val="center"/>
        <w:outlineLvl w:val="1"/>
        <w:rPr>
          <w:rFonts w:hAnsi="宋体"/>
          <w:b/>
          <w:bCs/>
          <w:snapToGrid w:val="0"/>
          <w:color w:val="auto"/>
          <w:sz w:val="28"/>
          <w:szCs w:val="28"/>
        </w:rPr>
      </w:pPr>
      <w:bookmarkStart w:id="25" w:name="_Toc138068731"/>
      <w:r>
        <w:rPr>
          <w:rFonts w:hint="eastAsia" w:hAnsi="宋体"/>
          <w:b/>
          <w:bCs/>
          <w:snapToGrid w:val="0"/>
          <w:color w:val="auto"/>
          <w:sz w:val="28"/>
          <w:szCs w:val="28"/>
        </w:rPr>
        <w:t>三、资格审查证明材料</w:t>
      </w:r>
      <w:bookmarkEnd w:id="25"/>
    </w:p>
    <w:p w14:paraId="762135B8">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3.1 响 应 函</w:t>
      </w:r>
    </w:p>
    <w:p w14:paraId="2F99D001">
      <w:pPr>
        <w:autoSpaceDE w:val="0"/>
        <w:autoSpaceDN w:val="0"/>
        <w:adjustRightInd w:val="0"/>
        <w:spacing w:line="360" w:lineRule="auto"/>
        <w:rPr>
          <w:rFonts w:ascii="宋体" w:hAnsi="宋体"/>
          <w:b/>
          <w:snapToGrid w:val="0"/>
          <w:color w:val="auto"/>
          <w:kern w:val="0"/>
          <w:sz w:val="24"/>
        </w:rPr>
      </w:pPr>
      <w:r>
        <w:rPr>
          <w:rFonts w:hint="eastAsia"/>
          <w:color w:val="auto"/>
          <w:sz w:val="28"/>
          <w:szCs w:val="24"/>
        </w:rPr>
        <w:t>致：</w:t>
      </w:r>
      <w:r>
        <w:rPr>
          <w:rFonts w:hint="eastAsia" w:ascii="宋体" w:hAnsi="宋体"/>
          <w:b/>
          <w:snapToGrid w:val="0"/>
          <w:color w:val="auto"/>
          <w:kern w:val="0"/>
          <w:sz w:val="24"/>
        </w:rPr>
        <w:t>（采购人）</w:t>
      </w:r>
    </w:p>
    <w:p w14:paraId="4F6023A2">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ascii="宋体" w:hAnsi="宋体"/>
          <w:snapToGrid w:val="0"/>
          <w:color w:val="auto"/>
          <w:kern w:val="0"/>
          <w:sz w:val="24"/>
        </w:rPr>
      </w:pPr>
      <w:r>
        <w:rPr>
          <w:rFonts w:hint="eastAsia" w:ascii="宋体" w:hAnsi="宋体"/>
          <w:snapToGrid w:val="0"/>
          <w:color w:val="auto"/>
          <w:kern w:val="0"/>
          <w:sz w:val="24"/>
        </w:rPr>
        <w:t xml:space="preserve">根据贵方 </w:t>
      </w:r>
      <w:r>
        <w:rPr>
          <w:rFonts w:hint="eastAsia" w:ascii="宋体" w:hAnsi="宋体"/>
          <w:i/>
          <w:iCs/>
          <w:snapToGrid w:val="0"/>
          <w:color w:val="auto"/>
          <w:kern w:val="0"/>
          <w:sz w:val="24"/>
        </w:rPr>
        <w:t>（项目名称、招标编号）</w:t>
      </w:r>
      <w:r>
        <w:rPr>
          <w:rFonts w:hint="eastAsia" w:ascii="宋体" w:hAnsi="宋体"/>
          <w:snapToGrid w:val="0"/>
          <w:color w:val="auto"/>
          <w:kern w:val="0"/>
          <w:sz w:val="24"/>
        </w:rPr>
        <w:t>采购的采购公告及磋商邀请，_______</w:t>
      </w:r>
      <w:r>
        <w:rPr>
          <w:rFonts w:hint="eastAsia" w:ascii="宋体" w:hAnsi="宋体"/>
          <w:i/>
          <w:iCs/>
          <w:snapToGrid w:val="0"/>
          <w:color w:val="auto"/>
          <w:kern w:val="0"/>
          <w:sz w:val="24"/>
        </w:rPr>
        <w:t>（姓名和职务）</w:t>
      </w:r>
      <w:r>
        <w:rPr>
          <w:rFonts w:hint="eastAsia" w:ascii="宋体" w:hAnsi="宋体"/>
          <w:snapToGrid w:val="0"/>
          <w:color w:val="auto"/>
          <w:kern w:val="0"/>
          <w:sz w:val="24"/>
        </w:rPr>
        <w:t>被正式授权并代表供应商</w:t>
      </w:r>
      <w:r>
        <w:rPr>
          <w:rFonts w:hint="eastAsia" w:ascii="宋体" w:hAnsi="宋体"/>
          <w:i/>
          <w:iCs/>
          <w:snapToGrid w:val="0"/>
          <w:color w:val="auto"/>
          <w:kern w:val="0"/>
          <w:sz w:val="24"/>
        </w:rPr>
        <w:t>（供应商名称、地址）</w:t>
      </w:r>
      <w:r>
        <w:rPr>
          <w:rFonts w:hint="eastAsia" w:ascii="宋体" w:hAnsi="宋体"/>
          <w:snapToGrid w:val="0"/>
          <w:color w:val="auto"/>
          <w:kern w:val="0"/>
          <w:sz w:val="24"/>
        </w:rPr>
        <w:t>提交。</w:t>
      </w:r>
    </w:p>
    <w:p w14:paraId="132D29AA">
      <w:pPr>
        <w:pStyle w:val="22"/>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ascii="宋体" w:hAnsi="宋体"/>
          <w:snapToGrid w:val="0"/>
          <w:color w:val="auto"/>
          <w:szCs w:val="21"/>
        </w:rPr>
      </w:pPr>
      <w:r>
        <w:rPr>
          <w:rFonts w:hint="eastAsia" w:ascii="宋体" w:hAnsi="宋体"/>
          <w:snapToGrid w:val="0"/>
          <w:color w:val="auto"/>
          <w:szCs w:val="21"/>
        </w:rPr>
        <w:t>我方确认收到贵方提供的</w:t>
      </w:r>
      <w:r>
        <w:rPr>
          <w:rFonts w:hint="eastAsia" w:ascii="宋体" w:hAnsi="宋体"/>
          <w:i/>
          <w:iCs/>
          <w:snapToGrid w:val="0"/>
          <w:color w:val="auto"/>
          <w:szCs w:val="21"/>
        </w:rPr>
        <w:t>（项目名称、招标编号）</w:t>
      </w:r>
      <w:r>
        <w:rPr>
          <w:rFonts w:hint="eastAsia" w:ascii="宋体" w:hAnsi="宋体"/>
          <w:snapToGrid w:val="0"/>
          <w:color w:val="auto"/>
          <w:szCs w:val="21"/>
        </w:rPr>
        <w:t>磋商文件的全部内容。</w:t>
      </w:r>
    </w:p>
    <w:p w14:paraId="2D5221E1">
      <w:pPr>
        <w:pStyle w:val="22"/>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ascii="宋体" w:hAnsi="宋体"/>
          <w:snapToGrid w:val="0"/>
          <w:color w:val="auto"/>
          <w:szCs w:val="21"/>
        </w:rPr>
      </w:pPr>
      <w:r>
        <w:rPr>
          <w:rFonts w:hint="eastAsia" w:ascii="宋体" w:hAnsi="宋体"/>
          <w:snapToGrid w:val="0"/>
          <w:color w:val="auto"/>
          <w:szCs w:val="21"/>
        </w:rPr>
        <w:t>我方在参与磋商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color w:val="auto"/>
          <w:szCs w:val="21"/>
        </w:rPr>
        <w:t>已完全理解并接受磋商文件的各项规定和要求及资金支付规定，对磋商文件的合理性、合法性不再有异议，并承诺在发生争议时不会以对《磋商文件》存在误解、不明白的条款为由，对贵中心行使任何法律上的抗辩权。</w:t>
      </w:r>
    </w:p>
    <w:p w14:paraId="27B9F391">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ascii="宋体" w:hAnsi="宋体" w:cs="Courier New"/>
          <w:color w:val="auto"/>
          <w:sz w:val="24"/>
        </w:rPr>
      </w:pPr>
      <w:r>
        <w:rPr>
          <w:rFonts w:hint="eastAsia" w:ascii="宋体" w:hAnsi="宋体" w:cs="Courier New"/>
          <w:color w:val="auto"/>
          <w:sz w:val="24"/>
        </w:rPr>
        <w:t>我方已完全明白磋商文件的所有条款要求，并申明如下：</w:t>
      </w:r>
    </w:p>
    <w:p w14:paraId="1E5C66E9">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ascii="宋体" w:hAnsi="宋体" w:cs="Courier New"/>
          <w:color w:val="auto"/>
          <w:sz w:val="24"/>
        </w:rPr>
      </w:pPr>
      <w:r>
        <w:rPr>
          <w:rFonts w:hint="eastAsia" w:ascii="宋体" w:hAnsi="宋体" w:cs="Courier New"/>
          <w:color w:val="auto"/>
          <w:sz w:val="24"/>
        </w:rPr>
        <w:t>一、按磋商文件提供的全部货物与相关服务的投标总价详见《磋商一览表》。</w:t>
      </w:r>
    </w:p>
    <w:p w14:paraId="079E731A">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ascii="宋体" w:hAnsi="宋体" w:cs="Courier New"/>
          <w:color w:val="auto"/>
          <w:sz w:val="24"/>
        </w:rPr>
      </w:pPr>
      <w:r>
        <w:rPr>
          <w:rFonts w:hint="eastAsia" w:ascii="宋体" w:hAnsi="宋体" w:cs="Courier New"/>
          <w:color w:val="auto"/>
          <w:sz w:val="24"/>
        </w:rPr>
        <w:t>二、</w:t>
      </w:r>
      <w:r>
        <w:rPr>
          <w:rFonts w:hint="eastAsia" w:ascii="宋体" w:hAnsi="宋体"/>
          <w:color w:val="auto"/>
          <w:sz w:val="24"/>
        </w:rPr>
        <w:t>我方同意在本项目磋商文件中规定的磋商日起</w:t>
      </w:r>
      <w:r>
        <w:rPr>
          <w:rFonts w:hint="eastAsia" w:ascii="宋体" w:hAnsi="宋体"/>
          <w:color w:val="auto"/>
          <w:sz w:val="24"/>
          <w:u w:val="single"/>
        </w:rPr>
        <w:t>60</w:t>
      </w:r>
      <w:r>
        <w:rPr>
          <w:rFonts w:hint="eastAsia" w:ascii="宋体" w:hAnsi="宋体"/>
          <w:color w:val="auto"/>
          <w:sz w:val="24"/>
        </w:rPr>
        <w:t>天内遵守本响应文件中的承诺且在此期限期满之前均具有约束力。我方同意并遵守本磋商文件“供应商须知”中第十四条第三款关于延长磋商有效期的规定。</w:t>
      </w:r>
      <w:r>
        <w:rPr>
          <w:rFonts w:hint="eastAsia" w:ascii="宋体" w:hAnsi="宋体" w:cs="Courier New"/>
          <w:color w:val="auto"/>
          <w:sz w:val="24"/>
        </w:rPr>
        <w:t>如成交，有效期将延至供货终止日为止。在此提交的资格证明文件均至磋商响应截止日有效，如有在磋商有效期内失效的，我方承诺在成交后补齐一切手续，保证所有资格证明文件能在签订采购合同时直至采购合同终止日有效。</w:t>
      </w:r>
    </w:p>
    <w:p w14:paraId="2B67856E">
      <w:pPr>
        <w:pStyle w:val="3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cs="Courier New"/>
          <w:color w:val="auto"/>
          <w:szCs w:val="21"/>
        </w:rPr>
      </w:pPr>
      <w:r>
        <w:rPr>
          <w:rFonts w:hint="eastAsia" w:cs="Courier New"/>
          <w:color w:val="auto"/>
          <w:szCs w:val="21"/>
        </w:rPr>
        <w:t>三、我方明白并同意，在规定的磋商日之后，磋商有效期之内撤销响应的，则我方承担违背磋商承诺的责任追究。</w:t>
      </w:r>
    </w:p>
    <w:p w14:paraId="36521FF1">
      <w:pPr>
        <w:pStyle w:val="3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cs="Courier New"/>
          <w:color w:val="auto"/>
          <w:szCs w:val="21"/>
        </w:rPr>
      </w:pPr>
      <w:r>
        <w:rPr>
          <w:rFonts w:hint="eastAsia" w:cs="Courier New"/>
          <w:color w:val="auto"/>
          <w:szCs w:val="21"/>
        </w:rPr>
        <w:t>四、我方同意按照贵方可能提出的要求而提供与响应有关的任何其它数据、信息或资料。</w:t>
      </w:r>
    </w:p>
    <w:p w14:paraId="3D2C2752">
      <w:pPr>
        <w:pStyle w:val="3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cs="Courier New"/>
          <w:color w:val="auto"/>
          <w:szCs w:val="21"/>
        </w:rPr>
      </w:pPr>
      <w:r>
        <w:rPr>
          <w:rFonts w:hint="eastAsia" w:cs="Courier New"/>
          <w:color w:val="auto"/>
          <w:szCs w:val="21"/>
        </w:rPr>
        <w:t>五、我方理解贵方不一定接受最低响应价或任何贵方可能收到的响应。</w:t>
      </w:r>
    </w:p>
    <w:p w14:paraId="2E52D100">
      <w:pPr>
        <w:pStyle w:val="3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cs="Courier New"/>
          <w:color w:val="auto"/>
          <w:szCs w:val="21"/>
        </w:rPr>
      </w:pPr>
      <w:r>
        <w:rPr>
          <w:rFonts w:hint="eastAsia" w:cs="Courier New"/>
          <w:color w:val="auto"/>
          <w:szCs w:val="21"/>
        </w:rPr>
        <w:t>六、我方如果成交，将保证履行磋商文件及其澄清、修改文件（如果有）中的全部责任和义务，按质、按量、按期完成《项目需求》及《合同书》中的全部任务。</w:t>
      </w:r>
    </w:p>
    <w:p w14:paraId="5BDE8157">
      <w:pPr>
        <w:pStyle w:val="3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color w:val="auto"/>
          <w:szCs w:val="21"/>
        </w:rPr>
      </w:pPr>
      <w:r>
        <w:rPr>
          <w:rFonts w:hint="eastAsia" w:cs="Courier New"/>
          <w:color w:val="auto"/>
          <w:szCs w:val="21"/>
        </w:rPr>
        <w:t>七、我方在此保证所提交的所有文件和全部说明是真实的和正确的。</w:t>
      </w:r>
    </w:p>
    <w:p w14:paraId="2D1A5D97">
      <w:pPr>
        <w:pStyle w:val="22"/>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ascii="宋体" w:hAnsi="宋体"/>
          <w:color w:val="auto"/>
          <w:szCs w:val="21"/>
        </w:rPr>
      </w:pPr>
      <w:r>
        <w:rPr>
          <w:rFonts w:hint="eastAsia" w:ascii="宋体" w:hAnsi="宋体"/>
          <w:color w:val="auto"/>
          <w:szCs w:val="21"/>
        </w:rPr>
        <w:t xml:space="preserve">八、我方投标报价已包含应向知识产权所有权人支付的所有相关税费，并保证采购人在中国使用我方提供的货物时，如有第三方提出侵犯其知识产权主张的，责任由我方承担。 </w:t>
      </w:r>
    </w:p>
    <w:p w14:paraId="2DBAD1C2">
      <w:pPr>
        <w:pStyle w:val="22"/>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ascii="宋体" w:hAnsi="宋体" w:cs="Arial"/>
          <w:color w:val="auto"/>
          <w:szCs w:val="21"/>
        </w:rPr>
      </w:pPr>
      <w:r>
        <w:rPr>
          <w:rFonts w:hint="eastAsia" w:ascii="宋体" w:hAnsi="宋体" w:cs="Arial"/>
          <w:color w:val="auto"/>
          <w:szCs w:val="21"/>
        </w:rPr>
        <w:t>九、我方具备《政府采购法》第二十二条规定的条件；承诺如下：</w:t>
      </w:r>
    </w:p>
    <w:p w14:paraId="10FB1D6C">
      <w:pPr>
        <w:pStyle w:val="22"/>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ascii="宋体" w:hAnsi="宋体" w:cs="Arial"/>
          <w:color w:val="auto"/>
          <w:szCs w:val="21"/>
        </w:rPr>
      </w:pPr>
      <w:r>
        <w:rPr>
          <w:rFonts w:hint="eastAsia" w:ascii="宋体" w:hAnsi="宋体" w:cs="Arial"/>
          <w:color w:val="auto"/>
          <w:szCs w:val="21"/>
        </w:rPr>
        <w:t>1. 具有独立承担民事责任能力的在中华人民共和国境内注册的法人或其他组织或自然人，有效的营业执照（或事业法人登记证或身份证等相关证明）。</w:t>
      </w:r>
    </w:p>
    <w:p w14:paraId="2C4B6FE7">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ascii="宋体" w:hAnsi="宋体" w:cs="Arial"/>
          <w:color w:val="auto"/>
          <w:sz w:val="24"/>
        </w:rPr>
      </w:pPr>
      <w:r>
        <w:rPr>
          <w:rFonts w:hint="eastAsia" w:ascii="宋体" w:hAnsi="宋体" w:cs="Arial"/>
          <w:color w:val="auto"/>
          <w:sz w:val="24"/>
        </w:rPr>
        <w:t>2. 我方已依法缴纳了各项税费及社会保险费用，如有需要，可随时向采购人提供近三个月内的相关缴费证明，以便核查。</w:t>
      </w:r>
    </w:p>
    <w:p w14:paraId="4D093A29">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ascii="宋体" w:hAnsi="宋体" w:cs="Arial"/>
          <w:color w:val="auto"/>
          <w:sz w:val="24"/>
        </w:rPr>
      </w:pPr>
      <w:r>
        <w:rPr>
          <w:rFonts w:hint="eastAsia" w:ascii="宋体" w:hAnsi="宋体" w:cs="Arial"/>
          <w:color w:val="auto"/>
          <w:sz w:val="24"/>
        </w:rPr>
        <w:t>3. 我方已依法建立健全的财务会计制度，如有需要，可随时向采购人提供相关证明材料，以便核查。</w:t>
      </w:r>
    </w:p>
    <w:p w14:paraId="61D21FF8">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ascii="宋体" w:hAnsi="宋体" w:cs="Arial"/>
          <w:color w:val="auto"/>
          <w:sz w:val="24"/>
        </w:rPr>
      </w:pPr>
      <w:r>
        <w:rPr>
          <w:rFonts w:hint="eastAsia" w:ascii="宋体" w:hAnsi="宋体" w:cs="Arial"/>
          <w:color w:val="auto"/>
          <w:sz w:val="24"/>
        </w:rPr>
        <w:t>4. 参加政府采购活动前三年内，在经营活动中没有重大违法记录。</w:t>
      </w:r>
    </w:p>
    <w:p w14:paraId="5ABE7123">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ascii="宋体" w:hAnsi="宋体" w:cs="Arial"/>
          <w:color w:val="auto"/>
          <w:sz w:val="24"/>
        </w:rPr>
      </w:pPr>
      <w:r>
        <w:rPr>
          <w:rFonts w:hint="eastAsia" w:ascii="宋体" w:hAnsi="宋体" w:cs="Arial"/>
          <w:color w:val="auto"/>
          <w:sz w:val="24"/>
        </w:rPr>
        <w:t>5. 符合法律、行政法规规定的其他条件。</w:t>
      </w:r>
    </w:p>
    <w:p w14:paraId="38DE1626">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ascii="宋体" w:hAnsi="宋体" w:cs="Arial"/>
          <w:color w:val="auto"/>
          <w:sz w:val="24"/>
        </w:rPr>
      </w:pPr>
      <w:r>
        <w:rPr>
          <w:rFonts w:hint="eastAsia" w:ascii="宋体" w:hAnsi="宋体" w:cs="宋体"/>
          <w:color w:val="auto"/>
          <w:sz w:val="24"/>
        </w:rPr>
        <w:t>以上内容如有虚假或与事实不符的，评审委员会可将</w:t>
      </w:r>
      <w:r>
        <w:rPr>
          <w:rFonts w:hint="eastAsia" w:ascii="宋体" w:hAnsi="宋体" w:cs="Arial"/>
          <w:color w:val="auto"/>
          <w:sz w:val="24"/>
        </w:rPr>
        <w:t>我方做无效响应处理，我方愿意承担相应的法律责任。</w:t>
      </w:r>
    </w:p>
    <w:p w14:paraId="236FA072">
      <w:pPr>
        <w:pStyle w:val="22"/>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ascii="宋体" w:hAnsi="宋体"/>
          <w:color w:val="auto"/>
          <w:szCs w:val="21"/>
        </w:rPr>
      </w:pPr>
      <w:r>
        <w:rPr>
          <w:rFonts w:hint="eastAsia" w:ascii="宋体" w:hAnsi="宋体"/>
          <w:color w:val="auto"/>
          <w:szCs w:val="21"/>
        </w:rPr>
        <w:t>十、我方具备履行合同所必需的设备和专业技术能力。</w:t>
      </w:r>
    </w:p>
    <w:p w14:paraId="62B44CAC">
      <w:pPr>
        <w:pStyle w:val="22"/>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ascii="宋体" w:hAnsi="宋体"/>
          <w:color w:val="auto"/>
          <w:szCs w:val="21"/>
        </w:rPr>
      </w:pPr>
      <w:r>
        <w:rPr>
          <w:rFonts w:hint="eastAsia" w:ascii="宋体" w:hAnsi="宋体"/>
          <w:snapToGrid w:val="0"/>
          <w:color w:val="auto"/>
          <w:szCs w:val="21"/>
        </w:rPr>
        <w:t>十一、</w:t>
      </w:r>
      <w:r>
        <w:rPr>
          <w:rFonts w:hint="eastAsia" w:ascii="宋体" w:hAnsi="宋体"/>
          <w:color w:val="auto"/>
          <w:szCs w:val="21"/>
        </w:rPr>
        <w:t>我方对在本函及响应文件中所作的所有承诺承担法律责任。</w:t>
      </w:r>
    </w:p>
    <w:p w14:paraId="7959FE08">
      <w:pPr>
        <w:pStyle w:val="22"/>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ascii="宋体" w:hAnsi="宋体"/>
          <w:color w:val="auto"/>
          <w:szCs w:val="21"/>
        </w:rPr>
      </w:pPr>
    </w:p>
    <w:p w14:paraId="4E07BC97">
      <w:pPr>
        <w:pStyle w:val="22"/>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ascii="宋体" w:hAnsi="宋体"/>
          <w:color w:val="auto"/>
          <w:szCs w:val="21"/>
        </w:rPr>
      </w:pPr>
      <w:r>
        <w:rPr>
          <w:rFonts w:hint="eastAsia" w:ascii="宋体" w:hAnsi="宋体"/>
          <w:color w:val="auto"/>
          <w:szCs w:val="21"/>
        </w:rPr>
        <w:t>所有与本招标有关的一切正式往来请寄：</w:t>
      </w:r>
    </w:p>
    <w:p w14:paraId="207F2F55">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ascii="宋体" w:hAnsi="宋体" w:cs="宋体"/>
          <w:color w:val="auto"/>
          <w:sz w:val="24"/>
        </w:rPr>
      </w:pPr>
      <w:r>
        <w:rPr>
          <w:rFonts w:hint="eastAsia" w:ascii="宋体" w:hAnsi="宋体" w:cs="宋体"/>
          <w:color w:val="auto"/>
          <w:sz w:val="24"/>
        </w:rPr>
        <w:t xml:space="preserve">地    址：   </w:t>
      </w:r>
      <w:r>
        <w:rPr>
          <w:rFonts w:hint="eastAsia" w:ascii="宋体" w:hAnsi="宋体" w:cs="Times New Roman"/>
          <w:color w:val="auto"/>
          <w:kern w:val="0"/>
          <w:sz w:val="24"/>
        </w:rPr>
        <w:t>邮政编码：</w:t>
      </w:r>
    </w:p>
    <w:p w14:paraId="0B994F2D">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ascii="宋体" w:hAnsi="宋体" w:cs="宋体"/>
          <w:color w:val="auto"/>
          <w:sz w:val="24"/>
        </w:rPr>
      </w:pPr>
      <w:r>
        <w:rPr>
          <w:rFonts w:hint="eastAsia" w:ascii="宋体" w:hAnsi="宋体" w:cs="宋体"/>
          <w:color w:val="auto"/>
          <w:sz w:val="24"/>
        </w:rPr>
        <w:t>电    话：  传    真：</w:t>
      </w:r>
    </w:p>
    <w:p w14:paraId="1A818602">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ascii="宋体" w:hAnsi="宋体" w:cs="宋体"/>
          <w:color w:val="auto"/>
          <w:sz w:val="24"/>
          <w:u w:val="single"/>
        </w:rPr>
      </w:pPr>
      <w:r>
        <w:rPr>
          <w:rFonts w:hint="eastAsia" w:ascii="宋体" w:hAnsi="宋体" w:cs="宋体"/>
          <w:color w:val="auto"/>
          <w:sz w:val="24"/>
        </w:rPr>
        <w:t>供应商代表姓名：  职    务：</w:t>
      </w:r>
    </w:p>
    <w:p w14:paraId="48263855">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ascii="宋体" w:hAnsi="宋体" w:cs="宋体"/>
          <w:color w:val="auto"/>
          <w:sz w:val="24"/>
        </w:rPr>
      </w:pPr>
      <w:r>
        <w:rPr>
          <w:rFonts w:hint="eastAsia" w:ascii="宋体" w:hAnsi="宋体" w:cs="宋体"/>
          <w:color w:val="auto"/>
          <w:sz w:val="24"/>
        </w:rPr>
        <w:t>供应商名称（并加盖公章）：</w:t>
      </w:r>
    </w:p>
    <w:p w14:paraId="7B14159B">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ascii="宋体" w:hAnsi="宋体" w:cs="宋体"/>
          <w:color w:val="auto"/>
          <w:sz w:val="24"/>
        </w:rPr>
      </w:pPr>
      <w:r>
        <w:rPr>
          <w:rFonts w:hint="eastAsia" w:ascii="宋体" w:hAnsi="宋体" w:cs="宋体"/>
          <w:color w:val="auto"/>
          <w:sz w:val="24"/>
        </w:rPr>
        <w:t>日期：年 月 日</w:t>
      </w:r>
    </w:p>
    <w:p w14:paraId="0227FDBB">
      <w:pPr>
        <w:autoSpaceDE w:val="0"/>
        <w:autoSpaceDN w:val="0"/>
        <w:spacing w:line="360" w:lineRule="auto"/>
        <w:jc w:val="center"/>
        <w:outlineLvl w:val="2"/>
        <w:rPr>
          <w:rFonts w:ascii="宋体" w:hAnsi="宋体"/>
          <w:b/>
          <w:bCs/>
          <w:color w:val="auto"/>
          <w:sz w:val="24"/>
          <w:szCs w:val="24"/>
        </w:rPr>
      </w:pPr>
      <w:r>
        <w:rPr>
          <w:rFonts w:hint="eastAsia" w:ascii="宋体" w:hAnsi="宋体"/>
          <w:b/>
          <w:bCs/>
          <w:color w:val="auto"/>
          <w:sz w:val="24"/>
          <w:szCs w:val="24"/>
        </w:rPr>
        <w:br w:type="page"/>
      </w:r>
      <w:r>
        <w:rPr>
          <w:rFonts w:hint="eastAsia" w:ascii="宋体" w:hAnsi="宋体"/>
          <w:b/>
          <w:color w:val="auto"/>
          <w:sz w:val="28"/>
          <w:szCs w:val="24"/>
        </w:rPr>
        <w:t>3.2 法定代表人（单位负责人）资格证明书</w:t>
      </w:r>
    </w:p>
    <w:p w14:paraId="4430DDF6">
      <w:pPr>
        <w:autoSpaceDE w:val="0"/>
        <w:autoSpaceDN w:val="0"/>
        <w:adjustRightInd w:val="0"/>
        <w:spacing w:line="360" w:lineRule="auto"/>
        <w:ind w:firstLine="616" w:firstLineChars="257"/>
        <w:rPr>
          <w:rFonts w:ascii="宋体" w:hAnsi="宋体"/>
          <w:color w:val="auto"/>
          <w:sz w:val="24"/>
          <w:szCs w:val="24"/>
        </w:rPr>
      </w:pPr>
    </w:p>
    <w:p w14:paraId="6FBF76FC">
      <w:pPr>
        <w:pStyle w:val="82"/>
        <w:ind w:firstLine="540" w:firstLineChars="225"/>
        <w:jc w:val="left"/>
        <w:rPr>
          <w:rFonts w:hAnsi="宋体"/>
          <w:color w:val="auto"/>
          <w:sz w:val="24"/>
          <w:szCs w:val="24"/>
          <w:u w:val="single"/>
        </w:rPr>
      </w:pPr>
      <w:r>
        <w:rPr>
          <w:rFonts w:hint="eastAsia" w:hAnsi="宋体"/>
          <w:color w:val="auto"/>
          <w:sz w:val="24"/>
          <w:szCs w:val="24"/>
        </w:rPr>
        <w:t xml:space="preserve">单位名称：   </w:t>
      </w:r>
    </w:p>
    <w:p w14:paraId="48D3EB03">
      <w:pPr>
        <w:pStyle w:val="82"/>
        <w:ind w:firstLine="540" w:firstLineChars="225"/>
        <w:jc w:val="left"/>
        <w:rPr>
          <w:rFonts w:hAnsi="宋体"/>
          <w:color w:val="auto"/>
          <w:sz w:val="24"/>
          <w:szCs w:val="24"/>
          <w:u w:val="single"/>
        </w:rPr>
      </w:pPr>
      <w:r>
        <w:rPr>
          <w:rFonts w:hint="eastAsia" w:hAnsi="宋体"/>
          <w:color w:val="auto"/>
          <w:sz w:val="24"/>
          <w:szCs w:val="24"/>
        </w:rPr>
        <w:t xml:space="preserve">地址： </w:t>
      </w:r>
    </w:p>
    <w:p w14:paraId="1555FB6D">
      <w:pPr>
        <w:pStyle w:val="82"/>
        <w:ind w:firstLine="540" w:firstLineChars="225"/>
        <w:jc w:val="left"/>
        <w:rPr>
          <w:rFonts w:hAnsi="宋体"/>
          <w:color w:val="auto"/>
          <w:sz w:val="24"/>
          <w:szCs w:val="24"/>
          <w:u w:val="single"/>
        </w:rPr>
      </w:pPr>
      <w:r>
        <w:rPr>
          <w:rFonts w:hint="eastAsia" w:hAnsi="宋体"/>
          <w:color w:val="auto"/>
          <w:sz w:val="24"/>
          <w:szCs w:val="24"/>
        </w:rPr>
        <w:t>姓名： 性别：  年龄：职务：</w:t>
      </w:r>
    </w:p>
    <w:p w14:paraId="5C4DE0CC">
      <w:pPr>
        <w:pStyle w:val="82"/>
        <w:ind w:firstLine="540" w:firstLineChars="225"/>
        <w:jc w:val="left"/>
        <w:rPr>
          <w:rFonts w:hAnsi="宋体"/>
          <w:color w:val="auto"/>
          <w:sz w:val="24"/>
          <w:szCs w:val="24"/>
        </w:rPr>
      </w:pPr>
      <w:r>
        <w:rPr>
          <w:rFonts w:hint="eastAsia" w:hAnsi="宋体"/>
          <w:color w:val="auto"/>
          <w:sz w:val="24"/>
          <w:szCs w:val="24"/>
        </w:rPr>
        <w:t>本人系</w:t>
      </w:r>
      <w:r>
        <w:rPr>
          <w:rFonts w:hint="eastAsia" w:hAnsi="宋体"/>
          <w:i/>
          <w:snapToGrid w:val="0"/>
          <w:color w:val="auto"/>
          <w:sz w:val="24"/>
          <w:szCs w:val="24"/>
          <w:u w:val="single"/>
        </w:rPr>
        <w:t xml:space="preserve">供应商名称  </w:t>
      </w:r>
      <w:r>
        <w:rPr>
          <w:rFonts w:hint="eastAsia" w:hAnsi="宋体"/>
          <w:color w:val="auto"/>
          <w:sz w:val="24"/>
          <w:szCs w:val="24"/>
        </w:rPr>
        <w:t>的法定代表人（单位负责人）。就参加贵方招标编号为</w:t>
      </w:r>
      <w:r>
        <w:rPr>
          <w:rFonts w:hint="eastAsia" w:hAnsi="宋体"/>
          <w:i/>
          <w:color w:val="auto"/>
          <w:sz w:val="24"/>
          <w:szCs w:val="24"/>
          <w:u w:val="single"/>
        </w:rPr>
        <w:t xml:space="preserve">项目编号 </w:t>
      </w:r>
      <w:r>
        <w:rPr>
          <w:rFonts w:hint="eastAsia" w:hAnsi="宋体"/>
          <w:color w:val="auto"/>
          <w:sz w:val="24"/>
          <w:szCs w:val="24"/>
        </w:rPr>
        <w:t>的</w:t>
      </w:r>
      <w:r>
        <w:rPr>
          <w:rFonts w:hint="eastAsia" w:hAnsi="宋体"/>
          <w:i/>
          <w:color w:val="auto"/>
          <w:sz w:val="24"/>
          <w:szCs w:val="24"/>
          <w:u w:val="single"/>
        </w:rPr>
        <w:t xml:space="preserve">项目名称 </w:t>
      </w:r>
      <w:r>
        <w:rPr>
          <w:rFonts w:hint="eastAsia" w:hAnsi="宋体"/>
          <w:color w:val="auto"/>
          <w:sz w:val="24"/>
          <w:szCs w:val="24"/>
        </w:rPr>
        <w:t>采购项目的磋商响应报价，签署上述项目的响应文件及合同的执行、完成、服务和保修，签署合同和处理与之有关的一切事务。</w:t>
      </w:r>
    </w:p>
    <w:p w14:paraId="1D1911F4">
      <w:pPr>
        <w:pStyle w:val="82"/>
        <w:ind w:firstLine="540" w:firstLineChars="225"/>
        <w:jc w:val="left"/>
        <w:rPr>
          <w:rFonts w:hAnsi="宋体"/>
          <w:color w:val="auto"/>
          <w:sz w:val="24"/>
          <w:szCs w:val="24"/>
        </w:rPr>
      </w:pPr>
      <w:r>
        <w:rPr>
          <w:rFonts w:hint="eastAsia" w:hAnsi="宋体"/>
          <w:color w:val="auto"/>
          <w:sz w:val="24"/>
          <w:szCs w:val="24"/>
        </w:rPr>
        <w:t>特此证明。</w:t>
      </w:r>
    </w:p>
    <w:p w14:paraId="556CA567">
      <w:pPr>
        <w:pStyle w:val="82"/>
        <w:ind w:firstLine="540" w:firstLineChars="225"/>
        <w:jc w:val="left"/>
        <w:rPr>
          <w:rFonts w:hAnsi="宋体"/>
          <w:color w:val="auto"/>
          <w:sz w:val="24"/>
          <w:szCs w:val="24"/>
        </w:rPr>
      </w:pPr>
    </w:p>
    <w:p w14:paraId="7C896E3A">
      <w:pPr>
        <w:pStyle w:val="82"/>
        <w:ind w:firstLine="540" w:firstLineChars="225"/>
        <w:jc w:val="left"/>
        <w:rPr>
          <w:rFonts w:hAnsi="宋体"/>
          <w:color w:val="auto"/>
          <w:sz w:val="24"/>
          <w:szCs w:val="24"/>
        </w:rPr>
      </w:pPr>
    </w:p>
    <w:p w14:paraId="13CFCDA7">
      <w:pPr>
        <w:pStyle w:val="82"/>
        <w:ind w:left="-538" w:leftChars="-256" w:firstLine="616" w:firstLineChars="257"/>
        <w:jc w:val="center"/>
        <w:rPr>
          <w:rFonts w:hAnsi="宋体"/>
          <w:bCs/>
          <w:color w:val="auto"/>
          <w:sz w:val="24"/>
          <w:szCs w:val="24"/>
        </w:rPr>
      </w:pPr>
      <w:r>
        <w:rPr>
          <w:rFonts w:hint="eastAsia" w:hAnsi="宋体"/>
          <w:bCs/>
          <w:color w:val="auto"/>
          <w:sz w:val="24"/>
          <w:szCs w:val="24"/>
        </w:rPr>
        <w:t>【此处请粘贴法定代表人（单位负责人）身份证复印件，需清晰反映身份证有效期限】</w:t>
      </w:r>
    </w:p>
    <w:p w14:paraId="6E817DFC">
      <w:pPr>
        <w:pStyle w:val="82"/>
        <w:ind w:left="-538" w:leftChars="-256" w:firstLine="616" w:firstLineChars="257"/>
        <w:jc w:val="center"/>
        <w:rPr>
          <w:rFonts w:hAnsi="宋体"/>
          <w:bCs/>
          <w:color w:val="auto"/>
          <w:sz w:val="24"/>
          <w:szCs w:val="24"/>
        </w:rPr>
      </w:pPr>
    </w:p>
    <w:p w14:paraId="55658F13">
      <w:pPr>
        <w:autoSpaceDE w:val="0"/>
        <w:autoSpaceDN w:val="0"/>
        <w:adjustRightInd w:val="0"/>
        <w:spacing w:line="360" w:lineRule="auto"/>
        <w:ind w:right="-11"/>
        <w:rPr>
          <w:rFonts w:ascii="宋体" w:hAnsi="宋体" w:cs="宋体"/>
          <w:color w:val="auto"/>
          <w:lang w:val="zh-CN"/>
        </w:rPr>
      </w:pPr>
    </w:p>
    <w:p w14:paraId="38EB21AF">
      <w:pPr>
        <w:autoSpaceDE w:val="0"/>
        <w:autoSpaceDN w:val="0"/>
        <w:adjustRightInd w:val="0"/>
        <w:spacing w:line="360" w:lineRule="auto"/>
        <w:ind w:right="-11"/>
        <w:rPr>
          <w:rFonts w:ascii="宋体" w:hAnsi="宋体" w:cs="宋体"/>
          <w:color w:val="auto"/>
          <w:lang w:val="zh-CN"/>
        </w:rPr>
      </w:pPr>
    </w:p>
    <w:p w14:paraId="7E97C769">
      <w:pPr>
        <w:autoSpaceDE w:val="0"/>
        <w:autoSpaceDN w:val="0"/>
        <w:adjustRightInd w:val="0"/>
        <w:spacing w:line="360" w:lineRule="auto"/>
        <w:ind w:right="-11"/>
        <w:rPr>
          <w:rFonts w:ascii="宋体" w:hAnsi="宋体" w:cs="宋体"/>
          <w:color w:val="auto"/>
          <w:lang w:val="zh-CN"/>
        </w:rPr>
      </w:pPr>
    </w:p>
    <w:p w14:paraId="241E3E11">
      <w:pPr>
        <w:spacing w:line="360" w:lineRule="auto"/>
        <w:ind w:firstLine="4500" w:firstLineChars="1875"/>
        <w:rPr>
          <w:rFonts w:ascii="宋体" w:hAnsi="宋体" w:cs="Arial"/>
          <w:color w:val="auto"/>
          <w:sz w:val="24"/>
          <w:szCs w:val="24"/>
          <w:u w:val="single"/>
        </w:rPr>
      </w:pPr>
      <w:r>
        <w:rPr>
          <w:rFonts w:hint="eastAsia" w:ascii="宋体" w:hAnsi="宋体" w:cs="Arial"/>
          <w:color w:val="auto"/>
          <w:sz w:val="24"/>
          <w:szCs w:val="24"/>
        </w:rPr>
        <w:t>供应商名称（并加盖公章）：</w:t>
      </w:r>
    </w:p>
    <w:p w14:paraId="5FC3D9FF">
      <w:pPr>
        <w:pStyle w:val="77"/>
        <w:spacing w:before="60" w:line="360" w:lineRule="auto"/>
        <w:ind w:firstLine="4500" w:firstLineChars="1875"/>
        <w:rPr>
          <w:rFonts w:ascii="宋体" w:hAnsi="宋体" w:cs="Arial"/>
          <w:color w:val="auto"/>
          <w:sz w:val="24"/>
          <w:szCs w:val="24"/>
        </w:rPr>
      </w:pPr>
      <w:r>
        <w:rPr>
          <w:rFonts w:hint="eastAsia" w:ascii="宋体" w:hAnsi="宋体" w:cs="Arial"/>
          <w:color w:val="auto"/>
          <w:sz w:val="24"/>
          <w:szCs w:val="24"/>
        </w:rPr>
        <w:t>签署日期：   年   月  日</w:t>
      </w:r>
    </w:p>
    <w:p w14:paraId="7B296534">
      <w:pPr>
        <w:pStyle w:val="78"/>
        <w:spacing w:line="360" w:lineRule="auto"/>
        <w:rPr>
          <w:rFonts w:ascii="宋体" w:hAnsi="宋体" w:cs="Arial"/>
          <w:color w:val="auto"/>
          <w:sz w:val="24"/>
          <w:szCs w:val="24"/>
        </w:rPr>
      </w:pPr>
    </w:p>
    <w:p w14:paraId="1FA050A4">
      <w:pPr>
        <w:spacing w:line="360" w:lineRule="auto"/>
        <w:rPr>
          <w:color w:val="auto"/>
          <w:sz w:val="24"/>
          <w:szCs w:val="24"/>
        </w:rPr>
      </w:pPr>
    </w:p>
    <w:p w14:paraId="3533B65E">
      <w:pPr>
        <w:spacing w:line="360" w:lineRule="auto"/>
        <w:ind w:firstLine="480" w:firstLineChars="200"/>
        <w:rPr>
          <w:rFonts w:ascii="宋体" w:hAnsi="宋体"/>
          <w:b/>
          <w:bCs/>
          <w:color w:val="auto"/>
          <w:sz w:val="24"/>
          <w:szCs w:val="24"/>
        </w:rPr>
      </w:pPr>
      <w:r>
        <w:rPr>
          <w:rFonts w:hint="eastAsia" w:ascii="宋体" w:hAnsi="宋体"/>
          <w:bCs/>
          <w:color w:val="auto"/>
          <w:kern w:val="12"/>
          <w:sz w:val="24"/>
          <w:szCs w:val="24"/>
        </w:rPr>
        <w:t>说明：法定代表人（单位负责人）参加本采购项目磋商响应的，仅须出具此证明书。</w:t>
      </w:r>
    </w:p>
    <w:p w14:paraId="6E23471F">
      <w:pPr>
        <w:autoSpaceDE w:val="0"/>
        <w:autoSpaceDN w:val="0"/>
        <w:spacing w:line="360" w:lineRule="auto"/>
        <w:jc w:val="center"/>
        <w:outlineLvl w:val="2"/>
        <w:rPr>
          <w:rFonts w:ascii="宋体" w:hAnsi="宋体"/>
          <w:b/>
          <w:bCs/>
          <w:color w:val="auto"/>
          <w:sz w:val="24"/>
          <w:szCs w:val="24"/>
        </w:rPr>
      </w:pPr>
      <w:r>
        <w:rPr>
          <w:rFonts w:hint="eastAsia" w:ascii="宋体" w:hAnsi="宋体"/>
          <w:b/>
          <w:bCs/>
          <w:color w:val="auto"/>
          <w:sz w:val="24"/>
          <w:szCs w:val="24"/>
        </w:rPr>
        <w:br w:type="page"/>
      </w:r>
      <w:r>
        <w:rPr>
          <w:rFonts w:hint="eastAsia" w:ascii="宋体" w:hAnsi="宋体"/>
          <w:b/>
          <w:color w:val="auto"/>
          <w:sz w:val="28"/>
          <w:szCs w:val="24"/>
        </w:rPr>
        <w:t>3.3 法定代表人（单位负责人）授权书</w:t>
      </w:r>
    </w:p>
    <w:p w14:paraId="599D492F">
      <w:pPr>
        <w:spacing w:line="360" w:lineRule="auto"/>
        <w:jc w:val="center"/>
        <w:rPr>
          <w:rFonts w:ascii="宋体" w:hAnsi="宋体"/>
          <w:b/>
          <w:bCs/>
          <w:color w:val="auto"/>
          <w:sz w:val="36"/>
          <w:szCs w:val="36"/>
        </w:rPr>
      </w:pPr>
    </w:p>
    <w:p w14:paraId="47030803">
      <w:pPr>
        <w:adjustRightInd w:val="0"/>
        <w:spacing w:line="360" w:lineRule="auto"/>
        <w:ind w:firstLine="504" w:firstLineChars="210"/>
        <w:rPr>
          <w:rFonts w:ascii="宋体" w:hAnsi="宋体" w:cs="Arial"/>
          <w:color w:val="auto"/>
          <w:sz w:val="24"/>
          <w:szCs w:val="24"/>
        </w:rPr>
      </w:pPr>
      <w:r>
        <w:rPr>
          <w:rFonts w:hint="eastAsia" w:ascii="宋体" w:hAnsi="宋体" w:cs="Arial"/>
          <w:color w:val="auto"/>
          <w:sz w:val="24"/>
          <w:szCs w:val="24"/>
        </w:rPr>
        <w:t>本人</w:t>
      </w:r>
      <w:r>
        <w:rPr>
          <w:rFonts w:hint="eastAsia" w:ascii="宋体" w:hAnsi="宋体" w:cs="Arial"/>
          <w:color w:val="auto"/>
          <w:sz w:val="24"/>
          <w:szCs w:val="24"/>
          <w:u w:val="single"/>
        </w:rPr>
        <w:t xml:space="preserve">　 </w:t>
      </w:r>
      <w:r>
        <w:rPr>
          <w:rFonts w:hint="eastAsia" w:ascii="宋体" w:hAnsi="宋体"/>
          <w:i/>
          <w:snapToGrid w:val="0"/>
          <w:color w:val="auto"/>
          <w:sz w:val="24"/>
          <w:szCs w:val="24"/>
          <w:u w:val="single"/>
        </w:rPr>
        <w:t>法人姓名</w:t>
      </w:r>
      <w:r>
        <w:rPr>
          <w:rFonts w:hint="eastAsia" w:ascii="宋体" w:hAnsi="宋体" w:cs="Arial"/>
          <w:color w:val="auto"/>
          <w:sz w:val="24"/>
          <w:szCs w:val="24"/>
        </w:rPr>
        <w:t>系</w:t>
      </w:r>
      <w:r>
        <w:rPr>
          <w:rFonts w:hint="eastAsia" w:ascii="宋体" w:hAnsi="宋体" w:cs="Arial"/>
          <w:color w:val="auto"/>
          <w:sz w:val="24"/>
          <w:szCs w:val="24"/>
          <w:u w:val="single"/>
        </w:rPr>
        <w:t>　</w:t>
      </w:r>
      <w:r>
        <w:rPr>
          <w:rFonts w:hint="eastAsia" w:ascii="宋体" w:hAnsi="宋体"/>
          <w:i/>
          <w:snapToGrid w:val="0"/>
          <w:color w:val="auto"/>
          <w:sz w:val="24"/>
          <w:szCs w:val="24"/>
          <w:u w:val="single"/>
        </w:rPr>
        <w:t xml:space="preserve">供应商名称  </w:t>
      </w:r>
      <w:r>
        <w:rPr>
          <w:rFonts w:hint="eastAsia" w:ascii="宋体" w:hAnsi="宋体" w:cs="Arial"/>
          <w:color w:val="auto"/>
          <w:sz w:val="24"/>
          <w:szCs w:val="24"/>
        </w:rPr>
        <w:t>的法定代表人（单位负责人），现委托</w:t>
      </w:r>
      <w:r>
        <w:rPr>
          <w:rFonts w:hint="eastAsia" w:ascii="宋体" w:hAnsi="宋体" w:cs="Arial"/>
          <w:color w:val="auto"/>
          <w:sz w:val="24"/>
          <w:szCs w:val="24"/>
          <w:u w:val="single"/>
        </w:rPr>
        <w:t xml:space="preserve">　 </w:t>
      </w:r>
      <w:r>
        <w:rPr>
          <w:rFonts w:hint="eastAsia" w:ascii="宋体" w:hAnsi="宋体"/>
          <w:i/>
          <w:snapToGrid w:val="0"/>
          <w:color w:val="auto"/>
          <w:sz w:val="24"/>
          <w:szCs w:val="24"/>
          <w:u w:val="single"/>
        </w:rPr>
        <w:t>姓名，职务</w:t>
      </w:r>
      <w:r>
        <w:rPr>
          <w:rFonts w:hint="eastAsia" w:ascii="宋体" w:hAnsi="宋体" w:cs="Arial"/>
          <w:color w:val="auto"/>
          <w:sz w:val="24"/>
          <w:szCs w:val="24"/>
        </w:rPr>
        <w:t>以我方的名义参加贵方______________________项目的磋商响应活动，并代表我方全权办理针对上述项目的磋商、响应文件澄清、签约等一切具体事务和签署相关文件。</w:t>
      </w:r>
    </w:p>
    <w:p w14:paraId="05221CC4">
      <w:pPr>
        <w:adjustRightInd w:val="0"/>
        <w:spacing w:line="360" w:lineRule="auto"/>
        <w:ind w:firstLine="504" w:firstLineChars="210"/>
        <w:rPr>
          <w:rFonts w:ascii="宋体" w:hAnsi="宋体" w:cs="Arial"/>
          <w:color w:val="auto"/>
          <w:sz w:val="24"/>
          <w:szCs w:val="24"/>
        </w:rPr>
      </w:pPr>
      <w:r>
        <w:rPr>
          <w:rFonts w:hint="eastAsia" w:ascii="宋体" w:hAnsi="宋体" w:cs="Arial"/>
          <w:color w:val="auto"/>
          <w:sz w:val="24"/>
          <w:szCs w:val="24"/>
        </w:rPr>
        <w:t>我方对被授权人的签名事项负全部责任。</w:t>
      </w:r>
    </w:p>
    <w:p w14:paraId="6262C73E">
      <w:pPr>
        <w:adjustRightInd w:val="0"/>
        <w:spacing w:line="360" w:lineRule="auto"/>
        <w:ind w:firstLine="504" w:firstLineChars="210"/>
        <w:rPr>
          <w:rFonts w:ascii="宋体" w:hAnsi="宋体" w:cs="Arial"/>
          <w:color w:val="auto"/>
          <w:sz w:val="24"/>
          <w:szCs w:val="24"/>
        </w:rPr>
      </w:pPr>
      <w:r>
        <w:rPr>
          <w:rFonts w:hint="eastAsia" w:ascii="宋体" w:hAnsi="宋体" w:cs="Arial"/>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35C0546D">
      <w:pPr>
        <w:adjustRightInd w:val="0"/>
        <w:spacing w:line="360" w:lineRule="auto"/>
        <w:ind w:firstLine="504" w:firstLineChars="210"/>
        <w:rPr>
          <w:rFonts w:ascii="宋体" w:hAnsi="宋体" w:cs="Arial"/>
          <w:color w:val="auto"/>
          <w:sz w:val="24"/>
          <w:szCs w:val="24"/>
        </w:rPr>
      </w:pPr>
      <w:r>
        <w:rPr>
          <w:rFonts w:hint="eastAsia" w:ascii="宋体" w:hAnsi="宋体" w:cs="Arial"/>
          <w:color w:val="auto"/>
          <w:sz w:val="24"/>
          <w:szCs w:val="24"/>
        </w:rPr>
        <w:t>被授权人无转委托权，特此委托。</w:t>
      </w:r>
    </w:p>
    <w:p w14:paraId="37799392">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供应商名称： </w:t>
      </w:r>
      <w:r>
        <w:rPr>
          <w:rFonts w:hint="eastAsia" w:ascii="宋体" w:hAnsi="宋体"/>
          <w:color w:val="auto"/>
          <w:sz w:val="24"/>
          <w:szCs w:val="24"/>
          <w:u w:val="single"/>
        </w:rPr>
        <w:t xml:space="preserve">       （全称）       </w:t>
      </w:r>
      <w:r>
        <w:rPr>
          <w:rFonts w:hint="eastAsia" w:ascii="宋体" w:hAnsi="宋体"/>
          <w:color w:val="auto"/>
          <w:sz w:val="24"/>
          <w:szCs w:val="24"/>
        </w:rPr>
        <w:t xml:space="preserve"> （盖单位公章）</w:t>
      </w:r>
    </w:p>
    <w:p w14:paraId="57319620">
      <w:pPr>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法定代表人（单位负责人）：（签字或加盖名章）</w:t>
      </w:r>
    </w:p>
    <w:p w14:paraId="353BF306">
      <w:pPr>
        <w:spacing w:line="360" w:lineRule="auto"/>
        <w:ind w:firstLine="480" w:firstLineChars="200"/>
        <w:rPr>
          <w:rFonts w:ascii="宋体" w:hAnsi="宋体"/>
          <w:color w:val="auto"/>
          <w:sz w:val="24"/>
          <w:szCs w:val="24"/>
        </w:rPr>
      </w:pPr>
      <w:r>
        <w:rPr>
          <w:rFonts w:hint="eastAsia" w:ascii="宋体" w:hAnsi="宋体" w:cs="Arial"/>
          <w:color w:val="auto"/>
          <w:sz w:val="24"/>
          <w:szCs w:val="24"/>
        </w:rPr>
        <w:t>法定代表人（单位负责人）</w:t>
      </w:r>
      <w:r>
        <w:rPr>
          <w:rFonts w:hint="eastAsia" w:ascii="宋体" w:hAnsi="宋体"/>
          <w:color w:val="auto"/>
          <w:sz w:val="24"/>
          <w:szCs w:val="24"/>
        </w:rPr>
        <w:t>授权代表：  （签字或加盖名章）</w:t>
      </w:r>
    </w:p>
    <w:tbl>
      <w:tblPr>
        <w:tblStyle w:val="3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16943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14:paraId="6AC2D8F8">
            <w:pPr>
              <w:spacing w:line="360" w:lineRule="auto"/>
              <w:jc w:val="center"/>
              <w:rPr>
                <w:rFonts w:ascii="宋体" w:hAnsi="宋体"/>
                <w:color w:val="auto"/>
                <w:sz w:val="24"/>
                <w:szCs w:val="24"/>
              </w:rPr>
            </w:pPr>
            <w:r>
              <w:rPr>
                <w:rFonts w:hint="eastAsia" w:ascii="宋体" w:hAnsi="宋体"/>
                <w:color w:val="auto"/>
                <w:sz w:val="24"/>
                <w:szCs w:val="24"/>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14:paraId="381578C7">
            <w:pPr>
              <w:spacing w:line="360" w:lineRule="auto"/>
              <w:jc w:val="center"/>
              <w:rPr>
                <w:rFonts w:ascii="宋体" w:hAnsi="宋体"/>
                <w:color w:val="auto"/>
                <w:sz w:val="24"/>
                <w:szCs w:val="24"/>
              </w:rPr>
            </w:pPr>
            <w:r>
              <w:rPr>
                <w:rFonts w:hint="eastAsia" w:ascii="宋体" w:hAnsi="宋体"/>
                <w:color w:val="auto"/>
                <w:sz w:val="24"/>
                <w:szCs w:val="24"/>
              </w:rPr>
              <w:t>法定代表人（单位负责人）身份证（反面）</w:t>
            </w:r>
          </w:p>
        </w:tc>
      </w:tr>
      <w:tr w14:paraId="1847C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14:paraId="118C859B">
            <w:pPr>
              <w:spacing w:line="360" w:lineRule="auto"/>
              <w:jc w:val="center"/>
              <w:rPr>
                <w:rFonts w:ascii="宋体" w:hAnsi="宋体"/>
                <w:color w:val="auto"/>
                <w:sz w:val="24"/>
                <w:szCs w:val="24"/>
              </w:rPr>
            </w:pPr>
            <w:r>
              <w:rPr>
                <w:rFonts w:hint="eastAsia" w:ascii="宋体" w:hAnsi="宋体"/>
                <w:color w:val="auto"/>
                <w:sz w:val="24"/>
                <w:szCs w:val="24"/>
              </w:rPr>
              <w:t>法定代表人（单位负责人）授权代表身份证</w:t>
            </w:r>
          </w:p>
          <w:p w14:paraId="3AC8329A">
            <w:pPr>
              <w:spacing w:line="360" w:lineRule="auto"/>
              <w:jc w:val="center"/>
              <w:rPr>
                <w:rFonts w:ascii="宋体" w:hAnsi="宋体"/>
                <w:color w:val="auto"/>
                <w:sz w:val="24"/>
                <w:szCs w:val="24"/>
              </w:rPr>
            </w:pPr>
            <w:r>
              <w:rPr>
                <w:rFonts w:hint="eastAsia" w:ascii="宋体" w:hAnsi="宋体"/>
                <w:color w:val="auto"/>
                <w:sz w:val="24"/>
                <w:szCs w:val="24"/>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14:paraId="7A775644">
            <w:pPr>
              <w:spacing w:line="360" w:lineRule="auto"/>
              <w:jc w:val="center"/>
              <w:rPr>
                <w:rFonts w:ascii="宋体" w:hAnsi="宋体"/>
                <w:color w:val="auto"/>
                <w:sz w:val="24"/>
                <w:szCs w:val="24"/>
              </w:rPr>
            </w:pPr>
            <w:r>
              <w:rPr>
                <w:rFonts w:hint="eastAsia" w:ascii="宋体" w:hAnsi="宋体"/>
                <w:color w:val="auto"/>
                <w:sz w:val="24"/>
                <w:szCs w:val="24"/>
              </w:rPr>
              <w:t>法定代表人（单位负责人）授权代表身份证</w:t>
            </w:r>
          </w:p>
          <w:p w14:paraId="3555CE20">
            <w:pPr>
              <w:spacing w:line="360" w:lineRule="auto"/>
              <w:jc w:val="center"/>
              <w:rPr>
                <w:rFonts w:ascii="宋体" w:hAnsi="宋体"/>
                <w:color w:val="auto"/>
                <w:sz w:val="24"/>
                <w:szCs w:val="24"/>
              </w:rPr>
            </w:pPr>
            <w:r>
              <w:rPr>
                <w:rFonts w:hint="eastAsia" w:ascii="宋体" w:hAnsi="宋体"/>
                <w:color w:val="auto"/>
                <w:sz w:val="24"/>
                <w:szCs w:val="24"/>
              </w:rPr>
              <w:t>（反面）</w:t>
            </w:r>
          </w:p>
        </w:tc>
      </w:tr>
    </w:tbl>
    <w:p w14:paraId="0E56C613">
      <w:pPr>
        <w:spacing w:line="360" w:lineRule="auto"/>
        <w:ind w:left="2" w:firstLine="357" w:firstLineChars="149"/>
        <w:rPr>
          <w:rFonts w:ascii="宋体" w:hAnsi="宋体" w:cs="Courier New"/>
          <w:color w:val="auto"/>
          <w:sz w:val="24"/>
          <w:szCs w:val="24"/>
        </w:rPr>
      </w:pPr>
    </w:p>
    <w:p w14:paraId="7B341BC8">
      <w:pPr>
        <w:autoSpaceDE w:val="0"/>
        <w:autoSpaceDN w:val="0"/>
        <w:spacing w:line="360" w:lineRule="auto"/>
        <w:jc w:val="center"/>
        <w:outlineLvl w:val="2"/>
        <w:rPr>
          <w:rFonts w:ascii="宋体" w:hAnsi="宋体"/>
          <w:b/>
          <w:bCs/>
          <w:color w:val="auto"/>
          <w:sz w:val="24"/>
          <w:szCs w:val="24"/>
        </w:rPr>
      </w:pPr>
      <w:r>
        <w:rPr>
          <w:rFonts w:hint="eastAsia" w:ascii="宋体" w:hAnsi="宋体"/>
          <w:b/>
          <w:bCs/>
          <w:color w:val="auto"/>
          <w:sz w:val="24"/>
          <w:szCs w:val="24"/>
        </w:rPr>
        <w:br w:type="page"/>
      </w:r>
      <w:bookmarkEnd w:id="24"/>
      <w:r>
        <w:rPr>
          <w:rFonts w:hint="eastAsia" w:ascii="宋体" w:hAnsi="宋体"/>
          <w:b/>
          <w:color w:val="auto"/>
          <w:sz w:val="28"/>
          <w:szCs w:val="24"/>
        </w:rPr>
        <w:t>3.4 磋商承诺函</w:t>
      </w:r>
    </w:p>
    <w:p w14:paraId="2D1F0BBE">
      <w:pPr>
        <w:autoSpaceDE w:val="0"/>
        <w:autoSpaceDN w:val="0"/>
        <w:snapToGrid w:val="0"/>
        <w:spacing w:line="360" w:lineRule="auto"/>
        <w:jc w:val="center"/>
        <w:rPr>
          <w:rFonts w:ascii="宋体" w:hAnsi="宋体"/>
          <w:b/>
          <w:bCs/>
          <w:color w:val="auto"/>
          <w:sz w:val="24"/>
          <w:szCs w:val="24"/>
        </w:rPr>
      </w:pPr>
    </w:p>
    <w:p w14:paraId="56DAE4B9">
      <w:pPr>
        <w:spacing w:beforeLines="50" w:afterLines="50" w:line="360" w:lineRule="auto"/>
        <w:contextualSpacing/>
        <w:rPr>
          <w:rFonts w:hint="eastAsia" w:ascii="宋体" w:hAnsi="宋体" w:eastAsia="宋体" w:cs="宋体"/>
          <w:color w:val="auto"/>
          <w:sz w:val="24"/>
          <w:szCs w:val="24"/>
          <w:lang w:val="zh-CN"/>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w:t>
      </w:r>
    </w:p>
    <w:p w14:paraId="685AF911">
      <w:pPr>
        <w:spacing w:beforeLines="50" w:afterLines="50" w:line="360" w:lineRule="auto"/>
        <w:ind w:firstLine="480" w:firstLineChars="200"/>
        <w:contextualSpacing/>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经研究，我方自愿参与贵方年月日</w:t>
      </w:r>
      <w:r>
        <w:rPr>
          <w:rFonts w:hint="eastAsia" w:ascii="宋体" w:hAnsi="宋体" w:eastAsia="宋体" w:cs="宋体"/>
          <w:i/>
          <w:color w:val="auto"/>
          <w:sz w:val="24"/>
          <w:szCs w:val="24"/>
          <w:u w:val="single"/>
          <w:lang w:val="zh-CN"/>
        </w:rPr>
        <w:t>（招标编号、项目名称）</w:t>
      </w:r>
      <w:r>
        <w:rPr>
          <w:rFonts w:hint="eastAsia" w:ascii="宋体" w:hAnsi="宋体" w:eastAsia="宋体" w:cs="宋体"/>
          <w:color w:val="auto"/>
          <w:sz w:val="24"/>
          <w:szCs w:val="24"/>
          <w:lang w:val="zh-CN"/>
        </w:rPr>
        <w:t>的投标，将严格遵守《中华人民共和国政府采购法》等相关法律法规规定，并无条件地遵守本次采购活动各项规定。我们郑重承诺：我方如果在本次磋商响应活动中有下列情形之一的，愿接受政府采购监督管理部门给予相关处罚并承诺依法承担相关的经济赔偿责任和法律责任。</w:t>
      </w:r>
    </w:p>
    <w:p w14:paraId="167AE8E8">
      <w:pPr>
        <w:spacing w:beforeLines="50" w:afterLines="50" w:line="360" w:lineRule="auto"/>
        <w:ind w:firstLine="480" w:firstLineChars="200"/>
        <w:contextualSpacing/>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一、在投标有效期内撤销响应文件；</w:t>
      </w:r>
    </w:p>
    <w:p w14:paraId="39F7977D">
      <w:pPr>
        <w:spacing w:beforeLines="50" w:afterLines="50" w:line="360" w:lineRule="auto"/>
        <w:ind w:firstLine="480" w:firstLineChars="200"/>
        <w:contextualSpacing/>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二、在响应文件中提供虚假材料；</w:t>
      </w:r>
    </w:p>
    <w:p w14:paraId="5D39294B">
      <w:pPr>
        <w:spacing w:beforeLines="50" w:afterLines="50" w:line="360" w:lineRule="auto"/>
        <w:ind w:firstLine="480" w:firstLineChars="200"/>
        <w:contextualSpacing/>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三、除因不可抗力或磋商文件认可的情形以外，成交后不与采购人签订合同；</w:t>
      </w:r>
    </w:p>
    <w:p w14:paraId="000288A9">
      <w:pPr>
        <w:spacing w:beforeLines="50" w:afterLines="50" w:line="360" w:lineRule="auto"/>
        <w:ind w:firstLine="480" w:firstLineChars="200"/>
        <w:contextualSpacing/>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四、与采购人、其他供应商或者采购代理机构恶意串通；</w:t>
      </w:r>
    </w:p>
    <w:p w14:paraId="6B935584">
      <w:pPr>
        <w:spacing w:beforeLines="50" w:afterLines="50" w:line="360" w:lineRule="auto"/>
        <w:ind w:firstLine="480" w:firstLineChars="200"/>
        <w:contextualSpacing/>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五、法律法规及本磋商文件规定的其他严重违法行为。</w:t>
      </w:r>
    </w:p>
    <w:p w14:paraId="4459BE32">
      <w:pPr>
        <w:spacing w:line="360" w:lineRule="auto"/>
        <w:rPr>
          <w:rFonts w:hint="eastAsia" w:ascii="宋体" w:hAnsi="宋体" w:eastAsia="宋体" w:cs="宋体"/>
          <w:color w:val="auto"/>
          <w:sz w:val="24"/>
          <w:szCs w:val="24"/>
          <w:u w:val="single"/>
        </w:rPr>
      </w:pPr>
    </w:p>
    <w:p w14:paraId="39C691E8">
      <w:pPr>
        <w:spacing w:line="360" w:lineRule="auto"/>
        <w:rPr>
          <w:rFonts w:hint="eastAsia" w:ascii="宋体" w:hAnsi="宋体" w:eastAsia="宋体" w:cs="宋体"/>
          <w:color w:val="auto"/>
          <w:sz w:val="24"/>
          <w:szCs w:val="24"/>
          <w:u w:val="single"/>
        </w:rPr>
      </w:pPr>
    </w:p>
    <w:p w14:paraId="26D96B2A">
      <w:pPr>
        <w:spacing w:line="360" w:lineRule="auto"/>
        <w:ind w:firstLine="4980" w:firstLineChars="2075"/>
        <w:rPr>
          <w:rFonts w:hint="eastAsia" w:ascii="宋体" w:hAnsi="宋体" w:eastAsia="宋体" w:cs="宋体"/>
          <w:color w:val="auto"/>
          <w:sz w:val="24"/>
          <w:szCs w:val="24"/>
        </w:rPr>
      </w:pPr>
      <w:r>
        <w:rPr>
          <w:rFonts w:hint="eastAsia" w:ascii="宋体" w:hAnsi="宋体" w:eastAsia="宋体" w:cs="宋体"/>
          <w:color w:val="auto"/>
          <w:sz w:val="24"/>
          <w:szCs w:val="24"/>
        </w:rPr>
        <w:t>供应商名称（并加盖公章）：　　　　　　　　　</w:t>
      </w:r>
    </w:p>
    <w:p w14:paraId="6780D9C2">
      <w:pPr>
        <w:spacing w:line="360" w:lineRule="auto"/>
        <w:ind w:firstLine="4980" w:firstLineChars="2075"/>
        <w:rPr>
          <w:rFonts w:hint="eastAsia" w:ascii="宋体" w:hAnsi="宋体" w:eastAsia="宋体" w:cs="宋体"/>
          <w:color w:val="auto"/>
          <w:sz w:val="24"/>
          <w:szCs w:val="24"/>
        </w:rPr>
      </w:pPr>
      <w:r>
        <w:rPr>
          <w:rFonts w:hint="eastAsia" w:ascii="宋体" w:hAnsi="宋体" w:eastAsia="宋体" w:cs="宋体"/>
          <w:color w:val="auto"/>
          <w:sz w:val="24"/>
          <w:szCs w:val="24"/>
        </w:rPr>
        <w:t>日　  期：    年    月    日</w:t>
      </w:r>
    </w:p>
    <w:p w14:paraId="4ECD944B">
      <w:pPr>
        <w:autoSpaceDE w:val="0"/>
        <w:autoSpaceDN w:val="0"/>
        <w:adjustRightInd w:val="0"/>
        <w:spacing w:line="360" w:lineRule="auto"/>
        <w:jc w:val="center"/>
        <w:rPr>
          <w:rFonts w:ascii="宋体" w:cs="宋体"/>
          <w:color w:val="auto"/>
          <w:lang w:val="zh-CN"/>
        </w:rPr>
      </w:pPr>
    </w:p>
    <w:p w14:paraId="66FE26DE">
      <w:pPr>
        <w:autoSpaceDE w:val="0"/>
        <w:autoSpaceDN w:val="0"/>
        <w:adjustRightInd w:val="0"/>
        <w:spacing w:line="360" w:lineRule="auto"/>
        <w:jc w:val="center"/>
        <w:rPr>
          <w:rFonts w:ascii="宋体" w:cs="宋体"/>
          <w:color w:val="auto"/>
          <w:lang w:val="zh-CN"/>
        </w:rPr>
      </w:pPr>
    </w:p>
    <w:p w14:paraId="625CADC0">
      <w:pPr>
        <w:autoSpaceDE w:val="0"/>
        <w:autoSpaceDN w:val="0"/>
        <w:adjustRightInd w:val="0"/>
        <w:spacing w:line="360" w:lineRule="auto"/>
        <w:jc w:val="center"/>
        <w:rPr>
          <w:rFonts w:ascii="宋体" w:cs="宋体"/>
          <w:color w:val="auto"/>
          <w:lang w:val="zh-CN"/>
        </w:rPr>
      </w:pPr>
    </w:p>
    <w:p w14:paraId="3F942835">
      <w:pPr>
        <w:autoSpaceDE w:val="0"/>
        <w:autoSpaceDN w:val="0"/>
        <w:adjustRightInd w:val="0"/>
        <w:spacing w:line="360" w:lineRule="auto"/>
        <w:jc w:val="center"/>
        <w:rPr>
          <w:rFonts w:ascii="宋体" w:cs="宋体"/>
          <w:color w:val="auto"/>
          <w:lang w:val="zh-CN"/>
        </w:rPr>
      </w:pPr>
    </w:p>
    <w:p w14:paraId="59470E95">
      <w:pPr>
        <w:autoSpaceDE w:val="0"/>
        <w:autoSpaceDN w:val="0"/>
        <w:adjustRightInd w:val="0"/>
        <w:spacing w:line="360" w:lineRule="auto"/>
        <w:jc w:val="center"/>
        <w:rPr>
          <w:rFonts w:ascii="宋体" w:cs="宋体"/>
          <w:color w:val="auto"/>
          <w:lang w:val="zh-CN"/>
        </w:rPr>
      </w:pPr>
    </w:p>
    <w:p w14:paraId="38B51A48">
      <w:pPr>
        <w:autoSpaceDE w:val="0"/>
        <w:autoSpaceDN w:val="0"/>
        <w:adjustRightInd w:val="0"/>
        <w:spacing w:line="360" w:lineRule="auto"/>
        <w:jc w:val="center"/>
        <w:rPr>
          <w:rFonts w:ascii="宋体" w:cs="宋体"/>
          <w:color w:val="auto"/>
          <w:lang w:val="zh-CN"/>
        </w:rPr>
      </w:pPr>
    </w:p>
    <w:p w14:paraId="094E39F2">
      <w:pPr>
        <w:autoSpaceDE w:val="0"/>
        <w:autoSpaceDN w:val="0"/>
        <w:adjustRightInd w:val="0"/>
        <w:spacing w:line="360" w:lineRule="auto"/>
        <w:ind w:right="-11"/>
        <w:rPr>
          <w:rFonts w:ascii="宋体" w:cs="宋体"/>
          <w:color w:val="auto"/>
          <w:lang w:val="zh-CN"/>
        </w:rPr>
      </w:pPr>
    </w:p>
    <w:p w14:paraId="20D0D7E2">
      <w:pPr>
        <w:autoSpaceDE w:val="0"/>
        <w:autoSpaceDN w:val="0"/>
        <w:adjustRightInd w:val="0"/>
        <w:spacing w:line="360" w:lineRule="auto"/>
        <w:jc w:val="center"/>
        <w:rPr>
          <w:rFonts w:ascii="宋体" w:hAnsi="宋体" w:cs="宋体"/>
          <w:color w:val="auto"/>
          <w:sz w:val="24"/>
          <w:szCs w:val="24"/>
          <w:lang w:val="zh-CN"/>
        </w:rPr>
      </w:pPr>
    </w:p>
    <w:p w14:paraId="5FD088BC">
      <w:pPr>
        <w:autoSpaceDE w:val="0"/>
        <w:autoSpaceDN w:val="0"/>
        <w:adjustRightInd w:val="0"/>
        <w:spacing w:line="360" w:lineRule="auto"/>
        <w:jc w:val="center"/>
        <w:rPr>
          <w:rFonts w:ascii="宋体" w:hAnsi="宋体" w:cs="宋体"/>
          <w:color w:val="auto"/>
          <w:sz w:val="24"/>
          <w:szCs w:val="24"/>
          <w:lang w:val="zh-CN"/>
        </w:rPr>
      </w:pPr>
    </w:p>
    <w:p w14:paraId="1AA35E23">
      <w:pPr>
        <w:autoSpaceDE w:val="0"/>
        <w:autoSpaceDN w:val="0"/>
        <w:spacing w:line="360" w:lineRule="auto"/>
        <w:jc w:val="center"/>
        <w:outlineLvl w:val="2"/>
        <w:rPr>
          <w:rFonts w:ascii="方正小标宋简体" w:hAnsi="方正小标宋简体" w:eastAsia="方正小标宋简体" w:cs="方正小标宋简体"/>
          <w:color w:val="auto"/>
          <w:sz w:val="36"/>
          <w:szCs w:val="36"/>
        </w:rPr>
      </w:pPr>
      <w:r>
        <w:rPr>
          <w:rFonts w:hint="eastAsia" w:ascii="宋体" w:hAnsi="宋体"/>
          <w:b/>
          <w:bCs/>
          <w:color w:val="auto"/>
          <w:sz w:val="24"/>
          <w:szCs w:val="24"/>
        </w:rPr>
        <w:br w:type="page"/>
      </w:r>
      <w:r>
        <w:rPr>
          <w:rFonts w:hint="eastAsia" w:ascii="宋体" w:hAnsi="宋体"/>
          <w:b/>
          <w:color w:val="auto"/>
          <w:sz w:val="28"/>
          <w:szCs w:val="24"/>
        </w:rPr>
        <w:t>3.5 襄城县政府采购供应商信用承诺函</w:t>
      </w:r>
    </w:p>
    <w:p w14:paraId="3710D240">
      <w:pPr>
        <w:spacing w:line="360" w:lineRule="auto"/>
        <w:rPr>
          <w:rFonts w:ascii="仿宋_GB2312" w:hAnsi="仿宋_GB2312" w:eastAsia="仿宋_GB2312" w:cs="仿宋_GB2312"/>
          <w:color w:val="auto"/>
          <w:sz w:val="32"/>
          <w:szCs w:val="32"/>
        </w:rPr>
      </w:pPr>
    </w:p>
    <w:p w14:paraId="7B2DCF1A">
      <w:pPr>
        <w:spacing w:line="360" w:lineRule="auto"/>
        <w:rPr>
          <w:rFonts w:ascii="宋体" w:hAnsi="宋体" w:cs="宋体"/>
          <w:color w:val="auto"/>
          <w:spacing w:val="0"/>
          <w:sz w:val="24"/>
          <w:szCs w:val="32"/>
        </w:rPr>
      </w:pPr>
      <w:r>
        <w:rPr>
          <w:rFonts w:hint="eastAsia" w:ascii="宋体" w:hAnsi="宋体" w:cs="宋体"/>
          <w:color w:val="auto"/>
          <w:spacing w:val="0"/>
          <w:sz w:val="24"/>
          <w:szCs w:val="32"/>
        </w:rPr>
        <w:t>致</w:t>
      </w:r>
      <w:r>
        <w:rPr>
          <w:rFonts w:hint="eastAsia" w:ascii="宋体" w:hAnsi="宋体" w:cs="宋体"/>
          <w:color w:val="auto"/>
          <w:spacing w:val="0"/>
          <w:sz w:val="24"/>
          <w:szCs w:val="32"/>
          <w:u w:val="single"/>
        </w:rPr>
        <w:t>（采购人或采购代理机构）</w:t>
      </w:r>
      <w:r>
        <w:rPr>
          <w:rFonts w:hint="eastAsia" w:ascii="宋体" w:hAnsi="宋体" w:cs="宋体"/>
          <w:color w:val="auto"/>
          <w:spacing w:val="0"/>
          <w:sz w:val="24"/>
          <w:szCs w:val="32"/>
        </w:rPr>
        <w:t>：</w:t>
      </w:r>
    </w:p>
    <w:p w14:paraId="1DC8C5C9">
      <w:pPr>
        <w:spacing w:line="360" w:lineRule="auto"/>
        <w:ind w:firstLine="480" w:firstLineChars="200"/>
        <w:rPr>
          <w:rFonts w:ascii="宋体" w:hAnsi="宋体" w:cs="宋体"/>
          <w:color w:val="auto"/>
          <w:spacing w:val="0"/>
          <w:sz w:val="24"/>
          <w:szCs w:val="32"/>
          <w:u w:val="single"/>
        </w:rPr>
      </w:pPr>
      <w:r>
        <w:rPr>
          <w:rFonts w:hint="eastAsia" w:ascii="宋体" w:hAnsi="宋体" w:cs="宋体"/>
          <w:color w:val="auto"/>
          <w:spacing w:val="0"/>
          <w:sz w:val="24"/>
          <w:szCs w:val="32"/>
        </w:rPr>
        <w:t>单位名称（自然人姓名）:</w:t>
      </w:r>
    </w:p>
    <w:p w14:paraId="72B080E0">
      <w:pPr>
        <w:spacing w:line="360" w:lineRule="auto"/>
        <w:ind w:firstLine="480" w:firstLineChars="200"/>
        <w:rPr>
          <w:rFonts w:ascii="宋体" w:hAnsi="宋体" w:cs="宋体"/>
          <w:color w:val="auto"/>
          <w:spacing w:val="0"/>
          <w:sz w:val="24"/>
          <w:szCs w:val="32"/>
          <w:u w:val="single"/>
        </w:rPr>
      </w:pPr>
      <w:r>
        <w:rPr>
          <w:rFonts w:hint="eastAsia" w:ascii="宋体" w:hAnsi="宋体" w:cs="宋体"/>
          <w:color w:val="auto"/>
          <w:spacing w:val="0"/>
          <w:sz w:val="24"/>
          <w:szCs w:val="32"/>
        </w:rPr>
        <w:t>统一社会信用代码（身份证号码）:</w:t>
      </w:r>
    </w:p>
    <w:p w14:paraId="4C499F5F">
      <w:pPr>
        <w:spacing w:line="360" w:lineRule="auto"/>
        <w:ind w:firstLine="480" w:firstLineChars="200"/>
        <w:rPr>
          <w:rFonts w:ascii="宋体" w:hAnsi="宋体" w:cs="宋体"/>
          <w:color w:val="auto"/>
          <w:spacing w:val="0"/>
          <w:sz w:val="24"/>
          <w:szCs w:val="32"/>
          <w:u w:val="single"/>
        </w:rPr>
      </w:pPr>
      <w:r>
        <w:rPr>
          <w:rFonts w:hint="eastAsia" w:ascii="宋体" w:hAnsi="宋体" w:cs="宋体"/>
          <w:color w:val="auto"/>
          <w:spacing w:val="0"/>
          <w:sz w:val="24"/>
          <w:szCs w:val="32"/>
        </w:rPr>
        <w:t>法定代表人（负责人）:</w:t>
      </w:r>
    </w:p>
    <w:p w14:paraId="33405E77">
      <w:pPr>
        <w:spacing w:line="360" w:lineRule="auto"/>
        <w:ind w:firstLine="480" w:firstLineChars="200"/>
        <w:rPr>
          <w:rFonts w:ascii="宋体" w:hAnsi="宋体" w:cs="宋体"/>
          <w:color w:val="auto"/>
          <w:spacing w:val="0"/>
          <w:sz w:val="24"/>
          <w:szCs w:val="32"/>
          <w:u w:val="single"/>
        </w:rPr>
      </w:pPr>
      <w:r>
        <w:rPr>
          <w:rFonts w:hint="eastAsia" w:ascii="宋体" w:hAnsi="宋体" w:cs="宋体"/>
          <w:color w:val="auto"/>
          <w:spacing w:val="0"/>
          <w:sz w:val="24"/>
          <w:szCs w:val="32"/>
        </w:rPr>
        <w:t>联系地址和电话：</w:t>
      </w:r>
    </w:p>
    <w:p w14:paraId="454739AD">
      <w:pPr>
        <w:spacing w:line="360" w:lineRule="auto"/>
        <w:ind w:firstLine="480" w:firstLineChars="200"/>
        <w:rPr>
          <w:rFonts w:ascii="宋体" w:hAnsi="宋体" w:cs="宋体"/>
          <w:color w:val="auto"/>
          <w:spacing w:val="0"/>
          <w:sz w:val="24"/>
          <w:szCs w:val="32"/>
        </w:rPr>
      </w:pPr>
      <w:r>
        <w:rPr>
          <w:rFonts w:hint="eastAsia" w:ascii="宋体" w:hAnsi="宋体" w:cs="宋体"/>
          <w:color w:val="auto"/>
          <w:spacing w:val="0"/>
          <w:sz w:val="24"/>
          <w:szCs w:val="32"/>
        </w:rPr>
        <w:t>为维护公平、公正、公开的政府采购市场秩序，树立诚实守信的政府采购供应商形象，我单位（本人）自愿作出以下承诺：</w:t>
      </w:r>
    </w:p>
    <w:p w14:paraId="63339FF0">
      <w:pPr>
        <w:spacing w:line="360" w:lineRule="auto"/>
        <w:ind w:firstLine="480" w:firstLineChars="200"/>
        <w:rPr>
          <w:rFonts w:ascii="宋体" w:hAnsi="宋体" w:cs="宋体"/>
          <w:color w:val="auto"/>
          <w:spacing w:val="0"/>
          <w:sz w:val="24"/>
          <w:szCs w:val="32"/>
        </w:rPr>
      </w:pPr>
      <w:r>
        <w:rPr>
          <w:rFonts w:hint="eastAsia" w:ascii="宋体" w:hAnsi="宋体" w:cs="宋体"/>
          <w:color w:val="auto"/>
          <w:spacing w:val="0"/>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磋商文件、本承诺书的条件：</w:t>
      </w:r>
    </w:p>
    <w:p w14:paraId="2A4CEB74">
      <w:pPr>
        <w:spacing w:line="360" w:lineRule="auto"/>
        <w:ind w:firstLine="480" w:firstLineChars="200"/>
        <w:rPr>
          <w:rFonts w:ascii="宋体" w:hAnsi="宋体" w:cs="宋体"/>
          <w:color w:val="auto"/>
          <w:spacing w:val="0"/>
          <w:sz w:val="24"/>
          <w:szCs w:val="32"/>
        </w:rPr>
      </w:pPr>
      <w:r>
        <w:rPr>
          <w:rFonts w:hint="eastAsia" w:ascii="宋体" w:hAnsi="宋体" w:cs="宋体"/>
          <w:color w:val="auto"/>
          <w:spacing w:val="0"/>
          <w:sz w:val="24"/>
          <w:szCs w:val="32"/>
        </w:rPr>
        <w:t>（一）具有独立承担民事责任的能力；</w:t>
      </w:r>
    </w:p>
    <w:p w14:paraId="3307E2C1">
      <w:pPr>
        <w:spacing w:line="360" w:lineRule="auto"/>
        <w:ind w:firstLine="480" w:firstLineChars="200"/>
        <w:rPr>
          <w:rFonts w:ascii="宋体" w:hAnsi="宋体" w:cs="宋体"/>
          <w:color w:val="auto"/>
          <w:spacing w:val="0"/>
          <w:sz w:val="24"/>
          <w:szCs w:val="32"/>
        </w:rPr>
      </w:pPr>
      <w:r>
        <w:rPr>
          <w:rFonts w:hint="eastAsia" w:ascii="宋体" w:hAnsi="宋体" w:cs="宋体"/>
          <w:color w:val="auto"/>
          <w:spacing w:val="0"/>
          <w:sz w:val="24"/>
          <w:szCs w:val="32"/>
        </w:rPr>
        <w:t>（二）具有良好的商业信誉和健全的财务会计制度；</w:t>
      </w:r>
    </w:p>
    <w:p w14:paraId="40FF6370">
      <w:pPr>
        <w:spacing w:line="360" w:lineRule="auto"/>
        <w:ind w:firstLine="480" w:firstLineChars="200"/>
        <w:rPr>
          <w:rFonts w:ascii="宋体" w:hAnsi="宋体" w:cs="宋体"/>
          <w:color w:val="auto"/>
          <w:spacing w:val="0"/>
          <w:sz w:val="24"/>
          <w:szCs w:val="32"/>
        </w:rPr>
      </w:pPr>
      <w:r>
        <w:rPr>
          <w:rFonts w:hint="eastAsia" w:ascii="宋体" w:hAnsi="宋体" w:cs="宋体"/>
          <w:color w:val="auto"/>
          <w:spacing w:val="0"/>
          <w:sz w:val="24"/>
          <w:szCs w:val="32"/>
        </w:rPr>
        <w:t>（三）具有履行合同所必需的设备和专业技术能力；</w:t>
      </w:r>
    </w:p>
    <w:p w14:paraId="68DAB8FD">
      <w:pPr>
        <w:spacing w:line="360" w:lineRule="auto"/>
        <w:ind w:firstLine="480" w:firstLineChars="200"/>
        <w:rPr>
          <w:rFonts w:ascii="宋体" w:hAnsi="宋体" w:cs="宋体"/>
          <w:color w:val="auto"/>
          <w:spacing w:val="0"/>
          <w:sz w:val="24"/>
          <w:szCs w:val="32"/>
        </w:rPr>
      </w:pPr>
      <w:r>
        <w:rPr>
          <w:rFonts w:hint="eastAsia" w:ascii="宋体" w:hAnsi="宋体" w:cs="宋体"/>
          <w:color w:val="auto"/>
          <w:spacing w:val="0"/>
          <w:sz w:val="24"/>
          <w:szCs w:val="32"/>
        </w:rPr>
        <w:t>（四）有依法缴纳税收和社会保障资金的良好记录；</w:t>
      </w:r>
    </w:p>
    <w:p w14:paraId="6EF53865">
      <w:pPr>
        <w:spacing w:line="360" w:lineRule="auto"/>
        <w:ind w:firstLine="480" w:firstLineChars="200"/>
        <w:rPr>
          <w:rFonts w:ascii="宋体" w:hAnsi="宋体" w:cs="宋体"/>
          <w:color w:val="auto"/>
          <w:spacing w:val="0"/>
          <w:sz w:val="24"/>
          <w:szCs w:val="32"/>
        </w:rPr>
      </w:pPr>
      <w:r>
        <w:rPr>
          <w:rFonts w:hint="eastAsia" w:ascii="宋体" w:hAnsi="宋体" w:cs="宋体"/>
          <w:color w:val="auto"/>
          <w:spacing w:val="0"/>
          <w:sz w:val="24"/>
          <w:szCs w:val="32"/>
        </w:rPr>
        <w:t>（五）参加政府采购活动前三年内，在经营活动中没有重大违法记录；</w:t>
      </w:r>
    </w:p>
    <w:p w14:paraId="22BBF0E2">
      <w:pPr>
        <w:spacing w:line="360" w:lineRule="auto"/>
        <w:ind w:firstLine="480" w:firstLineChars="200"/>
        <w:rPr>
          <w:rFonts w:ascii="宋体" w:hAnsi="宋体" w:cs="宋体"/>
          <w:color w:val="auto"/>
          <w:spacing w:val="0"/>
          <w:sz w:val="24"/>
          <w:szCs w:val="32"/>
        </w:rPr>
      </w:pPr>
      <w:r>
        <w:rPr>
          <w:rFonts w:hint="eastAsia" w:ascii="宋体" w:hAnsi="宋体" w:cs="宋体"/>
          <w:color w:val="auto"/>
          <w:spacing w:val="0"/>
          <w:sz w:val="24"/>
          <w:szCs w:val="32"/>
        </w:rPr>
        <w:t>（六）未被列入经营异常名录或者严重违法失信名单、失信被执行人，重大税收违法失信主体、政府采购严重违法失信行为记录名单；</w:t>
      </w:r>
    </w:p>
    <w:p w14:paraId="7BBFAFBF">
      <w:pPr>
        <w:spacing w:line="360" w:lineRule="auto"/>
        <w:ind w:firstLine="480" w:firstLineChars="200"/>
        <w:rPr>
          <w:rFonts w:ascii="宋体" w:hAnsi="宋体" w:cs="宋体"/>
          <w:color w:val="auto"/>
          <w:spacing w:val="0"/>
          <w:sz w:val="24"/>
          <w:szCs w:val="32"/>
        </w:rPr>
      </w:pPr>
      <w:r>
        <w:rPr>
          <w:rFonts w:hint="eastAsia" w:ascii="宋体" w:hAnsi="宋体" w:cs="宋体"/>
          <w:color w:val="auto"/>
          <w:spacing w:val="0"/>
          <w:sz w:val="24"/>
          <w:szCs w:val="32"/>
        </w:rPr>
        <w:t>（七）未被相关监管部门作出行政处罚且尚在处罚有效期的；</w:t>
      </w:r>
    </w:p>
    <w:p w14:paraId="2A800DE3">
      <w:pPr>
        <w:spacing w:line="360" w:lineRule="auto"/>
        <w:ind w:firstLine="480" w:firstLineChars="200"/>
        <w:rPr>
          <w:rFonts w:ascii="宋体" w:hAnsi="宋体" w:cs="宋体"/>
          <w:color w:val="auto"/>
          <w:spacing w:val="0"/>
          <w:sz w:val="24"/>
          <w:szCs w:val="32"/>
        </w:rPr>
      </w:pPr>
      <w:r>
        <w:rPr>
          <w:rFonts w:hint="eastAsia" w:ascii="宋体" w:hAnsi="宋体" w:cs="宋体"/>
          <w:color w:val="auto"/>
          <w:spacing w:val="0"/>
          <w:sz w:val="24"/>
          <w:szCs w:val="32"/>
        </w:rPr>
        <w:t>（八）未曾作出虚假采购承诺；</w:t>
      </w:r>
    </w:p>
    <w:p w14:paraId="363363CD">
      <w:pPr>
        <w:spacing w:line="360" w:lineRule="auto"/>
        <w:ind w:firstLine="480" w:firstLineChars="200"/>
        <w:rPr>
          <w:rFonts w:ascii="宋体" w:hAnsi="宋体" w:cs="宋体"/>
          <w:color w:val="auto"/>
          <w:spacing w:val="0"/>
          <w:sz w:val="24"/>
          <w:szCs w:val="32"/>
        </w:rPr>
      </w:pPr>
      <w:r>
        <w:rPr>
          <w:rFonts w:hint="eastAsia" w:ascii="宋体" w:hAnsi="宋体" w:cs="宋体"/>
          <w:color w:val="auto"/>
          <w:spacing w:val="0"/>
          <w:sz w:val="24"/>
          <w:szCs w:val="32"/>
        </w:rPr>
        <w:t>（九）符合法律、行政法规规定的其他条件。</w:t>
      </w:r>
    </w:p>
    <w:p w14:paraId="26ED8381">
      <w:pPr>
        <w:spacing w:line="360" w:lineRule="auto"/>
        <w:ind w:firstLine="480" w:firstLineChars="200"/>
        <w:rPr>
          <w:rFonts w:ascii="宋体" w:hAnsi="宋体" w:cs="宋体"/>
          <w:color w:val="auto"/>
          <w:spacing w:val="0"/>
          <w:sz w:val="24"/>
          <w:szCs w:val="32"/>
        </w:rPr>
      </w:pPr>
      <w:r>
        <w:rPr>
          <w:rFonts w:hint="eastAsia" w:ascii="宋体" w:hAnsi="宋体" w:cs="宋体"/>
          <w:color w:val="auto"/>
          <w:spacing w:val="0"/>
          <w:sz w:val="24"/>
          <w:szCs w:val="32"/>
        </w:rPr>
        <w:t>二、我单位（本人）保证上述承诺事项的真实性。如有弄虚作假或其他违法违规行为，自愿按照规定将违背承诺行为作为失信行为记录到社会信用信息平台，并视同为“提供虚假材料谋取成交、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2D6A6446">
      <w:pPr>
        <w:spacing w:line="360" w:lineRule="auto"/>
        <w:ind w:firstLine="480" w:firstLineChars="200"/>
        <w:rPr>
          <w:rFonts w:ascii="宋体" w:hAnsi="宋体" w:cs="宋体"/>
          <w:color w:val="auto"/>
          <w:spacing w:val="0"/>
          <w:sz w:val="24"/>
          <w:szCs w:val="32"/>
        </w:rPr>
      </w:pPr>
      <w:r>
        <w:rPr>
          <w:rFonts w:hint="eastAsia" w:ascii="宋体" w:hAnsi="宋体" w:cs="宋体"/>
          <w:color w:val="auto"/>
          <w:spacing w:val="0"/>
          <w:sz w:val="24"/>
          <w:szCs w:val="32"/>
        </w:rPr>
        <w:t>供应商（电子章）:</w:t>
      </w:r>
    </w:p>
    <w:p w14:paraId="10C2B517">
      <w:pPr>
        <w:spacing w:line="360" w:lineRule="auto"/>
        <w:ind w:firstLine="480" w:firstLineChars="200"/>
        <w:rPr>
          <w:rFonts w:ascii="宋体" w:hAnsi="宋体" w:cs="宋体"/>
          <w:color w:val="auto"/>
          <w:spacing w:val="0"/>
          <w:sz w:val="24"/>
          <w:szCs w:val="32"/>
        </w:rPr>
      </w:pPr>
      <w:r>
        <w:rPr>
          <w:rFonts w:hint="eastAsia" w:ascii="宋体" w:hAnsi="宋体" w:cs="宋体"/>
          <w:color w:val="auto"/>
          <w:spacing w:val="0"/>
          <w:sz w:val="24"/>
          <w:szCs w:val="32"/>
        </w:rPr>
        <w:t>法定代表人、负责人、本人、或授权代表（签字或电子印章）:</w:t>
      </w:r>
    </w:p>
    <w:p w14:paraId="4186F99D">
      <w:pPr>
        <w:spacing w:line="360" w:lineRule="auto"/>
        <w:ind w:firstLine="480" w:firstLineChars="200"/>
        <w:rPr>
          <w:rFonts w:ascii="宋体" w:hAnsi="宋体" w:cs="宋体"/>
          <w:color w:val="auto"/>
          <w:spacing w:val="0"/>
          <w:sz w:val="24"/>
          <w:szCs w:val="32"/>
        </w:rPr>
      </w:pPr>
      <w:r>
        <w:rPr>
          <w:rFonts w:hint="eastAsia" w:ascii="宋体" w:hAnsi="宋体" w:cs="宋体"/>
          <w:color w:val="auto"/>
          <w:spacing w:val="0"/>
          <w:sz w:val="24"/>
          <w:szCs w:val="32"/>
        </w:rPr>
        <w:t>日期：    年   月  日</w:t>
      </w:r>
    </w:p>
    <w:p w14:paraId="10930F21">
      <w:pPr>
        <w:spacing w:line="360" w:lineRule="auto"/>
        <w:rPr>
          <w:rFonts w:ascii="宋体" w:hAnsi="宋体" w:cs="宋体"/>
          <w:color w:val="auto"/>
          <w:sz w:val="32"/>
          <w:szCs w:val="32"/>
        </w:rPr>
      </w:pPr>
    </w:p>
    <w:p w14:paraId="150A46AA">
      <w:pPr>
        <w:spacing w:line="360" w:lineRule="auto"/>
        <w:rPr>
          <w:rFonts w:ascii="宋体" w:hAnsi="宋体" w:cs="宋体"/>
          <w:color w:val="auto"/>
        </w:rPr>
      </w:pPr>
    </w:p>
    <w:p w14:paraId="1489CACD">
      <w:pPr>
        <w:spacing w:line="360" w:lineRule="auto"/>
        <w:rPr>
          <w:rFonts w:ascii="宋体" w:hAnsi="宋体" w:cs="宋体"/>
          <w:b/>
          <w:color w:val="auto"/>
          <w:sz w:val="24"/>
          <w:szCs w:val="24"/>
        </w:rPr>
      </w:pPr>
      <w:r>
        <w:rPr>
          <w:rFonts w:hint="eastAsia" w:ascii="宋体" w:hAnsi="宋体" w:cs="宋体"/>
          <w:b/>
          <w:color w:val="auto"/>
          <w:sz w:val="24"/>
          <w:szCs w:val="24"/>
        </w:rPr>
        <w:t>注：1.供应商须在响应文件中按此模板提供承诺函，未提供视为未实质性响应磋商文件要求，按无效响应处理。</w:t>
      </w:r>
    </w:p>
    <w:p w14:paraId="13E7BFA5">
      <w:pPr>
        <w:spacing w:line="360" w:lineRule="auto"/>
        <w:rPr>
          <w:rFonts w:ascii="宋体" w:hAnsi="宋体" w:cs="宋体"/>
          <w:b/>
          <w:bCs/>
          <w:color w:val="auto"/>
          <w:sz w:val="24"/>
          <w:szCs w:val="24"/>
        </w:rPr>
      </w:pPr>
      <w:r>
        <w:rPr>
          <w:rFonts w:hint="eastAsia" w:ascii="宋体" w:hAnsi="宋体" w:cs="宋体"/>
          <w:b/>
          <w:color w:val="auto"/>
          <w:sz w:val="24"/>
          <w:szCs w:val="24"/>
        </w:rPr>
        <w:t>2.供应商的法定代表人或者授权代表的签字或盖章应真实、有效，如由授权代表签字或盖章的，应提供“法定代表人授权书”。</w:t>
      </w:r>
    </w:p>
    <w:p w14:paraId="3E6E36D7">
      <w:pPr>
        <w:spacing w:line="360" w:lineRule="auto"/>
        <w:jc w:val="center"/>
        <w:rPr>
          <w:rFonts w:ascii="宋体" w:hAnsi="宋体"/>
          <w:b/>
          <w:bCs/>
          <w:color w:val="auto"/>
          <w:sz w:val="24"/>
          <w:szCs w:val="24"/>
        </w:rPr>
      </w:pPr>
      <w:r>
        <w:rPr>
          <w:rFonts w:hint="eastAsia" w:ascii="宋体" w:hAnsi="宋体"/>
          <w:b/>
          <w:bCs/>
          <w:color w:val="auto"/>
          <w:sz w:val="24"/>
          <w:szCs w:val="24"/>
        </w:rPr>
        <w:br w:type="page"/>
      </w:r>
    </w:p>
    <w:p w14:paraId="24D3879C">
      <w:pPr>
        <w:autoSpaceDE w:val="0"/>
        <w:autoSpaceDN w:val="0"/>
        <w:spacing w:line="360" w:lineRule="auto"/>
        <w:jc w:val="center"/>
        <w:outlineLvl w:val="9"/>
        <w:rPr>
          <w:rFonts w:ascii="宋体" w:hAnsi="宋体"/>
          <w:b/>
          <w:color w:val="auto"/>
          <w:sz w:val="28"/>
          <w:szCs w:val="24"/>
        </w:rPr>
      </w:pPr>
    </w:p>
    <w:p w14:paraId="00CD3F4A">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3.6 供应商提供与参加本项目磋商响应的其他供应商之间，单位负责人不为同一人并且不存在直接控股、管理关系承诺函</w:t>
      </w:r>
    </w:p>
    <w:p w14:paraId="33355153">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14:paraId="72474A40">
      <w:pPr>
        <w:autoSpaceDE w:val="0"/>
        <w:autoSpaceDN w:val="0"/>
        <w:spacing w:line="360" w:lineRule="auto"/>
        <w:jc w:val="center"/>
        <w:outlineLvl w:val="9"/>
        <w:rPr>
          <w:rFonts w:ascii="宋体" w:hAnsi="宋体"/>
          <w:b/>
          <w:color w:val="auto"/>
          <w:sz w:val="28"/>
          <w:szCs w:val="24"/>
        </w:rPr>
      </w:pPr>
    </w:p>
    <w:p w14:paraId="581AE2B9">
      <w:pPr>
        <w:autoSpaceDE w:val="0"/>
        <w:autoSpaceDN w:val="0"/>
        <w:spacing w:line="360" w:lineRule="auto"/>
        <w:jc w:val="center"/>
        <w:outlineLvl w:val="9"/>
        <w:rPr>
          <w:rFonts w:ascii="宋体" w:hAnsi="宋体"/>
          <w:b/>
          <w:color w:val="auto"/>
          <w:sz w:val="28"/>
          <w:szCs w:val="24"/>
        </w:rPr>
      </w:pPr>
    </w:p>
    <w:p w14:paraId="71A752C3">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3.7 供应商提供未为本项目提供整体设计、规范编制或者项目管理、监理、检测等服务承诺函</w:t>
      </w:r>
    </w:p>
    <w:p w14:paraId="0AE2E3E4">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14:paraId="4360F17F">
      <w:pPr>
        <w:spacing w:line="360" w:lineRule="auto"/>
        <w:jc w:val="center"/>
        <w:rPr>
          <w:rFonts w:ascii="宋体" w:hAnsi="宋体"/>
          <w:bCs/>
          <w:color w:val="auto"/>
          <w:sz w:val="24"/>
          <w:szCs w:val="24"/>
        </w:rPr>
      </w:pPr>
    </w:p>
    <w:p w14:paraId="27169AA2">
      <w:pPr>
        <w:widowControl/>
        <w:spacing w:line="360" w:lineRule="auto"/>
        <w:jc w:val="left"/>
        <w:rPr>
          <w:rFonts w:ascii="宋体" w:hAnsi="宋体"/>
          <w:b/>
          <w:bCs/>
          <w:color w:val="auto"/>
          <w:sz w:val="24"/>
          <w:szCs w:val="24"/>
        </w:rPr>
      </w:pPr>
      <w:r>
        <w:rPr>
          <w:rFonts w:ascii="宋体" w:hAnsi="宋体"/>
          <w:b/>
          <w:bCs/>
          <w:color w:val="auto"/>
          <w:sz w:val="24"/>
          <w:szCs w:val="24"/>
        </w:rPr>
        <w:br w:type="page"/>
      </w:r>
    </w:p>
    <w:p w14:paraId="155868C1">
      <w:pPr>
        <w:autoSpaceDE w:val="0"/>
        <w:autoSpaceDN w:val="0"/>
        <w:spacing w:line="360" w:lineRule="auto"/>
        <w:jc w:val="center"/>
        <w:outlineLvl w:val="2"/>
        <w:rPr>
          <w:rFonts w:ascii="宋体" w:hAnsi="宋体" w:cs="宋体"/>
          <w:b/>
          <w:color w:val="auto"/>
          <w:sz w:val="28"/>
          <w:szCs w:val="24"/>
        </w:rPr>
      </w:pPr>
      <w:r>
        <w:rPr>
          <w:rFonts w:hint="eastAsia" w:ascii="宋体" w:hAnsi="宋体" w:cs="宋体"/>
          <w:b/>
          <w:color w:val="auto"/>
          <w:sz w:val="28"/>
          <w:szCs w:val="24"/>
        </w:rPr>
        <w:t>3.8 中小企业声明函（工程）</w:t>
      </w:r>
    </w:p>
    <w:p w14:paraId="13626ABB">
      <w:pPr>
        <w:widowControl/>
        <w:spacing w:line="360" w:lineRule="auto"/>
        <w:ind w:firstLine="315" w:firstLineChars="150"/>
        <w:jc w:val="left"/>
        <w:rPr>
          <w:rFonts w:ascii="宋体" w:hAnsi="宋体" w:cs="宋体"/>
          <w:color w:val="auto"/>
        </w:rPr>
      </w:pPr>
    </w:p>
    <w:p w14:paraId="28648215">
      <w:pPr>
        <w:keepNext w:val="0"/>
        <w:keepLines w:val="0"/>
        <w:pageBreakBefore w:val="0"/>
        <w:widowControl/>
        <w:kinsoku/>
        <w:wordWrap/>
        <w:overflowPunct/>
        <w:topLinePunct w:val="0"/>
        <w:bidi w:val="0"/>
        <w:snapToGrid/>
        <w:spacing w:beforeAutospacing="0" w:afterAutospacing="0" w:line="360" w:lineRule="auto"/>
        <w:ind w:right="0"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本公司（联合体）郑重声明，根据《政府采购促进中小企业发展管理办法》（财库﹝2020﹞46号）的规定，本公司（联合体）参加</w:t>
      </w:r>
      <w:r>
        <w:rPr>
          <w:rFonts w:hint="eastAsia" w:ascii="宋体" w:hAnsi="宋体" w:cs="宋体"/>
          <w:color w:val="auto"/>
          <w:sz w:val="24"/>
          <w:szCs w:val="24"/>
          <w:u w:val="single"/>
        </w:rPr>
        <w:t>（单位名称）</w:t>
      </w:r>
      <w:r>
        <w:rPr>
          <w:rFonts w:hint="eastAsia" w:ascii="宋体" w:hAnsi="宋体" w:cs="宋体"/>
          <w:color w:val="auto"/>
          <w:sz w:val="24"/>
          <w:szCs w:val="24"/>
        </w:rPr>
        <w:t>的</w:t>
      </w:r>
      <w:r>
        <w:rPr>
          <w:rFonts w:hint="eastAsia" w:ascii="宋体" w:hAnsi="宋体" w:cs="宋体"/>
          <w:color w:val="auto"/>
          <w:sz w:val="24"/>
          <w:szCs w:val="24"/>
          <w:u w:val="single"/>
        </w:rPr>
        <w:t>（项目名称）</w:t>
      </w:r>
      <w:r>
        <w:rPr>
          <w:rFonts w:hint="eastAsia" w:ascii="宋体" w:hAnsi="宋体" w:cs="宋体"/>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5B3C4E9">
      <w:pPr>
        <w:keepNext w:val="0"/>
        <w:keepLines w:val="0"/>
        <w:pageBreakBefore w:val="0"/>
        <w:widowControl/>
        <w:kinsoku/>
        <w:wordWrap/>
        <w:overflowPunct/>
        <w:topLinePunct w:val="0"/>
        <w:bidi w:val="0"/>
        <w:snapToGrid/>
        <w:spacing w:beforeAutospacing="0" w:afterAutospacing="0" w:line="360" w:lineRule="auto"/>
        <w:ind w:right="0"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 xml:space="preserve"> 1.</w:t>
      </w:r>
      <w:r>
        <w:rPr>
          <w:rFonts w:hint="eastAsia" w:ascii="宋体" w:hAnsi="宋体" w:cs="宋体"/>
          <w:i/>
          <w:color w:val="auto"/>
          <w:sz w:val="24"/>
          <w:szCs w:val="24"/>
          <w:u w:val="single"/>
        </w:rPr>
        <w:t xml:space="preserve"> （标的名称）</w:t>
      </w:r>
      <w:r>
        <w:rPr>
          <w:rFonts w:hint="eastAsia" w:ascii="宋体" w:hAnsi="宋体" w:cs="宋体"/>
          <w:color w:val="auto"/>
          <w:sz w:val="24"/>
          <w:szCs w:val="24"/>
        </w:rPr>
        <w:t xml:space="preserve"> ，属于</w:t>
      </w:r>
      <w:r>
        <w:rPr>
          <w:rFonts w:hint="eastAsia" w:ascii="宋体" w:hAnsi="宋体" w:cs="宋体"/>
          <w:i/>
          <w:color w:val="auto"/>
          <w:sz w:val="24"/>
          <w:szCs w:val="24"/>
          <w:u w:val="single"/>
        </w:rPr>
        <w:t>（采购文件中明确的所属行业）</w:t>
      </w:r>
      <w:r>
        <w:rPr>
          <w:rFonts w:hint="eastAsia" w:ascii="宋体" w:hAnsi="宋体" w:cs="宋体"/>
          <w:color w:val="auto"/>
          <w:sz w:val="24"/>
          <w:szCs w:val="24"/>
        </w:rPr>
        <w:t>； 承建（承接）企业为</w:t>
      </w:r>
      <w:r>
        <w:rPr>
          <w:rFonts w:hint="eastAsia" w:ascii="宋体" w:hAnsi="宋体" w:cs="宋体"/>
          <w:i/>
          <w:color w:val="auto"/>
          <w:sz w:val="24"/>
          <w:szCs w:val="24"/>
          <w:u w:val="single"/>
        </w:rPr>
        <w:t>（企业名称）</w:t>
      </w:r>
      <w:r>
        <w:rPr>
          <w:rFonts w:hint="eastAsia" w:ascii="宋体" w:hAnsi="宋体" w:cs="宋体"/>
          <w:color w:val="auto"/>
          <w:sz w:val="24"/>
          <w:szCs w:val="24"/>
        </w:rPr>
        <w:t>，从业人员</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人，营业收入为</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万元，资产总额为</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万元，属于</w:t>
      </w:r>
      <w:r>
        <w:rPr>
          <w:rFonts w:hint="eastAsia" w:ascii="宋体" w:hAnsi="宋体" w:cs="宋体"/>
          <w:i/>
          <w:color w:val="auto"/>
          <w:sz w:val="24"/>
          <w:szCs w:val="24"/>
          <w:u w:val="single"/>
        </w:rPr>
        <w:t>（中型企业、 小型企业、微型企业</w:t>
      </w:r>
      <w:r>
        <w:rPr>
          <w:rFonts w:hint="eastAsia" w:ascii="宋体" w:hAnsi="宋体" w:cs="宋体"/>
          <w:color w:val="auto"/>
          <w:sz w:val="24"/>
          <w:szCs w:val="24"/>
        </w:rPr>
        <w:t>）；</w:t>
      </w:r>
    </w:p>
    <w:p w14:paraId="702CCAD9">
      <w:pPr>
        <w:keepNext w:val="0"/>
        <w:keepLines w:val="0"/>
        <w:pageBreakBefore w:val="0"/>
        <w:widowControl/>
        <w:kinsoku/>
        <w:wordWrap/>
        <w:overflowPunct/>
        <w:topLinePunct w:val="0"/>
        <w:bidi w:val="0"/>
        <w:snapToGrid/>
        <w:spacing w:beforeAutospacing="0" w:afterAutospacing="0" w:line="360" w:lineRule="auto"/>
        <w:ind w:right="0"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 xml:space="preserve"> 2. </w:t>
      </w:r>
      <w:r>
        <w:rPr>
          <w:rFonts w:hint="eastAsia" w:ascii="宋体" w:hAnsi="宋体" w:cs="宋体"/>
          <w:i/>
          <w:color w:val="auto"/>
          <w:sz w:val="24"/>
          <w:szCs w:val="24"/>
        </w:rPr>
        <w:t>（标的名称）</w:t>
      </w:r>
      <w:r>
        <w:rPr>
          <w:rFonts w:hint="eastAsia" w:ascii="宋体" w:hAnsi="宋体" w:cs="宋体"/>
          <w:color w:val="auto"/>
          <w:sz w:val="24"/>
          <w:szCs w:val="24"/>
        </w:rPr>
        <w:t xml:space="preserve"> ，属于</w:t>
      </w:r>
      <w:r>
        <w:rPr>
          <w:rFonts w:hint="eastAsia" w:ascii="宋体" w:hAnsi="宋体" w:cs="宋体"/>
          <w:i/>
          <w:color w:val="auto"/>
          <w:sz w:val="24"/>
          <w:szCs w:val="24"/>
        </w:rPr>
        <w:t>（采购文件中明确的所属行业）</w:t>
      </w:r>
      <w:r>
        <w:rPr>
          <w:rFonts w:hint="eastAsia" w:ascii="宋体" w:hAnsi="宋体" w:cs="宋体"/>
          <w:color w:val="auto"/>
          <w:sz w:val="24"/>
          <w:szCs w:val="24"/>
        </w:rPr>
        <w:t>； 承建（承接）企业为</w:t>
      </w:r>
      <w:r>
        <w:rPr>
          <w:rFonts w:hint="eastAsia" w:ascii="宋体" w:hAnsi="宋体" w:cs="宋体"/>
          <w:i/>
          <w:color w:val="auto"/>
          <w:sz w:val="24"/>
          <w:szCs w:val="24"/>
        </w:rPr>
        <w:t>（企业名称）</w:t>
      </w:r>
      <w:r>
        <w:rPr>
          <w:rFonts w:hint="eastAsia" w:ascii="宋体" w:hAnsi="宋体" w:cs="宋体"/>
          <w:color w:val="auto"/>
          <w:sz w:val="24"/>
          <w:szCs w:val="24"/>
        </w:rPr>
        <w:t>，从业人员</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人，营业收入为</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万元，资产总额为</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万元，属于</w:t>
      </w:r>
      <w:r>
        <w:rPr>
          <w:rFonts w:hint="eastAsia" w:ascii="宋体" w:hAnsi="宋体" w:cs="宋体"/>
          <w:i/>
          <w:color w:val="auto"/>
          <w:sz w:val="24"/>
          <w:szCs w:val="24"/>
        </w:rPr>
        <w:t>（中型企业、 小型企业、微型企业）</w:t>
      </w:r>
      <w:r>
        <w:rPr>
          <w:rFonts w:hint="eastAsia" w:ascii="宋体" w:hAnsi="宋体" w:cs="宋体"/>
          <w:color w:val="auto"/>
          <w:sz w:val="24"/>
          <w:szCs w:val="24"/>
        </w:rPr>
        <w:t>；</w:t>
      </w:r>
    </w:p>
    <w:p w14:paraId="16FA838A">
      <w:pPr>
        <w:keepNext w:val="0"/>
        <w:keepLines w:val="0"/>
        <w:pageBreakBefore w:val="0"/>
        <w:widowControl/>
        <w:kinsoku/>
        <w:wordWrap/>
        <w:overflowPunct/>
        <w:topLinePunct w:val="0"/>
        <w:bidi w:val="0"/>
        <w:snapToGrid/>
        <w:spacing w:beforeAutospacing="0" w:afterAutospacing="0" w:line="360" w:lineRule="auto"/>
        <w:ind w:right="0"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 xml:space="preserve"> ……</w:t>
      </w:r>
    </w:p>
    <w:p w14:paraId="238DCEB3">
      <w:pPr>
        <w:keepNext w:val="0"/>
        <w:keepLines w:val="0"/>
        <w:pageBreakBefore w:val="0"/>
        <w:widowControl/>
        <w:kinsoku/>
        <w:wordWrap/>
        <w:overflowPunct/>
        <w:topLinePunct w:val="0"/>
        <w:bidi w:val="0"/>
        <w:snapToGrid/>
        <w:spacing w:beforeAutospacing="0" w:afterAutospacing="0" w:line="360" w:lineRule="auto"/>
        <w:ind w:right="0"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 xml:space="preserve">以上企业，不属于大企业的分支机构，不存在控股股东为大企业的情形，也不存在与大企业的负责人为同一人的情形。 </w:t>
      </w:r>
    </w:p>
    <w:p w14:paraId="7CF9AA99">
      <w:pPr>
        <w:keepNext w:val="0"/>
        <w:keepLines w:val="0"/>
        <w:pageBreakBefore w:val="0"/>
        <w:widowControl/>
        <w:kinsoku/>
        <w:wordWrap/>
        <w:overflowPunct/>
        <w:topLinePunct w:val="0"/>
        <w:bidi w:val="0"/>
        <w:snapToGrid/>
        <w:spacing w:beforeAutospacing="0" w:afterAutospacing="0" w:line="360" w:lineRule="auto"/>
        <w:ind w:right="0"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 xml:space="preserve">本企业对上述声明内容的真实性负责。如有虚假，将依法承担相应责任。 </w:t>
      </w:r>
    </w:p>
    <w:p w14:paraId="6B77E943">
      <w:pPr>
        <w:keepNext w:val="0"/>
        <w:keepLines w:val="0"/>
        <w:pageBreakBefore w:val="0"/>
        <w:widowControl/>
        <w:kinsoku/>
        <w:wordWrap/>
        <w:overflowPunct/>
        <w:topLinePunct w:val="0"/>
        <w:bidi w:val="0"/>
        <w:snapToGrid/>
        <w:spacing w:beforeAutospacing="0" w:afterAutospacing="0" w:line="360" w:lineRule="auto"/>
        <w:ind w:right="0" w:firstLine="480" w:firstLineChars="200"/>
        <w:textAlignment w:val="auto"/>
        <w:rPr>
          <w:rFonts w:ascii="宋体" w:hAnsi="宋体" w:cs="宋体"/>
          <w:color w:val="auto"/>
          <w:sz w:val="24"/>
          <w:szCs w:val="24"/>
        </w:rPr>
      </w:pPr>
    </w:p>
    <w:p w14:paraId="55F415F8">
      <w:pPr>
        <w:keepNext w:val="0"/>
        <w:keepLines w:val="0"/>
        <w:pageBreakBefore w:val="0"/>
        <w:widowControl/>
        <w:kinsoku/>
        <w:wordWrap/>
        <w:overflowPunct/>
        <w:topLinePunct w:val="0"/>
        <w:bidi w:val="0"/>
        <w:snapToGrid/>
        <w:spacing w:beforeAutospacing="0" w:afterAutospacing="0" w:line="360" w:lineRule="auto"/>
        <w:ind w:right="0" w:firstLine="480" w:firstLineChars="200"/>
        <w:textAlignment w:val="auto"/>
        <w:rPr>
          <w:rFonts w:ascii="宋体" w:hAnsi="宋体" w:cs="宋体"/>
          <w:color w:val="auto"/>
          <w:sz w:val="24"/>
          <w:szCs w:val="24"/>
        </w:rPr>
      </w:pPr>
      <w:r>
        <w:rPr>
          <w:rFonts w:hint="eastAsia" w:ascii="宋体" w:hAnsi="宋体" w:cs="宋体"/>
          <w:color w:val="auto"/>
          <w:sz w:val="24"/>
          <w:szCs w:val="24"/>
        </w:rPr>
        <w:t>企业名称（盖章）：</w:t>
      </w:r>
    </w:p>
    <w:p w14:paraId="07C42148">
      <w:pPr>
        <w:keepNext w:val="0"/>
        <w:keepLines w:val="0"/>
        <w:pageBreakBefore w:val="0"/>
        <w:widowControl/>
        <w:kinsoku/>
        <w:wordWrap/>
        <w:overflowPunct/>
        <w:topLinePunct w:val="0"/>
        <w:bidi w:val="0"/>
        <w:snapToGrid/>
        <w:spacing w:beforeAutospacing="0" w:afterAutospacing="0" w:line="360" w:lineRule="auto"/>
        <w:ind w:right="0" w:firstLine="480" w:firstLineChars="200"/>
        <w:jc w:val="center"/>
        <w:textAlignment w:val="auto"/>
        <w:rPr>
          <w:rFonts w:ascii="宋体" w:hAnsi="宋体" w:cs="宋体"/>
          <w:color w:val="auto"/>
          <w:sz w:val="24"/>
          <w:szCs w:val="24"/>
        </w:rPr>
      </w:pPr>
      <w:r>
        <w:rPr>
          <w:rFonts w:hint="eastAsia" w:ascii="宋体" w:hAnsi="宋体" w:cs="宋体"/>
          <w:color w:val="auto"/>
          <w:sz w:val="24"/>
          <w:szCs w:val="24"/>
        </w:rPr>
        <w:t xml:space="preserve"> 日 期： </w:t>
      </w:r>
    </w:p>
    <w:p w14:paraId="05C71B46">
      <w:pPr>
        <w:keepNext w:val="0"/>
        <w:keepLines w:val="0"/>
        <w:pageBreakBefore w:val="0"/>
        <w:kinsoku/>
        <w:wordWrap/>
        <w:overflowPunct/>
        <w:topLinePunct w:val="0"/>
        <w:autoSpaceDE w:val="0"/>
        <w:autoSpaceDN w:val="0"/>
        <w:bidi w:val="0"/>
        <w:adjustRightInd w:val="0"/>
        <w:snapToGrid/>
        <w:spacing w:beforeAutospacing="0" w:afterAutospacing="0" w:line="360" w:lineRule="auto"/>
        <w:ind w:right="0" w:firstLine="480" w:firstLineChars="200"/>
        <w:jc w:val="center"/>
        <w:textAlignment w:val="auto"/>
        <w:rPr>
          <w:rFonts w:ascii="宋体" w:hAnsi="宋体" w:cs="宋体"/>
          <w:color w:val="auto"/>
          <w:sz w:val="24"/>
          <w:szCs w:val="24"/>
          <w:lang w:val="zh-CN"/>
        </w:rPr>
      </w:pPr>
    </w:p>
    <w:p w14:paraId="76BEEECF">
      <w:pPr>
        <w:keepNext w:val="0"/>
        <w:keepLines w:val="0"/>
        <w:pageBreakBefore w:val="0"/>
        <w:widowControl/>
        <w:kinsoku/>
        <w:wordWrap/>
        <w:overflowPunct/>
        <w:topLinePunct w:val="0"/>
        <w:bidi w:val="0"/>
        <w:snapToGrid/>
        <w:spacing w:beforeAutospacing="0" w:afterAutospacing="0" w:line="360" w:lineRule="auto"/>
        <w:ind w:right="0" w:firstLine="480" w:firstLineChars="200"/>
        <w:contextualSpacing/>
        <w:jc w:val="left"/>
        <w:textAlignment w:val="auto"/>
        <w:rPr>
          <w:rFonts w:ascii="宋体" w:hAnsi="宋体" w:cs="宋体"/>
          <w:color w:val="auto"/>
          <w:sz w:val="24"/>
          <w:szCs w:val="24"/>
        </w:rPr>
      </w:pPr>
      <w:r>
        <w:rPr>
          <w:rFonts w:hint="eastAsia" w:ascii="宋体" w:hAnsi="宋体" w:cs="宋体"/>
          <w:color w:val="auto"/>
          <w:sz w:val="24"/>
          <w:szCs w:val="24"/>
        </w:rPr>
        <w:t>说明：</w:t>
      </w:r>
    </w:p>
    <w:p w14:paraId="1D287485">
      <w:pPr>
        <w:keepNext w:val="0"/>
        <w:keepLines w:val="0"/>
        <w:pageBreakBefore w:val="0"/>
        <w:widowControl/>
        <w:kinsoku/>
        <w:wordWrap/>
        <w:overflowPunct/>
        <w:topLinePunct w:val="0"/>
        <w:bidi w:val="0"/>
        <w:snapToGrid/>
        <w:spacing w:beforeAutospacing="0" w:afterAutospacing="0" w:line="360" w:lineRule="auto"/>
        <w:ind w:right="0" w:firstLine="480" w:firstLineChars="200"/>
        <w:contextualSpacing/>
        <w:jc w:val="left"/>
        <w:textAlignment w:val="auto"/>
        <w:rPr>
          <w:rFonts w:ascii="宋体" w:hAnsi="宋体" w:cs="宋体"/>
          <w:color w:val="auto"/>
          <w:kern w:val="0"/>
          <w:sz w:val="24"/>
          <w:szCs w:val="24"/>
        </w:rPr>
      </w:pPr>
      <w:r>
        <w:rPr>
          <w:rFonts w:hint="eastAsia" w:ascii="宋体" w:hAnsi="宋体" w:cs="宋体"/>
          <w:color w:val="auto"/>
          <w:kern w:val="0"/>
          <w:sz w:val="24"/>
          <w:szCs w:val="24"/>
        </w:rPr>
        <w:t>1、</w:t>
      </w:r>
      <w:r>
        <w:rPr>
          <w:rFonts w:hint="eastAsia" w:ascii="宋体" w:hAnsi="宋体" w:cs="宋体"/>
          <w:color w:val="auto"/>
          <w:sz w:val="24"/>
          <w:szCs w:val="24"/>
        </w:rPr>
        <w:t>从业人员、营业收入、资产总额填报上一年度数据，无上一年度数据的新成立企业可不填报。</w:t>
      </w:r>
    </w:p>
    <w:p w14:paraId="167E5C11">
      <w:pPr>
        <w:keepNext w:val="0"/>
        <w:keepLines w:val="0"/>
        <w:pageBreakBefore w:val="0"/>
        <w:widowControl/>
        <w:kinsoku/>
        <w:wordWrap/>
        <w:overflowPunct/>
        <w:topLinePunct w:val="0"/>
        <w:bidi w:val="0"/>
        <w:snapToGrid/>
        <w:spacing w:beforeAutospacing="0" w:afterAutospacing="0" w:line="360" w:lineRule="auto"/>
        <w:ind w:right="0" w:firstLine="480" w:firstLineChars="200"/>
        <w:contextualSpacing/>
        <w:jc w:val="left"/>
        <w:textAlignment w:val="auto"/>
        <w:rPr>
          <w:rFonts w:ascii="宋体" w:hAnsi="宋体" w:cs="宋体"/>
          <w:b/>
          <w:bCs/>
          <w:color w:val="auto"/>
          <w:sz w:val="24"/>
          <w:szCs w:val="24"/>
        </w:rPr>
      </w:pPr>
      <w:r>
        <w:rPr>
          <w:rFonts w:hint="eastAsia" w:ascii="宋体" w:hAnsi="宋体" w:cs="宋体"/>
          <w:color w:val="auto"/>
          <w:kern w:val="0"/>
          <w:sz w:val="24"/>
          <w:szCs w:val="24"/>
        </w:rPr>
        <w:t>2、中小企业参加政府采购活动，应当出具</w:t>
      </w:r>
      <w:r>
        <w:rPr>
          <w:rFonts w:hint="eastAsia" w:ascii="宋体" w:hAnsi="宋体" w:cs="宋体"/>
          <w:color w:val="auto"/>
          <w:sz w:val="24"/>
          <w:szCs w:val="24"/>
        </w:rPr>
        <w:t>《中小企业声明函》，否则不得享受相关中小企业扶持政</w:t>
      </w:r>
      <w:r>
        <w:rPr>
          <w:rFonts w:hint="eastAsia" w:ascii="宋体" w:hAnsi="宋体" w:cs="宋体"/>
          <w:color w:val="auto"/>
          <w:kern w:val="0"/>
          <w:sz w:val="24"/>
          <w:szCs w:val="24"/>
        </w:rPr>
        <w:t>策。</w:t>
      </w:r>
    </w:p>
    <w:p w14:paraId="208A8D3A">
      <w:pPr>
        <w:keepNext w:val="0"/>
        <w:keepLines w:val="0"/>
        <w:pageBreakBefore w:val="0"/>
        <w:widowControl/>
        <w:kinsoku/>
        <w:wordWrap/>
        <w:overflowPunct/>
        <w:topLinePunct w:val="0"/>
        <w:bidi w:val="0"/>
        <w:snapToGrid/>
        <w:spacing w:beforeAutospacing="0" w:afterAutospacing="0" w:line="360" w:lineRule="auto"/>
        <w:ind w:right="0" w:firstLine="482" w:firstLineChars="200"/>
        <w:jc w:val="left"/>
        <w:textAlignment w:val="auto"/>
        <w:rPr>
          <w:rFonts w:ascii="宋体" w:hAnsi="宋体" w:cs="宋体"/>
          <w:b/>
          <w:bCs/>
          <w:color w:val="auto"/>
          <w:sz w:val="24"/>
          <w:szCs w:val="24"/>
        </w:rPr>
        <w:sectPr>
          <w:pgSz w:w="11906" w:h="16838"/>
          <w:pgMar w:top="1440" w:right="1800" w:bottom="1440" w:left="1800" w:header="851" w:footer="992" w:gutter="0"/>
          <w:cols w:space="425" w:num="1"/>
          <w:docGrid w:type="lines" w:linePitch="312" w:charSpace="0"/>
        </w:sectPr>
      </w:pPr>
    </w:p>
    <w:p w14:paraId="51E82ECE">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3.8.1 残疾人福利性单位声明函</w:t>
      </w:r>
    </w:p>
    <w:p w14:paraId="3286E91F">
      <w:pPr>
        <w:spacing w:line="360" w:lineRule="auto"/>
        <w:rPr>
          <w:rFonts w:ascii="宋体" w:hAnsi="宋体"/>
          <w:color w:val="auto"/>
        </w:rPr>
      </w:pPr>
    </w:p>
    <w:p w14:paraId="23BF4FBB">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w:t>
      </w:r>
      <w:r>
        <w:rPr>
          <w:rFonts w:hint="eastAsia" w:ascii="宋体" w:hAnsi="宋体"/>
          <w:color w:val="auto"/>
          <w:sz w:val="24"/>
          <w:szCs w:val="24"/>
          <w:lang w:val="en-US" w:eastAsia="zh-CN"/>
        </w:rPr>
        <w:t xml:space="preserve"> </w:t>
      </w:r>
      <w:r>
        <w:rPr>
          <w:rFonts w:hint="eastAsia" w:ascii="宋体" w:hAnsi="宋体"/>
          <w:color w:val="auto"/>
          <w:sz w:val="24"/>
          <w:szCs w:val="24"/>
        </w:rPr>
        <w:t>民政部</w:t>
      </w:r>
      <w:r>
        <w:rPr>
          <w:rFonts w:hint="eastAsia" w:ascii="宋体" w:hAnsi="宋体"/>
          <w:color w:val="auto"/>
          <w:sz w:val="24"/>
          <w:szCs w:val="24"/>
          <w:lang w:val="en-US" w:eastAsia="zh-CN"/>
        </w:rPr>
        <w:t xml:space="preserve"> </w:t>
      </w:r>
      <w:r>
        <w:rPr>
          <w:rFonts w:hint="eastAsia" w:ascii="宋体" w:hAnsi="宋体"/>
          <w:color w:val="auto"/>
          <w:sz w:val="24"/>
          <w:szCs w:val="24"/>
        </w:rPr>
        <w:t>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F125330">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14:paraId="075AD273">
      <w:pPr>
        <w:spacing w:line="360" w:lineRule="auto"/>
        <w:rPr>
          <w:rFonts w:ascii="宋体" w:hAnsi="宋体"/>
          <w:color w:val="auto"/>
          <w:sz w:val="24"/>
          <w:szCs w:val="24"/>
        </w:rPr>
      </w:pPr>
    </w:p>
    <w:p w14:paraId="3316BE2F">
      <w:pPr>
        <w:spacing w:line="360" w:lineRule="auto"/>
        <w:rPr>
          <w:rFonts w:ascii="宋体" w:hAnsi="宋体"/>
          <w:color w:val="auto"/>
          <w:sz w:val="24"/>
          <w:szCs w:val="24"/>
        </w:rPr>
      </w:pPr>
    </w:p>
    <w:p w14:paraId="0B3F3E1B">
      <w:pPr>
        <w:spacing w:line="360" w:lineRule="auto"/>
        <w:rPr>
          <w:rFonts w:ascii="宋体" w:hAnsi="宋体"/>
          <w:color w:val="auto"/>
          <w:sz w:val="24"/>
          <w:szCs w:val="24"/>
        </w:rPr>
      </w:pPr>
    </w:p>
    <w:p w14:paraId="24EBBF0C">
      <w:pPr>
        <w:adjustRightInd w:val="0"/>
        <w:snapToGrid w:val="0"/>
        <w:spacing w:line="360" w:lineRule="auto"/>
        <w:ind w:firstLine="5280" w:firstLineChars="2200"/>
        <w:rPr>
          <w:rFonts w:ascii="宋体" w:hAnsi="宋体" w:cs="宋体"/>
          <w:color w:val="auto"/>
          <w:sz w:val="24"/>
          <w:szCs w:val="24"/>
        </w:rPr>
      </w:pPr>
      <w:r>
        <w:rPr>
          <w:rFonts w:hint="eastAsia" w:ascii="宋体" w:hAnsi="宋体"/>
          <w:color w:val="auto"/>
          <w:sz w:val="24"/>
          <w:szCs w:val="24"/>
        </w:rPr>
        <w:t>单位名称（盖章）</w:t>
      </w:r>
      <w:r>
        <w:rPr>
          <w:rFonts w:hint="eastAsia" w:ascii="宋体" w:hAnsi="宋体" w:cs="宋体"/>
          <w:color w:val="auto"/>
          <w:sz w:val="24"/>
          <w:szCs w:val="24"/>
        </w:rPr>
        <w:t>：</w:t>
      </w:r>
    </w:p>
    <w:p w14:paraId="1A0E8AFF">
      <w:pPr>
        <w:spacing w:line="360" w:lineRule="auto"/>
        <w:ind w:left="4358" w:leftChars="2075"/>
        <w:rPr>
          <w:color w:val="auto"/>
          <w:sz w:val="24"/>
          <w:szCs w:val="24"/>
        </w:rPr>
      </w:pPr>
      <w:r>
        <w:rPr>
          <w:rFonts w:hint="eastAsia" w:ascii="宋体" w:hAnsi="宋体" w:cs="Arial"/>
          <w:color w:val="auto"/>
          <w:sz w:val="24"/>
          <w:szCs w:val="24"/>
        </w:rPr>
        <w:t xml:space="preserve"> 日    期：      年    月    日</w:t>
      </w:r>
    </w:p>
    <w:p w14:paraId="16C5B361">
      <w:pPr>
        <w:autoSpaceDE w:val="0"/>
        <w:autoSpaceDN w:val="0"/>
        <w:adjustRightInd w:val="0"/>
        <w:spacing w:line="360" w:lineRule="auto"/>
        <w:jc w:val="left"/>
        <w:rPr>
          <w:rFonts w:ascii="宋体" w:hAnsi="宋体" w:cs="黑体"/>
          <w:b/>
          <w:bCs/>
          <w:color w:val="auto"/>
          <w:sz w:val="24"/>
          <w:szCs w:val="24"/>
        </w:rPr>
      </w:pPr>
    </w:p>
    <w:p w14:paraId="79634C2D">
      <w:pPr>
        <w:autoSpaceDE w:val="0"/>
        <w:autoSpaceDN w:val="0"/>
        <w:adjustRightInd w:val="0"/>
        <w:spacing w:line="360" w:lineRule="auto"/>
        <w:jc w:val="left"/>
        <w:rPr>
          <w:rFonts w:ascii="宋体" w:hAnsi="宋体" w:cs="黑体"/>
          <w:b/>
          <w:bCs/>
          <w:color w:val="auto"/>
          <w:sz w:val="24"/>
          <w:szCs w:val="24"/>
          <w:lang w:val="zh-CN"/>
        </w:rPr>
      </w:pPr>
      <w:r>
        <w:rPr>
          <w:rFonts w:hint="eastAsia" w:ascii="宋体" w:hAnsi="宋体" w:cs="黑体"/>
          <w:b/>
          <w:bCs/>
          <w:color w:val="auto"/>
          <w:sz w:val="24"/>
          <w:szCs w:val="24"/>
        </w:rPr>
        <w:t>注：符合条件的残疾人福利性单位请提供本函，不符合的可不提供本函。</w:t>
      </w:r>
    </w:p>
    <w:p w14:paraId="7788BBAB">
      <w:pPr>
        <w:autoSpaceDE w:val="0"/>
        <w:autoSpaceDN w:val="0"/>
        <w:spacing w:line="360" w:lineRule="auto"/>
        <w:rPr>
          <w:rFonts w:ascii="宋体" w:hAnsi="宋体"/>
          <w:b/>
          <w:color w:val="auto"/>
          <w:sz w:val="24"/>
          <w:szCs w:val="24"/>
        </w:rPr>
      </w:pPr>
    </w:p>
    <w:p w14:paraId="3A9A2AE3">
      <w:pPr>
        <w:autoSpaceDE w:val="0"/>
        <w:autoSpaceDN w:val="0"/>
        <w:spacing w:line="360" w:lineRule="auto"/>
        <w:jc w:val="center"/>
        <w:rPr>
          <w:rFonts w:ascii="宋体" w:hAnsi="宋体"/>
          <w:b/>
          <w:color w:val="auto"/>
          <w:sz w:val="28"/>
          <w:szCs w:val="24"/>
        </w:rPr>
      </w:pPr>
    </w:p>
    <w:p w14:paraId="74D3B5FA">
      <w:pPr>
        <w:pageBreakBefore/>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3.8.2 监狱企业证明函</w:t>
      </w:r>
    </w:p>
    <w:p w14:paraId="4AA517D3">
      <w:pPr>
        <w:autoSpaceDE w:val="0"/>
        <w:autoSpaceDN w:val="0"/>
        <w:adjustRightInd w:val="0"/>
        <w:spacing w:line="360" w:lineRule="auto"/>
        <w:ind w:firstLine="562"/>
        <w:jc w:val="left"/>
        <w:rPr>
          <w:rFonts w:ascii="宋体" w:hAnsi="宋体"/>
          <w:color w:val="auto"/>
          <w:sz w:val="24"/>
          <w:szCs w:val="24"/>
        </w:rPr>
      </w:pPr>
    </w:p>
    <w:p w14:paraId="70E5332B">
      <w:pPr>
        <w:autoSpaceDE w:val="0"/>
        <w:autoSpaceDN w:val="0"/>
        <w:adjustRightInd w:val="0"/>
        <w:spacing w:line="360" w:lineRule="auto"/>
        <w:ind w:firstLine="562"/>
        <w:jc w:val="left"/>
        <w:rPr>
          <w:rFonts w:ascii="宋体" w:hAnsi="宋体" w:cs="黑体"/>
          <w:color w:val="auto"/>
          <w:sz w:val="24"/>
          <w:szCs w:val="24"/>
        </w:rPr>
      </w:pPr>
      <w:r>
        <w:rPr>
          <w:rFonts w:hint="eastAsia" w:ascii="宋体" w:hAnsi="宋体"/>
          <w:color w:val="auto"/>
          <w:sz w:val="24"/>
          <w:szCs w:val="24"/>
        </w:rPr>
        <w:t>根据《财政部 司法部关于政府采购支持监狱企业发展有关问题的通知》（财库[2014]68 号）的规定，</w:t>
      </w:r>
      <w:r>
        <w:rPr>
          <w:rFonts w:hint="eastAsia" w:ascii="宋体" w:hAnsi="宋体" w:cs="黑体"/>
          <w:color w:val="auto"/>
          <w:sz w:val="24"/>
          <w:szCs w:val="24"/>
          <w:u w:val="single"/>
        </w:rPr>
        <w:t xml:space="preserve">（填写供应商全称）    </w:t>
      </w:r>
      <w:r>
        <w:rPr>
          <w:rFonts w:hint="eastAsia" w:ascii="宋体" w:hAnsi="宋体" w:cs="黑体"/>
          <w:color w:val="auto"/>
          <w:sz w:val="24"/>
          <w:szCs w:val="24"/>
        </w:rPr>
        <w:t xml:space="preserve">为监狱企业。 </w:t>
      </w:r>
    </w:p>
    <w:p w14:paraId="64D50B3F">
      <w:pPr>
        <w:autoSpaceDE w:val="0"/>
        <w:autoSpaceDN w:val="0"/>
        <w:adjustRightInd w:val="0"/>
        <w:spacing w:line="360" w:lineRule="auto"/>
        <w:ind w:firstLine="562"/>
        <w:jc w:val="left"/>
        <w:rPr>
          <w:rFonts w:ascii="宋体" w:hAnsi="宋体" w:cs="黑体"/>
          <w:color w:val="auto"/>
          <w:sz w:val="24"/>
          <w:szCs w:val="24"/>
        </w:rPr>
      </w:pPr>
      <w:r>
        <w:rPr>
          <w:rFonts w:hint="eastAsia" w:ascii="宋体" w:hAnsi="宋体" w:cs="黑体"/>
          <w:color w:val="auto"/>
          <w:sz w:val="24"/>
          <w:szCs w:val="24"/>
        </w:rPr>
        <w:t>特此声明。</w:t>
      </w:r>
    </w:p>
    <w:p w14:paraId="7410A078">
      <w:pPr>
        <w:autoSpaceDE w:val="0"/>
        <w:autoSpaceDN w:val="0"/>
        <w:adjustRightInd w:val="0"/>
        <w:spacing w:line="360" w:lineRule="auto"/>
        <w:ind w:firstLine="880" w:firstLineChars="367"/>
        <w:jc w:val="left"/>
        <w:rPr>
          <w:rFonts w:ascii="宋体" w:hAnsi="宋体" w:cs="黑体"/>
          <w:color w:val="auto"/>
          <w:sz w:val="24"/>
          <w:szCs w:val="24"/>
        </w:rPr>
      </w:pPr>
    </w:p>
    <w:p w14:paraId="73A6B6B7">
      <w:pPr>
        <w:autoSpaceDE w:val="0"/>
        <w:autoSpaceDN w:val="0"/>
        <w:adjustRightInd w:val="0"/>
        <w:spacing w:line="360" w:lineRule="auto"/>
        <w:ind w:firstLine="880" w:firstLineChars="367"/>
        <w:jc w:val="left"/>
        <w:rPr>
          <w:rFonts w:ascii="宋体" w:hAnsi="宋体" w:cs="黑体"/>
          <w:color w:val="auto"/>
          <w:sz w:val="24"/>
          <w:szCs w:val="24"/>
        </w:rPr>
      </w:pPr>
      <w:r>
        <w:rPr>
          <w:rFonts w:hint="eastAsia" w:ascii="宋体" w:hAnsi="宋体" w:cs="黑体"/>
          <w:color w:val="auto"/>
          <w:sz w:val="24"/>
          <w:szCs w:val="24"/>
        </w:rPr>
        <w:t>省级以上监狱管理局、戒毒管理局（含新疆生产建设兵团） （盖章）：</w:t>
      </w:r>
    </w:p>
    <w:p w14:paraId="75BF51A1">
      <w:pPr>
        <w:autoSpaceDE w:val="0"/>
        <w:autoSpaceDN w:val="0"/>
        <w:adjustRightInd w:val="0"/>
        <w:spacing w:line="360" w:lineRule="auto"/>
        <w:ind w:firstLine="2880" w:firstLineChars="1200"/>
        <w:jc w:val="left"/>
        <w:rPr>
          <w:rFonts w:ascii="宋体" w:hAnsi="宋体" w:cs="黑体"/>
          <w:color w:val="auto"/>
          <w:sz w:val="24"/>
          <w:szCs w:val="24"/>
        </w:rPr>
      </w:pPr>
      <w:r>
        <w:rPr>
          <w:rFonts w:hint="eastAsia" w:ascii="宋体" w:hAnsi="宋体" w:cs="黑体"/>
          <w:color w:val="auto"/>
          <w:sz w:val="24"/>
          <w:szCs w:val="24"/>
        </w:rPr>
        <w:t xml:space="preserve"> 日    期：      年    月    日 </w:t>
      </w:r>
    </w:p>
    <w:p w14:paraId="5F8BF7F2">
      <w:pPr>
        <w:autoSpaceDE w:val="0"/>
        <w:autoSpaceDN w:val="0"/>
        <w:adjustRightInd w:val="0"/>
        <w:spacing w:line="360" w:lineRule="auto"/>
        <w:ind w:firstLine="880" w:firstLineChars="367"/>
        <w:jc w:val="left"/>
        <w:rPr>
          <w:rFonts w:ascii="宋体" w:hAnsi="宋体" w:cs="黑体"/>
          <w:color w:val="auto"/>
          <w:sz w:val="24"/>
          <w:szCs w:val="24"/>
        </w:rPr>
      </w:pPr>
    </w:p>
    <w:p w14:paraId="2D64FD61">
      <w:pPr>
        <w:autoSpaceDE w:val="0"/>
        <w:autoSpaceDN w:val="0"/>
        <w:adjustRightInd w:val="0"/>
        <w:spacing w:line="360" w:lineRule="auto"/>
        <w:jc w:val="left"/>
        <w:rPr>
          <w:rFonts w:ascii="宋体" w:hAnsi="宋体" w:cs="宋体"/>
          <w:b/>
          <w:bCs/>
          <w:color w:val="auto"/>
          <w:sz w:val="24"/>
          <w:szCs w:val="24"/>
        </w:rPr>
        <w:sectPr>
          <w:pgSz w:w="11906" w:h="16838"/>
          <w:pgMar w:top="1440" w:right="1800" w:bottom="1440" w:left="1800" w:header="851" w:footer="992" w:gutter="0"/>
          <w:cols w:space="425" w:num="1"/>
          <w:docGrid w:type="lines" w:linePitch="312" w:charSpace="0"/>
        </w:sectPr>
      </w:pPr>
      <w:r>
        <w:rPr>
          <w:rFonts w:hint="eastAsia" w:ascii="宋体" w:hAnsi="宋体" w:cs="黑体"/>
          <w:b/>
          <w:bCs/>
          <w:color w:val="auto"/>
          <w:sz w:val="24"/>
          <w:szCs w:val="24"/>
        </w:rPr>
        <w:t>注：符合条件的监狱企业请提供本函，不符合的可不提供本函。</w:t>
      </w:r>
    </w:p>
    <w:p w14:paraId="1128F55C">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3.9 其他资格证书或材料</w:t>
      </w:r>
    </w:p>
    <w:p w14:paraId="59425317">
      <w:pPr>
        <w:spacing w:line="360" w:lineRule="auto"/>
        <w:jc w:val="center"/>
        <w:rPr>
          <w:rFonts w:ascii="宋体" w:hAnsi="宋体"/>
          <w:bCs/>
          <w:color w:val="auto"/>
          <w:sz w:val="24"/>
          <w:szCs w:val="24"/>
        </w:rPr>
      </w:pPr>
    </w:p>
    <w:p w14:paraId="00F49E48">
      <w:pPr>
        <w:topLinePunct/>
        <w:spacing w:line="360" w:lineRule="auto"/>
        <w:contextualSpacing/>
        <w:rPr>
          <w:rFonts w:hAnsi="宋体" w:cs="宋体"/>
          <w:color w:val="auto"/>
        </w:rPr>
      </w:pPr>
    </w:p>
    <w:p w14:paraId="77602BE3">
      <w:pPr>
        <w:pStyle w:val="22"/>
        <w:spacing w:line="360" w:lineRule="auto"/>
        <w:jc w:val="center"/>
        <w:outlineLvl w:val="1"/>
        <w:rPr>
          <w:rFonts w:ascii="宋体" w:hAnsi="宋体" w:cs="黑体"/>
          <w:b/>
          <w:bCs/>
          <w:color w:val="auto"/>
          <w:sz w:val="28"/>
          <w:szCs w:val="28"/>
          <w:lang w:val="zh-CN"/>
        </w:rPr>
      </w:pPr>
      <w:r>
        <w:rPr>
          <w:rFonts w:hint="eastAsia" w:ascii="宋体" w:hAnsi="宋体" w:cs="黑体"/>
          <w:b/>
          <w:bCs/>
          <w:color w:val="auto"/>
          <w:sz w:val="44"/>
          <w:szCs w:val="44"/>
          <w:lang w:val="zh-CN"/>
        </w:rPr>
        <w:br w:type="page"/>
      </w:r>
      <w:bookmarkStart w:id="26" w:name="_Toc138068732"/>
      <w:r>
        <w:rPr>
          <w:rFonts w:hint="eastAsia" w:hAnsi="宋体"/>
          <w:b/>
          <w:bCs/>
          <w:snapToGrid w:val="0"/>
          <w:color w:val="auto"/>
          <w:sz w:val="28"/>
          <w:szCs w:val="28"/>
        </w:rPr>
        <w:t>四、符合性审查证明材料</w:t>
      </w:r>
      <w:bookmarkEnd w:id="26"/>
    </w:p>
    <w:p w14:paraId="11B2362A">
      <w:pPr>
        <w:spacing w:line="360" w:lineRule="auto"/>
        <w:jc w:val="center"/>
        <w:rPr>
          <w:rFonts w:ascii="宋体" w:hAnsi="宋体" w:cs="宋体"/>
          <w:color w:val="auto"/>
          <w:sz w:val="24"/>
          <w:szCs w:val="24"/>
        </w:rPr>
      </w:pPr>
    </w:p>
    <w:p w14:paraId="3F346773">
      <w:pPr>
        <w:autoSpaceDE w:val="0"/>
        <w:autoSpaceDN w:val="0"/>
        <w:adjustRightInd w:val="0"/>
        <w:spacing w:line="360" w:lineRule="auto"/>
        <w:jc w:val="center"/>
        <w:outlineLvl w:val="2"/>
        <w:rPr>
          <w:rFonts w:ascii="宋体" w:hAnsi="宋体"/>
          <w:b/>
          <w:bCs/>
          <w:color w:val="auto"/>
          <w:sz w:val="28"/>
          <w:szCs w:val="28"/>
        </w:rPr>
      </w:pPr>
      <w:r>
        <w:rPr>
          <w:rFonts w:hint="eastAsia" w:ascii="宋体" w:hAnsi="宋体"/>
          <w:b/>
          <w:bCs/>
          <w:color w:val="auto"/>
          <w:sz w:val="28"/>
          <w:szCs w:val="28"/>
        </w:rPr>
        <w:t xml:space="preserve">4.1 </w:t>
      </w:r>
      <w:r>
        <w:rPr>
          <w:rFonts w:hint="eastAsia" w:ascii="宋体" w:hAnsi="宋体"/>
          <w:b/>
          <w:color w:val="auto"/>
          <w:sz w:val="28"/>
        </w:rPr>
        <w:t>已标价工程量清单</w:t>
      </w:r>
    </w:p>
    <w:p w14:paraId="1ADAF22A">
      <w:pPr>
        <w:spacing w:line="600" w:lineRule="exact"/>
        <w:jc w:val="center"/>
        <w:rPr>
          <w:rFonts w:ascii="宋体" w:hAnsi="宋体" w:cs="仿宋"/>
          <w:b/>
          <w:color w:val="auto"/>
          <w:sz w:val="28"/>
          <w:szCs w:val="28"/>
        </w:rPr>
      </w:pPr>
      <w:r>
        <w:rPr>
          <w:rFonts w:hint="eastAsia" w:ascii="宋体" w:hAnsi="宋体" w:cs="仿宋"/>
          <w:b/>
          <w:color w:val="auto"/>
          <w:sz w:val="28"/>
          <w:szCs w:val="28"/>
        </w:rPr>
        <w:t>（供应商根据本项目工程量清单制作）</w:t>
      </w:r>
    </w:p>
    <w:p w14:paraId="241E4D82">
      <w:pPr>
        <w:autoSpaceDE w:val="0"/>
        <w:autoSpaceDN w:val="0"/>
        <w:adjustRightInd w:val="0"/>
        <w:spacing w:line="360" w:lineRule="auto"/>
        <w:jc w:val="center"/>
        <w:rPr>
          <w:rFonts w:ascii="宋体" w:cs="宋体"/>
          <w:color w:val="auto"/>
          <w:lang w:val="zh-CN"/>
        </w:rPr>
      </w:pPr>
    </w:p>
    <w:p w14:paraId="378BBE02">
      <w:pPr>
        <w:autoSpaceDE w:val="0"/>
        <w:autoSpaceDN w:val="0"/>
        <w:adjustRightInd w:val="0"/>
        <w:spacing w:line="360" w:lineRule="auto"/>
        <w:jc w:val="center"/>
        <w:rPr>
          <w:rFonts w:ascii="宋体" w:cs="宋体"/>
          <w:color w:val="auto"/>
          <w:lang w:val="zh-CN"/>
        </w:rPr>
      </w:pPr>
    </w:p>
    <w:p w14:paraId="13FCD71E">
      <w:pPr>
        <w:autoSpaceDE w:val="0"/>
        <w:autoSpaceDN w:val="0"/>
        <w:spacing w:line="360" w:lineRule="auto"/>
        <w:jc w:val="center"/>
        <w:outlineLvl w:val="9"/>
        <w:rPr>
          <w:rFonts w:ascii="宋体" w:hAnsi="宋体"/>
          <w:b/>
          <w:color w:val="auto"/>
          <w:sz w:val="28"/>
          <w:szCs w:val="24"/>
        </w:rPr>
      </w:pPr>
    </w:p>
    <w:p w14:paraId="3E93E2B5">
      <w:pPr>
        <w:autoSpaceDE w:val="0"/>
        <w:autoSpaceDN w:val="0"/>
        <w:spacing w:line="360" w:lineRule="auto"/>
        <w:jc w:val="center"/>
        <w:outlineLvl w:val="9"/>
        <w:rPr>
          <w:rFonts w:ascii="宋体" w:hAnsi="宋体"/>
          <w:b/>
          <w:color w:val="auto"/>
          <w:sz w:val="28"/>
          <w:szCs w:val="24"/>
        </w:rPr>
      </w:pPr>
    </w:p>
    <w:p w14:paraId="4F3C289D">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4.2 技术方案（实施方案）</w:t>
      </w:r>
    </w:p>
    <w:p w14:paraId="39308E6A">
      <w:pPr>
        <w:autoSpaceDE w:val="0"/>
        <w:autoSpaceDN w:val="0"/>
        <w:adjustRightInd w:val="0"/>
        <w:spacing w:line="360" w:lineRule="auto"/>
        <w:jc w:val="center"/>
        <w:rPr>
          <w:rFonts w:ascii="宋体" w:cs="宋体"/>
          <w:color w:val="auto"/>
          <w:lang w:val="zh-CN"/>
        </w:rPr>
      </w:pPr>
    </w:p>
    <w:p w14:paraId="22D1A26E">
      <w:pPr>
        <w:autoSpaceDE w:val="0"/>
        <w:autoSpaceDN w:val="0"/>
        <w:adjustRightInd w:val="0"/>
        <w:spacing w:line="360" w:lineRule="auto"/>
        <w:jc w:val="center"/>
        <w:rPr>
          <w:rFonts w:ascii="宋体" w:hAnsi="宋体" w:cs="宋体"/>
          <w:color w:val="auto"/>
          <w:lang w:val="zh-CN"/>
        </w:rPr>
      </w:pPr>
      <w:r>
        <w:rPr>
          <w:rFonts w:hint="eastAsia" w:ascii="宋体" w:hAnsi="宋体" w:cs="宋体"/>
          <w:color w:val="auto"/>
          <w:lang w:val="zh-CN"/>
        </w:rPr>
        <w:t>（供应商根据磋商文件要求自行编制）</w:t>
      </w:r>
    </w:p>
    <w:p w14:paraId="0AE7E4E4">
      <w:pPr>
        <w:snapToGrid w:val="0"/>
        <w:spacing w:line="360" w:lineRule="auto"/>
        <w:jc w:val="center"/>
        <w:rPr>
          <w:rFonts w:hAnsi="宋体"/>
          <w:b/>
          <w:snapToGrid w:val="0"/>
          <w:color w:val="auto"/>
          <w:kern w:val="0"/>
          <w:sz w:val="36"/>
          <w:szCs w:val="36"/>
        </w:rPr>
      </w:pPr>
    </w:p>
    <w:p w14:paraId="4438C3F8">
      <w:pPr>
        <w:snapToGrid w:val="0"/>
        <w:spacing w:line="360" w:lineRule="auto"/>
        <w:jc w:val="center"/>
        <w:rPr>
          <w:rFonts w:ascii="宋体" w:hAnsi="宋体"/>
          <w:b/>
          <w:bCs/>
          <w:color w:val="auto"/>
          <w:sz w:val="24"/>
          <w:szCs w:val="24"/>
        </w:rPr>
      </w:pPr>
    </w:p>
    <w:p w14:paraId="531B40F7">
      <w:pPr>
        <w:spacing w:line="360" w:lineRule="auto"/>
        <w:rPr>
          <w:rFonts w:ascii="宋体" w:hAnsi="宋体"/>
          <w:b/>
          <w:bCs/>
          <w:color w:val="auto"/>
          <w:sz w:val="24"/>
          <w:szCs w:val="24"/>
        </w:rPr>
      </w:pPr>
      <w:r>
        <w:rPr>
          <w:rFonts w:hint="eastAsia" w:ascii="宋体" w:hAnsi="宋体"/>
          <w:b/>
          <w:bCs/>
          <w:color w:val="auto"/>
          <w:sz w:val="24"/>
          <w:szCs w:val="24"/>
        </w:rPr>
        <w:br w:type="page"/>
      </w:r>
    </w:p>
    <w:p w14:paraId="39852A76">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4.3 业绩情况表</w:t>
      </w:r>
    </w:p>
    <w:p w14:paraId="4B93399D">
      <w:pPr>
        <w:autoSpaceDE w:val="0"/>
        <w:autoSpaceDN w:val="0"/>
        <w:adjustRightInd w:val="0"/>
        <w:spacing w:line="360" w:lineRule="auto"/>
        <w:jc w:val="center"/>
        <w:rPr>
          <w:rFonts w:ascii="宋体" w:cs="宋体"/>
          <w:color w:val="auto"/>
          <w:lang w:val="zh-CN"/>
        </w:rPr>
      </w:pPr>
    </w:p>
    <w:p w14:paraId="6DE949ED">
      <w:pPr>
        <w:spacing w:before="50" w:afterLines="50" w:line="360" w:lineRule="auto"/>
        <w:contextualSpacing/>
        <w:jc w:val="left"/>
        <w:rPr>
          <w:rFonts w:ascii="宋体" w:hAnsi="宋体"/>
          <w:color w:val="auto"/>
        </w:rPr>
      </w:pPr>
      <w:r>
        <w:rPr>
          <w:rFonts w:hint="eastAsia" w:ascii="宋体" w:hAnsi="宋体"/>
          <w:color w:val="auto"/>
        </w:rPr>
        <w:t>采购编号：</w:t>
      </w:r>
    </w:p>
    <w:p w14:paraId="787BDF7D">
      <w:pPr>
        <w:snapToGrid w:val="0"/>
        <w:spacing w:line="360" w:lineRule="auto"/>
        <w:rPr>
          <w:rFonts w:ascii="宋体" w:hAnsi="宋体"/>
          <w:color w:val="auto"/>
        </w:rPr>
      </w:pPr>
      <w:r>
        <w:rPr>
          <w:rFonts w:hint="eastAsia" w:ascii="宋体" w:hAnsi="宋体"/>
          <w:color w:val="auto"/>
        </w:rPr>
        <w:t xml:space="preserve">项目名称：   </w:t>
      </w:r>
    </w:p>
    <w:p w14:paraId="7E25326F">
      <w:pPr>
        <w:snapToGrid w:val="0"/>
        <w:spacing w:line="360" w:lineRule="auto"/>
        <w:rPr>
          <w:rFonts w:hAnsi="宋体"/>
          <w:b/>
          <w:snapToGrid w:val="0"/>
          <w:color w:val="auto"/>
          <w:kern w:val="0"/>
        </w:rPr>
      </w:pPr>
    </w:p>
    <w:tbl>
      <w:tblPr>
        <w:tblStyle w:val="34"/>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14:paraId="7CD2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14:paraId="087FA6AB">
            <w:pPr>
              <w:pStyle w:val="13"/>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F3F3F3"/>
            <w:vAlign w:val="center"/>
          </w:tcPr>
          <w:p w14:paraId="69246742">
            <w:pPr>
              <w:pStyle w:val="13"/>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F3F3F3"/>
            <w:vAlign w:val="center"/>
          </w:tcPr>
          <w:p w14:paraId="710E8EC2">
            <w:pPr>
              <w:pStyle w:val="13"/>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F3F3F3"/>
            <w:vAlign w:val="center"/>
          </w:tcPr>
          <w:p w14:paraId="4E815DE8">
            <w:pPr>
              <w:pStyle w:val="13"/>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14:paraId="2BAFD201">
            <w:pPr>
              <w:pStyle w:val="13"/>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F3F3F3"/>
            <w:vAlign w:val="center"/>
          </w:tcPr>
          <w:p w14:paraId="1BB4D7A8">
            <w:pPr>
              <w:pStyle w:val="13"/>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14:paraId="05A13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3DFA8510">
            <w:pPr>
              <w:pStyle w:val="13"/>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14:paraId="727B377B">
            <w:pPr>
              <w:pStyle w:val="13"/>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52FA2CED">
            <w:pPr>
              <w:pStyle w:val="13"/>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3F4B564E">
            <w:pPr>
              <w:pStyle w:val="13"/>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00ABF34E">
            <w:pPr>
              <w:pStyle w:val="13"/>
              <w:spacing w:line="360" w:lineRule="auto"/>
              <w:rPr>
                <w:rFonts w:ascii="宋体" w:hAnsi="宋体" w:eastAsia="宋体" w:cs="Times New Roman"/>
                <w:color w:val="auto"/>
                <w:sz w:val="21"/>
                <w:szCs w:val="21"/>
              </w:rPr>
            </w:pPr>
          </w:p>
        </w:tc>
      </w:tr>
      <w:tr w14:paraId="165DC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07B835F8">
            <w:pPr>
              <w:pStyle w:val="13"/>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14:paraId="4FD675B7">
            <w:pPr>
              <w:pStyle w:val="13"/>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2586AB6E">
            <w:pPr>
              <w:pStyle w:val="13"/>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4B47A782">
            <w:pPr>
              <w:pStyle w:val="13"/>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5EFEE9D0">
            <w:pPr>
              <w:pStyle w:val="13"/>
              <w:spacing w:line="360" w:lineRule="auto"/>
              <w:rPr>
                <w:rFonts w:ascii="宋体" w:hAnsi="宋体" w:eastAsia="宋体" w:cs="Times New Roman"/>
                <w:color w:val="auto"/>
                <w:sz w:val="21"/>
                <w:szCs w:val="21"/>
              </w:rPr>
            </w:pPr>
          </w:p>
        </w:tc>
      </w:tr>
      <w:tr w14:paraId="4076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180456FC">
            <w:pPr>
              <w:pStyle w:val="13"/>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14:paraId="023428EC">
            <w:pPr>
              <w:pStyle w:val="13"/>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2B2C37B3">
            <w:pPr>
              <w:pStyle w:val="13"/>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49B5DAE8">
            <w:pPr>
              <w:pStyle w:val="13"/>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674C0E0D">
            <w:pPr>
              <w:pStyle w:val="13"/>
              <w:spacing w:line="360" w:lineRule="auto"/>
              <w:rPr>
                <w:rFonts w:ascii="宋体" w:hAnsi="宋体" w:eastAsia="宋体" w:cs="Times New Roman"/>
                <w:color w:val="auto"/>
                <w:sz w:val="21"/>
                <w:szCs w:val="21"/>
              </w:rPr>
            </w:pPr>
          </w:p>
        </w:tc>
      </w:tr>
      <w:tr w14:paraId="54BE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24CB6F76">
            <w:pPr>
              <w:pStyle w:val="13"/>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14:paraId="1B409F39">
            <w:pPr>
              <w:spacing w:line="360" w:lineRule="auto"/>
              <w:rPr>
                <w:rFonts w:ascii="宋体"/>
                <w:color w:val="auto"/>
              </w:rPr>
            </w:pPr>
          </w:p>
        </w:tc>
        <w:tc>
          <w:tcPr>
            <w:tcW w:w="3577" w:type="dxa"/>
            <w:tcBorders>
              <w:top w:val="single" w:color="auto" w:sz="4" w:space="0"/>
              <w:left w:val="single" w:color="auto" w:sz="4" w:space="0"/>
              <w:bottom w:val="single" w:color="auto" w:sz="4" w:space="0"/>
              <w:right w:val="single" w:color="auto" w:sz="4" w:space="0"/>
            </w:tcBorders>
            <w:vAlign w:val="center"/>
          </w:tcPr>
          <w:p w14:paraId="1AF45980">
            <w:pPr>
              <w:spacing w:line="360" w:lineRule="auto"/>
              <w:rPr>
                <w:rFonts w:ascii="宋体"/>
                <w:color w:val="auto"/>
              </w:rPr>
            </w:pPr>
          </w:p>
        </w:tc>
        <w:tc>
          <w:tcPr>
            <w:tcW w:w="1439" w:type="dxa"/>
            <w:tcBorders>
              <w:top w:val="single" w:color="auto" w:sz="4" w:space="0"/>
              <w:left w:val="single" w:color="auto" w:sz="4" w:space="0"/>
              <w:bottom w:val="single" w:color="auto" w:sz="4" w:space="0"/>
              <w:right w:val="single" w:color="auto" w:sz="4" w:space="0"/>
            </w:tcBorders>
            <w:vAlign w:val="center"/>
          </w:tcPr>
          <w:p w14:paraId="3F158323">
            <w:pPr>
              <w:spacing w:line="360" w:lineRule="auto"/>
              <w:rPr>
                <w:rFonts w:ascii="宋体"/>
                <w:color w:val="auto"/>
              </w:rPr>
            </w:pPr>
          </w:p>
        </w:tc>
        <w:tc>
          <w:tcPr>
            <w:tcW w:w="1705" w:type="dxa"/>
            <w:tcBorders>
              <w:top w:val="single" w:color="auto" w:sz="4" w:space="0"/>
              <w:left w:val="single" w:color="auto" w:sz="4" w:space="0"/>
              <w:bottom w:val="single" w:color="auto" w:sz="4" w:space="0"/>
              <w:right w:val="single" w:color="auto" w:sz="4" w:space="0"/>
            </w:tcBorders>
            <w:vAlign w:val="center"/>
          </w:tcPr>
          <w:p w14:paraId="4A7AB67F">
            <w:pPr>
              <w:spacing w:line="360" w:lineRule="auto"/>
              <w:rPr>
                <w:rFonts w:ascii="宋体"/>
                <w:color w:val="auto"/>
              </w:rPr>
            </w:pPr>
          </w:p>
        </w:tc>
      </w:tr>
      <w:tr w14:paraId="177E8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13EE5DEA">
            <w:pPr>
              <w:pStyle w:val="13"/>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14:paraId="7617FDCF">
            <w:pPr>
              <w:spacing w:line="360" w:lineRule="auto"/>
              <w:rPr>
                <w:rFonts w:ascii="宋体"/>
                <w:color w:val="auto"/>
              </w:rPr>
            </w:pPr>
          </w:p>
        </w:tc>
        <w:tc>
          <w:tcPr>
            <w:tcW w:w="3577" w:type="dxa"/>
            <w:tcBorders>
              <w:top w:val="single" w:color="auto" w:sz="4" w:space="0"/>
              <w:left w:val="single" w:color="auto" w:sz="4" w:space="0"/>
              <w:bottom w:val="single" w:color="auto" w:sz="4" w:space="0"/>
              <w:right w:val="single" w:color="auto" w:sz="4" w:space="0"/>
            </w:tcBorders>
            <w:vAlign w:val="center"/>
          </w:tcPr>
          <w:p w14:paraId="4CBDFA81">
            <w:pPr>
              <w:spacing w:line="360" w:lineRule="auto"/>
              <w:rPr>
                <w:rFonts w:ascii="宋体"/>
                <w:color w:val="auto"/>
              </w:rPr>
            </w:pPr>
          </w:p>
        </w:tc>
        <w:tc>
          <w:tcPr>
            <w:tcW w:w="1439" w:type="dxa"/>
            <w:tcBorders>
              <w:top w:val="single" w:color="auto" w:sz="4" w:space="0"/>
              <w:left w:val="single" w:color="auto" w:sz="4" w:space="0"/>
              <w:bottom w:val="single" w:color="auto" w:sz="4" w:space="0"/>
              <w:right w:val="single" w:color="auto" w:sz="4" w:space="0"/>
            </w:tcBorders>
            <w:vAlign w:val="center"/>
          </w:tcPr>
          <w:p w14:paraId="26403ED4">
            <w:pPr>
              <w:spacing w:line="360" w:lineRule="auto"/>
              <w:rPr>
                <w:rFonts w:ascii="宋体"/>
                <w:color w:val="auto"/>
              </w:rPr>
            </w:pPr>
          </w:p>
        </w:tc>
        <w:tc>
          <w:tcPr>
            <w:tcW w:w="1705" w:type="dxa"/>
            <w:tcBorders>
              <w:top w:val="single" w:color="auto" w:sz="4" w:space="0"/>
              <w:left w:val="single" w:color="auto" w:sz="4" w:space="0"/>
              <w:bottom w:val="single" w:color="auto" w:sz="4" w:space="0"/>
              <w:right w:val="single" w:color="auto" w:sz="4" w:space="0"/>
            </w:tcBorders>
            <w:vAlign w:val="center"/>
          </w:tcPr>
          <w:p w14:paraId="575CED86">
            <w:pPr>
              <w:spacing w:line="360" w:lineRule="auto"/>
              <w:rPr>
                <w:rFonts w:ascii="宋体"/>
                <w:color w:val="auto"/>
              </w:rPr>
            </w:pPr>
          </w:p>
        </w:tc>
      </w:tr>
    </w:tbl>
    <w:p w14:paraId="7ACC14A0">
      <w:pPr>
        <w:autoSpaceDE w:val="0"/>
        <w:autoSpaceDN w:val="0"/>
        <w:adjustRightInd w:val="0"/>
        <w:spacing w:line="360" w:lineRule="auto"/>
        <w:rPr>
          <w:rFonts w:ascii="宋体" w:hAnsi="宋体" w:cs="宋体"/>
          <w:color w:val="auto"/>
          <w:lang w:val="zh-CN"/>
        </w:rPr>
      </w:pPr>
    </w:p>
    <w:p w14:paraId="28FAABA9">
      <w:pPr>
        <w:autoSpaceDE w:val="0"/>
        <w:autoSpaceDN w:val="0"/>
        <w:adjustRightInd w:val="0"/>
        <w:spacing w:line="360" w:lineRule="auto"/>
        <w:rPr>
          <w:rFonts w:ascii="宋体" w:hAnsi="宋体" w:cs="宋体"/>
          <w:color w:val="auto"/>
          <w:lang w:val="zh-CN"/>
        </w:rPr>
      </w:pPr>
      <w:r>
        <w:rPr>
          <w:rFonts w:hint="eastAsia" w:ascii="宋体" w:hAnsi="宋体" w:cs="宋体"/>
          <w:color w:val="auto"/>
          <w:lang w:val="zh-CN"/>
        </w:rPr>
        <w:t>供应商（并加盖公章）：</w:t>
      </w:r>
    </w:p>
    <w:p w14:paraId="05DDF999">
      <w:pPr>
        <w:autoSpaceDE w:val="0"/>
        <w:autoSpaceDN w:val="0"/>
        <w:spacing w:line="360" w:lineRule="auto"/>
        <w:jc w:val="center"/>
        <w:outlineLvl w:val="9"/>
        <w:rPr>
          <w:rFonts w:ascii="宋体" w:hAnsi="宋体"/>
          <w:b/>
          <w:color w:val="auto"/>
          <w:sz w:val="28"/>
          <w:szCs w:val="24"/>
        </w:rPr>
      </w:pPr>
    </w:p>
    <w:p w14:paraId="6B5C7F1B">
      <w:pPr>
        <w:autoSpaceDE w:val="0"/>
        <w:autoSpaceDN w:val="0"/>
        <w:spacing w:line="360" w:lineRule="auto"/>
        <w:jc w:val="center"/>
        <w:outlineLvl w:val="9"/>
        <w:rPr>
          <w:rFonts w:ascii="宋体" w:hAnsi="宋体"/>
          <w:b/>
          <w:color w:val="auto"/>
          <w:sz w:val="28"/>
          <w:szCs w:val="24"/>
        </w:rPr>
      </w:pPr>
    </w:p>
    <w:p w14:paraId="570CA744">
      <w:pPr>
        <w:autoSpaceDE w:val="0"/>
        <w:autoSpaceDN w:val="0"/>
        <w:spacing w:line="360" w:lineRule="auto"/>
        <w:jc w:val="center"/>
        <w:outlineLvl w:val="2"/>
        <w:rPr>
          <w:rFonts w:ascii="宋体" w:hAnsi="宋体"/>
          <w:b/>
          <w:bCs/>
          <w:color w:val="auto"/>
          <w:sz w:val="24"/>
          <w:szCs w:val="24"/>
        </w:rPr>
      </w:pPr>
      <w:r>
        <w:rPr>
          <w:rFonts w:hint="eastAsia" w:ascii="宋体" w:hAnsi="宋体"/>
          <w:b/>
          <w:color w:val="auto"/>
          <w:sz w:val="28"/>
          <w:szCs w:val="24"/>
        </w:rPr>
        <w:t>4.4 服务承诺</w:t>
      </w:r>
    </w:p>
    <w:p w14:paraId="32ECEDCF">
      <w:pPr>
        <w:autoSpaceDE w:val="0"/>
        <w:autoSpaceDN w:val="0"/>
        <w:adjustRightInd w:val="0"/>
        <w:spacing w:line="360" w:lineRule="auto"/>
        <w:jc w:val="center"/>
        <w:rPr>
          <w:rFonts w:ascii="宋体" w:cs="宋体"/>
          <w:color w:val="auto"/>
          <w:lang w:val="zh-CN"/>
        </w:rPr>
      </w:pPr>
    </w:p>
    <w:p w14:paraId="756EE6B5">
      <w:pPr>
        <w:autoSpaceDE w:val="0"/>
        <w:autoSpaceDN w:val="0"/>
        <w:adjustRightInd w:val="0"/>
        <w:spacing w:line="360" w:lineRule="auto"/>
        <w:jc w:val="center"/>
        <w:rPr>
          <w:rFonts w:ascii="宋体" w:cs="宋体"/>
          <w:color w:val="auto"/>
          <w:lang w:val="zh-CN"/>
        </w:rPr>
      </w:pPr>
    </w:p>
    <w:p w14:paraId="00ACD4BD">
      <w:pPr>
        <w:autoSpaceDE w:val="0"/>
        <w:autoSpaceDN w:val="0"/>
        <w:adjustRightInd w:val="0"/>
        <w:spacing w:line="360" w:lineRule="auto"/>
        <w:jc w:val="center"/>
        <w:rPr>
          <w:rFonts w:ascii="宋体" w:hAnsi="宋体" w:cs="宋体"/>
          <w:color w:val="auto"/>
          <w:lang w:val="zh-CN"/>
        </w:rPr>
      </w:pPr>
      <w:r>
        <w:rPr>
          <w:rFonts w:hint="eastAsia" w:ascii="宋体" w:hAnsi="宋体" w:cs="宋体"/>
          <w:color w:val="auto"/>
          <w:lang w:val="zh-CN"/>
        </w:rPr>
        <w:t>（供应商根据磋商文件要求自行编制）</w:t>
      </w:r>
    </w:p>
    <w:p w14:paraId="509CBA2E">
      <w:pPr>
        <w:autoSpaceDE w:val="0"/>
        <w:autoSpaceDN w:val="0"/>
        <w:adjustRightInd w:val="0"/>
        <w:spacing w:line="360" w:lineRule="auto"/>
        <w:jc w:val="center"/>
        <w:rPr>
          <w:rFonts w:ascii="宋体" w:cs="宋体"/>
          <w:color w:val="auto"/>
          <w:lang w:val="zh-CN"/>
        </w:rPr>
      </w:pPr>
    </w:p>
    <w:p w14:paraId="313C4FF9">
      <w:pPr>
        <w:autoSpaceDE w:val="0"/>
        <w:autoSpaceDN w:val="0"/>
        <w:adjustRightInd w:val="0"/>
        <w:spacing w:line="360" w:lineRule="auto"/>
        <w:jc w:val="center"/>
        <w:rPr>
          <w:rFonts w:ascii="宋体" w:cs="宋体"/>
          <w:color w:val="auto"/>
          <w:lang w:val="zh-CN"/>
        </w:rPr>
      </w:pPr>
    </w:p>
    <w:p w14:paraId="103A6801">
      <w:pPr>
        <w:autoSpaceDE w:val="0"/>
        <w:autoSpaceDN w:val="0"/>
        <w:adjustRightInd w:val="0"/>
        <w:spacing w:line="360" w:lineRule="auto"/>
        <w:jc w:val="center"/>
        <w:rPr>
          <w:rFonts w:ascii="宋体" w:cs="宋体"/>
          <w:color w:val="auto"/>
          <w:lang w:val="zh-CN"/>
        </w:rPr>
      </w:pPr>
      <w:bookmarkStart w:id="27" w:name="OLE_LINK13"/>
      <w:bookmarkStart w:id="28" w:name="OLE_LINK14"/>
    </w:p>
    <w:p w14:paraId="0735956A">
      <w:pPr>
        <w:rPr>
          <w:rFonts w:ascii="宋体" w:cs="宋体"/>
          <w:color w:val="auto"/>
          <w:lang w:val="zh-CN"/>
        </w:rPr>
      </w:pPr>
      <w:r>
        <w:rPr>
          <w:rFonts w:ascii="宋体" w:cs="宋体"/>
          <w:color w:val="auto"/>
          <w:lang w:val="zh-CN"/>
        </w:rPr>
        <w:br w:type="page"/>
      </w:r>
    </w:p>
    <w:p w14:paraId="5BDA16DE">
      <w:pPr>
        <w:autoSpaceDE w:val="0"/>
        <w:autoSpaceDN w:val="0"/>
        <w:adjustRightInd w:val="0"/>
        <w:spacing w:line="360" w:lineRule="auto"/>
        <w:jc w:val="center"/>
        <w:outlineLvl w:val="2"/>
        <w:rPr>
          <w:rFonts w:ascii="宋体" w:hAnsi="宋体" w:cs="宋体"/>
          <w:b/>
          <w:bCs/>
          <w:color w:val="auto"/>
          <w:sz w:val="24"/>
          <w:szCs w:val="24"/>
        </w:rPr>
      </w:pPr>
      <w:r>
        <w:rPr>
          <w:rFonts w:hint="eastAsia" w:ascii="宋体" w:hAnsi="宋体" w:cs="宋体"/>
          <w:b/>
          <w:bCs/>
          <w:color w:val="auto"/>
          <w:sz w:val="24"/>
          <w:szCs w:val="24"/>
        </w:rPr>
        <w:t>4.5 项目管理机构配备情况</w:t>
      </w:r>
    </w:p>
    <w:p w14:paraId="33783DB7">
      <w:pPr>
        <w:spacing w:afterLines="100" w:line="420" w:lineRule="exact"/>
        <w:rPr>
          <w:rFonts w:ascii="黑体" w:hAnsi="宋体" w:eastAsia="黑体"/>
          <w:color w:val="auto"/>
          <w:sz w:val="24"/>
        </w:rPr>
      </w:pPr>
      <w:r>
        <w:rPr>
          <w:rFonts w:hint="eastAsia" w:ascii="黑体" w:hAnsi="宋体" w:eastAsia="黑体"/>
          <w:color w:val="auto"/>
          <w:sz w:val="24"/>
        </w:rPr>
        <w:t>项目管理机构组成表</w:t>
      </w:r>
    </w:p>
    <w:tbl>
      <w:tblPr>
        <w:tblStyle w:val="34"/>
        <w:tblW w:w="8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03"/>
        <w:gridCol w:w="803"/>
        <w:gridCol w:w="1284"/>
        <w:gridCol w:w="873"/>
        <w:gridCol w:w="892"/>
        <w:gridCol w:w="962"/>
        <w:gridCol w:w="1338"/>
        <w:gridCol w:w="740"/>
      </w:tblGrid>
      <w:tr w14:paraId="6F5E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vMerge w:val="restart"/>
            <w:noWrap/>
            <w:vAlign w:val="center"/>
          </w:tcPr>
          <w:p w14:paraId="60A9EEFA">
            <w:pPr>
              <w:spacing w:line="0" w:lineRule="atLeast"/>
              <w:jc w:val="center"/>
              <w:rPr>
                <w:rFonts w:ascii="宋体" w:hAnsi="宋体"/>
                <w:color w:val="auto"/>
              </w:rPr>
            </w:pPr>
            <w:r>
              <w:rPr>
                <w:rFonts w:hint="eastAsia" w:ascii="宋体" w:hAnsi="宋体"/>
                <w:color w:val="auto"/>
              </w:rPr>
              <w:t>职务</w:t>
            </w:r>
          </w:p>
        </w:tc>
        <w:tc>
          <w:tcPr>
            <w:tcW w:w="803" w:type="dxa"/>
            <w:vMerge w:val="restart"/>
            <w:noWrap/>
            <w:vAlign w:val="center"/>
          </w:tcPr>
          <w:p w14:paraId="4578938E">
            <w:pPr>
              <w:spacing w:line="0" w:lineRule="atLeast"/>
              <w:jc w:val="center"/>
              <w:rPr>
                <w:rFonts w:ascii="宋体" w:hAnsi="宋体"/>
                <w:color w:val="auto"/>
              </w:rPr>
            </w:pPr>
            <w:r>
              <w:rPr>
                <w:rFonts w:hint="eastAsia" w:ascii="宋体" w:hAnsi="宋体"/>
                <w:color w:val="auto"/>
              </w:rPr>
              <w:t>姓名</w:t>
            </w:r>
          </w:p>
        </w:tc>
        <w:tc>
          <w:tcPr>
            <w:tcW w:w="803" w:type="dxa"/>
            <w:vMerge w:val="restart"/>
            <w:noWrap/>
            <w:vAlign w:val="center"/>
          </w:tcPr>
          <w:p w14:paraId="36E031E3">
            <w:pPr>
              <w:spacing w:line="0" w:lineRule="atLeast"/>
              <w:jc w:val="center"/>
              <w:rPr>
                <w:rFonts w:ascii="宋体" w:hAnsi="宋体"/>
                <w:color w:val="auto"/>
              </w:rPr>
            </w:pPr>
            <w:r>
              <w:rPr>
                <w:rFonts w:hint="eastAsia" w:ascii="宋体" w:hAnsi="宋体"/>
                <w:color w:val="auto"/>
              </w:rPr>
              <w:t>职称</w:t>
            </w:r>
          </w:p>
        </w:tc>
        <w:tc>
          <w:tcPr>
            <w:tcW w:w="5349" w:type="dxa"/>
            <w:gridSpan w:val="5"/>
            <w:noWrap/>
            <w:vAlign w:val="center"/>
          </w:tcPr>
          <w:p w14:paraId="28BDC7EF">
            <w:pPr>
              <w:spacing w:line="0" w:lineRule="atLeast"/>
              <w:jc w:val="center"/>
              <w:rPr>
                <w:rFonts w:ascii="宋体" w:hAnsi="宋体"/>
                <w:color w:val="auto"/>
              </w:rPr>
            </w:pPr>
            <w:r>
              <w:rPr>
                <w:rFonts w:hint="eastAsia" w:ascii="宋体" w:hAnsi="宋体"/>
                <w:color w:val="auto"/>
              </w:rPr>
              <w:t>执业或职业资格证明</w:t>
            </w:r>
          </w:p>
        </w:tc>
        <w:tc>
          <w:tcPr>
            <w:tcW w:w="740" w:type="dxa"/>
            <w:vMerge w:val="restart"/>
            <w:noWrap/>
            <w:vAlign w:val="center"/>
          </w:tcPr>
          <w:p w14:paraId="499350E3">
            <w:pPr>
              <w:spacing w:line="0" w:lineRule="atLeast"/>
              <w:jc w:val="center"/>
              <w:rPr>
                <w:rFonts w:ascii="宋体" w:hAnsi="宋体"/>
                <w:color w:val="auto"/>
              </w:rPr>
            </w:pPr>
            <w:r>
              <w:rPr>
                <w:rFonts w:hint="eastAsia" w:ascii="宋体" w:hAnsi="宋体"/>
                <w:color w:val="auto"/>
              </w:rPr>
              <w:t>备注</w:t>
            </w:r>
          </w:p>
        </w:tc>
      </w:tr>
      <w:tr w14:paraId="2EA7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03" w:type="dxa"/>
            <w:vMerge w:val="continue"/>
            <w:noWrap/>
            <w:vAlign w:val="center"/>
          </w:tcPr>
          <w:p w14:paraId="59D2B41A">
            <w:pPr>
              <w:spacing w:line="0" w:lineRule="atLeast"/>
              <w:jc w:val="center"/>
              <w:rPr>
                <w:rFonts w:ascii="宋体" w:hAnsi="宋体"/>
                <w:color w:val="auto"/>
              </w:rPr>
            </w:pPr>
          </w:p>
        </w:tc>
        <w:tc>
          <w:tcPr>
            <w:tcW w:w="803" w:type="dxa"/>
            <w:vMerge w:val="continue"/>
            <w:noWrap/>
            <w:vAlign w:val="center"/>
          </w:tcPr>
          <w:p w14:paraId="49963A77">
            <w:pPr>
              <w:spacing w:line="0" w:lineRule="atLeast"/>
              <w:jc w:val="center"/>
              <w:rPr>
                <w:rFonts w:ascii="宋体" w:hAnsi="宋体"/>
                <w:color w:val="auto"/>
              </w:rPr>
            </w:pPr>
          </w:p>
        </w:tc>
        <w:tc>
          <w:tcPr>
            <w:tcW w:w="803" w:type="dxa"/>
            <w:vMerge w:val="continue"/>
            <w:noWrap/>
            <w:vAlign w:val="center"/>
          </w:tcPr>
          <w:p w14:paraId="51CAE79F">
            <w:pPr>
              <w:spacing w:line="0" w:lineRule="atLeast"/>
              <w:jc w:val="center"/>
              <w:rPr>
                <w:rFonts w:ascii="宋体" w:hAnsi="宋体"/>
                <w:color w:val="auto"/>
              </w:rPr>
            </w:pPr>
          </w:p>
        </w:tc>
        <w:tc>
          <w:tcPr>
            <w:tcW w:w="1284" w:type="dxa"/>
            <w:noWrap/>
            <w:vAlign w:val="center"/>
          </w:tcPr>
          <w:p w14:paraId="0A737A33">
            <w:pPr>
              <w:spacing w:line="0" w:lineRule="atLeast"/>
              <w:jc w:val="center"/>
              <w:rPr>
                <w:rFonts w:ascii="宋体" w:hAnsi="宋体"/>
                <w:color w:val="auto"/>
              </w:rPr>
            </w:pPr>
            <w:r>
              <w:rPr>
                <w:rFonts w:hint="eastAsia" w:ascii="宋体" w:hAnsi="宋体"/>
                <w:color w:val="auto"/>
              </w:rPr>
              <w:t>证书</w:t>
            </w:r>
          </w:p>
          <w:p w14:paraId="53EE376B">
            <w:pPr>
              <w:spacing w:line="0" w:lineRule="atLeast"/>
              <w:jc w:val="center"/>
              <w:rPr>
                <w:rFonts w:ascii="宋体" w:hAnsi="宋体"/>
                <w:color w:val="auto"/>
              </w:rPr>
            </w:pPr>
            <w:r>
              <w:rPr>
                <w:rFonts w:hint="eastAsia" w:ascii="宋体" w:hAnsi="宋体"/>
                <w:color w:val="auto"/>
              </w:rPr>
              <w:t>名称</w:t>
            </w:r>
          </w:p>
        </w:tc>
        <w:tc>
          <w:tcPr>
            <w:tcW w:w="873" w:type="dxa"/>
            <w:noWrap/>
            <w:vAlign w:val="center"/>
          </w:tcPr>
          <w:p w14:paraId="1C0D92FC">
            <w:pPr>
              <w:spacing w:line="0" w:lineRule="atLeast"/>
              <w:jc w:val="center"/>
              <w:rPr>
                <w:rFonts w:ascii="宋体" w:hAnsi="宋体"/>
                <w:color w:val="auto"/>
              </w:rPr>
            </w:pPr>
            <w:r>
              <w:rPr>
                <w:rFonts w:hint="eastAsia" w:ascii="宋体" w:hAnsi="宋体"/>
                <w:color w:val="auto"/>
              </w:rPr>
              <w:t>级别</w:t>
            </w:r>
          </w:p>
        </w:tc>
        <w:tc>
          <w:tcPr>
            <w:tcW w:w="892" w:type="dxa"/>
            <w:noWrap/>
            <w:vAlign w:val="center"/>
          </w:tcPr>
          <w:p w14:paraId="39BEF152">
            <w:pPr>
              <w:spacing w:line="0" w:lineRule="atLeast"/>
              <w:jc w:val="center"/>
              <w:rPr>
                <w:rFonts w:ascii="宋体" w:hAnsi="宋体"/>
                <w:color w:val="auto"/>
              </w:rPr>
            </w:pPr>
            <w:r>
              <w:rPr>
                <w:rFonts w:hint="eastAsia" w:ascii="宋体" w:hAnsi="宋体"/>
                <w:color w:val="auto"/>
              </w:rPr>
              <w:t>证号</w:t>
            </w:r>
          </w:p>
        </w:tc>
        <w:tc>
          <w:tcPr>
            <w:tcW w:w="962" w:type="dxa"/>
            <w:noWrap/>
            <w:vAlign w:val="center"/>
          </w:tcPr>
          <w:p w14:paraId="0570CA9D">
            <w:pPr>
              <w:spacing w:line="0" w:lineRule="atLeast"/>
              <w:jc w:val="center"/>
              <w:rPr>
                <w:rFonts w:ascii="宋体" w:hAnsi="宋体"/>
                <w:color w:val="auto"/>
              </w:rPr>
            </w:pPr>
            <w:r>
              <w:rPr>
                <w:rFonts w:hint="eastAsia" w:ascii="宋体" w:hAnsi="宋体"/>
                <w:color w:val="auto"/>
              </w:rPr>
              <w:t>专业</w:t>
            </w:r>
          </w:p>
        </w:tc>
        <w:tc>
          <w:tcPr>
            <w:tcW w:w="1338" w:type="dxa"/>
            <w:noWrap/>
            <w:vAlign w:val="center"/>
          </w:tcPr>
          <w:p w14:paraId="31BF433B">
            <w:pPr>
              <w:spacing w:line="0" w:lineRule="atLeast"/>
              <w:jc w:val="center"/>
              <w:rPr>
                <w:rFonts w:ascii="宋体" w:hAnsi="宋体"/>
                <w:color w:val="auto"/>
              </w:rPr>
            </w:pPr>
            <w:r>
              <w:rPr>
                <w:rFonts w:hint="eastAsia" w:ascii="宋体" w:hAnsi="宋体"/>
                <w:color w:val="auto"/>
              </w:rPr>
              <w:t>养老保险</w:t>
            </w:r>
          </w:p>
        </w:tc>
        <w:tc>
          <w:tcPr>
            <w:tcW w:w="740" w:type="dxa"/>
            <w:vMerge w:val="continue"/>
            <w:noWrap/>
            <w:vAlign w:val="center"/>
          </w:tcPr>
          <w:p w14:paraId="5D5AAAB0">
            <w:pPr>
              <w:spacing w:line="0" w:lineRule="atLeast"/>
              <w:jc w:val="center"/>
              <w:rPr>
                <w:rFonts w:ascii="宋体" w:hAnsi="宋体"/>
                <w:color w:val="auto"/>
              </w:rPr>
            </w:pPr>
          </w:p>
        </w:tc>
      </w:tr>
      <w:tr w14:paraId="35C0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603AB0F1">
            <w:pPr>
              <w:spacing w:line="0" w:lineRule="atLeast"/>
              <w:jc w:val="center"/>
              <w:rPr>
                <w:rFonts w:ascii="宋体" w:hAnsi="宋体"/>
                <w:color w:val="auto"/>
              </w:rPr>
            </w:pPr>
          </w:p>
        </w:tc>
        <w:tc>
          <w:tcPr>
            <w:tcW w:w="803" w:type="dxa"/>
            <w:noWrap/>
            <w:vAlign w:val="center"/>
          </w:tcPr>
          <w:p w14:paraId="2AA7A4EB">
            <w:pPr>
              <w:spacing w:line="0" w:lineRule="atLeast"/>
              <w:jc w:val="center"/>
              <w:rPr>
                <w:rFonts w:ascii="宋体" w:hAnsi="宋体"/>
                <w:color w:val="auto"/>
              </w:rPr>
            </w:pPr>
          </w:p>
        </w:tc>
        <w:tc>
          <w:tcPr>
            <w:tcW w:w="803" w:type="dxa"/>
            <w:noWrap/>
            <w:vAlign w:val="center"/>
          </w:tcPr>
          <w:p w14:paraId="501985BD">
            <w:pPr>
              <w:spacing w:line="0" w:lineRule="atLeast"/>
              <w:jc w:val="center"/>
              <w:rPr>
                <w:rFonts w:ascii="宋体" w:hAnsi="宋体"/>
                <w:color w:val="auto"/>
              </w:rPr>
            </w:pPr>
          </w:p>
        </w:tc>
        <w:tc>
          <w:tcPr>
            <w:tcW w:w="1284" w:type="dxa"/>
            <w:noWrap/>
            <w:vAlign w:val="center"/>
          </w:tcPr>
          <w:p w14:paraId="26463490">
            <w:pPr>
              <w:spacing w:line="0" w:lineRule="atLeast"/>
              <w:jc w:val="center"/>
              <w:rPr>
                <w:rFonts w:ascii="宋体" w:hAnsi="宋体"/>
                <w:color w:val="auto"/>
              </w:rPr>
            </w:pPr>
          </w:p>
        </w:tc>
        <w:tc>
          <w:tcPr>
            <w:tcW w:w="873" w:type="dxa"/>
            <w:noWrap/>
            <w:vAlign w:val="center"/>
          </w:tcPr>
          <w:p w14:paraId="5BBB3B0A">
            <w:pPr>
              <w:spacing w:line="0" w:lineRule="atLeast"/>
              <w:jc w:val="center"/>
              <w:rPr>
                <w:rFonts w:ascii="宋体" w:hAnsi="宋体"/>
                <w:color w:val="auto"/>
              </w:rPr>
            </w:pPr>
          </w:p>
        </w:tc>
        <w:tc>
          <w:tcPr>
            <w:tcW w:w="892" w:type="dxa"/>
            <w:noWrap/>
            <w:vAlign w:val="center"/>
          </w:tcPr>
          <w:p w14:paraId="353E020C">
            <w:pPr>
              <w:spacing w:line="0" w:lineRule="atLeast"/>
              <w:jc w:val="center"/>
              <w:rPr>
                <w:rFonts w:ascii="宋体" w:hAnsi="宋体"/>
                <w:color w:val="auto"/>
              </w:rPr>
            </w:pPr>
          </w:p>
        </w:tc>
        <w:tc>
          <w:tcPr>
            <w:tcW w:w="962" w:type="dxa"/>
            <w:noWrap/>
            <w:vAlign w:val="center"/>
          </w:tcPr>
          <w:p w14:paraId="503145B8">
            <w:pPr>
              <w:spacing w:line="0" w:lineRule="atLeast"/>
              <w:jc w:val="center"/>
              <w:rPr>
                <w:rFonts w:ascii="宋体" w:hAnsi="宋体"/>
                <w:color w:val="auto"/>
              </w:rPr>
            </w:pPr>
          </w:p>
        </w:tc>
        <w:tc>
          <w:tcPr>
            <w:tcW w:w="1338" w:type="dxa"/>
            <w:noWrap/>
            <w:vAlign w:val="center"/>
          </w:tcPr>
          <w:p w14:paraId="6B831213">
            <w:pPr>
              <w:spacing w:line="0" w:lineRule="atLeast"/>
              <w:jc w:val="center"/>
              <w:rPr>
                <w:rFonts w:ascii="宋体" w:hAnsi="宋体"/>
                <w:color w:val="auto"/>
              </w:rPr>
            </w:pPr>
          </w:p>
        </w:tc>
        <w:tc>
          <w:tcPr>
            <w:tcW w:w="740" w:type="dxa"/>
            <w:noWrap/>
            <w:vAlign w:val="center"/>
          </w:tcPr>
          <w:p w14:paraId="6C7625D2">
            <w:pPr>
              <w:spacing w:line="0" w:lineRule="atLeast"/>
              <w:jc w:val="center"/>
              <w:rPr>
                <w:rFonts w:ascii="宋体" w:hAnsi="宋体"/>
                <w:color w:val="auto"/>
              </w:rPr>
            </w:pPr>
          </w:p>
        </w:tc>
      </w:tr>
      <w:tr w14:paraId="5A839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42CCA23F">
            <w:pPr>
              <w:jc w:val="center"/>
              <w:rPr>
                <w:rFonts w:ascii="宋体" w:hAnsi="宋体"/>
                <w:color w:val="auto"/>
              </w:rPr>
            </w:pPr>
          </w:p>
        </w:tc>
        <w:tc>
          <w:tcPr>
            <w:tcW w:w="803" w:type="dxa"/>
            <w:noWrap/>
            <w:vAlign w:val="center"/>
          </w:tcPr>
          <w:p w14:paraId="2AB9C179">
            <w:pPr>
              <w:jc w:val="center"/>
              <w:rPr>
                <w:rFonts w:ascii="宋体" w:hAnsi="宋体"/>
                <w:color w:val="auto"/>
              </w:rPr>
            </w:pPr>
          </w:p>
        </w:tc>
        <w:tc>
          <w:tcPr>
            <w:tcW w:w="803" w:type="dxa"/>
            <w:noWrap/>
            <w:vAlign w:val="center"/>
          </w:tcPr>
          <w:p w14:paraId="5B304C29">
            <w:pPr>
              <w:jc w:val="center"/>
              <w:rPr>
                <w:rFonts w:ascii="宋体" w:hAnsi="宋体"/>
                <w:color w:val="auto"/>
              </w:rPr>
            </w:pPr>
          </w:p>
        </w:tc>
        <w:tc>
          <w:tcPr>
            <w:tcW w:w="1284" w:type="dxa"/>
            <w:noWrap/>
            <w:vAlign w:val="center"/>
          </w:tcPr>
          <w:p w14:paraId="2D8B12F2">
            <w:pPr>
              <w:jc w:val="center"/>
              <w:rPr>
                <w:rFonts w:ascii="宋体" w:hAnsi="宋体"/>
                <w:color w:val="auto"/>
              </w:rPr>
            </w:pPr>
          </w:p>
        </w:tc>
        <w:tc>
          <w:tcPr>
            <w:tcW w:w="873" w:type="dxa"/>
            <w:noWrap/>
            <w:vAlign w:val="center"/>
          </w:tcPr>
          <w:p w14:paraId="02F0C479">
            <w:pPr>
              <w:jc w:val="center"/>
              <w:rPr>
                <w:rFonts w:ascii="宋体" w:hAnsi="宋体"/>
                <w:color w:val="auto"/>
              </w:rPr>
            </w:pPr>
          </w:p>
        </w:tc>
        <w:tc>
          <w:tcPr>
            <w:tcW w:w="892" w:type="dxa"/>
            <w:noWrap/>
            <w:vAlign w:val="center"/>
          </w:tcPr>
          <w:p w14:paraId="28E01F3C">
            <w:pPr>
              <w:jc w:val="center"/>
              <w:rPr>
                <w:rFonts w:ascii="宋体" w:hAnsi="宋体"/>
                <w:color w:val="auto"/>
              </w:rPr>
            </w:pPr>
          </w:p>
        </w:tc>
        <w:tc>
          <w:tcPr>
            <w:tcW w:w="962" w:type="dxa"/>
            <w:noWrap/>
            <w:vAlign w:val="center"/>
          </w:tcPr>
          <w:p w14:paraId="250656FB">
            <w:pPr>
              <w:jc w:val="center"/>
              <w:rPr>
                <w:rFonts w:ascii="宋体" w:hAnsi="宋体"/>
                <w:color w:val="auto"/>
              </w:rPr>
            </w:pPr>
          </w:p>
        </w:tc>
        <w:tc>
          <w:tcPr>
            <w:tcW w:w="1338" w:type="dxa"/>
            <w:noWrap/>
            <w:vAlign w:val="center"/>
          </w:tcPr>
          <w:p w14:paraId="61B30112">
            <w:pPr>
              <w:jc w:val="center"/>
              <w:rPr>
                <w:rFonts w:ascii="宋体" w:hAnsi="宋体"/>
                <w:color w:val="auto"/>
              </w:rPr>
            </w:pPr>
          </w:p>
        </w:tc>
        <w:tc>
          <w:tcPr>
            <w:tcW w:w="740" w:type="dxa"/>
            <w:noWrap/>
            <w:vAlign w:val="center"/>
          </w:tcPr>
          <w:p w14:paraId="7A1C16E2">
            <w:pPr>
              <w:jc w:val="center"/>
              <w:rPr>
                <w:rFonts w:ascii="宋体" w:hAnsi="宋体"/>
                <w:color w:val="auto"/>
              </w:rPr>
            </w:pPr>
          </w:p>
        </w:tc>
      </w:tr>
      <w:tr w14:paraId="48BB3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41CF1558">
            <w:pPr>
              <w:jc w:val="center"/>
              <w:rPr>
                <w:rFonts w:ascii="宋体" w:hAnsi="宋体"/>
                <w:color w:val="auto"/>
              </w:rPr>
            </w:pPr>
          </w:p>
        </w:tc>
        <w:tc>
          <w:tcPr>
            <w:tcW w:w="803" w:type="dxa"/>
            <w:noWrap/>
            <w:vAlign w:val="center"/>
          </w:tcPr>
          <w:p w14:paraId="76329D69">
            <w:pPr>
              <w:jc w:val="center"/>
              <w:rPr>
                <w:rFonts w:ascii="宋体" w:hAnsi="宋体"/>
                <w:color w:val="auto"/>
              </w:rPr>
            </w:pPr>
          </w:p>
        </w:tc>
        <w:tc>
          <w:tcPr>
            <w:tcW w:w="803" w:type="dxa"/>
            <w:noWrap/>
            <w:vAlign w:val="center"/>
          </w:tcPr>
          <w:p w14:paraId="5BFE8DB9">
            <w:pPr>
              <w:jc w:val="center"/>
              <w:rPr>
                <w:rFonts w:ascii="宋体" w:hAnsi="宋体"/>
                <w:color w:val="auto"/>
              </w:rPr>
            </w:pPr>
          </w:p>
        </w:tc>
        <w:tc>
          <w:tcPr>
            <w:tcW w:w="1284" w:type="dxa"/>
            <w:noWrap/>
            <w:vAlign w:val="center"/>
          </w:tcPr>
          <w:p w14:paraId="6D35C503">
            <w:pPr>
              <w:jc w:val="center"/>
              <w:rPr>
                <w:rFonts w:ascii="宋体" w:hAnsi="宋体"/>
                <w:color w:val="auto"/>
              </w:rPr>
            </w:pPr>
          </w:p>
        </w:tc>
        <w:tc>
          <w:tcPr>
            <w:tcW w:w="873" w:type="dxa"/>
            <w:noWrap/>
            <w:vAlign w:val="center"/>
          </w:tcPr>
          <w:p w14:paraId="43054C52">
            <w:pPr>
              <w:jc w:val="center"/>
              <w:rPr>
                <w:rFonts w:ascii="宋体" w:hAnsi="宋体"/>
                <w:color w:val="auto"/>
              </w:rPr>
            </w:pPr>
          </w:p>
        </w:tc>
        <w:tc>
          <w:tcPr>
            <w:tcW w:w="892" w:type="dxa"/>
            <w:noWrap/>
            <w:vAlign w:val="center"/>
          </w:tcPr>
          <w:p w14:paraId="77ADB143">
            <w:pPr>
              <w:jc w:val="center"/>
              <w:rPr>
                <w:rFonts w:ascii="宋体" w:hAnsi="宋体"/>
                <w:color w:val="auto"/>
              </w:rPr>
            </w:pPr>
          </w:p>
        </w:tc>
        <w:tc>
          <w:tcPr>
            <w:tcW w:w="962" w:type="dxa"/>
            <w:noWrap/>
            <w:vAlign w:val="center"/>
          </w:tcPr>
          <w:p w14:paraId="0ADB96C4">
            <w:pPr>
              <w:jc w:val="center"/>
              <w:rPr>
                <w:rFonts w:ascii="宋体" w:hAnsi="宋体"/>
                <w:color w:val="auto"/>
              </w:rPr>
            </w:pPr>
          </w:p>
        </w:tc>
        <w:tc>
          <w:tcPr>
            <w:tcW w:w="1338" w:type="dxa"/>
            <w:noWrap/>
            <w:vAlign w:val="center"/>
          </w:tcPr>
          <w:p w14:paraId="24FA10E1">
            <w:pPr>
              <w:jc w:val="center"/>
              <w:rPr>
                <w:rFonts w:ascii="宋体" w:hAnsi="宋体"/>
                <w:color w:val="auto"/>
              </w:rPr>
            </w:pPr>
          </w:p>
        </w:tc>
        <w:tc>
          <w:tcPr>
            <w:tcW w:w="740" w:type="dxa"/>
            <w:noWrap/>
            <w:vAlign w:val="center"/>
          </w:tcPr>
          <w:p w14:paraId="2F4B6113">
            <w:pPr>
              <w:jc w:val="center"/>
              <w:rPr>
                <w:rFonts w:ascii="宋体" w:hAnsi="宋体"/>
                <w:color w:val="auto"/>
              </w:rPr>
            </w:pPr>
          </w:p>
        </w:tc>
      </w:tr>
      <w:tr w14:paraId="4B06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5014A0B7">
            <w:pPr>
              <w:jc w:val="center"/>
              <w:rPr>
                <w:rFonts w:ascii="宋体" w:hAnsi="宋体"/>
                <w:color w:val="auto"/>
              </w:rPr>
            </w:pPr>
          </w:p>
        </w:tc>
        <w:tc>
          <w:tcPr>
            <w:tcW w:w="803" w:type="dxa"/>
            <w:noWrap/>
            <w:vAlign w:val="center"/>
          </w:tcPr>
          <w:p w14:paraId="37EF0C50">
            <w:pPr>
              <w:jc w:val="center"/>
              <w:rPr>
                <w:rFonts w:ascii="宋体" w:hAnsi="宋体"/>
                <w:color w:val="auto"/>
              </w:rPr>
            </w:pPr>
          </w:p>
        </w:tc>
        <w:tc>
          <w:tcPr>
            <w:tcW w:w="803" w:type="dxa"/>
            <w:noWrap/>
            <w:vAlign w:val="center"/>
          </w:tcPr>
          <w:p w14:paraId="58D371D7">
            <w:pPr>
              <w:jc w:val="center"/>
              <w:rPr>
                <w:rFonts w:ascii="宋体" w:hAnsi="宋体"/>
                <w:color w:val="auto"/>
              </w:rPr>
            </w:pPr>
          </w:p>
        </w:tc>
        <w:tc>
          <w:tcPr>
            <w:tcW w:w="1284" w:type="dxa"/>
            <w:noWrap/>
            <w:vAlign w:val="center"/>
          </w:tcPr>
          <w:p w14:paraId="55463309">
            <w:pPr>
              <w:jc w:val="center"/>
              <w:rPr>
                <w:rFonts w:ascii="宋体" w:hAnsi="宋体"/>
                <w:color w:val="auto"/>
              </w:rPr>
            </w:pPr>
          </w:p>
        </w:tc>
        <w:tc>
          <w:tcPr>
            <w:tcW w:w="873" w:type="dxa"/>
            <w:noWrap/>
            <w:vAlign w:val="center"/>
          </w:tcPr>
          <w:p w14:paraId="172B717B">
            <w:pPr>
              <w:jc w:val="center"/>
              <w:rPr>
                <w:rFonts w:ascii="宋体" w:hAnsi="宋体"/>
                <w:color w:val="auto"/>
              </w:rPr>
            </w:pPr>
          </w:p>
        </w:tc>
        <w:tc>
          <w:tcPr>
            <w:tcW w:w="892" w:type="dxa"/>
            <w:noWrap/>
            <w:vAlign w:val="center"/>
          </w:tcPr>
          <w:p w14:paraId="18495CA0">
            <w:pPr>
              <w:jc w:val="center"/>
              <w:rPr>
                <w:rFonts w:ascii="宋体" w:hAnsi="宋体"/>
                <w:color w:val="auto"/>
              </w:rPr>
            </w:pPr>
          </w:p>
        </w:tc>
        <w:tc>
          <w:tcPr>
            <w:tcW w:w="962" w:type="dxa"/>
            <w:noWrap/>
            <w:vAlign w:val="center"/>
          </w:tcPr>
          <w:p w14:paraId="03E82EFF">
            <w:pPr>
              <w:jc w:val="center"/>
              <w:rPr>
                <w:rFonts w:ascii="宋体" w:hAnsi="宋体"/>
                <w:color w:val="auto"/>
              </w:rPr>
            </w:pPr>
          </w:p>
        </w:tc>
        <w:tc>
          <w:tcPr>
            <w:tcW w:w="1338" w:type="dxa"/>
            <w:noWrap/>
            <w:vAlign w:val="center"/>
          </w:tcPr>
          <w:p w14:paraId="3D362223">
            <w:pPr>
              <w:jc w:val="center"/>
              <w:rPr>
                <w:rFonts w:ascii="宋体" w:hAnsi="宋体"/>
                <w:color w:val="auto"/>
              </w:rPr>
            </w:pPr>
          </w:p>
        </w:tc>
        <w:tc>
          <w:tcPr>
            <w:tcW w:w="740" w:type="dxa"/>
            <w:noWrap/>
            <w:vAlign w:val="center"/>
          </w:tcPr>
          <w:p w14:paraId="67873E28">
            <w:pPr>
              <w:jc w:val="center"/>
              <w:rPr>
                <w:rFonts w:ascii="宋体" w:hAnsi="宋体"/>
                <w:color w:val="auto"/>
              </w:rPr>
            </w:pPr>
          </w:p>
        </w:tc>
      </w:tr>
      <w:tr w14:paraId="3133E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0CAFF336">
            <w:pPr>
              <w:jc w:val="center"/>
              <w:rPr>
                <w:rFonts w:ascii="宋体" w:hAnsi="宋体"/>
                <w:color w:val="auto"/>
              </w:rPr>
            </w:pPr>
          </w:p>
        </w:tc>
        <w:tc>
          <w:tcPr>
            <w:tcW w:w="803" w:type="dxa"/>
            <w:noWrap/>
            <w:vAlign w:val="center"/>
          </w:tcPr>
          <w:p w14:paraId="6B223155">
            <w:pPr>
              <w:jc w:val="center"/>
              <w:rPr>
                <w:rFonts w:ascii="宋体" w:hAnsi="宋体"/>
                <w:color w:val="auto"/>
              </w:rPr>
            </w:pPr>
          </w:p>
        </w:tc>
        <w:tc>
          <w:tcPr>
            <w:tcW w:w="803" w:type="dxa"/>
            <w:noWrap/>
            <w:vAlign w:val="center"/>
          </w:tcPr>
          <w:p w14:paraId="338EC27B">
            <w:pPr>
              <w:jc w:val="center"/>
              <w:rPr>
                <w:rFonts w:ascii="宋体" w:hAnsi="宋体"/>
                <w:color w:val="auto"/>
              </w:rPr>
            </w:pPr>
          </w:p>
        </w:tc>
        <w:tc>
          <w:tcPr>
            <w:tcW w:w="1284" w:type="dxa"/>
            <w:noWrap/>
            <w:vAlign w:val="center"/>
          </w:tcPr>
          <w:p w14:paraId="5B960AC8">
            <w:pPr>
              <w:jc w:val="center"/>
              <w:rPr>
                <w:rFonts w:ascii="宋体" w:hAnsi="宋体"/>
                <w:color w:val="auto"/>
              </w:rPr>
            </w:pPr>
          </w:p>
        </w:tc>
        <w:tc>
          <w:tcPr>
            <w:tcW w:w="873" w:type="dxa"/>
            <w:noWrap/>
            <w:vAlign w:val="center"/>
          </w:tcPr>
          <w:p w14:paraId="2A4DA4BA">
            <w:pPr>
              <w:jc w:val="center"/>
              <w:rPr>
                <w:rFonts w:ascii="宋体" w:hAnsi="宋体"/>
                <w:color w:val="auto"/>
              </w:rPr>
            </w:pPr>
          </w:p>
        </w:tc>
        <w:tc>
          <w:tcPr>
            <w:tcW w:w="892" w:type="dxa"/>
            <w:noWrap/>
            <w:vAlign w:val="center"/>
          </w:tcPr>
          <w:p w14:paraId="12AF3CA8">
            <w:pPr>
              <w:jc w:val="center"/>
              <w:rPr>
                <w:rFonts w:ascii="宋体" w:hAnsi="宋体"/>
                <w:color w:val="auto"/>
              </w:rPr>
            </w:pPr>
          </w:p>
        </w:tc>
        <w:tc>
          <w:tcPr>
            <w:tcW w:w="962" w:type="dxa"/>
            <w:noWrap/>
            <w:vAlign w:val="center"/>
          </w:tcPr>
          <w:p w14:paraId="476A8FC3">
            <w:pPr>
              <w:jc w:val="center"/>
              <w:rPr>
                <w:rFonts w:ascii="宋体" w:hAnsi="宋体"/>
                <w:color w:val="auto"/>
              </w:rPr>
            </w:pPr>
          </w:p>
        </w:tc>
        <w:tc>
          <w:tcPr>
            <w:tcW w:w="1338" w:type="dxa"/>
            <w:noWrap/>
            <w:vAlign w:val="center"/>
          </w:tcPr>
          <w:p w14:paraId="2AE50495">
            <w:pPr>
              <w:jc w:val="center"/>
              <w:rPr>
                <w:rFonts w:ascii="宋体" w:hAnsi="宋体"/>
                <w:color w:val="auto"/>
              </w:rPr>
            </w:pPr>
          </w:p>
        </w:tc>
        <w:tc>
          <w:tcPr>
            <w:tcW w:w="740" w:type="dxa"/>
            <w:noWrap/>
            <w:vAlign w:val="center"/>
          </w:tcPr>
          <w:p w14:paraId="1313AA96">
            <w:pPr>
              <w:jc w:val="center"/>
              <w:rPr>
                <w:rFonts w:ascii="宋体" w:hAnsi="宋体"/>
                <w:color w:val="auto"/>
              </w:rPr>
            </w:pPr>
          </w:p>
        </w:tc>
      </w:tr>
      <w:tr w14:paraId="2421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03" w:type="dxa"/>
            <w:noWrap/>
            <w:vAlign w:val="center"/>
          </w:tcPr>
          <w:p w14:paraId="79ACD3DB">
            <w:pPr>
              <w:jc w:val="center"/>
              <w:rPr>
                <w:rFonts w:ascii="宋体" w:hAnsi="宋体"/>
                <w:color w:val="auto"/>
              </w:rPr>
            </w:pPr>
            <w:r>
              <w:rPr>
                <w:rFonts w:hint="eastAsia" w:ascii="宋体" w:hAnsi="宋体" w:cs="宋体"/>
                <w:color w:val="auto"/>
              </w:rPr>
              <w:t>……</w:t>
            </w:r>
          </w:p>
        </w:tc>
        <w:tc>
          <w:tcPr>
            <w:tcW w:w="803" w:type="dxa"/>
            <w:noWrap/>
            <w:vAlign w:val="center"/>
          </w:tcPr>
          <w:p w14:paraId="4306CE8E">
            <w:pPr>
              <w:jc w:val="center"/>
              <w:rPr>
                <w:rFonts w:ascii="宋体" w:hAnsi="宋体"/>
                <w:color w:val="auto"/>
              </w:rPr>
            </w:pPr>
          </w:p>
        </w:tc>
        <w:tc>
          <w:tcPr>
            <w:tcW w:w="803" w:type="dxa"/>
            <w:noWrap/>
            <w:vAlign w:val="center"/>
          </w:tcPr>
          <w:p w14:paraId="259C447C">
            <w:pPr>
              <w:jc w:val="center"/>
              <w:rPr>
                <w:rFonts w:ascii="宋体" w:hAnsi="宋体"/>
                <w:color w:val="auto"/>
              </w:rPr>
            </w:pPr>
          </w:p>
        </w:tc>
        <w:tc>
          <w:tcPr>
            <w:tcW w:w="1284" w:type="dxa"/>
            <w:noWrap/>
            <w:vAlign w:val="center"/>
          </w:tcPr>
          <w:p w14:paraId="19853B39">
            <w:pPr>
              <w:jc w:val="center"/>
              <w:rPr>
                <w:rFonts w:ascii="宋体" w:hAnsi="宋体"/>
                <w:color w:val="auto"/>
              </w:rPr>
            </w:pPr>
          </w:p>
        </w:tc>
        <w:tc>
          <w:tcPr>
            <w:tcW w:w="873" w:type="dxa"/>
            <w:noWrap/>
            <w:vAlign w:val="center"/>
          </w:tcPr>
          <w:p w14:paraId="78835B4F">
            <w:pPr>
              <w:jc w:val="center"/>
              <w:rPr>
                <w:rFonts w:ascii="宋体" w:hAnsi="宋体"/>
                <w:color w:val="auto"/>
              </w:rPr>
            </w:pPr>
          </w:p>
        </w:tc>
        <w:tc>
          <w:tcPr>
            <w:tcW w:w="892" w:type="dxa"/>
            <w:noWrap/>
            <w:vAlign w:val="center"/>
          </w:tcPr>
          <w:p w14:paraId="324CE671">
            <w:pPr>
              <w:jc w:val="center"/>
              <w:rPr>
                <w:rFonts w:ascii="宋体" w:hAnsi="宋体"/>
                <w:color w:val="auto"/>
              </w:rPr>
            </w:pPr>
          </w:p>
        </w:tc>
        <w:tc>
          <w:tcPr>
            <w:tcW w:w="962" w:type="dxa"/>
            <w:noWrap/>
            <w:vAlign w:val="center"/>
          </w:tcPr>
          <w:p w14:paraId="2B2C2A8B">
            <w:pPr>
              <w:jc w:val="center"/>
              <w:rPr>
                <w:rFonts w:ascii="宋体" w:hAnsi="宋体"/>
                <w:color w:val="auto"/>
              </w:rPr>
            </w:pPr>
          </w:p>
        </w:tc>
        <w:tc>
          <w:tcPr>
            <w:tcW w:w="1338" w:type="dxa"/>
            <w:noWrap/>
            <w:vAlign w:val="center"/>
          </w:tcPr>
          <w:p w14:paraId="2FCDAACA">
            <w:pPr>
              <w:jc w:val="center"/>
              <w:rPr>
                <w:rFonts w:ascii="宋体" w:hAnsi="宋体"/>
                <w:color w:val="auto"/>
              </w:rPr>
            </w:pPr>
          </w:p>
        </w:tc>
        <w:tc>
          <w:tcPr>
            <w:tcW w:w="740" w:type="dxa"/>
            <w:noWrap/>
            <w:vAlign w:val="center"/>
          </w:tcPr>
          <w:p w14:paraId="7DCE71EF">
            <w:pPr>
              <w:jc w:val="center"/>
              <w:rPr>
                <w:rFonts w:ascii="宋体" w:hAnsi="宋体"/>
                <w:color w:val="auto"/>
              </w:rPr>
            </w:pPr>
          </w:p>
        </w:tc>
      </w:tr>
    </w:tbl>
    <w:p w14:paraId="1B4398C7">
      <w:pPr>
        <w:pStyle w:val="17"/>
        <w:ind w:firstLine="340"/>
        <w:rPr>
          <w:color w:val="auto"/>
          <w:lang w:val="zh-CN"/>
        </w:rPr>
      </w:pPr>
    </w:p>
    <w:p w14:paraId="4C24932B">
      <w:pPr>
        <w:rPr>
          <w:rFonts w:ascii="宋体" w:hAnsi="宋体" w:cs="宋体"/>
          <w:color w:val="auto"/>
        </w:rPr>
      </w:pPr>
      <w:r>
        <w:rPr>
          <w:rFonts w:hint="eastAsia" w:ascii="宋体" w:hAnsi="宋体" w:cs="宋体"/>
          <w:color w:val="auto"/>
        </w:rPr>
        <w:br w:type="page"/>
      </w:r>
    </w:p>
    <w:p w14:paraId="3B523102">
      <w:pPr>
        <w:spacing w:line="360" w:lineRule="auto"/>
        <w:ind w:firstLine="420" w:firstLineChars="200"/>
        <w:rPr>
          <w:rFonts w:ascii="宋体" w:hAnsi="宋体" w:cs="宋体"/>
          <w:color w:val="auto"/>
        </w:rPr>
      </w:pPr>
      <w:r>
        <w:rPr>
          <w:rFonts w:hint="eastAsia" w:ascii="宋体" w:hAnsi="宋体" w:cs="宋体"/>
          <w:color w:val="auto"/>
        </w:rPr>
        <w:t>“主要人员简历表”中的各项目负责人应附执业资格证书（或技术职称证书）、身份证，管理过的项目业绩须附合同或发包人出具的证明文件原件扫描件。其他主要人员应附身份证、职称证（执业证或上岗证书）原件扫描件（如有）。</w:t>
      </w:r>
    </w:p>
    <w:p w14:paraId="2712C0CF">
      <w:pPr>
        <w:topLinePunct/>
        <w:spacing w:line="360" w:lineRule="auto"/>
        <w:jc w:val="center"/>
        <w:rPr>
          <w:rFonts w:ascii="宋体" w:hAnsi="宋体" w:cs="宋体"/>
          <w:color w:val="auto"/>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722"/>
        <w:gridCol w:w="927"/>
        <w:gridCol w:w="1065"/>
        <w:gridCol w:w="706"/>
        <w:gridCol w:w="1261"/>
        <w:gridCol w:w="163"/>
        <w:gridCol w:w="2134"/>
      </w:tblGrid>
      <w:tr w14:paraId="2A552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ign w:val="center"/>
          </w:tcPr>
          <w:p w14:paraId="0B874ABF">
            <w:pPr>
              <w:spacing w:line="360" w:lineRule="auto"/>
              <w:jc w:val="center"/>
              <w:rPr>
                <w:rFonts w:ascii="宋体" w:hAnsi="宋体" w:cs="宋体"/>
                <w:color w:val="auto"/>
              </w:rPr>
            </w:pPr>
            <w:r>
              <w:rPr>
                <w:rFonts w:hint="eastAsia" w:ascii="宋体" w:hAnsi="宋体" w:cs="宋体"/>
                <w:color w:val="auto"/>
              </w:rPr>
              <w:t>姓  名</w:t>
            </w:r>
          </w:p>
        </w:tc>
        <w:tc>
          <w:tcPr>
            <w:tcW w:w="1079" w:type="dxa"/>
            <w:gridSpan w:val="2"/>
            <w:noWrap/>
            <w:vAlign w:val="center"/>
          </w:tcPr>
          <w:p w14:paraId="0881AFFA">
            <w:pPr>
              <w:spacing w:line="360" w:lineRule="auto"/>
              <w:jc w:val="center"/>
              <w:rPr>
                <w:rFonts w:ascii="宋体" w:hAnsi="宋体" w:cs="宋体"/>
                <w:color w:val="auto"/>
              </w:rPr>
            </w:pPr>
          </w:p>
        </w:tc>
        <w:tc>
          <w:tcPr>
            <w:tcW w:w="927" w:type="dxa"/>
            <w:noWrap/>
            <w:vAlign w:val="center"/>
          </w:tcPr>
          <w:p w14:paraId="6F599EF3">
            <w:pPr>
              <w:spacing w:line="360" w:lineRule="auto"/>
              <w:jc w:val="center"/>
              <w:rPr>
                <w:rFonts w:ascii="宋体" w:hAnsi="宋体" w:cs="宋体"/>
                <w:color w:val="auto"/>
              </w:rPr>
            </w:pPr>
            <w:r>
              <w:rPr>
                <w:rFonts w:hint="eastAsia" w:ascii="宋体" w:hAnsi="宋体" w:cs="宋体"/>
                <w:color w:val="auto"/>
              </w:rPr>
              <w:t>年 龄</w:t>
            </w:r>
          </w:p>
        </w:tc>
        <w:tc>
          <w:tcPr>
            <w:tcW w:w="1065" w:type="dxa"/>
            <w:noWrap/>
            <w:vAlign w:val="center"/>
          </w:tcPr>
          <w:p w14:paraId="3D20A186">
            <w:pPr>
              <w:spacing w:line="360" w:lineRule="auto"/>
              <w:jc w:val="center"/>
              <w:rPr>
                <w:rFonts w:ascii="宋体" w:hAnsi="宋体" w:cs="宋体"/>
                <w:color w:val="auto"/>
              </w:rPr>
            </w:pPr>
          </w:p>
        </w:tc>
        <w:tc>
          <w:tcPr>
            <w:tcW w:w="2130" w:type="dxa"/>
            <w:gridSpan w:val="3"/>
            <w:noWrap/>
            <w:vAlign w:val="center"/>
          </w:tcPr>
          <w:p w14:paraId="6B4010E7">
            <w:pPr>
              <w:spacing w:line="360" w:lineRule="auto"/>
              <w:jc w:val="center"/>
              <w:rPr>
                <w:rFonts w:ascii="宋体" w:hAnsi="宋体" w:cs="宋体"/>
                <w:color w:val="auto"/>
              </w:rPr>
            </w:pPr>
            <w:r>
              <w:rPr>
                <w:rFonts w:hint="eastAsia" w:ascii="宋体" w:hAnsi="宋体" w:cs="宋体"/>
                <w:color w:val="auto"/>
              </w:rPr>
              <w:t>学历</w:t>
            </w:r>
          </w:p>
        </w:tc>
        <w:tc>
          <w:tcPr>
            <w:tcW w:w="2134" w:type="dxa"/>
            <w:noWrap/>
            <w:vAlign w:val="center"/>
          </w:tcPr>
          <w:p w14:paraId="2A0E4D6F">
            <w:pPr>
              <w:spacing w:line="360" w:lineRule="auto"/>
              <w:jc w:val="center"/>
              <w:rPr>
                <w:rFonts w:ascii="宋体" w:hAnsi="宋体" w:cs="宋体"/>
                <w:color w:val="auto"/>
              </w:rPr>
            </w:pPr>
          </w:p>
        </w:tc>
      </w:tr>
      <w:tr w14:paraId="3DDE7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ign w:val="center"/>
          </w:tcPr>
          <w:p w14:paraId="26644BEF">
            <w:pPr>
              <w:spacing w:line="360" w:lineRule="auto"/>
              <w:jc w:val="center"/>
              <w:rPr>
                <w:rFonts w:ascii="宋体" w:hAnsi="宋体" w:cs="宋体"/>
                <w:color w:val="auto"/>
              </w:rPr>
            </w:pPr>
            <w:r>
              <w:rPr>
                <w:rFonts w:hint="eastAsia" w:ascii="宋体" w:hAnsi="宋体" w:cs="宋体"/>
                <w:color w:val="auto"/>
              </w:rPr>
              <w:t>职  称</w:t>
            </w:r>
          </w:p>
        </w:tc>
        <w:tc>
          <w:tcPr>
            <w:tcW w:w="1079" w:type="dxa"/>
            <w:gridSpan w:val="2"/>
            <w:noWrap/>
            <w:vAlign w:val="center"/>
          </w:tcPr>
          <w:p w14:paraId="7909661F">
            <w:pPr>
              <w:spacing w:line="360" w:lineRule="auto"/>
              <w:jc w:val="center"/>
              <w:rPr>
                <w:rFonts w:ascii="宋体" w:hAnsi="宋体" w:cs="宋体"/>
                <w:color w:val="auto"/>
              </w:rPr>
            </w:pPr>
          </w:p>
        </w:tc>
        <w:tc>
          <w:tcPr>
            <w:tcW w:w="927" w:type="dxa"/>
            <w:noWrap/>
            <w:vAlign w:val="center"/>
          </w:tcPr>
          <w:p w14:paraId="3CCDADDA">
            <w:pPr>
              <w:spacing w:line="360" w:lineRule="auto"/>
              <w:jc w:val="center"/>
              <w:rPr>
                <w:rFonts w:ascii="宋体" w:hAnsi="宋体" w:cs="宋体"/>
                <w:color w:val="auto"/>
              </w:rPr>
            </w:pPr>
            <w:r>
              <w:rPr>
                <w:rFonts w:hint="eastAsia" w:ascii="宋体" w:hAnsi="宋体" w:cs="宋体"/>
                <w:color w:val="auto"/>
              </w:rPr>
              <w:t>职 务</w:t>
            </w:r>
          </w:p>
        </w:tc>
        <w:tc>
          <w:tcPr>
            <w:tcW w:w="1065" w:type="dxa"/>
            <w:noWrap/>
            <w:vAlign w:val="center"/>
          </w:tcPr>
          <w:p w14:paraId="59F925C7">
            <w:pPr>
              <w:spacing w:line="360" w:lineRule="auto"/>
              <w:jc w:val="center"/>
              <w:rPr>
                <w:rFonts w:ascii="宋体" w:hAnsi="宋体" w:cs="宋体"/>
                <w:color w:val="auto"/>
              </w:rPr>
            </w:pPr>
          </w:p>
        </w:tc>
        <w:tc>
          <w:tcPr>
            <w:tcW w:w="2130" w:type="dxa"/>
            <w:gridSpan w:val="3"/>
            <w:noWrap/>
            <w:vAlign w:val="center"/>
          </w:tcPr>
          <w:p w14:paraId="53B61CCF">
            <w:pPr>
              <w:spacing w:line="360" w:lineRule="auto"/>
              <w:jc w:val="center"/>
              <w:rPr>
                <w:rFonts w:ascii="宋体" w:hAnsi="宋体" w:cs="宋体"/>
                <w:color w:val="auto"/>
              </w:rPr>
            </w:pPr>
            <w:r>
              <w:rPr>
                <w:rFonts w:hint="eastAsia" w:ascii="宋体" w:hAnsi="宋体" w:cs="宋体"/>
                <w:color w:val="auto"/>
              </w:rPr>
              <w:t>拟在本合同任职</w:t>
            </w:r>
          </w:p>
        </w:tc>
        <w:tc>
          <w:tcPr>
            <w:tcW w:w="2134" w:type="dxa"/>
            <w:noWrap/>
            <w:vAlign w:val="center"/>
          </w:tcPr>
          <w:p w14:paraId="26BE118A">
            <w:pPr>
              <w:spacing w:line="360" w:lineRule="auto"/>
              <w:jc w:val="center"/>
              <w:rPr>
                <w:rFonts w:ascii="宋体" w:hAnsi="宋体" w:cs="宋体"/>
                <w:color w:val="auto"/>
              </w:rPr>
            </w:pPr>
          </w:p>
        </w:tc>
      </w:tr>
      <w:tr w14:paraId="43029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ign w:val="center"/>
          </w:tcPr>
          <w:p w14:paraId="52854F3F">
            <w:pPr>
              <w:spacing w:line="360" w:lineRule="auto"/>
              <w:jc w:val="center"/>
              <w:rPr>
                <w:rFonts w:ascii="宋体" w:hAnsi="宋体" w:cs="宋体"/>
                <w:color w:val="auto"/>
              </w:rPr>
            </w:pPr>
            <w:r>
              <w:rPr>
                <w:rFonts w:hint="eastAsia" w:ascii="宋体" w:hAnsi="宋体" w:cs="宋体"/>
                <w:color w:val="auto"/>
              </w:rPr>
              <w:t>毕业学校</w:t>
            </w:r>
          </w:p>
        </w:tc>
        <w:tc>
          <w:tcPr>
            <w:tcW w:w="7335" w:type="dxa"/>
            <w:gridSpan w:val="8"/>
            <w:noWrap/>
          </w:tcPr>
          <w:p w14:paraId="275FC149">
            <w:pPr>
              <w:spacing w:line="360" w:lineRule="auto"/>
              <w:ind w:firstLine="945" w:firstLineChars="450"/>
              <w:rPr>
                <w:rFonts w:ascii="宋体" w:hAnsi="宋体" w:cs="宋体"/>
                <w:color w:val="auto"/>
              </w:rPr>
            </w:pPr>
            <w:r>
              <w:rPr>
                <w:rFonts w:hint="eastAsia" w:ascii="宋体" w:hAnsi="宋体" w:cs="宋体"/>
                <w:color w:val="auto"/>
              </w:rPr>
              <w:t>年毕业于            学校        专业</w:t>
            </w:r>
          </w:p>
        </w:tc>
      </w:tr>
      <w:tr w14:paraId="2D28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ign w:val="center"/>
          </w:tcPr>
          <w:p w14:paraId="7A04EC15">
            <w:pPr>
              <w:spacing w:line="360" w:lineRule="auto"/>
              <w:rPr>
                <w:rFonts w:ascii="宋体" w:hAnsi="宋体" w:cs="宋体"/>
                <w:color w:val="auto"/>
              </w:rPr>
            </w:pPr>
            <w:r>
              <w:rPr>
                <w:rFonts w:hint="eastAsia" w:ascii="宋体" w:hAnsi="宋体" w:cs="宋体"/>
                <w:color w:val="auto"/>
              </w:rPr>
              <w:t>主要工作经历</w:t>
            </w:r>
          </w:p>
        </w:tc>
      </w:tr>
      <w:tr w14:paraId="0DBAC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4" w:type="dxa"/>
            <w:gridSpan w:val="2"/>
            <w:noWrap/>
            <w:vAlign w:val="center"/>
          </w:tcPr>
          <w:p w14:paraId="09FCE587">
            <w:pPr>
              <w:spacing w:line="360" w:lineRule="auto"/>
              <w:jc w:val="center"/>
              <w:rPr>
                <w:rFonts w:ascii="宋体" w:hAnsi="宋体" w:cs="宋体"/>
                <w:color w:val="auto"/>
              </w:rPr>
            </w:pPr>
            <w:r>
              <w:rPr>
                <w:rFonts w:hint="eastAsia" w:ascii="宋体" w:hAnsi="宋体" w:cs="宋体"/>
                <w:color w:val="auto"/>
              </w:rPr>
              <w:t>时  间</w:t>
            </w:r>
          </w:p>
        </w:tc>
        <w:tc>
          <w:tcPr>
            <w:tcW w:w="3420" w:type="dxa"/>
            <w:gridSpan w:val="4"/>
            <w:noWrap/>
            <w:vAlign w:val="center"/>
          </w:tcPr>
          <w:p w14:paraId="5DDCD287">
            <w:pPr>
              <w:spacing w:line="360" w:lineRule="auto"/>
              <w:jc w:val="center"/>
              <w:rPr>
                <w:rFonts w:ascii="宋体" w:hAnsi="宋体" w:cs="宋体"/>
                <w:color w:val="auto"/>
              </w:rPr>
            </w:pPr>
            <w:r>
              <w:rPr>
                <w:rFonts w:hint="eastAsia" w:ascii="宋体" w:hAnsi="宋体" w:cs="宋体"/>
                <w:color w:val="auto"/>
              </w:rPr>
              <w:t>参加过的类似项目</w:t>
            </w:r>
          </w:p>
        </w:tc>
        <w:tc>
          <w:tcPr>
            <w:tcW w:w="1261" w:type="dxa"/>
            <w:noWrap/>
            <w:vAlign w:val="center"/>
          </w:tcPr>
          <w:p w14:paraId="08BBF357">
            <w:pPr>
              <w:spacing w:line="360" w:lineRule="auto"/>
              <w:rPr>
                <w:rFonts w:ascii="宋体" w:hAnsi="宋体" w:cs="宋体"/>
                <w:color w:val="auto"/>
              </w:rPr>
            </w:pPr>
            <w:r>
              <w:rPr>
                <w:rFonts w:hint="eastAsia" w:ascii="宋体" w:hAnsi="宋体" w:cs="宋体"/>
                <w:color w:val="auto"/>
              </w:rPr>
              <w:t>担任职务</w:t>
            </w:r>
          </w:p>
        </w:tc>
        <w:tc>
          <w:tcPr>
            <w:tcW w:w="2297" w:type="dxa"/>
            <w:gridSpan w:val="2"/>
            <w:noWrap/>
            <w:vAlign w:val="center"/>
          </w:tcPr>
          <w:p w14:paraId="45C4F0CA">
            <w:pPr>
              <w:spacing w:line="360" w:lineRule="auto"/>
              <w:jc w:val="center"/>
              <w:rPr>
                <w:rFonts w:ascii="宋体" w:hAnsi="宋体" w:cs="宋体"/>
                <w:color w:val="auto"/>
              </w:rPr>
            </w:pPr>
            <w:r>
              <w:rPr>
                <w:rFonts w:hint="eastAsia" w:ascii="宋体" w:hAnsi="宋体" w:cs="宋体"/>
                <w:color w:val="auto"/>
              </w:rPr>
              <w:t>备注</w:t>
            </w:r>
          </w:p>
        </w:tc>
      </w:tr>
      <w:tr w14:paraId="201E5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tcPr>
          <w:p w14:paraId="08D5C1FD">
            <w:pPr>
              <w:spacing w:line="360" w:lineRule="auto"/>
              <w:rPr>
                <w:rFonts w:ascii="宋体" w:hAnsi="宋体" w:cs="宋体"/>
                <w:color w:val="auto"/>
              </w:rPr>
            </w:pPr>
          </w:p>
        </w:tc>
        <w:tc>
          <w:tcPr>
            <w:tcW w:w="3420" w:type="dxa"/>
            <w:gridSpan w:val="4"/>
            <w:noWrap/>
          </w:tcPr>
          <w:p w14:paraId="6D62F332">
            <w:pPr>
              <w:spacing w:line="360" w:lineRule="auto"/>
              <w:rPr>
                <w:rFonts w:ascii="宋体" w:hAnsi="宋体" w:cs="宋体"/>
                <w:color w:val="auto"/>
              </w:rPr>
            </w:pPr>
          </w:p>
        </w:tc>
        <w:tc>
          <w:tcPr>
            <w:tcW w:w="1261" w:type="dxa"/>
            <w:noWrap/>
          </w:tcPr>
          <w:p w14:paraId="654A5835">
            <w:pPr>
              <w:spacing w:line="360" w:lineRule="auto"/>
              <w:rPr>
                <w:rFonts w:ascii="宋体" w:hAnsi="宋体" w:cs="宋体"/>
                <w:color w:val="auto"/>
              </w:rPr>
            </w:pPr>
          </w:p>
        </w:tc>
        <w:tc>
          <w:tcPr>
            <w:tcW w:w="2297" w:type="dxa"/>
            <w:gridSpan w:val="2"/>
            <w:noWrap/>
          </w:tcPr>
          <w:p w14:paraId="5C46E0E1">
            <w:pPr>
              <w:spacing w:line="360" w:lineRule="auto"/>
              <w:rPr>
                <w:rFonts w:ascii="宋体" w:hAnsi="宋体" w:cs="宋体"/>
                <w:color w:val="auto"/>
              </w:rPr>
            </w:pPr>
          </w:p>
        </w:tc>
      </w:tr>
      <w:tr w14:paraId="46E23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tcPr>
          <w:p w14:paraId="640566EE">
            <w:pPr>
              <w:spacing w:line="360" w:lineRule="auto"/>
              <w:rPr>
                <w:rFonts w:ascii="宋体" w:hAnsi="宋体" w:cs="宋体"/>
                <w:color w:val="auto"/>
              </w:rPr>
            </w:pPr>
          </w:p>
        </w:tc>
        <w:tc>
          <w:tcPr>
            <w:tcW w:w="3420" w:type="dxa"/>
            <w:gridSpan w:val="4"/>
            <w:noWrap/>
          </w:tcPr>
          <w:p w14:paraId="26AC8F90">
            <w:pPr>
              <w:spacing w:line="360" w:lineRule="auto"/>
              <w:rPr>
                <w:rFonts w:ascii="宋体" w:hAnsi="宋体" w:cs="宋体"/>
                <w:color w:val="auto"/>
              </w:rPr>
            </w:pPr>
          </w:p>
        </w:tc>
        <w:tc>
          <w:tcPr>
            <w:tcW w:w="1261" w:type="dxa"/>
            <w:noWrap/>
          </w:tcPr>
          <w:p w14:paraId="0E896AA9">
            <w:pPr>
              <w:spacing w:line="360" w:lineRule="auto"/>
              <w:rPr>
                <w:rFonts w:ascii="宋体" w:hAnsi="宋体" w:cs="宋体"/>
                <w:color w:val="auto"/>
              </w:rPr>
            </w:pPr>
          </w:p>
        </w:tc>
        <w:tc>
          <w:tcPr>
            <w:tcW w:w="2297" w:type="dxa"/>
            <w:gridSpan w:val="2"/>
            <w:noWrap/>
          </w:tcPr>
          <w:p w14:paraId="05D3E844">
            <w:pPr>
              <w:spacing w:line="360" w:lineRule="auto"/>
              <w:rPr>
                <w:rFonts w:ascii="宋体" w:hAnsi="宋体" w:cs="宋体"/>
                <w:color w:val="auto"/>
              </w:rPr>
            </w:pPr>
          </w:p>
        </w:tc>
      </w:tr>
      <w:tr w14:paraId="75BA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tcPr>
          <w:p w14:paraId="6DC98A45">
            <w:pPr>
              <w:spacing w:line="360" w:lineRule="auto"/>
              <w:rPr>
                <w:rFonts w:ascii="宋体" w:hAnsi="宋体" w:cs="宋体"/>
                <w:color w:val="auto"/>
              </w:rPr>
            </w:pPr>
          </w:p>
        </w:tc>
        <w:tc>
          <w:tcPr>
            <w:tcW w:w="3420" w:type="dxa"/>
            <w:gridSpan w:val="4"/>
            <w:noWrap/>
          </w:tcPr>
          <w:p w14:paraId="4D9E613D">
            <w:pPr>
              <w:spacing w:line="360" w:lineRule="auto"/>
              <w:rPr>
                <w:rFonts w:ascii="宋体" w:hAnsi="宋体" w:cs="宋体"/>
                <w:color w:val="auto"/>
              </w:rPr>
            </w:pPr>
          </w:p>
        </w:tc>
        <w:tc>
          <w:tcPr>
            <w:tcW w:w="1261" w:type="dxa"/>
            <w:noWrap/>
          </w:tcPr>
          <w:p w14:paraId="180C4BB5">
            <w:pPr>
              <w:spacing w:line="360" w:lineRule="auto"/>
              <w:rPr>
                <w:rFonts w:ascii="宋体" w:hAnsi="宋体" w:cs="宋体"/>
                <w:color w:val="auto"/>
              </w:rPr>
            </w:pPr>
          </w:p>
        </w:tc>
        <w:tc>
          <w:tcPr>
            <w:tcW w:w="2297" w:type="dxa"/>
            <w:gridSpan w:val="2"/>
            <w:noWrap/>
          </w:tcPr>
          <w:p w14:paraId="0E7FE7A9">
            <w:pPr>
              <w:spacing w:line="360" w:lineRule="auto"/>
              <w:rPr>
                <w:rFonts w:ascii="宋体" w:hAnsi="宋体" w:cs="宋体"/>
                <w:color w:val="auto"/>
              </w:rPr>
            </w:pPr>
          </w:p>
        </w:tc>
      </w:tr>
      <w:tr w14:paraId="7EDE5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78102F61">
            <w:pPr>
              <w:spacing w:line="360" w:lineRule="auto"/>
              <w:rPr>
                <w:rFonts w:ascii="宋体" w:hAnsi="宋体" w:cs="宋体"/>
                <w:color w:val="auto"/>
              </w:rPr>
            </w:pPr>
          </w:p>
        </w:tc>
        <w:tc>
          <w:tcPr>
            <w:tcW w:w="3420" w:type="dxa"/>
            <w:gridSpan w:val="4"/>
            <w:noWrap/>
            <w:vAlign w:val="center"/>
          </w:tcPr>
          <w:p w14:paraId="647811B7">
            <w:pPr>
              <w:spacing w:line="360" w:lineRule="auto"/>
              <w:rPr>
                <w:rFonts w:ascii="宋体" w:hAnsi="宋体" w:cs="宋体"/>
                <w:color w:val="auto"/>
              </w:rPr>
            </w:pPr>
          </w:p>
        </w:tc>
        <w:tc>
          <w:tcPr>
            <w:tcW w:w="1261" w:type="dxa"/>
            <w:noWrap/>
            <w:vAlign w:val="center"/>
          </w:tcPr>
          <w:p w14:paraId="4F31DC0A">
            <w:pPr>
              <w:spacing w:line="360" w:lineRule="auto"/>
              <w:rPr>
                <w:rFonts w:ascii="宋体" w:hAnsi="宋体" w:cs="宋体"/>
                <w:color w:val="auto"/>
              </w:rPr>
            </w:pPr>
          </w:p>
        </w:tc>
        <w:tc>
          <w:tcPr>
            <w:tcW w:w="2297" w:type="dxa"/>
            <w:gridSpan w:val="2"/>
            <w:noWrap/>
            <w:vAlign w:val="center"/>
          </w:tcPr>
          <w:p w14:paraId="74C3D8FE">
            <w:pPr>
              <w:spacing w:line="360" w:lineRule="auto"/>
              <w:rPr>
                <w:rFonts w:ascii="宋体" w:hAnsi="宋体" w:cs="宋体"/>
                <w:color w:val="auto"/>
              </w:rPr>
            </w:pPr>
          </w:p>
        </w:tc>
      </w:tr>
      <w:tr w14:paraId="429CC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63AA098C">
            <w:pPr>
              <w:spacing w:line="360" w:lineRule="auto"/>
              <w:rPr>
                <w:rFonts w:ascii="宋体" w:hAnsi="宋体" w:cs="宋体"/>
                <w:color w:val="auto"/>
              </w:rPr>
            </w:pPr>
          </w:p>
        </w:tc>
        <w:tc>
          <w:tcPr>
            <w:tcW w:w="3420" w:type="dxa"/>
            <w:gridSpan w:val="4"/>
            <w:noWrap/>
            <w:vAlign w:val="center"/>
          </w:tcPr>
          <w:p w14:paraId="03CDD508">
            <w:pPr>
              <w:spacing w:line="360" w:lineRule="auto"/>
              <w:rPr>
                <w:rFonts w:ascii="宋体" w:hAnsi="宋体" w:cs="宋体"/>
                <w:color w:val="auto"/>
              </w:rPr>
            </w:pPr>
          </w:p>
        </w:tc>
        <w:tc>
          <w:tcPr>
            <w:tcW w:w="1261" w:type="dxa"/>
            <w:noWrap/>
            <w:vAlign w:val="center"/>
          </w:tcPr>
          <w:p w14:paraId="0152A2E4">
            <w:pPr>
              <w:spacing w:line="360" w:lineRule="auto"/>
              <w:rPr>
                <w:rFonts w:ascii="宋体" w:hAnsi="宋体" w:cs="宋体"/>
                <w:color w:val="auto"/>
              </w:rPr>
            </w:pPr>
          </w:p>
        </w:tc>
        <w:tc>
          <w:tcPr>
            <w:tcW w:w="2297" w:type="dxa"/>
            <w:gridSpan w:val="2"/>
            <w:noWrap/>
            <w:vAlign w:val="center"/>
          </w:tcPr>
          <w:p w14:paraId="7E9595DB">
            <w:pPr>
              <w:spacing w:line="360" w:lineRule="auto"/>
              <w:rPr>
                <w:rFonts w:ascii="宋体" w:hAnsi="宋体" w:cs="宋体"/>
                <w:color w:val="auto"/>
              </w:rPr>
            </w:pPr>
          </w:p>
        </w:tc>
      </w:tr>
      <w:tr w14:paraId="2841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2F4C9EFA">
            <w:pPr>
              <w:spacing w:line="360" w:lineRule="auto"/>
              <w:rPr>
                <w:rFonts w:ascii="宋体" w:hAnsi="宋体" w:cs="宋体"/>
                <w:color w:val="auto"/>
              </w:rPr>
            </w:pPr>
          </w:p>
        </w:tc>
        <w:tc>
          <w:tcPr>
            <w:tcW w:w="3420" w:type="dxa"/>
            <w:gridSpan w:val="4"/>
            <w:noWrap/>
            <w:vAlign w:val="center"/>
          </w:tcPr>
          <w:p w14:paraId="72542E08">
            <w:pPr>
              <w:spacing w:line="360" w:lineRule="auto"/>
              <w:rPr>
                <w:rFonts w:ascii="宋体" w:hAnsi="宋体" w:cs="宋体"/>
                <w:color w:val="auto"/>
              </w:rPr>
            </w:pPr>
          </w:p>
        </w:tc>
        <w:tc>
          <w:tcPr>
            <w:tcW w:w="1261" w:type="dxa"/>
            <w:noWrap/>
            <w:vAlign w:val="center"/>
          </w:tcPr>
          <w:p w14:paraId="23B66640">
            <w:pPr>
              <w:spacing w:line="360" w:lineRule="auto"/>
              <w:rPr>
                <w:rFonts w:ascii="宋体" w:hAnsi="宋体" w:cs="宋体"/>
                <w:color w:val="auto"/>
              </w:rPr>
            </w:pPr>
          </w:p>
        </w:tc>
        <w:tc>
          <w:tcPr>
            <w:tcW w:w="2297" w:type="dxa"/>
            <w:gridSpan w:val="2"/>
            <w:noWrap/>
            <w:vAlign w:val="center"/>
          </w:tcPr>
          <w:p w14:paraId="3ABC4CAD">
            <w:pPr>
              <w:spacing w:line="360" w:lineRule="auto"/>
              <w:rPr>
                <w:rFonts w:ascii="宋体" w:hAnsi="宋体" w:cs="宋体"/>
                <w:color w:val="auto"/>
              </w:rPr>
            </w:pPr>
          </w:p>
        </w:tc>
      </w:tr>
      <w:tr w14:paraId="5384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10B03965">
            <w:pPr>
              <w:spacing w:line="360" w:lineRule="auto"/>
              <w:rPr>
                <w:rFonts w:ascii="宋体" w:hAnsi="宋体" w:cs="宋体"/>
                <w:color w:val="auto"/>
              </w:rPr>
            </w:pPr>
          </w:p>
        </w:tc>
        <w:tc>
          <w:tcPr>
            <w:tcW w:w="3420" w:type="dxa"/>
            <w:gridSpan w:val="4"/>
            <w:noWrap/>
            <w:vAlign w:val="center"/>
          </w:tcPr>
          <w:p w14:paraId="098A6380">
            <w:pPr>
              <w:spacing w:line="360" w:lineRule="auto"/>
              <w:rPr>
                <w:rFonts w:ascii="宋体" w:hAnsi="宋体" w:cs="宋体"/>
                <w:color w:val="auto"/>
              </w:rPr>
            </w:pPr>
          </w:p>
        </w:tc>
        <w:tc>
          <w:tcPr>
            <w:tcW w:w="1261" w:type="dxa"/>
            <w:noWrap/>
            <w:vAlign w:val="center"/>
          </w:tcPr>
          <w:p w14:paraId="48FE40E9">
            <w:pPr>
              <w:spacing w:line="360" w:lineRule="auto"/>
              <w:rPr>
                <w:rFonts w:ascii="宋体" w:hAnsi="宋体" w:cs="宋体"/>
                <w:color w:val="auto"/>
              </w:rPr>
            </w:pPr>
          </w:p>
        </w:tc>
        <w:tc>
          <w:tcPr>
            <w:tcW w:w="2297" w:type="dxa"/>
            <w:gridSpan w:val="2"/>
            <w:noWrap/>
            <w:vAlign w:val="center"/>
          </w:tcPr>
          <w:p w14:paraId="1806D11B">
            <w:pPr>
              <w:spacing w:line="360" w:lineRule="auto"/>
              <w:rPr>
                <w:rFonts w:ascii="宋体" w:hAnsi="宋体" w:cs="宋体"/>
                <w:color w:val="auto"/>
              </w:rPr>
            </w:pPr>
          </w:p>
        </w:tc>
      </w:tr>
      <w:tr w14:paraId="34FC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7010AE11">
            <w:pPr>
              <w:spacing w:line="360" w:lineRule="auto"/>
              <w:rPr>
                <w:rFonts w:ascii="宋体" w:hAnsi="宋体" w:cs="宋体"/>
                <w:color w:val="auto"/>
              </w:rPr>
            </w:pPr>
          </w:p>
        </w:tc>
        <w:tc>
          <w:tcPr>
            <w:tcW w:w="3420" w:type="dxa"/>
            <w:gridSpan w:val="4"/>
            <w:noWrap/>
            <w:vAlign w:val="center"/>
          </w:tcPr>
          <w:p w14:paraId="10C5A8B8">
            <w:pPr>
              <w:spacing w:line="360" w:lineRule="auto"/>
              <w:rPr>
                <w:rFonts w:ascii="宋体" w:hAnsi="宋体" w:cs="宋体"/>
                <w:color w:val="auto"/>
              </w:rPr>
            </w:pPr>
          </w:p>
        </w:tc>
        <w:tc>
          <w:tcPr>
            <w:tcW w:w="1261" w:type="dxa"/>
            <w:noWrap/>
            <w:vAlign w:val="center"/>
          </w:tcPr>
          <w:p w14:paraId="0B2F187F">
            <w:pPr>
              <w:spacing w:line="360" w:lineRule="auto"/>
              <w:rPr>
                <w:rFonts w:ascii="宋体" w:hAnsi="宋体" w:cs="宋体"/>
                <w:color w:val="auto"/>
              </w:rPr>
            </w:pPr>
          </w:p>
        </w:tc>
        <w:tc>
          <w:tcPr>
            <w:tcW w:w="2297" w:type="dxa"/>
            <w:gridSpan w:val="2"/>
            <w:noWrap/>
            <w:vAlign w:val="center"/>
          </w:tcPr>
          <w:p w14:paraId="25F870D1">
            <w:pPr>
              <w:spacing w:line="360" w:lineRule="auto"/>
              <w:rPr>
                <w:rFonts w:ascii="宋体" w:hAnsi="宋体" w:cs="宋体"/>
                <w:color w:val="auto"/>
              </w:rPr>
            </w:pPr>
          </w:p>
        </w:tc>
      </w:tr>
      <w:tr w14:paraId="2A44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07ECF0C3">
            <w:pPr>
              <w:spacing w:line="360" w:lineRule="auto"/>
              <w:rPr>
                <w:rFonts w:ascii="宋体" w:hAnsi="宋体" w:cs="宋体"/>
                <w:color w:val="auto"/>
              </w:rPr>
            </w:pPr>
          </w:p>
        </w:tc>
        <w:tc>
          <w:tcPr>
            <w:tcW w:w="3420" w:type="dxa"/>
            <w:gridSpan w:val="4"/>
            <w:noWrap/>
            <w:vAlign w:val="center"/>
          </w:tcPr>
          <w:p w14:paraId="2E360B0D">
            <w:pPr>
              <w:spacing w:line="360" w:lineRule="auto"/>
              <w:rPr>
                <w:rFonts w:ascii="宋体" w:hAnsi="宋体" w:cs="宋体"/>
                <w:color w:val="auto"/>
              </w:rPr>
            </w:pPr>
          </w:p>
        </w:tc>
        <w:tc>
          <w:tcPr>
            <w:tcW w:w="1261" w:type="dxa"/>
            <w:noWrap/>
            <w:vAlign w:val="center"/>
          </w:tcPr>
          <w:p w14:paraId="50C263E0">
            <w:pPr>
              <w:spacing w:line="360" w:lineRule="auto"/>
              <w:rPr>
                <w:rFonts w:ascii="宋体" w:hAnsi="宋体" w:cs="宋体"/>
                <w:color w:val="auto"/>
              </w:rPr>
            </w:pPr>
          </w:p>
        </w:tc>
        <w:tc>
          <w:tcPr>
            <w:tcW w:w="2297" w:type="dxa"/>
            <w:gridSpan w:val="2"/>
            <w:noWrap/>
            <w:vAlign w:val="center"/>
          </w:tcPr>
          <w:p w14:paraId="0955AF1A">
            <w:pPr>
              <w:spacing w:line="360" w:lineRule="auto"/>
              <w:rPr>
                <w:rFonts w:ascii="宋体" w:hAnsi="宋体" w:cs="宋体"/>
                <w:color w:val="auto"/>
              </w:rPr>
            </w:pPr>
          </w:p>
        </w:tc>
      </w:tr>
    </w:tbl>
    <w:p w14:paraId="27A8542A">
      <w:pPr>
        <w:spacing w:line="360" w:lineRule="auto"/>
        <w:rPr>
          <w:rFonts w:ascii="宋体" w:hAnsi="宋体" w:cs="宋体"/>
          <w:color w:val="auto"/>
        </w:rPr>
      </w:pPr>
      <w:r>
        <w:rPr>
          <w:rFonts w:hint="eastAsia" w:ascii="宋体" w:hAnsi="宋体" w:cs="宋体"/>
          <w:color w:val="auto"/>
        </w:rPr>
        <w:t>注：投标人的每位主要人员均按此表格式分别填写和附相应的证明资料原件扫描件。</w:t>
      </w:r>
    </w:p>
    <w:p w14:paraId="4A5B3599">
      <w:pPr>
        <w:spacing w:line="360" w:lineRule="auto"/>
        <w:rPr>
          <w:rFonts w:ascii="宋体" w:hAnsi="宋体"/>
          <w:b/>
          <w:bCs/>
          <w:color w:val="auto"/>
          <w:sz w:val="24"/>
          <w:szCs w:val="24"/>
        </w:rPr>
      </w:pPr>
      <w:r>
        <w:rPr>
          <w:rFonts w:hint="eastAsia" w:ascii="宋体" w:hAnsi="宋体"/>
          <w:b/>
          <w:bCs/>
          <w:color w:val="auto"/>
          <w:sz w:val="24"/>
          <w:szCs w:val="24"/>
        </w:rPr>
        <w:br w:type="page"/>
      </w:r>
      <w:bookmarkEnd w:id="27"/>
      <w:bookmarkEnd w:id="28"/>
    </w:p>
    <w:p w14:paraId="569474B7">
      <w:pPr>
        <w:pStyle w:val="22"/>
        <w:spacing w:line="360" w:lineRule="auto"/>
        <w:jc w:val="center"/>
        <w:outlineLvl w:val="1"/>
        <w:rPr>
          <w:rFonts w:hAnsi="宋体"/>
          <w:b/>
          <w:bCs/>
          <w:snapToGrid w:val="0"/>
          <w:color w:val="auto"/>
          <w:sz w:val="28"/>
          <w:szCs w:val="28"/>
        </w:rPr>
      </w:pPr>
      <w:bookmarkStart w:id="29" w:name="_Toc138068733"/>
      <w:r>
        <w:rPr>
          <w:rFonts w:hint="eastAsia" w:hAnsi="宋体"/>
          <w:b/>
          <w:bCs/>
          <w:snapToGrid w:val="0"/>
          <w:color w:val="auto"/>
          <w:sz w:val="28"/>
          <w:szCs w:val="28"/>
        </w:rPr>
        <w:t>五、其他资料（若有）</w:t>
      </w:r>
      <w:bookmarkEnd w:id="29"/>
    </w:p>
    <w:p w14:paraId="017B6900">
      <w:pPr>
        <w:spacing w:line="360" w:lineRule="auto"/>
        <w:rPr>
          <w:color w:val="auto"/>
        </w:rPr>
      </w:pPr>
    </w:p>
    <w:p w14:paraId="789654B0">
      <w:pPr>
        <w:spacing w:line="360" w:lineRule="auto"/>
        <w:rPr>
          <w:color w:val="auto"/>
        </w:rPr>
      </w:pPr>
    </w:p>
    <w:p w14:paraId="41AA6B93">
      <w:pPr>
        <w:spacing w:line="360" w:lineRule="auto"/>
        <w:rPr>
          <w:color w:val="auto"/>
        </w:rPr>
      </w:pPr>
    </w:p>
    <w:p w14:paraId="46C16EE5">
      <w:pPr>
        <w:spacing w:line="360" w:lineRule="auto"/>
        <w:jc w:val="center"/>
        <w:rPr>
          <w:rFonts w:ascii="宋体" w:hAnsi="宋体"/>
          <w:b/>
          <w:bCs/>
          <w:color w:val="auto"/>
          <w:sz w:val="28"/>
          <w:szCs w:val="28"/>
        </w:rPr>
      </w:pPr>
      <w:r>
        <w:rPr>
          <w:rFonts w:hint="eastAsia" w:ascii="宋体" w:hAnsi="宋体"/>
          <w:b/>
          <w:bCs/>
          <w:color w:val="auto"/>
          <w:sz w:val="28"/>
          <w:szCs w:val="28"/>
        </w:rPr>
        <w:t>除磋商文件另有规定外，供应商认为需要提交的其他证明材料或资料加盖供应商单位公章后应在此项下提交。</w:t>
      </w:r>
    </w:p>
    <w:p w14:paraId="3F74C568">
      <w:pPr>
        <w:spacing w:line="360" w:lineRule="auto"/>
        <w:jc w:val="center"/>
        <w:rPr>
          <w:color w:val="auto"/>
        </w:rPr>
      </w:pPr>
    </w:p>
    <w:p w14:paraId="71EDFFB3">
      <w:pPr>
        <w:spacing w:line="360" w:lineRule="auto"/>
        <w:jc w:val="center"/>
        <w:rPr>
          <w:rFonts w:ascii="宋体" w:hAnsi="宋体"/>
          <w:color w:val="auto"/>
        </w:rPr>
      </w:pPr>
    </w:p>
    <w:p w14:paraId="55E1BEEF">
      <w:pPr>
        <w:rPr>
          <w:rFonts w:ascii="宋体" w:hAnsi="宋体"/>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C81A0FE-B6F2-4F33-A081-EFF067C99FD7}"/>
  </w:font>
  <w:font w:name="黑体">
    <w:panose1 w:val="02010609060101010101"/>
    <w:charset w:val="86"/>
    <w:family w:val="auto"/>
    <w:pitch w:val="default"/>
    <w:sig w:usb0="800002BF" w:usb1="38CF7CFA" w:usb2="00000016" w:usb3="00000000" w:csb0="00040001" w:csb1="00000000"/>
    <w:embedRegular r:id="rId2" w:fontKey="{0D20E598-3176-4F97-8D41-D62829544F0B}"/>
  </w:font>
  <w:font w:name="Courier New">
    <w:panose1 w:val="02070309020205020404"/>
    <w:charset w:val="01"/>
    <w:family w:val="modern"/>
    <w:pitch w:val="default"/>
    <w:sig w:usb0="E0002EFF" w:usb1="C0007843" w:usb2="00000009" w:usb3="00000000" w:csb0="400001FF" w:csb1="FFFF0000"/>
    <w:embedRegular r:id="rId3" w:fontKey="{B79AA570-D4FA-440B-BF72-120A1E75EA09}"/>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embedRegular r:id="rId4" w:fontKey="{ABBC9D31-FA14-43BC-A144-A298B8E26DE8}"/>
  </w:font>
  <w:font w:name="等线">
    <w:panose1 w:val="02010600030101010101"/>
    <w:charset w:val="86"/>
    <w:family w:val="auto"/>
    <w:pitch w:val="default"/>
    <w:sig w:usb0="A00002BF" w:usb1="38CF7CFA" w:usb2="00000016" w:usb3="00000000" w:csb0="0004000F" w:csb1="00000000"/>
    <w:embedRegular r:id="rId5" w:fontKey="{C22D9BB8-B8AE-4829-BF30-49869BBFEF91}"/>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6" w:fontKey="{9B04A365-FE6A-4BF0-8F4A-A12FBAF4FD8F}"/>
  </w:font>
  <w:font w:name="仿宋">
    <w:panose1 w:val="02010609060101010101"/>
    <w:charset w:val="86"/>
    <w:family w:val="modern"/>
    <w:pitch w:val="default"/>
    <w:sig w:usb0="800002BF" w:usb1="38CF7CFA" w:usb2="00000016" w:usb3="00000000" w:csb0="00040001" w:csb1="00000000"/>
    <w:embedRegular r:id="rId7" w:fontKey="{136D297F-C10C-444A-A998-92565FCD065A}"/>
  </w:font>
  <w:font w:name="新宋体">
    <w:panose1 w:val="02010609030101010101"/>
    <w:charset w:val="86"/>
    <w:family w:val="modern"/>
    <w:pitch w:val="default"/>
    <w:sig w:usb0="00000283" w:usb1="288F0000" w:usb2="00000006" w:usb3="00000000" w:csb0="00040001" w:csb1="00000000"/>
    <w:embedRegular r:id="rId8" w:fontKey="{28CCEC95-C1C5-4828-950C-10DE16A2ACE2}"/>
  </w:font>
  <w:font w:name="仿宋_GB2312">
    <w:panose1 w:val="02010609030101010101"/>
    <w:charset w:val="86"/>
    <w:family w:val="modern"/>
    <w:pitch w:val="default"/>
    <w:sig w:usb0="00000001" w:usb1="080E0000" w:usb2="00000000" w:usb3="00000000" w:csb0="00040000" w:csb1="00000000"/>
    <w:embedRegular r:id="rId9" w:fontKey="{9B7DB7C6-BB31-4955-B976-A35092522AF7}"/>
  </w:font>
  <w:font w:name="FangSong_GB2312">
    <w:altName w:val="仿宋_GB2312"/>
    <w:panose1 w:val="02010609060101010101"/>
    <w:charset w:val="00"/>
    <w:family w:val="roman"/>
    <w:pitch w:val="default"/>
    <w:sig w:usb0="00000000" w:usb1="00000000" w:usb2="00000000" w:usb3="00000000" w:csb0="00000000" w:csb1="00000000"/>
    <w:embedRegular r:id="rId10" w:fontKey="{F53B614E-3F86-4097-BE9C-EF851D43482E}"/>
  </w:font>
  <w:font w:name="Cambria Math">
    <w:panose1 w:val="02040503050406030204"/>
    <w:charset w:val="01"/>
    <w:family w:val="roman"/>
    <w:pitch w:val="default"/>
    <w:sig w:usb0="E00006FF" w:usb1="420024FF" w:usb2="02000000" w:usb3="00000000" w:csb0="2000019F" w:csb1="00000000"/>
    <w:embedRegular r:id="rId11" w:fontKey="{963D4552-3DF1-4516-93DD-8ED47A7E10B3}"/>
  </w:font>
  <w:font w:name="方正小标宋简体">
    <w:panose1 w:val="03000509000000000000"/>
    <w:charset w:val="86"/>
    <w:family w:val="auto"/>
    <w:pitch w:val="default"/>
    <w:sig w:usb0="00000001" w:usb1="080E0000" w:usb2="00000000" w:usb3="00000000" w:csb0="00040000" w:csb1="00000000"/>
    <w:embedRegular r:id="rId12" w:fontKey="{40C36591-2ACE-4BA3-B8A0-73B317B7496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A47E3">
    <w:pPr>
      <w:tabs>
        <w:tab w:val="left" w:pos="4516"/>
      </w:tabs>
      <w:spacing w:line="188" w:lineRule="auto"/>
      <w:ind w:left="4324"/>
      <w:rPr>
        <w:rFonts w:hint="eastAsia" w:ascii="宋体" w:hAnsi="宋体" w:eastAsia="宋体" w:cs="宋体"/>
        <w:sz w:val="18"/>
        <w:szCs w:val="18"/>
      </w:rPr>
    </w:pPr>
    <w:r>
      <w:rPr>
        <w:rFonts w:hint="eastAsia" w:ascii="宋体" w:hAnsi="宋体" w:eastAsia="宋体" w:cs="宋体"/>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F1010E">
                          <w:pPr>
                            <w:pStyle w:val="25"/>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3F1010E">
                    <w:pPr>
                      <w:pStyle w:val="25"/>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p>
                </w:txbxContent>
              </v:textbox>
            </v:shape>
          </w:pict>
        </mc:Fallback>
      </mc:AlternateContent>
    </w:r>
    <w:r>
      <w:rPr>
        <w:rFonts w:hint="eastAsia" w:ascii="宋体" w:hAnsi="宋体" w:eastAsia="宋体" w:cs="宋体"/>
        <w:sz w:val="18"/>
        <w:szCs w:val="18"/>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90E883"/>
    <w:multiLevelType w:val="singleLevel"/>
    <w:tmpl w:val="D190E883"/>
    <w:lvl w:ilvl="0" w:tentative="0">
      <w:start w:val="3"/>
      <w:numFmt w:val="chineseCounting"/>
      <w:suff w:val="nothing"/>
      <w:lvlText w:val="%1、"/>
      <w:lvlJc w:val="left"/>
      <w:rPr>
        <w:rFonts w:hint="eastAsia"/>
      </w:rPr>
    </w:lvl>
  </w:abstractNum>
  <w:abstractNum w:abstractNumId="1">
    <w:nsid w:val="00000003"/>
    <w:multiLevelType w:val="multilevel"/>
    <w:tmpl w:val="00000003"/>
    <w:lvl w:ilvl="0" w:tentative="0">
      <w:start w:val="9"/>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4"/>
    <w:multiLevelType w:val="multilevel"/>
    <w:tmpl w:val="00000004"/>
    <w:lvl w:ilvl="0" w:tentative="0">
      <w:start w:val="1"/>
      <w:numFmt w:val="decimal"/>
      <w:lvlText w:val="%1."/>
      <w:lvlJc w:val="left"/>
      <w:pPr>
        <w:ind w:left="420" w:hanging="420"/>
      </w:pPr>
    </w:lvl>
    <w:lvl w:ilvl="1" w:tentative="0">
      <w:start w:val="2"/>
      <w:numFmt w:val="decimal"/>
      <w:isLgl/>
      <w:lvlText w:val="%1.%2"/>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3">
    <w:nsid w:val="00000008"/>
    <w:multiLevelType w:val="singleLevel"/>
    <w:tmpl w:val="00000008"/>
    <w:lvl w:ilvl="0" w:tentative="0">
      <w:start w:val="3"/>
      <w:numFmt w:val="decimal"/>
      <w:suff w:val="nothing"/>
      <w:lvlText w:val="%1、"/>
      <w:lvlJc w:val="left"/>
      <w:pPr>
        <w:ind w:left="0" w:firstLine="0"/>
      </w:pPr>
    </w:lvl>
  </w:abstractNum>
  <w:num w:numId="1">
    <w:abstractNumId w:val="0"/>
  </w:num>
  <w:num w:numId="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mNDQzZmI1N2ExZTU1MTFhMTdiNGZhMzVlYmQ3MDkifQ=="/>
  </w:docVars>
  <w:rsids>
    <w:rsidRoot w:val="00172A27"/>
    <w:rsid w:val="00172A27"/>
    <w:rsid w:val="00332C6C"/>
    <w:rsid w:val="00374B8A"/>
    <w:rsid w:val="003762DE"/>
    <w:rsid w:val="003867D4"/>
    <w:rsid w:val="004E616D"/>
    <w:rsid w:val="00682DFB"/>
    <w:rsid w:val="00733CA1"/>
    <w:rsid w:val="00814CBF"/>
    <w:rsid w:val="00842415"/>
    <w:rsid w:val="0090144C"/>
    <w:rsid w:val="00911540"/>
    <w:rsid w:val="00AB30EE"/>
    <w:rsid w:val="00AB3C37"/>
    <w:rsid w:val="00BA0659"/>
    <w:rsid w:val="00BD2BCC"/>
    <w:rsid w:val="00CF2930"/>
    <w:rsid w:val="00EA1C10"/>
    <w:rsid w:val="00EB6106"/>
    <w:rsid w:val="00F33052"/>
    <w:rsid w:val="00FA2F21"/>
    <w:rsid w:val="00FD775E"/>
    <w:rsid w:val="01C311E3"/>
    <w:rsid w:val="02902A6D"/>
    <w:rsid w:val="03CB70FD"/>
    <w:rsid w:val="04303F1B"/>
    <w:rsid w:val="048E7480"/>
    <w:rsid w:val="04A8012B"/>
    <w:rsid w:val="04B30C95"/>
    <w:rsid w:val="05856AD5"/>
    <w:rsid w:val="06BF0B37"/>
    <w:rsid w:val="06D82A04"/>
    <w:rsid w:val="075619CB"/>
    <w:rsid w:val="080129DC"/>
    <w:rsid w:val="08496F97"/>
    <w:rsid w:val="08FE489D"/>
    <w:rsid w:val="094D16B8"/>
    <w:rsid w:val="0A5D0037"/>
    <w:rsid w:val="0B7423F7"/>
    <w:rsid w:val="0BB9554A"/>
    <w:rsid w:val="0BD1263E"/>
    <w:rsid w:val="0CB81B59"/>
    <w:rsid w:val="0E0340A2"/>
    <w:rsid w:val="0F052A35"/>
    <w:rsid w:val="0F134CC3"/>
    <w:rsid w:val="0FC71A98"/>
    <w:rsid w:val="10F274B2"/>
    <w:rsid w:val="10F72C00"/>
    <w:rsid w:val="12386C7D"/>
    <w:rsid w:val="12894139"/>
    <w:rsid w:val="12E0359D"/>
    <w:rsid w:val="13E97196"/>
    <w:rsid w:val="140023DE"/>
    <w:rsid w:val="151F32F9"/>
    <w:rsid w:val="154047C7"/>
    <w:rsid w:val="154459C2"/>
    <w:rsid w:val="15EA64E1"/>
    <w:rsid w:val="173008D1"/>
    <w:rsid w:val="17E215FD"/>
    <w:rsid w:val="18DA1F7F"/>
    <w:rsid w:val="1C961170"/>
    <w:rsid w:val="1D0E157D"/>
    <w:rsid w:val="1E426EBA"/>
    <w:rsid w:val="1EB4768C"/>
    <w:rsid w:val="1F0C6047"/>
    <w:rsid w:val="2063580D"/>
    <w:rsid w:val="206C021E"/>
    <w:rsid w:val="20AB687B"/>
    <w:rsid w:val="22FD3A37"/>
    <w:rsid w:val="23FC3FAF"/>
    <w:rsid w:val="24DA0EC9"/>
    <w:rsid w:val="25DF76E4"/>
    <w:rsid w:val="268424E2"/>
    <w:rsid w:val="275A5C8F"/>
    <w:rsid w:val="2794090C"/>
    <w:rsid w:val="27EF79D0"/>
    <w:rsid w:val="299F0F77"/>
    <w:rsid w:val="29C31E0B"/>
    <w:rsid w:val="29D3676F"/>
    <w:rsid w:val="2A20464E"/>
    <w:rsid w:val="2B013A1E"/>
    <w:rsid w:val="2B326266"/>
    <w:rsid w:val="2BCE0E8D"/>
    <w:rsid w:val="2CFD5FD1"/>
    <w:rsid w:val="2D016192"/>
    <w:rsid w:val="2DAF6865"/>
    <w:rsid w:val="2DB11966"/>
    <w:rsid w:val="2F0D439D"/>
    <w:rsid w:val="2F276007"/>
    <w:rsid w:val="30603BB1"/>
    <w:rsid w:val="3109155C"/>
    <w:rsid w:val="324A2916"/>
    <w:rsid w:val="32A2319F"/>
    <w:rsid w:val="33484B1B"/>
    <w:rsid w:val="350F5A09"/>
    <w:rsid w:val="36695E13"/>
    <w:rsid w:val="366A6591"/>
    <w:rsid w:val="38606463"/>
    <w:rsid w:val="395357F5"/>
    <w:rsid w:val="39861EF9"/>
    <w:rsid w:val="3A5E0BF1"/>
    <w:rsid w:val="3AE63314"/>
    <w:rsid w:val="3B28629A"/>
    <w:rsid w:val="3B375C76"/>
    <w:rsid w:val="3C0105DA"/>
    <w:rsid w:val="3CDC5C06"/>
    <w:rsid w:val="3E48714B"/>
    <w:rsid w:val="3EE80006"/>
    <w:rsid w:val="3F9243FD"/>
    <w:rsid w:val="40713DF8"/>
    <w:rsid w:val="41055DF9"/>
    <w:rsid w:val="412F0F7D"/>
    <w:rsid w:val="42A65FF4"/>
    <w:rsid w:val="43B92EDB"/>
    <w:rsid w:val="44AB376B"/>
    <w:rsid w:val="44B21147"/>
    <w:rsid w:val="471C5A03"/>
    <w:rsid w:val="471E242A"/>
    <w:rsid w:val="47855EE6"/>
    <w:rsid w:val="48DB11F5"/>
    <w:rsid w:val="49635ED4"/>
    <w:rsid w:val="4A266DE0"/>
    <w:rsid w:val="4AFB201B"/>
    <w:rsid w:val="4B7A73E4"/>
    <w:rsid w:val="4CB15087"/>
    <w:rsid w:val="4D5E3E4E"/>
    <w:rsid w:val="50D71089"/>
    <w:rsid w:val="51A943DC"/>
    <w:rsid w:val="51EC6229"/>
    <w:rsid w:val="57185DE8"/>
    <w:rsid w:val="58C6422B"/>
    <w:rsid w:val="59155255"/>
    <w:rsid w:val="59811520"/>
    <w:rsid w:val="59A005FF"/>
    <w:rsid w:val="5AE90FB3"/>
    <w:rsid w:val="5C8C142B"/>
    <w:rsid w:val="5CDD77D2"/>
    <w:rsid w:val="5DD92B49"/>
    <w:rsid w:val="5E860452"/>
    <w:rsid w:val="5F8836F5"/>
    <w:rsid w:val="608E4166"/>
    <w:rsid w:val="60C70EC5"/>
    <w:rsid w:val="60FD0443"/>
    <w:rsid w:val="639F748E"/>
    <w:rsid w:val="63D00E64"/>
    <w:rsid w:val="64432470"/>
    <w:rsid w:val="64B25434"/>
    <w:rsid w:val="6536192F"/>
    <w:rsid w:val="65801643"/>
    <w:rsid w:val="66EC51E2"/>
    <w:rsid w:val="66FF2DB0"/>
    <w:rsid w:val="681F229F"/>
    <w:rsid w:val="690536F3"/>
    <w:rsid w:val="69126A56"/>
    <w:rsid w:val="69463972"/>
    <w:rsid w:val="69C51D1A"/>
    <w:rsid w:val="6B105DC9"/>
    <w:rsid w:val="6B574BF4"/>
    <w:rsid w:val="6CA976D1"/>
    <w:rsid w:val="6EAD0AC3"/>
    <w:rsid w:val="6FEC1DAE"/>
    <w:rsid w:val="70197CB2"/>
    <w:rsid w:val="70755781"/>
    <w:rsid w:val="708F0A33"/>
    <w:rsid w:val="70EB650A"/>
    <w:rsid w:val="710246D9"/>
    <w:rsid w:val="713745FD"/>
    <w:rsid w:val="71ED713D"/>
    <w:rsid w:val="72A367E7"/>
    <w:rsid w:val="72B10398"/>
    <w:rsid w:val="737412C0"/>
    <w:rsid w:val="73C05661"/>
    <w:rsid w:val="74685100"/>
    <w:rsid w:val="75114065"/>
    <w:rsid w:val="7512213C"/>
    <w:rsid w:val="75150D43"/>
    <w:rsid w:val="76543CC8"/>
    <w:rsid w:val="772E6EFD"/>
    <w:rsid w:val="799D236B"/>
    <w:rsid w:val="79AE3BA7"/>
    <w:rsid w:val="79BA049C"/>
    <w:rsid w:val="79DF346F"/>
    <w:rsid w:val="7B2A407B"/>
    <w:rsid w:val="7C0C5586"/>
    <w:rsid w:val="7C1C5887"/>
    <w:rsid w:val="7C647170"/>
    <w:rsid w:val="7C96335B"/>
    <w:rsid w:val="7D360B0D"/>
    <w:rsid w:val="7D426856"/>
    <w:rsid w:val="7F160BF6"/>
    <w:rsid w:val="7F8A3F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0"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Calibri"/>
      <w:kern w:val="2"/>
      <w:sz w:val="21"/>
      <w:szCs w:val="21"/>
      <w:lang w:val="en-US" w:eastAsia="zh-CN" w:bidi="ar-SA"/>
    </w:rPr>
  </w:style>
  <w:style w:type="paragraph" w:styleId="2">
    <w:name w:val="heading 1"/>
    <w:basedOn w:val="1"/>
    <w:next w:val="1"/>
    <w:link w:val="49"/>
    <w:autoRedefine/>
    <w:qFormat/>
    <w:uiPriority w:val="1"/>
    <w:pPr>
      <w:keepNext/>
      <w:keepLines/>
      <w:spacing w:before="340" w:after="330" w:line="576" w:lineRule="auto"/>
      <w:outlineLvl w:val="0"/>
    </w:pPr>
    <w:rPr>
      <w:rFonts w:cs="Times New Roman"/>
      <w:b/>
      <w:kern w:val="44"/>
      <w:sz w:val="44"/>
      <w:szCs w:val="20"/>
    </w:rPr>
  </w:style>
  <w:style w:type="paragraph" w:styleId="3">
    <w:name w:val="heading 2"/>
    <w:basedOn w:val="1"/>
    <w:next w:val="1"/>
    <w:link w:val="50"/>
    <w:autoRedefine/>
    <w:semiHidden/>
    <w:unhideWhenUsed/>
    <w:qFormat/>
    <w:uiPriority w:val="0"/>
    <w:pPr>
      <w:keepNext/>
      <w:keepLines/>
      <w:spacing w:before="260" w:after="260" w:line="412" w:lineRule="auto"/>
      <w:outlineLvl w:val="1"/>
    </w:pPr>
    <w:rPr>
      <w:rFonts w:asciiTheme="majorHAnsi" w:hAnsiTheme="majorHAnsi" w:eastAsiaTheme="majorEastAsia" w:cstheme="majorBidi"/>
      <w:b/>
      <w:bCs/>
      <w:sz w:val="32"/>
      <w:szCs w:val="32"/>
    </w:rPr>
  </w:style>
  <w:style w:type="paragraph" w:styleId="4">
    <w:name w:val="heading 3"/>
    <w:basedOn w:val="1"/>
    <w:next w:val="1"/>
    <w:link w:val="51"/>
    <w:autoRedefine/>
    <w:semiHidden/>
    <w:unhideWhenUsed/>
    <w:qFormat/>
    <w:uiPriority w:val="0"/>
    <w:pPr>
      <w:keepNext/>
      <w:keepLines/>
      <w:spacing w:before="260" w:after="260" w:line="410" w:lineRule="auto"/>
      <w:ind w:left="720" w:hanging="720"/>
      <w:outlineLvl w:val="2"/>
    </w:pPr>
    <w:rPr>
      <w:rFonts w:ascii="Calibri" w:hAnsi="Calibri" w:cs="Times New Roman"/>
      <w:b/>
      <w:sz w:val="32"/>
      <w:szCs w:val="24"/>
    </w:rPr>
  </w:style>
  <w:style w:type="paragraph" w:styleId="5">
    <w:name w:val="heading 4"/>
    <w:basedOn w:val="1"/>
    <w:next w:val="1"/>
    <w:link w:val="52"/>
    <w:autoRedefine/>
    <w:semiHidden/>
    <w:unhideWhenUsed/>
    <w:qFormat/>
    <w:uiPriority w:val="0"/>
    <w:pPr>
      <w:spacing w:before="280" w:after="290" w:line="372" w:lineRule="auto"/>
      <w:ind w:left="864" w:hanging="864"/>
      <w:outlineLvl w:val="3"/>
    </w:pPr>
    <w:rPr>
      <w:rFonts w:ascii="Arial" w:hAnsi="Arial" w:eastAsia="黑体"/>
      <w:sz w:val="28"/>
    </w:rPr>
  </w:style>
  <w:style w:type="paragraph" w:styleId="6">
    <w:name w:val="heading 5"/>
    <w:basedOn w:val="1"/>
    <w:next w:val="1"/>
    <w:link w:val="53"/>
    <w:autoRedefine/>
    <w:semiHidden/>
    <w:unhideWhenUsed/>
    <w:qFormat/>
    <w:uiPriority w:val="0"/>
    <w:pPr>
      <w:keepNext/>
      <w:keepLines/>
      <w:spacing w:before="280" w:after="290" w:line="372" w:lineRule="auto"/>
      <w:ind w:left="1008" w:hanging="1008"/>
      <w:outlineLvl w:val="4"/>
    </w:pPr>
    <w:rPr>
      <w:rFonts w:ascii="Calibri" w:hAnsi="Calibri" w:cs="Times New Roman"/>
      <w:b/>
      <w:sz w:val="28"/>
      <w:szCs w:val="24"/>
    </w:rPr>
  </w:style>
  <w:style w:type="paragraph" w:styleId="7">
    <w:name w:val="heading 6"/>
    <w:basedOn w:val="1"/>
    <w:next w:val="1"/>
    <w:link w:val="54"/>
    <w:autoRedefine/>
    <w:semiHidden/>
    <w:unhideWhenUsed/>
    <w:qFormat/>
    <w:uiPriority w:val="0"/>
    <w:pPr>
      <w:keepNext/>
      <w:keepLines/>
      <w:spacing w:before="240" w:after="64" w:line="314" w:lineRule="auto"/>
      <w:ind w:left="1151" w:hanging="1151"/>
      <w:outlineLvl w:val="5"/>
    </w:pPr>
    <w:rPr>
      <w:rFonts w:ascii="Arial" w:hAnsi="Arial" w:eastAsia="黑体" w:cs="Times New Roman"/>
      <w:b/>
      <w:sz w:val="24"/>
      <w:szCs w:val="24"/>
    </w:rPr>
  </w:style>
  <w:style w:type="paragraph" w:styleId="8">
    <w:name w:val="heading 7"/>
    <w:basedOn w:val="1"/>
    <w:next w:val="1"/>
    <w:link w:val="55"/>
    <w:autoRedefine/>
    <w:semiHidden/>
    <w:unhideWhenUsed/>
    <w:qFormat/>
    <w:uiPriority w:val="99"/>
    <w:pPr>
      <w:keepNext/>
      <w:keepLines/>
      <w:spacing w:before="240" w:after="64" w:line="314" w:lineRule="auto"/>
      <w:ind w:left="1296" w:hanging="1296"/>
      <w:outlineLvl w:val="6"/>
    </w:pPr>
    <w:rPr>
      <w:rFonts w:ascii="Calibri" w:hAnsi="Calibri" w:cs="Times New Roman"/>
      <w:b/>
      <w:sz w:val="24"/>
      <w:szCs w:val="24"/>
    </w:rPr>
  </w:style>
  <w:style w:type="paragraph" w:styleId="9">
    <w:name w:val="heading 8"/>
    <w:basedOn w:val="1"/>
    <w:next w:val="1"/>
    <w:link w:val="56"/>
    <w:autoRedefine/>
    <w:semiHidden/>
    <w:unhideWhenUsed/>
    <w:qFormat/>
    <w:uiPriority w:val="99"/>
    <w:pPr>
      <w:keepNext/>
      <w:keepLines/>
      <w:spacing w:before="240" w:after="64" w:line="314" w:lineRule="auto"/>
      <w:ind w:left="1440" w:hanging="1440"/>
      <w:outlineLvl w:val="7"/>
    </w:pPr>
    <w:rPr>
      <w:rFonts w:ascii="Arial" w:hAnsi="Arial" w:eastAsia="黑体" w:cs="Times New Roman"/>
      <w:sz w:val="24"/>
      <w:szCs w:val="24"/>
    </w:rPr>
  </w:style>
  <w:style w:type="paragraph" w:styleId="10">
    <w:name w:val="heading 9"/>
    <w:basedOn w:val="1"/>
    <w:next w:val="1"/>
    <w:link w:val="57"/>
    <w:autoRedefine/>
    <w:semiHidden/>
    <w:unhideWhenUsed/>
    <w:qFormat/>
    <w:uiPriority w:val="99"/>
    <w:pPr>
      <w:keepNext/>
      <w:keepLines/>
      <w:spacing w:before="240" w:after="64" w:line="314" w:lineRule="auto"/>
      <w:ind w:left="1583" w:hanging="1583"/>
      <w:outlineLvl w:val="8"/>
    </w:pPr>
    <w:rPr>
      <w:rFonts w:ascii="Arial" w:hAnsi="Arial" w:eastAsia="黑体" w:cs="Times New Roman"/>
      <w:szCs w:val="24"/>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11">
    <w:name w:val="table of authorities"/>
    <w:basedOn w:val="1"/>
    <w:next w:val="1"/>
    <w:autoRedefine/>
    <w:semiHidden/>
    <w:unhideWhenUsed/>
    <w:qFormat/>
    <w:uiPriority w:val="99"/>
    <w:pPr>
      <w:ind w:left="420" w:leftChars="200"/>
    </w:pPr>
  </w:style>
  <w:style w:type="paragraph" w:styleId="12">
    <w:name w:val="Normal Indent"/>
    <w:basedOn w:val="1"/>
    <w:link w:val="61"/>
    <w:autoRedefine/>
    <w:semiHidden/>
    <w:unhideWhenUsed/>
    <w:qFormat/>
    <w:uiPriority w:val="0"/>
    <w:pPr>
      <w:ind w:firstLine="425"/>
    </w:pPr>
    <w:rPr>
      <w:rFonts w:asciiTheme="minorHAnsi" w:hAnsiTheme="minorHAnsi" w:eastAsiaTheme="minorEastAsia" w:cstheme="minorBidi"/>
    </w:rPr>
  </w:style>
  <w:style w:type="paragraph" w:styleId="13">
    <w:name w:val="caption"/>
    <w:basedOn w:val="1"/>
    <w:next w:val="1"/>
    <w:autoRedefine/>
    <w:semiHidden/>
    <w:unhideWhenUsed/>
    <w:qFormat/>
    <w:uiPriority w:val="99"/>
    <w:rPr>
      <w:rFonts w:ascii="Arial" w:hAnsi="Arial" w:eastAsia="黑体" w:cs="Arial"/>
      <w:sz w:val="20"/>
      <w:szCs w:val="20"/>
    </w:rPr>
  </w:style>
  <w:style w:type="paragraph" w:styleId="14">
    <w:name w:val="toa heading"/>
    <w:basedOn w:val="1"/>
    <w:next w:val="1"/>
    <w:autoRedefine/>
    <w:semiHidden/>
    <w:unhideWhenUsed/>
    <w:qFormat/>
    <w:uiPriority w:val="99"/>
    <w:rPr>
      <w:rFonts w:ascii="Arial" w:hAnsi="Arial"/>
      <w:sz w:val="24"/>
    </w:rPr>
  </w:style>
  <w:style w:type="paragraph" w:styleId="15">
    <w:name w:val="annotation text"/>
    <w:basedOn w:val="1"/>
    <w:next w:val="1"/>
    <w:autoRedefine/>
    <w:qFormat/>
    <w:uiPriority w:val="0"/>
    <w:pPr>
      <w:jc w:val="left"/>
    </w:pPr>
  </w:style>
  <w:style w:type="paragraph" w:styleId="16">
    <w:name w:val="Body Text"/>
    <w:basedOn w:val="1"/>
    <w:next w:val="17"/>
    <w:link w:val="64"/>
    <w:autoRedefine/>
    <w:semiHidden/>
    <w:unhideWhenUsed/>
    <w:qFormat/>
    <w:uiPriority w:val="99"/>
    <w:pPr>
      <w:spacing w:after="120"/>
    </w:pPr>
    <w:rPr>
      <w:rFonts w:ascii="Calibri" w:hAnsi="Calibri" w:cs="Times New Roman"/>
      <w:kern w:val="0"/>
      <w:sz w:val="20"/>
    </w:rPr>
  </w:style>
  <w:style w:type="paragraph" w:styleId="17">
    <w:name w:val="Body Text First Indent"/>
    <w:basedOn w:val="16"/>
    <w:next w:val="18"/>
    <w:link w:val="69"/>
    <w:autoRedefine/>
    <w:semiHidden/>
    <w:unhideWhenUsed/>
    <w:qFormat/>
    <w:uiPriority w:val="99"/>
    <w:pPr>
      <w:spacing w:before="100" w:beforeAutospacing="1"/>
      <w:ind w:firstLine="420" w:firstLineChars="100"/>
    </w:pPr>
    <w:rPr>
      <w:rFonts w:ascii="宋体" w:hAnsi="Times New Roman"/>
      <w:sz w:val="34"/>
      <w:szCs w:val="34"/>
    </w:rPr>
  </w:style>
  <w:style w:type="paragraph" w:customStyle="1" w:styleId="18">
    <w:name w:val="List Paragraph1"/>
    <w:basedOn w:val="1"/>
    <w:next w:val="1"/>
    <w:autoRedefine/>
    <w:qFormat/>
    <w:uiPriority w:val="0"/>
    <w:pPr>
      <w:ind w:left="420" w:firstLine="3748"/>
    </w:pPr>
  </w:style>
  <w:style w:type="paragraph" w:styleId="19">
    <w:name w:val="Body Text Indent"/>
    <w:basedOn w:val="1"/>
    <w:link w:val="65"/>
    <w:autoRedefine/>
    <w:semiHidden/>
    <w:unhideWhenUsed/>
    <w:qFormat/>
    <w:uiPriority w:val="99"/>
    <w:pPr>
      <w:spacing w:after="120"/>
      <w:ind w:left="420" w:leftChars="200"/>
    </w:pPr>
  </w:style>
  <w:style w:type="paragraph" w:styleId="20">
    <w:name w:val="Block Text"/>
    <w:basedOn w:val="1"/>
    <w:autoRedefine/>
    <w:semiHidden/>
    <w:unhideWhenUsed/>
    <w:qFormat/>
    <w:uiPriority w:val="99"/>
    <w:pPr>
      <w:spacing w:after="120"/>
      <w:ind w:left="1440" w:leftChars="700" w:right="1440" w:rightChars="700"/>
    </w:pPr>
  </w:style>
  <w:style w:type="paragraph" w:styleId="21">
    <w:name w:val="toc 3"/>
    <w:basedOn w:val="1"/>
    <w:next w:val="1"/>
    <w:autoRedefine/>
    <w:semiHidden/>
    <w:unhideWhenUsed/>
    <w:qFormat/>
    <w:uiPriority w:val="39"/>
    <w:pPr>
      <w:ind w:left="840" w:leftChars="400"/>
    </w:pPr>
  </w:style>
  <w:style w:type="paragraph" w:styleId="22">
    <w:name w:val="Plain Text"/>
    <w:basedOn w:val="1"/>
    <w:link w:val="71"/>
    <w:autoRedefine/>
    <w:semiHidden/>
    <w:unhideWhenUsed/>
    <w:qFormat/>
    <w:uiPriority w:val="99"/>
    <w:rPr>
      <w:rFonts w:cs="Times New Roman"/>
      <w:kern w:val="0"/>
      <w:sz w:val="24"/>
      <w:szCs w:val="24"/>
    </w:rPr>
  </w:style>
  <w:style w:type="paragraph" w:styleId="23">
    <w:name w:val="Date"/>
    <w:basedOn w:val="1"/>
    <w:next w:val="1"/>
    <w:link w:val="67"/>
    <w:autoRedefine/>
    <w:semiHidden/>
    <w:unhideWhenUsed/>
    <w:qFormat/>
    <w:uiPriority w:val="99"/>
    <w:pPr>
      <w:ind w:left="100" w:leftChars="2500"/>
    </w:pPr>
    <w:rPr>
      <w:rFonts w:ascii="Calibri" w:hAnsi="Calibri" w:cs="Times New Roman"/>
      <w:kern w:val="0"/>
      <w:sz w:val="20"/>
    </w:rPr>
  </w:style>
  <w:style w:type="paragraph" w:styleId="24">
    <w:name w:val="Balloon Text"/>
    <w:basedOn w:val="1"/>
    <w:link w:val="72"/>
    <w:autoRedefine/>
    <w:semiHidden/>
    <w:unhideWhenUsed/>
    <w:qFormat/>
    <w:uiPriority w:val="99"/>
    <w:rPr>
      <w:sz w:val="18"/>
      <w:szCs w:val="18"/>
    </w:rPr>
  </w:style>
  <w:style w:type="paragraph" w:styleId="25">
    <w:name w:val="footer"/>
    <w:basedOn w:val="1"/>
    <w:link w:val="63"/>
    <w:autoRedefine/>
    <w:unhideWhenUsed/>
    <w:qFormat/>
    <w:uiPriority w:val="99"/>
    <w:pPr>
      <w:snapToGrid w:val="0"/>
      <w:jc w:val="left"/>
    </w:pPr>
    <w:rPr>
      <w:rFonts w:cs="Times New Roman"/>
      <w:kern w:val="0"/>
      <w:sz w:val="18"/>
      <w:szCs w:val="18"/>
    </w:rPr>
  </w:style>
  <w:style w:type="paragraph" w:styleId="26">
    <w:name w:val="header"/>
    <w:basedOn w:val="1"/>
    <w:link w:val="62"/>
    <w:autoRedefine/>
    <w:unhideWhenUsed/>
    <w:qFormat/>
    <w:uiPriority w:val="99"/>
    <w:pPr>
      <w:tabs>
        <w:tab w:val="center" w:pos="4153"/>
        <w:tab w:val="right" w:pos="8306"/>
      </w:tabs>
      <w:snapToGrid w:val="0"/>
    </w:pPr>
    <w:rPr>
      <w:rFonts w:ascii="Calibri" w:hAnsi="Calibri" w:cs="Times New Roman"/>
      <w:kern w:val="0"/>
      <w:sz w:val="18"/>
    </w:rPr>
  </w:style>
  <w:style w:type="paragraph" w:styleId="27">
    <w:name w:val="toc 1"/>
    <w:basedOn w:val="1"/>
    <w:next w:val="1"/>
    <w:autoRedefine/>
    <w:semiHidden/>
    <w:unhideWhenUsed/>
    <w:qFormat/>
    <w:uiPriority w:val="39"/>
  </w:style>
  <w:style w:type="paragraph" w:styleId="28">
    <w:name w:val="toc 2"/>
    <w:basedOn w:val="1"/>
    <w:next w:val="1"/>
    <w:autoRedefine/>
    <w:semiHidden/>
    <w:unhideWhenUsed/>
    <w:qFormat/>
    <w:uiPriority w:val="39"/>
    <w:pPr>
      <w:spacing w:before="120"/>
      <w:ind w:left="210"/>
      <w:jc w:val="left"/>
    </w:pPr>
    <w:rPr>
      <w:rFonts w:cs="Times New Roman"/>
      <w:i/>
      <w:iCs/>
      <w:sz w:val="20"/>
      <w:szCs w:val="24"/>
    </w:rPr>
  </w:style>
  <w:style w:type="paragraph" w:styleId="29">
    <w:name w:val="Body Text 2"/>
    <w:basedOn w:val="1"/>
    <w:next w:val="16"/>
    <w:link w:val="70"/>
    <w:autoRedefine/>
    <w:semiHidden/>
    <w:unhideWhenUsed/>
    <w:qFormat/>
    <w:uiPriority w:val="99"/>
    <w:pPr>
      <w:widowControl/>
      <w:spacing w:before="100" w:beforeAutospacing="1" w:after="100" w:afterAutospacing="1"/>
      <w:jc w:val="left"/>
    </w:pPr>
    <w:rPr>
      <w:rFonts w:ascii="宋体" w:hAnsi="宋体"/>
      <w:kern w:val="0"/>
      <w:sz w:val="24"/>
    </w:rPr>
  </w:style>
  <w:style w:type="paragraph" w:styleId="30">
    <w:name w:val="Message Header"/>
    <w:basedOn w:val="1"/>
    <w:link w:val="66"/>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kern w:val="0"/>
      <w:sz w:val="20"/>
    </w:rPr>
  </w:style>
  <w:style w:type="paragraph" w:styleId="31">
    <w:name w:val="HTML Preformatted"/>
    <w:basedOn w:val="1"/>
    <w:link w:val="59"/>
    <w:autoRedefine/>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32">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33">
    <w:name w:val="Body Text First Indent 2"/>
    <w:basedOn w:val="19"/>
    <w:next w:val="1"/>
    <w:link w:val="68"/>
    <w:autoRedefine/>
    <w:semiHidden/>
    <w:unhideWhenUsed/>
    <w:qFormat/>
    <w:uiPriority w:val="99"/>
    <w:pPr>
      <w:ind w:firstLine="420" w:firstLineChars="200"/>
    </w:pPr>
    <w:rPr>
      <w:rFonts w:cs="Times New Roman"/>
      <w:kern w:val="0"/>
      <w:sz w:val="20"/>
    </w:rPr>
  </w:style>
  <w:style w:type="table" w:styleId="35">
    <w:name w:val="Table Grid"/>
    <w:basedOn w:val="3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autoRedefine/>
    <w:qFormat/>
    <w:uiPriority w:val="22"/>
    <w:rPr>
      <w:b/>
    </w:rPr>
  </w:style>
  <w:style w:type="character" w:styleId="38">
    <w:name w:val="FollowedHyperlink"/>
    <w:basedOn w:val="36"/>
    <w:autoRedefine/>
    <w:semiHidden/>
    <w:unhideWhenUsed/>
    <w:qFormat/>
    <w:uiPriority w:val="99"/>
    <w:rPr>
      <w:color w:val="000000"/>
      <w:u w:val="none"/>
    </w:rPr>
  </w:style>
  <w:style w:type="character" w:styleId="39">
    <w:name w:val="Emphasis"/>
    <w:basedOn w:val="36"/>
    <w:autoRedefine/>
    <w:qFormat/>
    <w:uiPriority w:val="20"/>
  </w:style>
  <w:style w:type="character" w:styleId="40">
    <w:name w:val="HTML Definition"/>
    <w:basedOn w:val="36"/>
    <w:autoRedefine/>
    <w:semiHidden/>
    <w:unhideWhenUsed/>
    <w:qFormat/>
    <w:uiPriority w:val="99"/>
  </w:style>
  <w:style w:type="character" w:styleId="41">
    <w:name w:val="HTML Typewriter"/>
    <w:basedOn w:val="36"/>
    <w:semiHidden/>
    <w:unhideWhenUsed/>
    <w:qFormat/>
    <w:uiPriority w:val="99"/>
    <w:rPr>
      <w:rFonts w:ascii="monospace" w:hAnsi="monospace" w:eastAsia="monospace" w:cs="monospace"/>
      <w:sz w:val="20"/>
    </w:rPr>
  </w:style>
  <w:style w:type="character" w:styleId="42">
    <w:name w:val="HTML Acronym"/>
    <w:basedOn w:val="36"/>
    <w:semiHidden/>
    <w:unhideWhenUsed/>
    <w:qFormat/>
    <w:uiPriority w:val="99"/>
  </w:style>
  <w:style w:type="character" w:styleId="43">
    <w:name w:val="HTML Variable"/>
    <w:basedOn w:val="36"/>
    <w:autoRedefine/>
    <w:semiHidden/>
    <w:unhideWhenUsed/>
    <w:qFormat/>
    <w:uiPriority w:val="99"/>
  </w:style>
  <w:style w:type="character" w:styleId="44">
    <w:name w:val="Hyperlink"/>
    <w:basedOn w:val="36"/>
    <w:autoRedefine/>
    <w:semiHidden/>
    <w:unhideWhenUsed/>
    <w:qFormat/>
    <w:uiPriority w:val="99"/>
    <w:rPr>
      <w:color w:val="000000"/>
      <w:u w:val="none"/>
    </w:rPr>
  </w:style>
  <w:style w:type="character" w:styleId="45">
    <w:name w:val="HTML Code"/>
    <w:basedOn w:val="36"/>
    <w:semiHidden/>
    <w:unhideWhenUsed/>
    <w:qFormat/>
    <w:uiPriority w:val="99"/>
    <w:rPr>
      <w:rFonts w:hint="default" w:ascii="monospace" w:hAnsi="monospace" w:eastAsia="monospace" w:cs="monospace"/>
      <w:sz w:val="20"/>
    </w:rPr>
  </w:style>
  <w:style w:type="character" w:styleId="46">
    <w:name w:val="HTML Cite"/>
    <w:basedOn w:val="36"/>
    <w:autoRedefine/>
    <w:semiHidden/>
    <w:unhideWhenUsed/>
    <w:qFormat/>
    <w:uiPriority w:val="99"/>
  </w:style>
  <w:style w:type="character" w:styleId="47">
    <w:name w:val="HTML Keyboard"/>
    <w:basedOn w:val="36"/>
    <w:autoRedefine/>
    <w:semiHidden/>
    <w:unhideWhenUsed/>
    <w:qFormat/>
    <w:uiPriority w:val="99"/>
    <w:rPr>
      <w:rFonts w:hint="default" w:ascii="monospace" w:hAnsi="monospace" w:eastAsia="monospace" w:cs="monospace"/>
      <w:sz w:val="20"/>
    </w:rPr>
  </w:style>
  <w:style w:type="character" w:styleId="48">
    <w:name w:val="HTML Sample"/>
    <w:basedOn w:val="36"/>
    <w:semiHidden/>
    <w:unhideWhenUsed/>
    <w:qFormat/>
    <w:uiPriority w:val="99"/>
    <w:rPr>
      <w:rFonts w:hint="default" w:ascii="monospace" w:hAnsi="monospace" w:eastAsia="monospace" w:cs="monospace"/>
    </w:rPr>
  </w:style>
  <w:style w:type="character" w:customStyle="1" w:styleId="49">
    <w:name w:val="标题 1 Char"/>
    <w:basedOn w:val="36"/>
    <w:link w:val="2"/>
    <w:autoRedefine/>
    <w:qFormat/>
    <w:uiPriority w:val="1"/>
    <w:rPr>
      <w:rFonts w:ascii="Times New Roman" w:hAnsi="Times New Roman" w:eastAsia="宋体" w:cs="Times New Roman"/>
      <w:b/>
      <w:kern w:val="44"/>
      <w:sz w:val="44"/>
      <w:szCs w:val="20"/>
    </w:rPr>
  </w:style>
  <w:style w:type="character" w:customStyle="1" w:styleId="50">
    <w:name w:val="标题 2 Char"/>
    <w:basedOn w:val="36"/>
    <w:link w:val="3"/>
    <w:autoRedefine/>
    <w:semiHidden/>
    <w:qFormat/>
    <w:uiPriority w:val="0"/>
    <w:rPr>
      <w:rFonts w:asciiTheme="majorHAnsi" w:hAnsiTheme="majorHAnsi" w:eastAsiaTheme="majorEastAsia" w:cstheme="majorBidi"/>
      <w:b/>
      <w:bCs/>
      <w:sz w:val="32"/>
      <w:szCs w:val="32"/>
    </w:rPr>
  </w:style>
  <w:style w:type="character" w:customStyle="1" w:styleId="51">
    <w:name w:val="标题 3 Char"/>
    <w:basedOn w:val="36"/>
    <w:link w:val="4"/>
    <w:autoRedefine/>
    <w:semiHidden/>
    <w:qFormat/>
    <w:uiPriority w:val="0"/>
    <w:rPr>
      <w:rFonts w:ascii="Calibri" w:hAnsi="Calibri" w:eastAsia="宋体" w:cs="Times New Roman"/>
      <w:b/>
      <w:sz w:val="32"/>
      <w:szCs w:val="24"/>
    </w:rPr>
  </w:style>
  <w:style w:type="character" w:customStyle="1" w:styleId="52">
    <w:name w:val="标题 4 Char"/>
    <w:basedOn w:val="36"/>
    <w:link w:val="5"/>
    <w:autoRedefine/>
    <w:semiHidden/>
    <w:qFormat/>
    <w:uiPriority w:val="0"/>
    <w:rPr>
      <w:rFonts w:ascii="Arial" w:hAnsi="Arial" w:eastAsia="黑体" w:cs="Calibri"/>
      <w:sz w:val="28"/>
      <w:szCs w:val="21"/>
    </w:rPr>
  </w:style>
  <w:style w:type="character" w:customStyle="1" w:styleId="53">
    <w:name w:val="标题 5 Char"/>
    <w:basedOn w:val="36"/>
    <w:link w:val="6"/>
    <w:autoRedefine/>
    <w:semiHidden/>
    <w:qFormat/>
    <w:uiPriority w:val="0"/>
    <w:rPr>
      <w:rFonts w:ascii="Calibri" w:hAnsi="Calibri" w:eastAsia="宋体" w:cs="Times New Roman"/>
      <w:b/>
      <w:sz w:val="28"/>
      <w:szCs w:val="24"/>
    </w:rPr>
  </w:style>
  <w:style w:type="character" w:customStyle="1" w:styleId="54">
    <w:name w:val="标题 6 Char"/>
    <w:basedOn w:val="36"/>
    <w:link w:val="7"/>
    <w:autoRedefine/>
    <w:semiHidden/>
    <w:qFormat/>
    <w:uiPriority w:val="0"/>
    <w:rPr>
      <w:rFonts w:ascii="Arial" w:hAnsi="Arial" w:eastAsia="黑体" w:cs="Times New Roman"/>
      <w:b/>
      <w:sz w:val="24"/>
      <w:szCs w:val="24"/>
    </w:rPr>
  </w:style>
  <w:style w:type="character" w:customStyle="1" w:styleId="55">
    <w:name w:val="标题 7 Char"/>
    <w:basedOn w:val="36"/>
    <w:link w:val="8"/>
    <w:autoRedefine/>
    <w:semiHidden/>
    <w:qFormat/>
    <w:uiPriority w:val="99"/>
    <w:rPr>
      <w:rFonts w:ascii="Calibri" w:hAnsi="Calibri" w:eastAsia="宋体" w:cs="Times New Roman"/>
      <w:b/>
      <w:sz w:val="24"/>
      <w:szCs w:val="24"/>
    </w:rPr>
  </w:style>
  <w:style w:type="character" w:customStyle="1" w:styleId="56">
    <w:name w:val="标题 8 Char"/>
    <w:basedOn w:val="36"/>
    <w:link w:val="9"/>
    <w:autoRedefine/>
    <w:semiHidden/>
    <w:qFormat/>
    <w:uiPriority w:val="99"/>
    <w:rPr>
      <w:rFonts w:ascii="Arial" w:hAnsi="Arial" w:eastAsia="黑体" w:cs="Times New Roman"/>
      <w:sz w:val="24"/>
      <w:szCs w:val="24"/>
    </w:rPr>
  </w:style>
  <w:style w:type="character" w:customStyle="1" w:styleId="57">
    <w:name w:val="标题 9 Char"/>
    <w:basedOn w:val="36"/>
    <w:link w:val="10"/>
    <w:autoRedefine/>
    <w:semiHidden/>
    <w:qFormat/>
    <w:uiPriority w:val="99"/>
    <w:rPr>
      <w:rFonts w:ascii="Arial" w:hAnsi="Arial" w:eastAsia="黑体" w:cs="Times New Roman"/>
      <w:szCs w:val="24"/>
    </w:rPr>
  </w:style>
  <w:style w:type="paragraph" w:styleId="58">
    <w:name w:val="List Paragraph"/>
    <w:basedOn w:val="1"/>
    <w:autoRedefine/>
    <w:qFormat/>
    <w:uiPriority w:val="99"/>
    <w:pPr>
      <w:ind w:firstLine="420" w:firstLineChars="200"/>
    </w:pPr>
  </w:style>
  <w:style w:type="character" w:customStyle="1" w:styleId="59">
    <w:name w:val="HTML 预设格式 Char"/>
    <w:basedOn w:val="36"/>
    <w:link w:val="31"/>
    <w:autoRedefine/>
    <w:semiHidden/>
    <w:qFormat/>
    <w:uiPriority w:val="0"/>
    <w:rPr>
      <w:rFonts w:ascii="Arial" w:hAnsi="Arial" w:eastAsia="宋体" w:cs="Times New Roman"/>
      <w:kern w:val="0"/>
      <w:sz w:val="24"/>
      <w:szCs w:val="24"/>
    </w:rPr>
  </w:style>
  <w:style w:type="paragraph" w:customStyle="1" w:styleId="60">
    <w:name w:val="msonormal"/>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61">
    <w:name w:val="正文缩进 Char1"/>
    <w:link w:val="12"/>
    <w:autoRedefine/>
    <w:semiHidden/>
    <w:qFormat/>
    <w:locked/>
    <w:uiPriority w:val="0"/>
    <w:rPr>
      <w:szCs w:val="21"/>
    </w:rPr>
  </w:style>
  <w:style w:type="character" w:customStyle="1" w:styleId="62">
    <w:name w:val="页眉 Char"/>
    <w:basedOn w:val="36"/>
    <w:link w:val="26"/>
    <w:autoRedefine/>
    <w:qFormat/>
    <w:uiPriority w:val="99"/>
    <w:rPr>
      <w:rFonts w:ascii="Calibri" w:hAnsi="Calibri" w:eastAsia="宋体" w:cs="Times New Roman"/>
      <w:kern w:val="0"/>
      <w:sz w:val="18"/>
      <w:szCs w:val="21"/>
    </w:rPr>
  </w:style>
  <w:style w:type="character" w:customStyle="1" w:styleId="63">
    <w:name w:val="页脚 Char"/>
    <w:basedOn w:val="36"/>
    <w:link w:val="25"/>
    <w:autoRedefine/>
    <w:qFormat/>
    <w:uiPriority w:val="99"/>
    <w:rPr>
      <w:rFonts w:ascii="Times New Roman" w:hAnsi="Times New Roman" w:eastAsia="宋体" w:cs="Times New Roman"/>
      <w:kern w:val="0"/>
      <w:sz w:val="18"/>
      <w:szCs w:val="18"/>
    </w:rPr>
  </w:style>
  <w:style w:type="character" w:customStyle="1" w:styleId="64">
    <w:name w:val="正文文本 Char"/>
    <w:basedOn w:val="36"/>
    <w:link w:val="16"/>
    <w:autoRedefine/>
    <w:semiHidden/>
    <w:qFormat/>
    <w:uiPriority w:val="99"/>
    <w:rPr>
      <w:rFonts w:ascii="Calibri" w:hAnsi="Calibri" w:eastAsia="宋体" w:cs="Times New Roman"/>
      <w:kern w:val="0"/>
      <w:sz w:val="20"/>
      <w:szCs w:val="21"/>
    </w:rPr>
  </w:style>
  <w:style w:type="character" w:customStyle="1" w:styleId="65">
    <w:name w:val="正文文本缩进 Char"/>
    <w:basedOn w:val="36"/>
    <w:link w:val="19"/>
    <w:autoRedefine/>
    <w:semiHidden/>
    <w:qFormat/>
    <w:uiPriority w:val="99"/>
    <w:rPr>
      <w:rFonts w:ascii="Times New Roman" w:hAnsi="Times New Roman" w:eastAsia="宋体" w:cs="Calibri"/>
      <w:szCs w:val="21"/>
    </w:rPr>
  </w:style>
  <w:style w:type="character" w:customStyle="1" w:styleId="66">
    <w:name w:val="信息标题 Char"/>
    <w:basedOn w:val="36"/>
    <w:link w:val="30"/>
    <w:autoRedefine/>
    <w:semiHidden/>
    <w:qFormat/>
    <w:uiPriority w:val="99"/>
    <w:rPr>
      <w:rFonts w:ascii="Cambria" w:hAnsi="Cambria" w:eastAsia="宋体" w:cs="Times New Roman"/>
      <w:kern w:val="0"/>
      <w:sz w:val="20"/>
      <w:szCs w:val="21"/>
      <w:shd w:val="pct20" w:color="auto" w:fill="auto"/>
    </w:rPr>
  </w:style>
  <w:style w:type="character" w:customStyle="1" w:styleId="67">
    <w:name w:val="日期 Char"/>
    <w:basedOn w:val="36"/>
    <w:link w:val="23"/>
    <w:autoRedefine/>
    <w:semiHidden/>
    <w:qFormat/>
    <w:uiPriority w:val="99"/>
    <w:rPr>
      <w:rFonts w:ascii="Calibri" w:hAnsi="Calibri" w:eastAsia="宋体" w:cs="Times New Roman"/>
      <w:kern w:val="0"/>
      <w:sz w:val="20"/>
      <w:szCs w:val="21"/>
    </w:rPr>
  </w:style>
  <w:style w:type="character" w:customStyle="1" w:styleId="68">
    <w:name w:val="正文首行缩进 2 Char"/>
    <w:basedOn w:val="65"/>
    <w:link w:val="33"/>
    <w:autoRedefine/>
    <w:semiHidden/>
    <w:qFormat/>
    <w:uiPriority w:val="99"/>
    <w:rPr>
      <w:rFonts w:ascii="Times New Roman" w:hAnsi="Times New Roman" w:eastAsia="宋体" w:cs="Times New Roman"/>
      <w:kern w:val="0"/>
      <w:sz w:val="20"/>
      <w:szCs w:val="21"/>
    </w:rPr>
  </w:style>
  <w:style w:type="character" w:customStyle="1" w:styleId="69">
    <w:name w:val="正文首行缩进 Char"/>
    <w:basedOn w:val="64"/>
    <w:link w:val="17"/>
    <w:autoRedefine/>
    <w:semiHidden/>
    <w:qFormat/>
    <w:uiPriority w:val="99"/>
    <w:rPr>
      <w:rFonts w:ascii="宋体" w:hAnsi="Times New Roman" w:eastAsia="宋体" w:cs="Times New Roman"/>
      <w:kern w:val="0"/>
      <w:sz w:val="34"/>
      <w:szCs w:val="34"/>
    </w:rPr>
  </w:style>
  <w:style w:type="character" w:customStyle="1" w:styleId="70">
    <w:name w:val="正文文本 2 Char"/>
    <w:basedOn w:val="36"/>
    <w:link w:val="29"/>
    <w:autoRedefine/>
    <w:semiHidden/>
    <w:qFormat/>
    <w:uiPriority w:val="99"/>
    <w:rPr>
      <w:rFonts w:ascii="宋体" w:hAnsi="宋体" w:eastAsia="宋体" w:cs="Calibri"/>
      <w:kern w:val="0"/>
      <w:sz w:val="24"/>
      <w:szCs w:val="21"/>
    </w:rPr>
  </w:style>
  <w:style w:type="character" w:customStyle="1" w:styleId="71">
    <w:name w:val="纯文本 Char"/>
    <w:basedOn w:val="36"/>
    <w:link w:val="22"/>
    <w:autoRedefine/>
    <w:semiHidden/>
    <w:qFormat/>
    <w:uiPriority w:val="99"/>
    <w:rPr>
      <w:rFonts w:ascii="Times New Roman" w:hAnsi="Times New Roman" w:eastAsia="宋体" w:cs="Times New Roman"/>
      <w:kern w:val="0"/>
      <w:sz w:val="24"/>
      <w:szCs w:val="24"/>
    </w:rPr>
  </w:style>
  <w:style w:type="character" w:customStyle="1" w:styleId="72">
    <w:name w:val="批注框文本 Char"/>
    <w:basedOn w:val="36"/>
    <w:link w:val="24"/>
    <w:autoRedefine/>
    <w:semiHidden/>
    <w:qFormat/>
    <w:uiPriority w:val="99"/>
    <w:rPr>
      <w:rFonts w:ascii="Times New Roman" w:hAnsi="Times New Roman" w:eastAsia="宋体" w:cs="Calibri"/>
      <w:sz w:val="18"/>
      <w:szCs w:val="18"/>
    </w:rPr>
  </w:style>
  <w:style w:type="character" w:customStyle="1" w:styleId="73">
    <w:name w:val="无间隔 Char"/>
    <w:basedOn w:val="36"/>
    <w:link w:val="74"/>
    <w:autoRedefine/>
    <w:qFormat/>
    <w:locked/>
    <w:uiPriority w:val="1"/>
    <w:rPr>
      <w:sz w:val="24"/>
      <w:szCs w:val="24"/>
    </w:rPr>
  </w:style>
  <w:style w:type="paragraph" w:styleId="74">
    <w:name w:val="No Spacing"/>
    <w:next w:val="1"/>
    <w:link w:val="73"/>
    <w:autoRedefine/>
    <w:qFormat/>
    <w:uiPriority w:val="1"/>
    <w:pPr>
      <w:jc w:val="both"/>
    </w:pPr>
    <w:rPr>
      <w:rFonts w:asciiTheme="minorHAnsi" w:hAnsiTheme="minorHAnsi" w:eastAsiaTheme="minorEastAsia" w:cstheme="minorBidi"/>
      <w:kern w:val="2"/>
      <w:sz w:val="24"/>
      <w:szCs w:val="24"/>
      <w:lang w:val="en-US" w:eastAsia="zh-CN" w:bidi="ar-SA"/>
    </w:rPr>
  </w:style>
  <w:style w:type="paragraph" w:customStyle="1" w:styleId="75">
    <w:name w:val="_Style 3"/>
    <w:basedOn w:val="1"/>
    <w:autoRedefine/>
    <w:qFormat/>
    <w:uiPriority w:val="99"/>
    <w:pPr>
      <w:ind w:firstLine="420" w:firstLineChars="200"/>
    </w:pPr>
  </w:style>
  <w:style w:type="paragraph" w:customStyle="1" w:styleId="76">
    <w:name w:val="列出段落1"/>
    <w:basedOn w:val="1"/>
    <w:next w:val="58"/>
    <w:autoRedefine/>
    <w:qFormat/>
    <w:uiPriority w:val="99"/>
    <w:pPr>
      <w:ind w:firstLine="420" w:firstLineChars="200"/>
    </w:pPr>
  </w:style>
  <w:style w:type="paragraph" w:customStyle="1" w:styleId="77">
    <w:name w:val="正文缩进1"/>
    <w:basedOn w:val="1"/>
    <w:autoRedefine/>
    <w:qFormat/>
    <w:uiPriority w:val="99"/>
    <w:pPr>
      <w:adjustRightInd w:val="0"/>
      <w:spacing w:line="360" w:lineRule="atLeast"/>
      <w:ind w:firstLine="420" w:firstLineChars="200"/>
      <w:jc w:val="left"/>
    </w:pPr>
    <w:rPr>
      <w:rFonts w:cs="Times New Roman"/>
      <w:kern w:val="0"/>
      <w:sz w:val="24"/>
      <w:szCs w:val="24"/>
    </w:rPr>
  </w:style>
  <w:style w:type="paragraph" w:customStyle="1" w:styleId="78">
    <w:name w:val="日期1"/>
    <w:basedOn w:val="1"/>
    <w:next w:val="1"/>
    <w:autoRedefine/>
    <w:qFormat/>
    <w:uiPriority w:val="99"/>
    <w:rPr>
      <w:rFonts w:cs="Times New Roman"/>
      <w:kern w:val="0"/>
      <w:sz w:val="24"/>
      <w:szCs w:val="24"/>
    </w:rPr>
  </w:style>
  <w:style w:type="paragraph" w:customStyle="1" w:styleId="79">
    <w:name w:val="HtmlNormal"/>
    <w:basedOn w:val="1"/>
    <w:autoRedefine/>
    <w:qFormat/>
    <w:uiPriority w:val="99"/>
    <w:pPr>
      <w:jc w:val="left"/>
    </w:pPr>
    <w:rPr>
      <w:rFonts w:ascii="Calibri" w:hAnsi="Calibri"/>
      <w:kern w:val="0"/>
      <w:sz w:val="24"/>
      <w:szCs w:val="22"/>
    </w:rPr>
  </w:style>
  <w:style w:type="paragraph" w:customStyle="1" w:styleId="80">
    <w:name w:val="样式 样式 样式 样式 标题 2 + 宋体 五号 非加粗 黑色 + 段前: 6 磅 段后: 0 磅 行距: 单倍行距 + 段前:..."/>
    <w:basedOn w:val="1"/>
    <w:autoRedefine/>
    <w:qFormat/>
    <w:uiPriority w:val="99"/>
    <w:pPr>
      <w:keepNext/>
      <w:keepLines/>
      <w:adjustRightInd w:val="0"/>
      <w:spacing w:before="240" w:after="100" w:afterAutospacing="1"/>
      <w:jc w:val="left"/>
      <w:outlineLvl w:val="1"/>
    </w:pPr>
    <w:rPr>
      <w:rFonts w:ascii="宋体" w:hAnsi="宋体" w:cs="宋体"/>
      <w:b/>
      <w:bCs/>
      <w:color w:val="000000"/>
      <w:kern w:val="0"/>
    </w:rPr>
  </w:style>
  <w:style w:type="paragraph" w:customStyle="1" w:styleId="81">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正文文本缩进1"/>
    <w:basedOn w:val="1"/>
    <w:autoRedefine/>
    <w:qFormat/>
    <w:uiPriority w:val="99"/>
    <w:pPr>
      <w:spacing w:line="360" w:lineRule="auto"/>
      <w:ind w:firstLine="480" w:firstLineChars="200"/>
    </w:pPr>
    <w:rPr>
      <w:rFonts w:ascii="宋体" w:cs="宋体"/>
      <w:kern w:val="0"/>
      <w:sz w:val="24"/>
      <w:szCs w:val="24"/>
    </w:rPr>
  </w:style>
  <w:style w:type="paragraph" w:customStyle="1" w:styleId="83">
    <w:name w:val="Char Char10 Char Char Char Char"/>
    <w:basedOn w:val="1"/>
    <w:next w:val="84"/>
    <w:autoRedefine/>
    <w:qFormat/>
    <w:uiPriority w:val="99"/>
    <w:rPr>
      <w:rFonts w:ascii="Calibri" w:hAnsi="Calibri"/>
      <w:kern w:val="0"/>
    </w:rPr>
  </w:style>
  <w:style w:type="paragraph" w:customStyle="1" w:styleId="84">
    <w:name w:val="xl87"/>
    <w:basedOn w:val="1"/>
    <w:next w:val="85"/>
    <w:autoRedefine/>
    <w:qFormat/>
    <w:uiPriority w:val="99"/>
    <w:pPr>
      <w:widowControl/>
      <w:pBdr>
        <w:top w:val="single" w:color="000000" w:sz="4" w:space="0"/>
        <w:left w:val="single" w:color="000000" w:sz="8" w:space="0"/>
        <w:right w:val="single" w:color="000000" w:sz="4" w:space="0"/>
      </w:pBdr>
      <w:suppressAutoHyphens/>
      <w:spacing w:before="280" w:after="280"/>
      <w:jc w:val="center"/>
    </w:pPr>
    <w:rPr>
      <w:rFonts w:ascii="Arial Unicode MS" w:hAnsi="Arial Unicode MS" w:eastAsia="Arial Unicode MS" w:cs="Arial Unicode MS"/>
      <w:sz w:val="22"/>
      <w:szCs w:val="22"/>
    </w:rPr>
  </w:style>
  <w:style w:type="paragraph" w:customStyle="1" w:styleId="85">
    <w:name w:val="xl72"/>
    <w:basedOn w:val="1"/>
    <w:next w:val="23"/>
    <w:autoRedefine/>
    <w:qFormat/>
    <w:uiPriority w:val="99"/>
    <w:pPr>
      <w:widowControl/>
      <w:pBdr>
        <w:top w:val="single" w:color="000000" w:sz="4" w:space="0"/>
        <w:left w:val="single" w:color="000000" w:sz="8" w:space="0"/>
        <w:right w:val="single" w:color="000000" w:sz="4" w:space="0"/>
      </w:pBdr>
      <w:suppressAutoHyphens/>
      <w:spacing w:before="280" w:after="280"/>
      <w:jc w:val="center"/>
    </w:pPr>
    <w:rPr>
      <w:rFonts w:ascii="楷体_GB2312" w:hAnsi="楷体_GB2312" w:eastAsia="楷体_GB2312" w:cs="Arial Unicode MS"/>
      <w:sz w:val="22"/>
      <w:szCs w:val="22"/>
    </w:rPr>
  </w:style>
  <w:style w:type="paragraph" w:customStyle="1" w:styleId="86">
    <w:name w:val="Default"/>
    <w:next w:val="83"/>
    <w:autoRedefine/>
    <w:qFormat/>
    <w:uiPriority w:val="99"/>
    <w:pPr>
      <w:widowControl w:val="0"/>
      <w:autoSpaceDE w:val="0"/>
      <w:autoSpaceDN w:val="0"/>
      <w:adjustRightInd w:val="0"/>
    </w:pPr>
    <w:rPr>
      <w:rFonts w:ascii="宋体" w:hAnsi="Times New Roman" w:eastAsia="宋体" w:cs="Times New Roman"/>
      <w:color w:val="000000"/>
      <w:sz w:val="22"/>
      <w:lang w:val="en-US" w:eastAsia="zh-CN" w:bidi="ar-SA"/>
    </w:rPr>
  </w:style>
  <w:style w:type="paragraph" w:customStyle="1" w:styleId="87">
    <w:name w:val="UserStyle_104"/>
    <w:basedOn w:val="1"/>
    <w:autoRedefine/>
    <w:qFormat/>
    <w:uiPriority w:val="99"/>
    <w:rPr>
      <w:rFonts w:ascii="宋体" w:hAnsi="宋体"/>
      <w:szCs w:val="20"/>
      <w:lang w:val="zh-CN" w:bidi="zh-CN"/>
    </w:rPr>
  </w:style>
  <w:style w:type="paragraph" w:customStyle="1" w:styleId="88">
    <w:name w:val="Normal_26"/>
    <w:next w:val="1"/>
    <w:autoRedefine/>
    <w:qFormat/>
    <w:uiPriority w:val="99"/>
    <w:pPr>
      <w:widowControl w:val="0"/>
      <w:suppressAutoHyphens/>
      <w:jc w:val="both"/>
    </w:pPr>
    <w:rPr>
      <w:rFonts w:ascii="Calibri" w:hAnsi="Calibri" w:eastAsia="宋体" w:cs="Times New Roman"/>
      <w:kern w:val="2"/>
      <w:sz w:val="21"/>
      <w:szCs w:val="22"/>
      <w:lang w:val="en-US" w:eastAsia="zh-CN" w:bidi="ar-SA"/>
    </w:rPr>
  </w:style>
  <w:style w:type="paragraph" w:customStyle="1" w:styleId="89">
    <w:name w:val="样式_0"/>
    <w:autoRedefine/>
    <w:qFormat/>
    <w:uiPriority w:val="99"/>
    <w:pPr>
      <w:widowControl w:val="0"/>
      <w:suppressAutoHyphens/>
      <w:autoSpaceDE w:val="0"/>
    </w:pPr>
    <w:rPr>
      <w:rFonts w:ascii="宋体" w:hAnsi="宋体" w:eastAsia="宋体" w:cs="宋体"/>
      <w:sz w:val="24"/>
      <w:szCs w:val="24"/>
      <w:lang w:val="en-US" w:eastAsia="zh-CN" w:bidi="ar-SA"/>
    </w:rPr>
  </w:style>
  <w:style w:type="paragraph" w:customStyle="1" w:styleId="90">
    <w:name w:val="pa-3"/>
    <w:basedOn w:val="1"/>
    <w:autoRedefine/>
    <w:qFormat/>
    <w:uiPriority w:val="99"/>
    <w:pPr>
      <w:widowControl/>
      <w:spacing w:before="150" w:after="150" w:line="360" w:lineRule="auto"/>
      <w:jc w:val="left"/>
    </w:pPr>
    <w:rPr>
      <w:rFonts w:ascii="宋体" w:hAnsi="Calibri" w:cs="宋体"/>
      <w:kern w:val="0"/>
      <w:sz w:val="24"/>
      <w:szCs w:val="24"/>
    </w:rPr>
  </w:style>
  <w:style w:type="paragraph" w:customStyle="1" w:styleId="91">
    <w:name w:val="Other|1"/>
    <w:basedOn w:val="1"/>
    <w:autoRedefine/>
    <w:qFormat/>
    <w:uiPriority w:val="99"/>
    <w:pPr>
      <w:spacing w:line="560" w:lineRule="exact"/>
    </w:pPr>
    <w:rPr>
      <w:rFonts w:ascii="宋体" w:hAnsi="宋体" w:cs="宋体"/>
      <w:sz w:val="15"/>
      <w:szCs w:val="15"/>
      <w:lang w:val="zh-TW" w:eastAsia="zh-TW" w:bidi="zh-TW"/>
    </w:rPr>
  </w:style>
  <w:style w:type="paragraph" w:customStyle="1" w:styleId="92">
    <w:name w:val="段落正文"/>
    <w:basedOn w:val="1"/>
    <w:autoRedefine/>
    <w:qFormat/>
    <w:uiPriority w:val="99"/>
    <w:pPr>
      <w:spacing w:before="156" w:after="156"/>
    </w:pPr>
    <w:rPr>
      <w:rFonts w:ascii="Calibri" w:hAnsi="Calibri" w:cs="Times New Roman"/>
      <w:szCs w:val="22"/>
      <w:lang w:eastAsia="en-US"/>
    </w:rPr>
  </w:style>
  <w:style w:type="paragraph" w:customStyle="1" w:styleId="93">
    <w:name w:val="_Style 78"/>
    <w:basedOn w:val="16"/>
    <w:next w:val="17"/>
    <w:autoRedefine/>
    <w:qFormat/>
    <w:uiPriority w:val="99"/>
    <w:pPr>
      <w:ind w:firstLine="420" w:firstLineChars="100"/>
    </w:pPr>
    <w:rPr>
      <w:rFonts w:ascii="宋体" w:hAnsi="Times New Roman"/>
      <w:sz w:val="34"/>
      <w:szCs w:val="20"/>
    </w:rPr>
  </w:style>
  <w:style w:type="paragraph" w:customStyle="1" w:styleId="94">
    <w:name w:val="Table Paragraph"/>
    <w:basedOn w:val="1"/>
    <w:autoRedefine/>
    <w:qFormat/>
    <w:uiPriority w:val="1"/>
    <w:rPr>
      <w:rFonts w:ascii="宋体" w:hAnsi="宋体" w:cs="宋体"/>
      <w:lang w:val="zh-CN" w:bidi="zh-CN"/>
    </w:rPr>
  </w:style>
  <w:style w:type="paragraph" w:customStyle="1" w:styleId="95">
    <w:name w:val="列出段落2"/>
    <w:basedOn w:val="1"/>
    <w:autoRedefine/>
    <w:qFormat/>
    <w:uiPriority w:val="99"/>
    <w:pPr>
      <w:ind w:firstLine="420" w:firstLineChars="200"/>
    </w:pPr>
    <w:rPr>
      <w:rFonts w:cs="Times New Roman"/>
      <w:szCs w:val="22"/>
    </w:rPr>
  </w:style>
  <w:style w:type="paragraph" w:customStyle="1" w:styleId="96">
    <w:name w:val="！正文"/>
    <w:basedOn w:val="1"/>
    <w:autoRedefine/>
    <w:qFormat/>
    <w:uiPriority w:val="99"/>
    <w:pPr>
      <w:spacing w:line="360" w:lineRule="auto"/>
    </w:pPr>
    <w:rPr>
      <w:kern w:val="0"/>
    </w:rPr>
  </w:style>
  <w:style w:type="character" w:customStyle="1" w:styleId="97">
    <w:name w:val="font151"/>
    <w:autoRedefine/>
    <w:qFormat/>
    <w:uiPriority w:val="0"/>
    <w:rPr>
      <w:rFonts w:hint="eastAsia" w:ascii="宋体" w:hAnsi="宋体" w:eastAsia="宋体" w:cs="宋体"/>
      <w:color w:val="000000"/>
      <w:sz w:val="18"/>
      <w:szCs w:val="18"/>
      <w:u w:val="none"/>
    </w:rPr>
  </w:style>
  <w:style w:type="character" w:customStyle="1" w:styleId="98">
    <w:name w:val="font101"/>
    <w:autoRedefine/>
    <w:qFormat/>
    <w:uiPriority w:val="0"/>
    <w:rPr>
      <w:rFonts w:hint="eastAsia" w:ascii="微软雅黑" w:hAnsi="微软雅黑" w:eastAsia="微软雅黑" w:cs="微软雅黑"/>
      <w:b/>
      <w:bCs/>
      <w:color w:val="000000"/>
      <w:sz w:val="18"/>
      <w:szCs w:val="18"/>
      <w:u w:val="none"/>
    </w:rPr>
  </w:style>
  <w:style w:type="character" w:customStyle="1" w:styleId="99">
    <w:name w:val="font51"/>
    <w:autoRedefine/>
    <w:qFormat/>
    <w:uiPriority w:val="0"/>
    <w:rPr>
      <w:rFonts w:hint="eastAsia" w:ascii="微软雅黑" w:hAnsi="微软雅黑" w:eastAsia="微软雅黑" w:cs="微软雅黑"/>
      <w:color w:val="000000"/>
      <w:sz w:val="18"/>
      <w:szCs w:val="18"/>
      <w:u w:val="none"/>
    </w:rPr>
  </w:style>
  <w:style w:type="character" w:customStyle="1" w:styleId="100">
    <w:name w:val="NormalCharacter"/>
    <w:autoRedefine/>
    <w:qFormat/>
    <w:uiPriority w:val="0"/>
  </w:style>
  <w:style w:type="character" w:customStyle="1" w:styleId="101">
    <w:name w:val="15"/>
    <w:autoRedefine/>
    <w:qFormat/>
    <w:uiPriority w:val="0"/>
    <w:rPr>
      <w:rFonts w:hint="default" w:ascii="Times New Roman" w:hAnsi="Times New Roman" w:cs="Times New Roman"/>
      <w:color w:val="000000"/>
    </w:rPr>
  </w:style>
  <w:style w:type="character" w:customStyle="1" w:styleId="102">
    <w:name w:val="font161"/>
    <w:autoRedefine/>
    <w:qFormat/>
    <w:uiPriority w:val="0"/>
    <w:rPr>
      <w:rFonts w:hint="eastAsia" w:ascii="微软雅黑" w:hAnsi="微软雅黑" w:eastAsia="微软雅黑" w:cs="微软雅黑"/>
      <w:color w:val="FF0000"/>
      <w:sz w:val="18"/>
      <w:szCs w:val="18"/>
      <w:u w:val="none"/>
    </w:rPr>
  </w:style>
  <w:style w:type="character" w:customStyle="1" w:styleId="103">
    <w:name w:val="font01"/>
    <w:autoRedefine/>
    <w:qFormat/>
    <w:uiPriority w:val="0"/>
    <w:rPr>
      <w:rFonts w:hint="eastAsia" w:ascii="宋体" w:hAnsi="宋体" w:eastAsia="宋体" w:cs="宋体"/>
      <w:color w:val="000000"/>
      <w:sz w:val="24"/>
      <w:szCs w:val="24"/>
      <w:u w:val="none"/>
    </w:rPr>
  </w:style>
  <w:style w:type="character" w:customStyle="1" w:styleId="104">
    <w:name w:val="font121"/>
    <w:autoRedefine/>
    <w:qFormat/>
    <w:uiPriority w:val="0"/>
    <w:rPr>
      <w:rFonts w:hint="eastAsia" w:ascii="宋体" w:hAnsi="宋体" w:eastAsia="宋体" w:cs="宋体"/>
      <w:color w:val="FF0000"/>
      <w:sz w:val="16"/>
      <w:szCs w:val="16"/>
      <w:u w:val="none"/>
    </w:rPr>
  </w:style>
  <w:style w:type="character" w:customStyle="1" w:styleId="105">
    <w:name w:val="font21"/>
    <w:autoRedefine/>
    <w:qFormat/>
    <w:uiPriority w:val="0"/>
    <w:rPr>
      <w:rFonts w:hint="eastAsia" w:ascii="宋体" w:hAnsi="宋体" w:eastAsia="宋体" w:cs="宋体"/>
      <w:color w:val="000000"/>
      <w:sz w:val="16"/>
      <w:szCs w:val="16"/>
      <w:u w:val="none"/>
    </w:rPr>
  </w:style>
  <w:style w:type="character" w:customStyle="1" w:styleId="106">
    <w:name w:val="font71"/>
    <w:autoRedefine/>
    <w:qFormat/>
    <w:uiPriority w:val="0"/>
    <w:rPr>
      <w:rFonts w:hint="eastAsia" w:ascii="宋体" w:hAnsi="宋体" w:eastAsia="宋体" w:cs="宋体"/>
      <w:color w:val="000000"/>
      <w:sz w:val="16"/>
      <w:szCs w:val="16"/>
      <w:u w:val="none"/>
    </w:rPr>
  </w:style>
  <w:style w:type="character" w:customStyle="1" w:styleId="107">
    <w:name w:val="font81"/>
    <w:autoRedefine/>
    <w:qFormat/>
    <w:uiPriority w:val="0"/>
    <w:rPr>
      <w:rFonts w:hint="eastAsia" w:ascii="宋体" w:hAnsi="宋体" w:eastAsia="宋体" w:cs="宋体"/>
      <w:color w:val="000000"/>
      <w:sz w:val="16"/>
      <w:szCs w:val="16"/>
      <w:u w:val="none"/>
    </w:rPr>
  </w:style>
  <w:style w:type="character" w:customStyle="1" w:styleId="108">
    <w:name w:val="纯文本 Char1"/>
    <w:autoRedefine/>
    <w:semiHidden/>
    <w:qFormat/>
    <w:uiPriority w:val="99"/>
    <w:rPr>
      <w:rFonts w:hint="eastAsia" w:ascii="宋体" w:hAnsi="Courier New" w:eastAsia="宋体" w:cs="Courier New"/>
      <w:szCs w:val="21"/>
    </w:rPr>
  </w:style>
  <w:style w:type="character" w:customStyle="1" w:styleId="109">
    <w:name w:val="正文首行缩进 Char1"/>
    <w:autoRedefine/>
    <w:semiHidden/>
    <w:qFormat/>
    <w:uiPriority w:val="99"/>
    <w:rPr>
      <w:rFonts w:hint="default" w:ascii="Times New Roman" w:hAnsi="Times New Roman" w:eastAsia="宋体" w:cs="Calibri"/>
      <w:szCs w:val="21"/>
    </w:rPr>
  </w:style>
  <w:style w:type="character" w:customStyle="1" w:styleId="110">
    <w:name w:val="信息标题 Char1"/>
    <w:autoRedefine/>
    <w:semiHidden/>
    <w:qFormat/>
    <w:uiPriority w:val="99"/>
    <w:rPr>
      <w:rFonts w:hint="default" w:ascii="Cambria" w:hAnsi="Cambria" w:eastAsia="宋体" w:cs="Times New Roman"/>
      <w:sz w:val="24"/>
      <w:szCs w:val="24"/>
      <w:shd w:val="pct20" w:color="auto" w:fill="auto"/>
    </w:rPr>
  </w:style>
  <w:style w:type="character" w:customStyle="1" w:styleId="111">
    <w:name w:val="正文缩进 Char"/>
    <w:autoRedefine/>
    <w:qFormat/>
    <w:uiPriority w:val="0"/>
    <w:rPr>
      <w:rFonts w:hint="default" w:ascii="Times New Roman" w:hAnsi="Times New Roman" w:eastAsia="宋体" w:cs="Times New Roman"/>
      <w:szCs w:val="21"/>
    </w:rPr>
  </w:style>
  <w:style w:type="character" w:customStyle="1" w:styleId="112">
    <w:name w:val="正文文本缩进 Char1"/>
    <w:autoRedefine/>
    <w:semiHidden/>
    <w:qFormat/>
    <w:uiPriority w:val="99"/>
    <w:rPr>
      <w:rFonts w:hint="default" w:ascii="Times New Roman" w:hAnsi="Times New Roman" w:eastAsia="宋体" w:cs="Calibri"/>
      <w:szCs w:val="21"/>
    </w:rPr>
  </w:style>
  <w:style w:type="character" w:customStyle="1" w:styleId="113">
    <w:name w:val="HTML 预设格式 Char1"/>
    <w:autoRedefine/>
    <w:semiHidden/>
    <w:qFormat/>
    <w:uiPriority w:val="99"/>
    <w:rPr>
      <w:rFonts w:hint="default" w:ascii="Courier New" w:hAnsi="Courier New" w:eastAsia="宋体" w:cs="Courier New"/>
      <w:sz w:val="20"/>
      <w:szCs w:val="20"/>
    </w:rPr>
  </w:style>
  <w:style w:type="character" w:customStyle="1" w:styleId="114">
    <w:name w:val="纯文本 Char2"/>
    <w:autoRedefine/>
    <w:semiHidden/>
    <w:qFormat/>
    <w:uiPriority w:val="99"/>
    <w:rPr>
      <w:rFonts w:hint="eastAsia" w:ascii="宋体" w:hAnsi="Courier New" w:eastAsia="宋体" w:cs="Courier New"/>
      <w:kern w:val="2"/>
      <w:sz w:val="21"/>
      <w:szCs w:val="21"/>
    </w:rPr>
  </w:style>
  <w:style w:type="character" w:customStyle="1" w:styleId="115">
    <w:name w:val="ca-5"/>
    <w:basedOn w:val="36"/>
    <w:autoRedefine/>
    <w:qFormat/>
    <w:uiPriority w:val="0"/>
  </w:style>
  <w:style w:type="character" w:customStyle="1" w:styleId="116">
    <w:name w:val="font11"/>
    <w:autoRedefine/>
    <w:qFormat/>
    <w:uiPriority w:val="0"/>
    <w:rPr>
      <w:rFonts w:hint="eastAsia" w:ascii="宋体" w:hAnsi="宋体" w:eastAsia="宋体" w:cs="宋体"/>
      <w:color w:val="000000"/>
      <w:sz w:val="22"/>
      <w:szCs w:val="22"/>
      <w:u w:val="none"/>
    </w:rPr>
  </w:style>
  <w:style w:type="character" w:customStyle="1" w:styleId="117">
    <w:name w:val="right"/>
    <w:basedOn w:val="36"/>
    <w:autoRedefine/>
    <w:qFormat/>
    <w:uiPriority w:val="0"/>
    <w:rPr>
      <w:color w:val="999999"/>
      <w:sz w:val="14"/>
      <w:szCs w:val="14"/>
    </w:rPr>
  </w:style>
  <w:style w:type="character" w:customStyle="1" w:styleId="118">
    <w:name w:val="red"/>
    <w:basedOn w:val="36"/>
    <w:autoRedefine/>
    <w:qFormat/>
    <w:uiPriority w:val="0"/>
    <w:rPr>
      <w:color w:val="FF0000"/>
      <w:sz w:val="14"/>
      <w:szCs w:val="14"/>
    </w:rPr>
  </w:style>
  <w:style w:type="character" w:customStyle="1" w:styleId="119">
    <w:name w:val="red1"/>
    <w:basedOn w:val="36"/>
    <w:autoRedefine/>
    <w:qFormat/>
    <w:uiPriority w:val="0"/>
    <w:rPr>
      <w:color w:val="FF0000"/>
      <w:sz w:val="14"/>
      <w:szCs w:val="14"/>
    </w:rPr>
  </w:style>
  <w:style w:type="character" w:customStyle="1" w:styleId="120">
    <w:name w:val="red2"/>
    <w:basedOn w:val="36"/>
    <w:autoRedefine/>
    <w:qFormat/>
    <w:uiPriority w:val="0"/>
    <w:rPr>
      <w:color w:val="CC0000"/>
    </w:rPr>
  </w:style>
  <w:style w:type="character" w:customStyle="1" w:styleId="121">
    <w:name w:val="red3"/>
    <w:basedOn w:val="36"/>
    <w:autoRedefine/>
    <w:qFormat/>
    <w:uiPriority w:val="0"/>
    <w:rPr>
      <w:color w:val="FF0000"/>
    </w:rPr>
  </w:style>
  <w:style w:type="character" w:customStyle="1" w:styleId="122">
    <w:name w:val="hover25"/>
    <w:basedOn w:val="36"/>
    <w:autoRedefine/>
    <w:qFormat/>
    <w:uiPriority w:val="0"/>
  </w:style>
  <w:style w:type="character" w:customStyle="1" w:styleId="123">
    <w:name w:val="green"/>
    <w:basedOn w:val="36"/>
    <w:autoRedefine/>
    <w:qFormat/>
    <w:uiPriority w:val="0"/>
    <w:rPr>
      <w:color w:val="66AE00"/>
      <w:sz w:val="14"/>
      <w:szCs w:val="14"/>
    </w:rPr>
  </w:style>
  <w:style w:type="character" w:customStyle="1" w:styleId="124">
    <w:name w:val="green1"/>
    <w:basedOn w:val="36"/>
    <w:autoRedefine/>
    <w:qFormat/>
    <w:uiPriority w:val="0"/>
    <w:rPr>
      <w:color w:val="66AE00"/>
      <w:sz w:val="14"/>
      <w:szCs w:val="14"/>
    </w:rPr>
  </w:style>
  <w:style w:type="character" w:customStyle="1" w:styleId="125">
    <w:name w:val="active"/>
    <w:basedOn w:val="36"/>
    <w:autoRedefine/>
    <w:qFormat/>
    <w:uiPriority w:val="0"/>
    <w:rPr>
      <w:color w:val="FFFFFF"/>
      <w:shd w:val="clear" w:color="auto" w:fill="2B7AFC"/>
    </w:rPr>
  </w:style>
  <w:style w:type="character" w:customStyle="1" w:styleId="126">
    <w:name w:val="blue"/>
    <w:basedOn w:val="36"/>
    <w:autoRedefine/>
    <w:qFormat/>
    <w:uiPriority w:val="0"/>
    <w:rPr>
      <w:color w:val="0371C6"/>
      <w:sz w:val="16"/>
      <w:szCs w:val="16"/>
    </w:rPr>
  </w:style>
  <w:style w:type="character" w:customStyle="1" w:styleId="127">
    <w:name w:val="gb-jt"/>
    <w:basedOn w:val="36"/>
    <w:autoRedefine/>
    <w:qFormat/>
    <w:uiPriority w:val="0"/>
  </w:style>
  <w:style w:type="character" w:customStyle="1" w:styleId="128">
    <w:name w:val="icon_gzkj"/>
    <w:basedOn w:val="36"/>
    <w:autoRedefine/>
    <w:qFormat/>
    <w:uiPriority w:val="0"/>
  </w:style>
  <w:style w:type="character" w:customStyle="1" w:styleId="129">
    <w:name w:val="focus"/>
    <w:basedOn w:val="36"/>
    <w:autoRedefine/>
    <w:qFormat/>
    <w:uiPriority w:val="0"/>
    <w:rPr>
      <w:b/>
      <w:bCs/>
      <w:color w:val="000000"/>
    </w:rPr>
  </w:style>
  <w:style w:type="character" w:customStyle="1" w:styleId="130">
    <w:name w:val="close"/>
    <w:basedOn w:val="36"/>
    <w:autoRedefine/>
    <w:qFormat/>
    <w:uiPriority w:val="0"/>
  </w:style>
  <w:style w:type="character" w:customStyle="1" w:styleId="131">
    <w:name w:val="searchclose"/>
    <w:basedOn w:val="36"/>
    <w:autoRedefine/>
    <w:qFormat/>
    <w:uiPriority w:val="0"/>
  </w:style>
  <w:style w:type="character" w:customStyle="1" w:styleId="132">
    <w:name w:val="l_6"/>
    <w:basedOn w:val="36"/>
    <w:autoRedefine/>
    <w:qFormat/>
    <w:uiPriority w:val="0"/>
  </w:style>
  <w:style w:type="character" w:customStyle="1" w:styleId="133">
    <w:name w:val="l_5"/>
    <w:basedOn w:val="36"/>
    <w:autoRedefine/>
    <w:qFormat/>
    <w:uiPriority w:val="0"/>
  </w:style>
  <w:style w:type="character" w:customStyle="1" w:styleId="134">
    <w:name w:val="l_1"/>
    <w:basedOn w:val="36"/>
    <w:autoRedefine/>
    <w:qFormat/>
    <w:uiPriority w:val="0"/>
  </w:style>
  <w:style w:type="character" w:customStyle="1" w:styleId="135">
    <w:name w:val="l_11"/>
    <w:basedOn w:val="36"/>
    <w:autoRedefine/>
    <w:qFormat/>
    <w:uiPriority w:val="0"/>
  </w:style>
  <w:style w:type="character" w:customStyle="1" w:styleId="136">
    <w:name w:val="l_13"/>
    <w:basedOn w:val="36"/>
    <w:autoRedefine/>
    <w:qFormat/>
    <w:uiPriority w:val="0"/>
  </w:style>
  <w:style w:type="character" w:customStyle="1" w:styleId="137">
    <w:name w:val="l_131"/>
    <w:basedOn w:val="36"/>
    <w:autoRedefine/>
    <w:qFormat/>
    <w:uiPriority w:val="0"/>
  </w:style>
  <w:style w:type="character" w:customStyle="1" w:styleId="138">
    <w:name w:val="l_9"/>
    <w:basedOn w:val="36"/>
    <w:autoRedefine/>
    <w:qFormat/>
    <w:uiPriority w:val="0"/>
  </w:style>
  <w:style w:type="character" w:customStyle="1" w:styleId="139">
    <w:name w:val="l_7"/>
    <w:basedOn w:val="36"/>
    <w:autoRedefine/>
    <w:qFormat/>
    <w:uiPriority w:val="0"/>
  </w:style>
  <w:style w:type="character" w:customStyle="1" w:styleId="140">
    <w:name w:val="l_4"/>
    <w:basedOn w:val="36"/>
    <w:autoRedefine/>
    <w:qFormat/>
    <w:uiPriority w:val="0"/>
  </w:style>
  <w:style w:type="character" w:customStyle="1" w:styleId="141">
    <w:name w:val="searchopen"/>
    <w:basedOn w:val="36"/>
    <w:autoRedefine/>
    <w:qFormat/>
    <w:uiPriority w:val="0"/>
  </w:style>
  <w:style w:type="character" w:customStyle="1" w:styleId="142">
    <w:name w:val="l_12"/>
    <w:basedOn w:val="36"/>
    <w:autoRedefine/>
    <w:qFormat/>
    <w:uiPriority w:val="0"/>
  </w:style>
  <w:style w:type="character" w:customStyle="1" w:styleId="143">
    <w:name w:val="l_121"/>
    <w:basedOn w:val="36"/>
    <w:autoRedefine/>
    <w:qFormat/>
    <w:uiPriority w:val="0"/>
  </w:style>
  <w:style w:type="character" w:customStyle="1" w:styleId="144">
    <w:name w:val="menutitle12"/>
    <w:basedOn w:val="36"/>
    <w:autoRedefine/>
    <w:qFormat/>
    <w:uiPriority w:val="0"/>
    <w:rPr>
      <w:color w:val="333333"/>
      <w:sz w:val="24"/>
      <w:szCs w:val="24"/>
    </w:rPr>
  </w:style>
  <w:style w:type="character" w:customStyle="1" w:styleId="145">
    <w:name w:val="menutitle13"/>
    <w:basedOn w:val="36"/>
    <w:autoRedefine/>
    <w:qFormat/>
    <w:uiPriority w:val="0"/>
    <w:rPr>
      <w:color w:val="333333"/>
      <w:sz w:val="24"/>
      <w:szCs w:val="24"/>
    </w:rPr>
  </w:style>
  <w:style w:type="character" w:customStyle="1" w:styleId="146">
    <w:name w:val="icon_dljg"/>
    <w:basedOn w:val="36"/>
    <w:autoRedefine/>
    <w:qFormat/>
    <w:uiPriority w:val="0"/>
  </w:style>
  <w:style w:type="character" w:customStyle="1" w:styleId="147">
    <w:name w:val="icon_cxktbr"/>
    <w:basedOn w:val="36"/>
    <w:autoRedefine/>
    <w:qFormat/>
    <w:uiPriority w:val="0"/>
  </w:style>
  <w:style w:type="character" w:customStyle="1" w:styleId="148">
    <w:name w:val="icon_cxkcyry"/>
    <w:basedOn w:val="36"/>
    <w:autoRedefine/>
    <w:qFormat/>
    <w:uiPriority w:val="0"/>
  </w:style>
  <w:style w:type="character" w:customStyle="1" w:styleId="149">
    <w:name w:val="color_cdyy"/>
    <w:basedOn w:val="36"/>
    <w:autoRedefine/>
    <w:qFormat/>
    <w:uiPriority w:val="0"/>
    <w:rPr>
      <w:color w:val="FFFFFF"/>
      <w:bdr w:val="single" w:color="FFFFFF" w:sz="6" w:space="0"/>
    </w:rPr>
  </w:style>
  <w:style w:type="character" w:customStyle="1" w:styleId="150">
    <w:name w:val="icon_lzrz"/>
    <w:basedOn w:val="36"/>
    <w:autoRedefine/>
    <w:qFormat/>
    <w:uiPriority w:val="0"/>
  </w:style>
  <w:style w:type="character" w:customStyle="1" w:styleId="151">
    <w:name w:val="l_8"/>
    <w:basedOn w:val="36"/>
    <w:autoRedefine/>
    <w:qFormat/>
    <w:uiPriority w:val="0"/>
  </w:style>
  <w:style w:type="character" w:customStyle="1" w:styleId="152">
    <w:name w:val="l_0"/>
    <w:basedOn w:val="36"/>
    <w:autoRedefine/>
    <w:qFormat/>
    <w:uiPriority w:val="0"/>
  </w:style>
  <w:style w:type="character" w:customStyle="1" w:styleId="153">
    <w:name w:val="l_01"/>
    <w:basedOn w:val="36"/>
    <w:autoRedefine/>
    <w:qFormat/>
    <w:uiPriority w:val="0"/>
  </w:style>
  <w:style w:type="character" w:customStyle="1" w:styleId="154">
    <w:name w:val="icon_xglc"/>
    <w:basedOn w:val="36"/>
    <w:autoRedefine/>
    <w:qFormat/>
    <w:uiPriority w:val="0"/>
  </w:style>
  <w:style w:type="character" w:customStyle="1" w:styleId="155">
    <w:name w:val="swapimg3"/>
    <w:basedOn w:val="36"/>
    <w:autoRedefine/>
    <w:qFormat/>
    <w:uiPriority w:val="0"/>
  </w:style>
  <w:style w:type="character" w:customStyle="1" w:styleId="156">
    <w:name w:val="swapimg4"/>
    <w:basedOn w:val="36"/>
    <w:autoRedefine/>
    <w:qFormat/>
    <w:uiPriority w:val="0"/>
  </w:style>
  <w:style w:type="character" w:customStyle="1" w:styleId="157">
    <w:name w:val="icon_xzry"/>
    <w:basedOn w:val="36"/>
    <w:autoRedefine/>
    <w:qFormat/>
    <w:uiPriority w:val="0"/>
  </w:style>
  <w:style w:type="character" w:customStyle="1" w:styleId="158">
    <w:name w:val="m-text"/>
    <w:basedOn w:val="36"/>
    <w:autoRedefine/>
    <w:qFormat/>
    <w:uiPriority w:val="0"/>
  </w:style>
  <w:style w:type="character" w:customStyle="1" w:styleId="159">
    <w:name w:val="l_2"/>
    <w:basedOn w:val="36"/>
    <w:autoRedefine/>
    <w:qFormat/>
    <w:uiPriority w:val="0"/>
  </w:style>
  <w:style w:type="character" w:customStyle="1" w:styleId="160">
    <w:name w:val="l_21"/>
    <w:basedOn w:val="36"/>
    <w:autoRedefine/>
    <w:qFormat/>
    <w:uiPriority w:val="0"/>
  </w:style>
  <w:style w:type="character" w:customStyle="1" w:styleId="161">
    <w:name w:val="l_3"/>
    <w:basedOn w:val="36"/>
    <w:autoRedefine/>
    <w:qFormat/>
    <w:uiPriority w:val="0"/>
  </w:style>
  <w:style w:type="character" w:customStyle="1" w:styleId="162">
    <w:name w:val="l_31"/>
    <w:basedOn w:val="36"/>
    <w:autoRedefine/>
    <w:qFormat/>
    <w:uiPriority w:val="0"/>
  </w:style>
  <w:style w:type="character" w:customStyle="1" w:styleId="163">
    <w:name w:val="l_10"/>
    <w:basedOn w:val="36"/>
    <w:autoRedefine/>
    <w:qFormat/>
    <w:uiPriority w:val="0"/>
  </w:style>
  <w:style w:type="character" w:customStyle="1" w:styleId="164">
    <w:name w:val="l_101"/>
    <w:basedOn w:val="36"/>
    <w:autoRedefine/>
    <w:qFormat/>
    <w:uiPriority w:val="0"/>
  </w:style>
  <w:style w:type="character" w:customStyle="1" w:styleId="165">
    <w:name w:val="l_111"/>
    <w:basedOn w:val="36"/>
    <w:autoRedefine/>
    <w:qFormat/>
    <w:uiPriority w:val="0"/>
  </w:style>
  <w:style w:type="character" w:customStyle="1" w:styleId="166">
    <w:name w:val="l_112"/>
    <w:basedOn w:val="36"/>
    <w:autoRedefine/>
    <w:qFormat/>
    <w:uiPriority w:val="0"/>
  </w:style>
  <w:style w:type="character" w:customStyle="1" w:styleId="167">
    <w:name w:val="l_14"/>
    <w:basedOn w:val="36"/>
    <w:autoRedefine/>
    <w:qFormat/>
    <w:uiPriority w:val="0"/>
  </w:style>
  <w:style w:type="character" w:customStyle="1" w:styleId="168">
    <w:name w:val="l_141"/>
    <w:basedOn w:val="36"/>
    <w:autoRedefine/>
    <w:qFormat/>
    <w:uiPriority w:val="0"/>
  </w:style>
  <w:style w:type="character" w:customStyle="1" w:styleId="169">
    <w:name w:val="l_15"/>
    <w:basedOn w:val="36"/>
    <w:autoRedefine/>
    <w:qFormat/>
    <w:uiPriority w:val="0"/>
  </w:style>
  <w:style w:type="character" w:customStyle="1" w:styleId="170">
    <w:name w:val="l_151"/>
    <w:basedOn w:val="36"/>
    <w:autoRedefine/>
    <w:qFormat/>
    <w:uiPriority w:val="0"/>
  </w:style>
  <w:style w:type="table" w:customStyle="1" w:styleId="171">
    <w:name w:val="网格型3"/>
    <w:basedOn w:val="3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active4"/>
    <w:basedOn w:val="36"/>
    <w:autoRedefine/>
    <w:qFormat/>
    <w:uiPriority w:val="0"/>
    <w:rPr>
      <w:color w:val="FFFFFF"/>
      <w:shd w:val="clear" w:color="auto" w:fill="2B7AFC"/>
    </w:rPr>
  </w:style>
  <w:style w:type="character" w:customStyle="1" w:styleId="173">
    <w:name w:val="hover24"/>
    <w:basedOn w:val="36"/>
    <w:autoRedefine/>
    <w:qFormat/>
    <w:uiPriority w:val="0"/>
  </w:style>
  <w:style w:type="character" w:customStyle="1" w:styleId="174">
    <w:name w:val="red4"/>
    <w:basedOn w:val="36"/>
    <w:autoRedefine/>
    <w:qFormat/>
    <w:uiPriority w:val="0"/>
    <w:rPr>
      <w:color w:val="FF0000"/>
      <w:sz w:val="18"/>
      <w:szCs w:val="18"/>
    </w:rPr>
  </w:style>
  <w:style w:type="character" w:customStyle="1" w:styleId="175">
    <w:name w:val="red5"/>
    <w:basedOn w:val="36"/>
    <w:autoRedefine/>
    <w:qFormat/>
    <w:uiPriority w:val="0"/>
    <w:rPr>
      <w:color w:val="FF0000"/>
      <w:sz w:val="18"/>
      <w:szCs w:val="18"/>
    </w:rPr>
  </w:style>
  <w:style w:type="character" w:customStyle="1" w:styleId="176">
    <w:name w:val="red6"/>
    <w:basedOn w:val="36"/>
    <w:autoRedefine/>
    <w:qFormat/>
    <w:uiPriority w:val="0"/>
    <w:rPr>
      <w:color w:val="CC0000"/>
    </w:rPr>
  </w:style>
  <w:style w:type="character" w:customStyle="1" w:styleId="177">
    <w:name w:val="red7"/>
    <w:basedOn w:val="36"/>
    <w:autoRedefine/>
    <w:qFormat/>
    <w:uiPriority w:val="0"/>
    <w:rPr>
      <w:color w:val="FF0000"/>
    </w:rPr>
  </w:style>
  <w:style w:type="character" w:customStyle="1" w:styleId="178">
    <w:name w:val="hover"/>
    <w:basedOn w:val="36"/>
    <w:autoRedefine/>
    <w:qFormat/>
    <w:uiPriority w:val="0"/>
  </w:style>
  <w:style w:type="paragraph" w:customStyle="1" w:styleId="179">
    <w:name w:val="Body text|1"/>
    <w:basedOn w:val="1"/>
    <w:autoRedefine/>
    <w:qFormat/>
    <w:uiPriority w:val="0"/>
    <w:pPr>
      <w:spacing w:line="449" w:lineRule="auto"/>
      <w:ind w:firstLine="400"/>
      <w:jc w:val="left"/>
    </w:pPr>
    <w:rPr>
      <w:rFonts w:ascii="宋体" w:hAnsi="宋体" w:cs="宋体"/>
      <w:sz w:val="22"/>
      <w:szCs w:val="22"/>
      <w:lang w:val="zh-TW" w:eastAsia="zh-TW" w:bidi="zh-TW"/>
    </w:rPr>
  </w:style>
  <w:style w:type="table" w:customStyle="1" w:styleId="180">
    <w:name w:val="Table Normal"/>
    <w:autoRedefine/>
    <w:semiHidden/>
    <w:unhideWhenUsed/>
    <w:qFormat/>
    <w:uiPriority w:val="0"/>
    <w:tblPr>
      <w:tblCellMar>
        <w:top w:w="0" w:type="dxa"/>
        <w:left w:w="0" w:type="dxa"/>
        <w:bottom w:w="0" w:type="dxa"/>
        <w:right w:w="0" w:type="dxa"/>
      </w:tblCellMar>
    </w:tblPr>
  </w:style>
  <w:style w:type="character" w:customStyle="1" w:styleId="181">
    <w:name w:val="layui-this"/>
    <w:basedOn w:val="36"/>
    <w:autoRedefine/>
    <w:qFormat/>
    <w:uiPriority w:val="0"/>
    <w:rPr>
      <w:bdr w:val="single" w:color="EEEEEE" w:sz="6" w:space="0"/>
      <w:shd w:val="clear" w:color="auto" w:fill="FFFFFF"/>
    </w:rPr>
  </w:style>
  <w:style w:type="character" w:customStyle="1" w:styleId="182">
    <w:name w:val="first-child"/>
    <w:basedOn w:val="36"/>
    <w:autoRedefine/>
    <w:qFormat/>
    <w:uiPriority w:val="0"/>
  </w:style>
  <w:style w:type="character" w:customStyle="1" w:styleId="183">
    <w:name w:val="hover5"/>
    <w:basedOn w:val="36"/>
    <w:autoRedefine/>
    <w:qFormat/>
    <w:uiPriority w:val="0"/>
    <w:rPr>
      <w:color w:val="0282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13216</Words>
  <Characters>14284</Characters>
  <Lines>309</Lines>
  <Paragraphs>87</Paragraphs>
  <TotalTime>182</TotalTime>
  <ScaleCrop>false</ScaleCrop>
  <LinksUpToDate>false</LinksUpToDate>
  <CharactersWithSpaces>14327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2023-08-28T07:36:00Z</dcterms:created>
  <dc:creator>河南环昂工程咨询有限公司:胥冰洋</dc:creator>
  <cp:lastModifiedBy>Administrator</cp:lastModifiedBy>
  <cp:lastPrinted>2025-02-11T01:10:00Z</cp:lastPrinted>
  <dcterms:modified xsi:type="dcterms:W3CDTF">2025-02-11T07:40:34Z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6303CF2752E9457CA21A212179AA8600_13</vt:lpwstr>
  </property>
  <property fmtid="{D5CDD505-2E9C-101B-9397-08002B2CF9AE}" pid="4" name="KSOTemplateDocerSaveRecord">
    <vt:lpwstr>eyJoZGlkIjoiNmUzNjU0ODM0YjBjYTYwOWUwYjQ3YjQwMzlmZDNjNzEiLCJ1c2VySWQiOiI3MTk4MDUxMDAifQ==</vt:lpwstr>
  </property>
</Properties>
</file>