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67B2C">
      <w:pPr>
        <w:jc w:val="center"/>
        <w:rPr>
          <w:rStyle w:val="66"/>
          <w:rFonts w:hint="eastAsia" w:ascii="黑体" w:hAnsi="黑体" w:eastAsia="黑体" w:cs="黑体"/>
          <w:b/>
          <w:bCs/>
          <w:color w:val="000000" w:themeColor="text1"/>
          <w:kern w:val="0"/>
          <w:sz w:val="36"/>
          <w:szCs w:val="36"/>
          <w:lang w:eastAsia="zh-CN"/>
        </w:rPr>
      </w:pPr>
      <w:r>
        <w:rPr>
          <w:rStyle w:val="66"/>
          <w:rFonts w:hint="eastAsia" w:ascii="黑体" w:hAnsi="黑体" w:eastAsia="黑体" w:cs="黑体"/>
          <w:b/>
          <w:bCs/>
          <w:color w:val="000000" w:themeColor="text1"/>
          <w:kern w:val="0"/>
          <w:sz w:val="36"/>
          <w:szCs w:val="36"/>
          <w:lang w:val="en-US" w:eastAsia="zh-CN"/>
        </w:rPr>
        <w:t>禹</w:t>
      </w:r>
      <w:r>
        <w:rPr>
          <w:rStyle w:val="66"/>
          <w:rFonts w:hint="eastAsia" w:ascii="黑体" w:hAnsi="黑体" w:eastAsia="黑体" w:cs="黑体"/>
          <w:b/>
          <w:bCs/>
          <w:color w:val="000000" w:themeColor="text1"/>
          <w:kern w:val="0"/>
          <w:sz w:val="36"/>
          <w:szCs w:val="36"/>
        </w:rPr>
        <w:t>州市</w:t>
      </w:r>
      <w:r>
        <w:rPr>
          <w:rStyle w:val="66"/>
          <w:rFonts w:hint="eastAsia" w:ascii="黑体" w:hAnsi="黑体" w:eastAsia="黑体" w:cs="黑体"/>
          <w:b/>
          <w:bCs/>
          <w:color w:val="000000" w:themeColor="text1"/>
          <w:kern w:val="0"/>
          <w:sz w:val="36"/>
          <w:szCs w:val="36"/>
          <w:lang w:eastAsia="zh-CN"/>
        </w:rPr>
        <w:t>城乡规划发展中心</w:t>
      </w:r>
    </w:p>
    <w:p w14:paraId="34FA8ECE">
      <w:pPr>
        <w:jc w:val="center"/>
        <w:rPr>
          <w:rStyle w:val="66"/>
          <w:rFonts w:hint="eastAsia" w:ascii="黑体" w:hAnsi="黑体" w:eastAsia="黑体" w:cs="黑体"/>
          <w:b/>
          <w:bCs/>
          <w:color w:val="000000" w:themeColor="text1"/>
          <w:kern w:val="0"/>
          <w:sz w:val="36"/>
          <w:szCs w:val="36"/>
        </w:rPr>
      </w:pPr>
      <w:r>
        <w:rPr>
          <w:rStyle w:val="66"/>
          <w:rFonts w:hint="eastAsia" w:ascii="黑体" w:hAnsi="黑体" w:eastAsia="黑体" w:cs="黑体"/>
          <w:b/>
          <w:bCs/>
          <w:color w:val="000000" w:themeColor="text1"/>
          <w:kern w:val="0"/>
          <w:sz w:val="36"/>
          <w:szCs w:val="36"/>
          <w:lang w:eastAsia="zh-CN"/>
        </w:rPr>
        <w:t>禹州市</w:t>
      </w:r>
      <w:r>
        <w:rPr>
          <w:rStyle w:val="66"/>
          <w:rFonts w:hint="eastAsia" w:ascii="黑体" w:hAnsi="黑体" w:eastAsia="黑体" w:cs="黑体"/>
          <w:b/>
          <w:bCs/>
          <w:color w:val="000000" w:themeColor="text1"/>
          <w:kern w:val="0"/>
          <w:sz w:val="36"/>
          <w:szCs w:val="36"/>
          <w:lang w:val="en-US" w:eastAsia="zh-CN"/>
        </w:rPr>
        <w:t>324个村庄规划编制费</w:t>
      </w:r>
      <w:r>
        <w:rPr>
          <w:rStyle w:val="66"/>
          <w:rFonts w:hint="eastAsia" w:ascii="黑体" w:hAnsi="黑体" w:eastAsia="黑体" w:cs="黑体"/>
          <w:b/>
          <w:bCs/>
          <w:color w:val="000000" w:themeColor="text1"/>
          <w:kern w:val="0"/>
          <w:sz w:val="36"/>
          <w:szCs w:val="36"/>
        </w:rPr>
        <w:t>项目</w:t>
      </w:r>
    </w:p>
    <w:p w14:paraId="48D773CA">
      <w:pPr>
        <w:spacing w:before="98"/>
        <w:jc w:val="center"/>
        <w:rPr>
          <w:rFonts w:ascii="黑体" w:hAnsi="黑体" w:eastAsia="黑体" w:cs="宋体"/>
          <w:b/>
          <w:bCs/>
          <w:color w:val="000000"/>
          <w:sz w:val="32"/>
          <w:szCs w:val="32"/>
        </w:rPr>
      </w:pPr>
      <w:r>
        <w:rPr>
          <w:rFonts w:hint="eastAsia" w:ascii="黑体" w:hAnsi="黑体" w:eastAsia="黑体" w:cs="宋体"/>
          <w:b/>
          <w:bCs/>
          <w:color w:val="000000"/>
          <w:sz w:val="36"/>
          <w:szCs w:val="36"/>
        </w:rPr>
        <w:t>（不见面开标）</w:t>
      </w:r>
    </w:p>
    <w:p w14:paraId="75409D16">
      <w:pPr>
        <w:rPr>
          <w:rFonts w:ascii="微软简隶书" w:eastAsia="微软简隶书"/>
          <w:b/>
          <w:bCs/>
          <w:color w:val="000000"/>
          <w:sz w:val="32"/>
          <w:szCs w:val="32"/>
          <w:u w:val="single"/>
        </w:rPr>
      </w:pPr>
    </w:p>
    <w:p w14:paraId="4854FCE2">
      <w:pPr>
        <w:rPr>
          <w:rFonts w:ascii="微软简隶书" w:eastAsia="微软简隶书"/>
          <w:color w:val="000000"/>
        </w:rPr>
      </w:pPr>
    </w:p>
    <w:p w14:paraId="4137A405">
      <w:pPr>
        <w:rPr>
          <w:rFonts w:ascii="微软简隶书" w:eastAsia="微软简隶书"/>
          <w:color w:val="000000"/>
        </w:rPr>
      </w:pPr>
    </w:p>
    <w:p w14:paraId="6E17BB6C">
      <w:pPr>
        <w:rPr>
          <w:rFonts w:ascii="微软简隶书" w:eastAsia="微软简隶书"/>
          <w:color w:val="000000"/>
        </w:rPr>
      </w:pPr>
    </w:p>
    <w:p w14:paraId="2E374B9B">
      <w:pPr>
        <w:jc w:val="both"/>
        <w:rPr>
          <w:rFonts w:ascii="宋体" w:hAnsi="宋体" w:cs="宋体"/>
          <w:bCs/>
          <w:color w:val="000000"/>
          <w:w w:val="90"/>
          <w:sz w:val="120"/>
          <w:szCs w:val="120"/>
        </w:rPr>
      </w:pPr>
    </w:p>
    <w:p w14:paraId="00C78897">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1FACC438">
      <w:pPr>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采购编号： YZCG-G202</w:t>
      </w:r>
      <w:r>
        <w:rPr>
          <w:rFonts w:hint="eastAsia" w:ascii="宋体" w:hAnsi="宋体" w:cs="宋体"/>
          <w:b/>
          <w:bCs/>
          <w:color w:val="000000"/>
          <w:sz w:val="36"/>
          <w:szCs w:val="36"/>
          <w:lang w:val="en-US" w:eastAsia="zh-CN"/>
        </w:rPr>
        <w:t>4031</w:t>
      </w:r>
    </w:p>
    <w:p w14:paraId="7182F928">
      <w:pPr>
        <w:ind w:firstLine="1084" w:firstLineChars="300"/>
        <w:jc w:val="both"/>
        <w:rPr>
          <w:rFonts w:hint="eastAsia" w:ascii="宋体" w:hAnsi="宋体" w:cs="宋体"/>
          <w:b/>
          <w:bCs/>
          <w:color w:val="000000"/>
          <w:sz w:val="36"/>
          <w:szCs w:val="36"/>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eastAsia="zh-CN"/>
        </w:rPr>
        <w:t>城乡规划发展中心</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四</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十二</w:t>
      </w:r>
      <w:r>
        <w:rPr>
          <w:rFonts w:hint="eastAsia" w:ascii="宋体" w:hAnsi="宋体" w:cs="宋体"/>
          <w:b/>
          <w:bCs/>
          <w:color w:val="000000"/>
          <w:sz w:val="36"/>
          <w:szCs w:val="36"/>
        </w:rPr>
        <w:t>月</w:t>
      </w:r>
    </w:p>
    <w:p w14:paraId="7ADE3652">
      <w:pPr>
        <w:rPr>
          <w:rFonts w:ascii="微软简隶书" w:eastAsia="微软简隶书"/>
          <w:u w:val="single"/>
        </w:rPr>
      </w:pPr>
    </w:p>
    <w:p w14:paraId="0CABF245">
      <w:pPr>
        <w:rPr>
          <w:rFonts w:ascii="微软简隶书" w:eastAsia="微软简隶书"/>
          <w:u w:val="single"/>
        </w:rPr>
      </w:pPr>
    </w:p>
    <w:p w14:paraId="651D3C07">
      <w:pPr>
        <w:rPr>
          <w:rFonts w:ascii="微软简隶书" w:eastAsia="微软简隶书"/>
          <w:u w:val="single"/>
        </w:rPr>
      </w:pPr>
    </w:p>
    <w:p w14:paraId="6D1B9D53">
      <w:pPr>
        <w:rPr>
          <w:rFonts w:ascii="微软简隶书" w:eastAsia="微软简隶书"/>
          <w:u w:val="single"/>
        </w:rPr>
      </w:pPr>
    </w:p>
    <w:p w14:paraId="6549FEA0">
      <w:pPr>
        <w:rPr>
          <w:rFonts w:ascii="微软简隶书" w:eastAsia="微软简隶书"/>
          <w:u w:val="single"/>
        </w:rPr>
      </w:pPr>
    </w:p>
    <w:p w14:paraId="2B0B8F74">
      <w:pPr>
        <w:rPr>
          <w:rFonts w:ascii="微软简隶书" w:eastAsia="微软简隶书"/>
        </w:rPr>
      </w:pPr>
    </w:p>
    <w:p w14:paraId="26B198DA">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2ACCD5E8">
      <w:pPr>
        <w:jc w:val="both"/>
        <w:rPr>
          <w:rFonts w:cs="宋体" w:asciiTheme="majorEastAsia" w:hAnsiTheme="majorEastAsia" w:eastAsiaTheme="majorEastAsia"/>
          <w:b/>
          <w:kern w:val="0"/>
          <w:sz w:val="32"/>
          <w:szCs w:val="32"/>
        </w:rPr>
      </w:pPr>
    </w:p>
    <w:p w14:paraId="31FAB947">
      <w:pPr>
        <w:pStyle w:val="24"/>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56A5D543">
      <w:pPr>
        <w:pStyle w:val="43"/>
        <w:widowControl/>
        <w:numPr>
          <w:ilvl w:val="0"/>
          <w:numId w:val="0"/>
        </w:numPr>
        <w:shd w:val="clear" w:color="auto" w:fill="FFFFFF"/>
        <w:spacing w:line="440" w:lineRule="exact"/>
        <w:jc w:val="left"/>
        <w:rPr>
          <w:rFonts w:hint="eastAsia" w:asciiTheme="minorEastAsia" w:hAnsiTheme="minorEastAsia" w:eastAsiaTheme="minorEastAsia" w:cstheme="minorEastAsia"/>
          <w:kern w:val="2"/>
          <w:sz w:val="21"/>
          <w:szCs w:val="21"/>
          <w:lang w:val="en-US" w:eastAsia="zh-CN" w:bidi="ar-SA"/>
        </w:rPr>
      </w:pPr>
    </w:p>
    <w:p w14:paraId="56AC29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w:t>
      </w:r>
      <w:r>
        <w:rPr>
          <w:rFonts w:hint="eastAsia" w:asciiTheme="minorEastAsia" w:hAnsiTheme="minorEastAsia" w:cstheme="minorEastAsia"/>
          <w:kern w:val="2"/>
          <w:sz w:val="21"/>
          <w:szCs w:val="21"/>
          <w:lang w:val="en-US" w:eastAsia="zh-CN" w:bidi="ar-SA"/>
        </w:rPr>
        <w:t>城乡规划发展中心</w:t>
      </w:r>
      <w:r>
        <w:rPr>
          <w:rFonts w:hint="eastAsia" w:asciiTheme="minorEastAsia" w:hAnsiTheme="minorEastAsia" w:eastAsiaTheme="minorEastAsia" w:cstheme="minorEastAsia"/>
          <w:kern w:val="2"/>
          <w:sz w:val="21"/>
          <w:szCs w:val="21"/>
          <w:lang w:val="en-US" w:eastAsia="zh-CN" w:bidi="ar-SA"/>
        </w:rPr>
        <w:t>的委托，对“禹州市</w:t>
      </w:r>
      <w:r>
        <w:rPr>
          <w:rFonts w:hint="eastAsia" w:asciiTheme="minorEastAsia" w:hAnsiTheme="minorEastAsia" w:cstheme="minorEastAsia"/>
          <w:kern w:val="2"/>
          <w:sz w:val="21"/>
          <w:szCs w:val="21"/>
          <w:lang w:val="en-US" w:eastAsia="zh-CN" w:bidi="ar-SA"/>
        </w:rPr>
        <w:t>城乡规划发展中心</w:t>
      </w:r>
      <w:r>
        <w:rPr>
          <w:rFonts w:hint="eastAsia" w:asciiTheme="minorEastAsia" w:hAnsiTheme="minorEastAsia" w:eastAsiaTheme="minorEastAsia" w:cstheme="minorEastAsia"/>
          <w:kern w:val="2"/>
          <w:sz w:val="21"/>
          <w:szCs w:val="21"/>
          <w:lang w:val="en-US" w:eastAsia="zh-CN" w:bidi="ar-SA"/>
        </w:rPr>
        <w:t>禹州市324个村庄规划编制费项目 (不见面开标)”进行公开招标，现邀请符合本文件规定条件的供应商前来投标。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20240</w:t>
      </w:r>
      <w:r>
        <w:rPr>
          <w:rFonts w:hint="eastAsia" w:asciiTheme="minorEastAsia" w:hAnsiTheme="minorEastAsia" w:cstheme="minorEastAsia"/>
          <w:kern w:val="2"/>
          <w:sz w:val="21"/>
          <w:szCs w:val="21"/>
          <w:lang w:val="en-US" w:eastAsia="zh-CN" w:bidi="ar-SA"/>
        </w:rPr>
        <w:t>31</w:t>
      </w:r>
    </w:p>
    <w:p w14:paraId="6BDA990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禹州市城乡</w:t>
      </w:r>
      <w:r>
        <w:rPr>
          <w:rFonts w:hint="eastAsia" w:asciiTheme="minorEastAsia" w:hAnsiTheme="minorEastAsia" w:cstheme="minorEastAsia"/>
          <w:kern w:val="2"/>
          <w:sz w:val="21"/>
          <w:szCs w:val="21"/>
          <w:lang w:val="en-US" w:eastAsia="zh-CN" w:bidi="ar-SA"/>
        </w:rPr>
        <w:t>规划发展中心</w:t>
      </w:r>
      <w:r>
        <w:rPr>
          <w:rFonts w:hint="eastAsia" w:asciiTheme="minorEastAsia" w:hAnsiTheme="minorEastAsia" w:eastAsiaTheme="minorEastAsia" w:cstheme="minorEastAsia"/>
          <w:kern w:val="2"/>
          <w:sz w:val="21"/>
          <w:szCs w:val="21"/>
          <w:lang w:val="en-US" w:eastAsia="zh-CN" w:bidi="ar-SA"/>
        </w:rPr>
        <w:t>禹州市324个村庄规划编制费项目 (不见面开标)</w:t>
      </w:r>
    </w:p>
    <w:p w14:paraId="0C335B7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24934BF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服务</w:t>
      </w:r>
    </w:p>
    <w:p w14:paraId="1FC8F2D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五、谈判项目基本情况：</w:t>
      </w:r>
    </w:p>
    <w:p w14:paraId="776622A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1、采购人：禹州市城乡规划发展中心</w:t>
      </w:r>
    </w:p>
    <w:p w14:paraId="5B1BC4A5">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2、项目主要内容、数量及要求：本项目为禹州市324个村庄规划编制和《禹州市村庄分类和布局规划》编制。（详见招标文件）</w:t>
      </w:r>
    </w:p>
    <w:p w14:paraId="7DD23F81">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3、预算金额：2939800.00元</w:t>
      </w:r>
    </w:p>
    <w:p w14:paraId="1B87072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4、最高限价：2939800.00元</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、履约时间 ：签订合同后</w:t>
      </w:r>
      <w:r>
        <w:rPr>
          <w:rFonts w:hint="eastAsia" w:asciiTheme="minorEastAsia" w:hAnsiTheme="minorEastAsia" w:cstheme="minorEastAsia"/>
          <w:kern w:val="2"/>
          <w:sz w:val="21"/>
          <w:szCs w:val="21"/>
          <w:lang w:val="en-US" w:eastAsia="zh-CN" w:bidi="ar-SA"/>
        </w:rPr>
        <w:t>90日历天</w:t>
      </w:r>
      <w:r>
        <w:rPr>
          <w:rFonts w:hint="eastAsia" w:asciiTheme="minorEastAsia" w:hAnsiTheme="minorEastAsia" w:eastAsiaTheme="minorEastAsia" w:cstheme="minorEastAsia"/>
          <w:kern w:val="2"/>
          <w:sz w:val="21"/>
          <w:szCs w:val="21"/>
          <w:lang w:val="en-US" w:eastAsia="zh-CN" w:bidi="ar-SA"/>
        </w:rPr>
        <w:t>内完成</w:t>
      </w:r>
    </w:p>
    <w:p w14:paraId="44990095">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6、履约地点：禹州市城乡</w:t>
      </w:r>
      <w:r>
        <w:rPr>
          <w:rFonts w:hint="eastAsia" w:asciiTheme="minorEastAsia" w:hAnsiTheme="minorEastAsia" w:cstheme="minorEastAsia"/>
          <w:kern w:val="2"/>
          <w:sz w:val="21"/>
          <w:szCs w:val="21"/>
          <w:lang w:val="en-US" w:eastAsia="zh-CN" w:bidi="ar-SA"/>
        </w:rPr>
        <w:t>规划发展中心</w:t>
      </w:r>
    </w:p>
    <w:p w14:paraId="65CF337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7BB5E51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8、是否面向中小企业采购：是</w:t>
      </w:r>
    </w:p>
    <w:p w14:paraId="0B3FBC4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4"/>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满足《中华人民共和国政府采购法》第二十二条规定；</w:t>
      </w:r>
    </w:p>
    <w:p w14:paraId="3EE4C9D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 本项目落实节约能源、保护环境、扶持不发达地区和少数民族地区、促进中小企业、监狱企业发展等政府采购政策。</w:t>
      </w:r>
    </w:p>
    <w:p w14:paraId="5C8DAD4A">
      <w:pPr>
        <w:pStyle w:val="67"/>
        <w:numPr>
          <w:ilvl w:val="0"/>
          <w:numId w:val="0"/>
        </w:num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3、本项目的特定资格要求：投标人须具有城乡规划乙级或者土地规划乙级及以上资质。</w:t>
      </w:r>
    </w:p>
    <w:p w14:paraId="2AE796A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2621FD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6F4E82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232B4E63">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0DC909F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 2025年1月3日8 时30分（北京时间），逾期提交或不符合规定的投标文件不予接受。</w:t>
      </w:r>
    </w:p>
    <w:p w14:paraId="14E4597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4F021CC8">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2E06C2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供应商原因解密失败的，其投标文件将被拒绝。</w:t>
      </w:r>
    </w:p>
    <w:p w14:paraId="252BA69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7FE5EA6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采购人名称：禹州市城乡规划发展中心</w:t>
      </w:r>
    </w:p>
    <w:p w14:paraId="78DB029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地址：禹州市禹王大道103号</w:t>
      </w:r>
    </w:p>
    <w:p w14:paraId="23AC4C25">
      <w:pPr>
        <w:keepNext w:val="0"/>
        <w:keepLines w:val="0"/>
        <w:pageBreakBefore w:val="0"/>
        <w:widowControl/>
        <w:shd w:val="clear" w:color="auto" w:fill="FFFFFF"/>
        <w:kinsoku/>
        <w:wordWrap/>
        <w:overflowPunct/>
        <w:topLinePunct w:val="0"/>
        <w:autoSpaceDE/>
        <w:autoSpaceDN/>
        <w:bidi w:val="0"/>
        <w:snapToGrid/>
        <w:spacing w:beforeAutospacing="0" w:line="520" w:lineRule="exact"/>
        <w:ind w:firstLine="795"/>
        <w:jc w:val="left"/>
        <w:textAlignment w:val="baseline"/>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李先生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cstheme="minorEastAsia"/>
          <w:color w:val="000000"/>
          <w:szCs w:val="21"/>
          <w:shd w:val="clear" w:color="auto" w:fill="FFFFFF"/>
          <w:lang w:val="en-US" w:eastAsia="zh-CN"/>
        </w:rPr>
        <w:t>0374-</w:t>
      </w:r>
      <w:r>
        <w:rPr>
          <w:rFonts w:hint="eastAsia" w:asciiTheme="minorEastAsia" w:hAnsiTheme="minorEastAsia" w:eastAsiaTheme="minorEastAsia" w:cstheme="minorEastAsia"/>
          <w:kern w:val="2"/>
          <w:sz w:val="21"/>
          <w:szCs w:val="21"/>
          <w:lang w:val="en-US" w:eastAsia="zh-CN" w:bidi="ar-SA"/>
        </w:rPr>
        <w:t>8136088</w:t>
      </w:r>
    </w:p>
    <w:p w14:paraId="3BF059E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7353DEA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15516A4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33FD574C">
      <w:pPr>
        <w:spacing w:line="360" w:lineRule="auto"/>
        <w:rPr>
          <w:rFonts w:hAnsi="宋体"/>
          <w:b/>
          <w:sz w:val="28"/>
          <w:szCs w:val="28"/>
        </w:rPr>
      </w:pPr>
      <w:r>
        <w:rPr>
          <w:rFonts w:hint="eastAsia" w:hAnsi="宋体"/>
          <w:b/>
          <w:sz w:val="28"/>
          <w:szCs w:val="28"/>
        </w:rPr>
        <w:t>温馨提示：本项目为全流程电子化交易项目，请注意以下事项。</w:t>
      </w:r>
    </w:p>
    <w:p w14:paraId="490D1CCD">
      <w:pPr>
        <w:pStyle w:val="43"/>
        <w:numPr>
          <w:ilvl w:val="0"/>
          <w:numId w:val="6"/>
        </w:numPr>
        <w:tabs>
          <w:tab w:val="left" w:pos="7095"/>
        </w:tabs>
        <w:spacing w:line="360" w:lineRule="auto"/>
        <w:ind w:firstLineChars="0"/>
        <w:contextualSpacing/>
        <w:rPr>
          <w:rFonts w:asciiTheme="minorEastAsia" w:hAnsiTheme="minorEastAsia"/>
          <w:b/>
        </w:rPr>
      </w:pPr>
      <w:r>
        <w:rPr>
          <w:rFonts w:hint="eastAsia" w:cs="Helvetica"/>
        </w:rPr>
        <w:t>供应商参加本项目投标，需提前自行联系CA服务机构办理数字认证证书并进行电子签章。</w:t>
      </w:r>
    </w:p>
    <w:p w14:paraId="64E8B20F">
      <w:pPr>
        <w:pStyle w:val="43"/>
        <w:numPr>
          <w:ilvl w:val="0"/>
          <w:numId w:val="6"/>
        </w:numPr>
        <w:tabs>
          <w:tab w:val="left" w:pos="7095"/>
        </w:tabs>
        <w:spacing w:line="360" w:lineRule="auto"/>
        <w:ind w:firstLineChars="0"/>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3"/>
        <w:numPr>
          <w:ilvl w:val="0"/>
          <w:numId w:val="6"/>
        </w:numPr>
        <w:tabs>
          <w:tab w:val="left" w:pos="7095"/>
        </w:tabs>
        <w:spacing w:line="360" w:lineRule="auto"/>
        <w:ind w:firstLineChars="0"/>
        <w:contextualSpacing/>
        <w:rPr>
          <w:rFonts w:hAnsi="宋体"/>
          <w:b/>
        </w:rPr>
      </w:pPr>
      <w:r>
        <w:rPr>
          <w:rFonts w:hint="eastAsia" w:hAnsi="宋体"/>
          <w:b/>
        </w:rPr>
        <w:t>电子投标文件的制作</w:t>
      </w:r>
    </w:p>
    <w:p w14:paraId="54618C4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 xml:space="preserve">3.1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80" w:firstLineChars="200"/>
        <w:jc w:val="both"/>
        <w:textAlignment w:val="auto"/>
        <w:rPr>
          <w:rFonts w:hAnsi="宋体"/>
          <w:b/>
        </w:rPr>
      </w:pPr>
      <w:r>
        <w:rPr>
          <w:rFonts w:hint="eastAsia" w:asciiTheme="minorEastAsia" w:hAnsiTheme="minorEastAsia" w:eastAsiaTheme="minorEastAsia" w:cstheme="minorEastAsia"/>
          <w:color w:val="FF0000"/>
          <w:lang w:val="en-US" w:eastAsia="zh-CN"/>
        </w:rPr>
        <w:t>3.2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3"/>
        <w:numPr>
          <w:ilvl w:val="0"/>
          <w:numId w:val="7"/>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14:paraId="24B58906">
      <w:pPr>
        <w:pStyle w:val="43"/>
        <w:numPr>
          <w:ilvl w:val="0"/>
          <w:numId w:val="0"/>
        </w:numPr>
        <w:tabs>
          <w:tab w:val="left" w:pos="7095"/>
        </w:tabs>
        <w:spacing w:line="360" w:lineRule="auto"/>
        <w:ind w:firstLine="840" w:firstLineChars="4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3"/>
        <w:numPr>
          <w:ilvl w:val="0"/>
          <w:numId w:val="7"/>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3"/>
        <w:numPr>
          <w:ilvl w:val="0"/>
          <w:numId w:val="8"/>
        </w:numPr>
        <w:tabs>
          <w:tab w:val="left" w:pos="7095"/>
        </w:tabs>
        <w:spacing w:line="360" w:lineRule="auto"/>
        <w:ind w:firstLineChars="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w:t>
      </w:r>
      <w:r>
        <w:rPr>
          <w:rFonts w:hint="eastAsia" w:hAnsi="宋体"/>
        </w:rPr>
        <w:t>并于开标时间前登录本项目不见面开标大厅，按照规定的开标时间准时参加网上开标。</w:t>
      </w:r>
    </w:p>
    <w:p w14:paraId="6321E35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840" w:firstLineChars="4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5.3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4" w:leftChars="401" w:right="0" w:hanging="2" w:hangingChars="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4" w:leftChars="401" w:right="0" w:hanging="2" w:hangingChars="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54B8EE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3"/>
        <w:numPr>
          <w:ilvl w:val="0"/>
          <w:numId w:val="9"/>
        </w:numPr>
        <w:tabs>
          <w:tab w:val="left" w:pos="7095"/>
        </w:tabs>
        <w:spacing w:line="360" w:lineRule="auto"/>
        <w:ind w:firstLineChars="0"/>
        <w:contextualSpacing/>
        <w:rPr>
          <w:rFonts w:hAnsi="宋体"/>
          <w:b/>
        </w:rPr>
      </w:pPr>
      <w:r>
        <w:rPr>
          <w:rFonts w:hint="eastAsia" w:hAnsi="宋体"/>
          <w:b/>
        </w:rPr>
        <w:t>评标依据</w:t>
      </w:r>
    </w:p>
    <w:p w14:paraId="695F76EC">
      <w:pPr>
        <w:pStyle w:val="43"/>
        <w:numPr>
          <w:ilvl w:val="1"/>
          <w:numId w:val="10"/>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14:paraId="02A1355B">
      <w:pPr>
        <w:pStyle w:val="43"/>
        <w:numPr>
          <w:ilvl w:val="0"/>
          <w:numId w:val="11"/>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3"/>
        <w:numPr>
          <w:ilvl w:val="0"/>
          <w:numId w:val="12"/>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630" w:leftChars="0"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7.1</w:t>
      </w:r>
      <w:r>
        <w:rPr>
          <w:rFonts w:hint="eastAsia" w:hAnsi="宋体" w:asciiTheme="minorHAnsi" w:eastAsiaTheme="minorEastAsia" w:cstheme="minorBidi"/>
          <w:kern w:val="2"/>
          <w:sz w:val="21"/>
          <w:szCs w:val="22"/>
          <w:lang w:val="en-US" w:eastAsia="zh-CN" w:bidi="ar-SA"/>
        </w:rPr>
        <w:t>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630" w:leftChars="0"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hAnsi="宋体" w:asciiTheme="minorHAnsi" w:eastAsiaTheme="minorEastAsia" w:cstheme="minorBidi"/>
          <w:kern w:val="2"/>
          <w:sz w:val="21"/>
          <w:szCs w:val="22"/>
          <w:lang w:val="en-US" w:eastAsia="zh-CN" w:bidi="ar-SA"/>
        </w:rPr>
        <w:t>“全国公共资源交易平台（河南省·许昌市）”采购公告栏提供的招标文件仅供浏览。供应商下载招标文件应使用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487B5C50">
      <w:pPr>
        <w:pStyle w:val="43"/>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3"/>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6BF0C0A9">
      <w:pPr>
        <w:numPr>
          <w:ilvl w:val="0"/>
          <w:numId w:val="13"/>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14:paraId="08013382">
      <w:pPr>
        <w:shd w:val="clear" w:color="auto" w:fill="FFFFFF"/>
        <w:spacing w:line="560" w:lineRule="exact"/>
        <w:ind w:firstLine="600"/>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（一）本项目需实现的功能或者目标</w:t>
      </w:r>
    </w:p>
    <w:p w14:paraId="02C10A24">
      <w:pPr>
        <w:widowControl/>
        <w:shd w:val="clear" w:color="auto" w:fill="FFFFFF"/>
        <w:snapToGrid/>
        <w:spacing w:before="0" w:beforeAutospacing="0" w:after="0" w:afterAutospacing="0" w:line="560" w:lineRule="exact"/>
        <w:ind w:firstLine="420" w:firstLineChars="200"/>
        <w:jc w:val="left"/>
        <w:textAlignment w:val="baselin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为深入贯彻落实党的二十大关于建设宜居宜业和美乡村的决策部署，深入实施乡村振兴战略进一步服务乡村发展，规范乡村建设行为，按照《河南省村庄规划编制和实施规定》（河南省人民政府令第212号）和《河南省自然资源厅关于进一步做好全省村庄规划编制工作的通知》（豫自然资源发【2023】38号）、《河南省自然资源厅办公室关于进一步推进乡村规划工作的通知》（豫自然资办发【2024】2号）、《河南省县域村庄分类和布局规划编制指南》（试行）等文件要求，我市需要加快推进《禹州市村庄分类和布局规划》和324个“通则式”村庄规划编制工作。                         </w:t>
      </w:r>
    </w:p>
    <w:p w14:paraId="59B817C8">
      <w:pPr>
        <w:numPr>
          <w:ilvl w:val="0"/>
          <w:numId w:val="0"/>
        </w:numPr>
        <w:shd w:val="clear" w:color="auto" w:fill="FFFFFF"/>
        <w:spacing w:line="560" w:lineRule="exact"/>
        <w:ind w:firstLine="422" w:firstLineChars="200"/>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（二）采购清单</w:t>
      </w:r>
    </w:p>
    <w:tbl>
      <w:tblPr>
        <w:tblStyle w:val="26"/>
        <w:tblW w:w="10395" w:type="dxa"/>
        <w:tblInd w:w="-462" w:type="dxa"/>
        <w:tblLayout w:type="fixed"/>
        <w:tblCellMar>
          <w:top w:w="0" w:type="dxa"/>
          <w:left w:w="108" w:type="dxa"/>
          <w:bottom w:w="0" w:type="dxa"/>
          <w:right w:w="108" w:type="dxa"/>
        </w:tblCellMar>
      </w:tblPr>
      <w:tblGrid>
        <w:gridCol w:w="675"/>
        <w:gridCol w:w="1336"/>
        <w:gridCol w:w="5624"/>
        <w:gridCol w:w="840"/>
        <w:gridCol w:w="742"/>
        <w:gridCol w:w="1178"/>
      </w:tblGrid>
      <w:tr w14:paraId="217CD112">
        <w:tblPrEx>
          <w:tblCellMar>
            <w:top w:w="0" w:type="dxa"/>
            <w:left w:w="108" w:type="dxa"/>
            <w:bottom w:w="0" w:type="dxa"/>
            <w:right w:w="108" w:type="dxa"/>
          </w:tblCellMar>
        </w:tblPrEx>
        <w:trPr>
          <w:trHeight w:val="500" w:hRule="atLeast"/>
        </w:trPr>
        <w:tc>
          <w:tcPr>
            <w:tcW w:w="10395" w:type="dxa"/>
            <w:gridSpan w:val="6"/>
            <w:tcBorders>
              <w:top w:val="nil"/>
              <w:left w:val="nil"/>
              <w:bottom w:val="single" w:color="000000" w:sz="4" w:space="0"/>
              <w:right w:val="nil"/>
            </w:tcBorders>
            <w:noWrap/>
            <w:vAlign w:val="center"/>
          </w:tcPr>
          <w:p w14:paraId="6B71F7B9">
            <w:pPr>
              <w:ind w:firstLine="2715" w:firstLineChars="1293"/>
              <w:textAlignment w:val="center"/>
              <w:rPr>
                <w:rFonts w:hint="eastAsia" w:asciiTheme="minorEastAsia" w:hAnsiTheme="minorEastAsia" w:eastAsiaTheme="minorEastAsia" w:cstheme="minorEastAsia"/>
                <w:kern w:val="2"/>
                <w:sz w:val="21"/>
                <w:szCs w:val="21"/>
                <w:lang w:val="en-US" w:eastAsia="zh-CN" w:bidi="ar-SA"/>
              </w:rPr>
            </w:pPr>
          </w:p>
        </w:tc>
      </w:tr>
      <w:tr w14:paraId="3E4FB7E0">
        <w:tblPrEx>
          <w:tblCellMar>
            <w:top w:w="0" w:type="dxa"/>
            <w:left w:w="108" w:type="dxa"/>
            <w:bottom w:w="0" w:type="dxa"/>
            <w:right w:w="108" w:type="dxa"/>
          </w:tblCellMar>
        </w:tblPrEx>
        <w:trPr>
          <w:trHeight w:val="12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C85F89">
            <w:pPr>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7F3CBE">
            <w:pPr>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服务</w:t>
            </w:r>
          </w:p>
          <w:p w14:paraId="283769A0">
            <w:pPr>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名称</w:t>
            </w:r>
          </w:p>
        </w:tc>
        <w:tc>
          <w:tcPr>
            <w:tcW w:w="562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360019">
            <w:pPr>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技术参数及要求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006AD8">
            <w:pPr>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单位</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C60798">
            <w:pPr>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数量</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B61CFC">
            <w:pPr>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采购标的对应的行业</w:t>
            </w:r>
          </w:p>
        </w:tc>
      </w:tr>
      <w:tr w14:paraId="25E69820">
        <w:tblPrEx>
          <w:tblCellMar>
            <w:top w:w="0" w:type="dxa"/>
            <w:left w:w="108" w:type="dxa"/>
            <w:bottom w:w="0" w:type="dxa"/>
            <w:right w:w="108" w:type="dxa"/>
          </w:tblCellMar>
        </w:tblPrEx>
        <w:trPr>
          <w:trHeight w:val="11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A860">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88C9">
            <w:pPr>
              <w:keepNext w:val="0"/>
              <w:keepLines w:val="0"/>
              <w:pageBreakBefore w:val="0"/>
              <w:widowControl/>
              <w:kinsoku/>
              <w:wordWrap/>
              <w:overflowPunct/>
              <w:topLinePunct w:val="0"/>
              <w:autoSpaceDE/>
              <w:autoSpaceDN/>
              <w:bidi w:val="0"/>
              <w:snapToGrid/>
              <w:spacing w:line="480" w:lineRule="exact"/>
              <w:jc w:val="both"/>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禹州市324个村庄规划编制费项目</w:t>
            </w:r>
          </w:p>
        </w:tc>
        <w:tc>
          <w:tcPr>
            <w:tcW w:w="5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578B1">
            <w:pPr>
              <w:spacing w:line="56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一、 “通则式”村庄规划编制内容：</w:t>
            </w:r>
          </w:p>
          <w:p w14:paraId="4E81F073">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1、土地现状 </w:t>
            </w:r>
          </w:p>
          <w:p w14:paraId="41AFA574">
            <w:pPr>
              <w:keepNext w:val="0"/>
              <w:keepLines w:val="0"/>
              <w:widowControl/>
              <w:suppressLineNumbers w:val="0"/>
              <w:ind w:firstLine="630" w:firstLineChars="3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在村域现状图中明确各类用地位置、面积。 </w:t>
            </w:r>
          </w:p>
          <w:p w14:paraId="52BEBA1C">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2、耕地保护 </w:t>
            </w:r>
          </w:p>
          <w:p w14:paraId="069AE2BC">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①．明确村庄耕地的面积、管控要求。 </w:t>
            </w:r>
          </w:p>
          <w:p w14:paraId="2919A08A">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②．明确村庄永久基本农田的面积、管控要求。 </w:t>
            </w:r>
          </w:p>
          <w:p w14:paraId="399E57EC">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③．明确村庄可用于农业设施建设用地的面积、用途管制规定。 </w:t>
            </w:r>
          </w:p>
          <w:p w14:paraId="3FD1E4CC">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3、生态保护 </w:t>
            </w:r>
          </w:p>
          <w:p w14:paraId="57DF3584">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①．明确村庄生态保护红线具体名称、面积、管控要求。 </w:t>
            </w:r>
          </w:p>
          <w:p w14:paraId="4E97BA88">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②．提出未划入生态保护红线的生态空间管控要求，严格控制开发性、生产性建设活动。交通、水利等重大基础设施确需占用的，按程序办理相关用地手续。 </w:t>
            </w:r>
          </w:p>
          <w:p w14:paraId="41763339">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③．落实上位规划明确的生态修复项目等内容，提出相应措施。 </w:t>
            </w:r>
          </w:p>
          <w:p w14:paraId="6D5B2E1E">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4、建设管控 </w:t>
            </w:r>
          </w:p>
          <w:p w14:paraId="583372D8">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①总体要求 </w:t>
            </w:r>
          </w:p>
          <w:p w14:paraId="25B40DA1">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明确村庄建设边界，各类乡村建设行为原则上应在村庄建设边界内开展，优先使用存量建设用地。村庄建设边界外原则上不安排乡村建设用地。涉及农转用的应先办理农转用手续。 </w:t>
            </w:r>
          </w:p>
          <w:p w14:paraId="47DF6E59">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②村民住房 </w:t>
            </w:r>
          </w:p>
          <w:p w14:paraId="0C5BBFCC">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应按照《河南省人民政府关于印发河南省农村宅基地和村民自建住房管理办法（试行）的通知》（豫政〔2021〕4 号）要求， </w:t>
            </w:r>
          </w:p>
          <w:p w14:paraId="753728AA">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明确村民自建住房用地标准、建筑面积、建筑层数、建筑高度，结合当地住房城乡建设部门印发的《农村住房设计图集》，落实农房风貌管控要求。 </w:t>
            </w:r>
          </w:p>
          <w:p w14:paraId="452924A0">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③乡村基础设施和公共服务设施 </w:t>
            </w:r>
          </w:p>
          <w:p w14:paraId="669540E4">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结合实际提出乡村基础设施、公共服务设施的用地标准、建设体量、建设高度和风貌管控要求等。 </w:t>
            </w:r>
          </w:p>
          <w:p w14:paraId="1A999F35">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 4 \* GB3 \* MERGEFORMAT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④</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 xml:space="preserve">乡村产业发展 </w:t>
            </w:r>
          </w:p>
          <w:p w14:paraId="18C67073">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明确产业用地位置规模、开发强度等控制要求，鼓励产业空间复合高效利用。 </w:t>
            </w:r>
          </w:p>
          <w:p w14:paraId="43B37E95">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 5 \* GB3 \* MERGEFORMAT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t>⑤</w: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 xml:space="preserve">历史文化保护 </w:t>
            </w:r>
          </w:p>
          <w:p w14:paraId="3329AAD0">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明确文物保护单位、历史建筑、古井、古桥、古树等保护内容和管控要求，历史文化保护线范围内禁止开展影响历史风貌的各类建设行为。 </w:t>
            </w:r>
          </w:p>
          <w:p w14:paraId="29602488">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5、防灾减灾 </w:t>
            </w:r>
          </w:p>
          <w:p w14:paraId="31AA5740">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明确地质灾害高易发区、蓄滞洪区等危险区域范围，提出防灾减灾要求和措施。对于确需在危险区域范围内开展建设行为的，应提供相关部门的支持性意见。 </w:t>
            </w:r>
          </w:p>
          <w:p w14:paraId="2D08BF4F">
            <w:pPr>
              <w:keepNext w:val="0"/>
              <w:keepLines w:val="0"/>
              <w:widowControl/>
              <w:suppressLineNumbers w:val="0"/>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6、成果要求 </w:t>
            </w:r>
          </w:p>
          <w:p w14:paraId="41D491D1">
            <w:pPr>
              <w:keepNext w:val="0"/>
              <w:keepLines w:val="0"/>
              <w:widowControl/>
              <w:suppressLineNumbers w:val="0"/>
              <w:ind w:firstLine="210" w:firstLineChars="1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通则式”村庄规划管理规定成果包含文本和图件（村域现状图、村域控制线图、村庄用地规划引导图、村民住房设计引导图），图件表达形式和深度按照河南省《“通则式”村庄规划管理规定》编制要求（试行）编制。鼓励编制村容村貌提升改造相关的风貌引导图，图件表达形式和深度参照《河南省实用性村庄规划编制导则（第二次修订）》环境整治引导图。图件应长期在村庄宣传栏展示，供村民查阅使用。</w:t>
            </w:r>
          </w:p>
          <w:p w14:paraId="431A4BBD">
            <w:pPr>
              <w:pStyle w:val="42"/>
              <w:keepNext w:val="0"/>
              <w:keepLines w:val="0"/>
              <w:pageBreakBefore w:val="0"/>
              <w:widowControl/>
              <w:kinsoku/>
              <w:wordWrap/>
              <w:overflowPunct/>
              <w:topLinePunct w:val="0"/>
              <w:autoSpaceDE/>
              <w:autoSpaceDN/>
              <w:bidi w:val="0"/>
              <w:snapToGrid/>
              <w:spacing w:line="480" w:lineRule="exact"/>
              <w:ind w:left="0" w:leftChars="0" w:firstLine="0" w:firstLineChars="0"/>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的监督。</w:t>
            </w:r>
          </w:p>
          <w:p w14:paraId="4DC99989">
            <w:pPr>
              <w:pStyle w:val="25"/>
              <w:spacing w:line="240" w:lineRule="auto"/>
              <w:ind w:left="0" w:leftChars="0"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二、《禹州市村庄分类和布局规划》编制内容：</w:t>
            </w:r>
          </w:p>
          <w:p w14:paraId="7BC00C9D">
            <w:pPr>
              <w:spacing w:line="24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村庄分类布局规划是乡村振兴战略中的一项重要内容。编制村庄分类布局规划，有助于引领乡村建设行动，推动乡村地区高质量发展。村庄分类和布局规划经政府充分论证确定后，纳入市县国土空间总体规划，作为指导乡村地区规划建设管理的重要依据。</w:t>
            </w:r>
          </w:p>
          <w:p w14:paraId="37A49784">
            <w:pPr>
              <w:spacing w:line="24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1、村庄类型。结合县域村庄发展潜力和限制性因素分析评估情况，将县域内各村庄按照集聚提升、城郊融合、特色保护、搬迁撤并和整治改善五种基本类型进行明确分类。具有特色保护类特征的应优先划分为特色保护类村庄；同时具备城郊融合类和其他类特征的应优先划分为城郊融合类村庄；因扶贫搬迁、库区滩区迁建、生态移民、村庄合并等原因而建成年限不足20 年的村庄不宜划分为搬迁撤并类村庄。</w:t>
            </w:r>
          </w:p>
          <w:p w14:paraId="499D8793">
            <w:pPr>
              <w:spacing w:line="24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2、预测村庄数量。顺应村庄发展、消亡的自然规律，研判乡村人口规模、结构、分布、流向等情况以及乡村发展趋势，结合村庄分类结果，合理确定保留村庄数量及迁并村庄的名录。</w:t>
            </w:r>
          </w:p>
          <w:p w14:paraId="41EF2CC4">
            <w:pPr>
              <w:spacing w:line="24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3、统筹村庄布局。在县域层面合理划定城镇生活圈和乡村生活圈，作为县域村庄布局的基本单元。城镇生活圈应强化城镇综合服务能力，将距离城镇较近的村庄纳入城镇生活圈，引导城镇市政基础设施和公共服务设施向乡村延伸和覆盖。乡村生活圈以集聚提升类或特色保护类村庄为中心，引导周边村庄的人口、土地、产业等要素向中心集中，促进乡村地区土地节约集约利用。要注重村庄与村庄之间基础设施和公共服务设施的共建共享，以及各类设施之间的复合利用，提高资源利用水平。</w:t>
            </w:r>
          </w:p>
          <w:p w14:paraId="412C6099">
            <w:pPr>
              <w:spacing w:line="24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zh-CN" w:eastAsia="zh-CN" w:bidi="ar-SA"/>
              </w:rPr>
              <w:t>、优化要素配置。遵循高效集约的原则，根据村庄分类和布局，优化要素配置。建设用地指标向集聚提升类村庄倾斜，适当增加特色保护类村庄建设用地规模，按照精明减量方式合理确定整治改善类村庄建设用地，对搬迁撤并类村庄不再赋予建设用地指标和基础设施配套。</w:t>
            </w:r>
          </w:p>
          <w:p w14:paraId="1BC01FD6">
            <w:pPr>
              <w:spacing w:line="24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zh-CN" w:eastAsia="zh-CN" w:bidi="ar-SA"/>
              </w:rPr>
              <w:t>规划成果要求</w:t>
            </w:r>
          </w:p>
          <w:p w14:paraId="0CE244AC">
            <w:pPr>
              <w:pStyle w:val="25"/>
              <w:spacing w:line="240" w:lineRule="auto"/>
              <w:ind w:firstLine="420" w:firstLineChars="200"/>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县域村庄分类和布局规划成果应纳入国土空间规划“一张图”实施监督信息系统，数据成果要符合《国土空间调查、规划、用途管制用地用海分类指南（试行）》和《河南省国土空间总体规划基础数据归类实施细则（试行）》的要求，数据库标准参照《市级国土空间总体规划数据库规范（试行）》执行。</w:t>
            </w:r>
          </w:p>
          <w:p w14:paraId="6F6C7F61">
            <w:pPr>
              <w:pStyle w:val="25"/>
              <w:spacing w:line="240" w:lineRule="auto"/>
              <w:ind w:firstLine="420" w:firstLineChars="200"/>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规划成果主要包括综合报告和图纸，以纸质文件和电子文件两种形式表达。</w:t>
            </w:r>
          </w:p>
          <w:p w14:paraId="3C0C1D70">
            <w:pPr>
              <w:pStyle w:val="25"/>
              <w:spacing w:line="240" w:lineRule="auto"/>
              <w:ind w:firstLine="420" w:firstLineChars="200"/>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6</w:t>
            </w:r>
            <w:r>
              <w:rPr>
                <w:rFonts w:hint="eastAsia" w:asciiTheme="minorEastAsia" w:hAnsiTheme="minorEastAsia" w:eastAsiaTheme="minorEastAsia" w:cstheme="minorEastAsia"/>
                <w:kern w:val="2"/>
                <w:sz w:val="21"/>
                <w:szCs w:val="21"/>
                <w:lang w:val="zh-CN" w:eastAsia="zh-CN" w:bidi="ar-SA"/>
              </w:rPr>
              <w:t>、规划成果具体要求</w:t>
            </w:r>
          </w:p>
          <w:p w14:paraId="373386A7">
            <w:pPr>
              <w:pStyle w:val="25"/>
              <w:spacing w:line="240" w:lineRule="auto"/>
              <w:ind w:firstLine="420" w:firstLineChars="200"/>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①综合报告。包括规划目标、村庄分类、村庄布局、设施配置、村庄分类布局表，有关部门、专家和公众意见采纳情况。</w:t>
            </w:r>
          </w:p>
          <w:p w14:paraId="66AD41FD">
            <w:pPr>
              <w:pStyle w:val="25"/>
              <w:spacing w:line="24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zh-CN" w:eastAsia="zh-CN" w:bidi="ar-SA"/>
              </w:rPr>
              <w:t>②图纸。包括县域村庄分布现状图、县（市）域村庄分类和布局规划图、基础设施与公共服务设施规划图、分乡镇村庄分类和布局规划图等。除上述图纸之外，各县（市）可根据需要增加其他分析和特色图纸。</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35BC95F">
            <w:pPr>
              <w:keepNext w:val="0"/>
              <w:keepLines w:val="0"/>
              <w:pageBreakBefore w:val="0"/>
              <w:widowControl/>
              <w:kinsoku/>
              <w:wordWrap/>
              <w:overflowPunct/>
              <w:topLinePunct w:val="0"/>
              <w:autoSpaceDE/>
              <w:autoSpaceDN/>
              <w:bidi w:val="0"/>
              <w:snapToGrid/>
              <w:spacing w:line="480" w:lineRule="exact"/>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633C1E6">
            <w:pPr>
              <w:keepNext w:val="0"/>
              <w:keepLines w:val="0"/>
              <w:pageBreakBefore w:val="0"/>
              <w:widowControl/>
              <w:kinsoku/>
              <w:wordWrap/>
              <w:overflowPunct/>
              <w:topLinePunct w:val="0"/>
              <w:autoSpaceDE/>
              <w:autoSpaceDN/>
              <w:bidi w:val="0"/>
              <w:snapToGrid/>
              <w:spacing w:line="480" w:lineRule="exact"/>
              <w:jc w:val="center"/>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0F88338A">
            <w:pPr>
              <w:widowControl/>
              <w:shd w:val="clear" w:color="auto" w:fill="FFFFFF"/>
              <w:spacing w:line="560" w:lineRule="exact"/>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科学研究与和技术服务业 </w:t>
            </w:r>
          </w:p>
          <w:p w14:paraId="07CC70AC">
            <w:pPr>
              <w:keepNext w:val="0"/>
              <w:keepLines w:val="0"/>
              <w:pageBreakBefore w:val="0"/>
              <w:widowControl/>
              <w:kinsoku/>
              <w:wordWrap/>
              <w:overflowPunct/>
              <w:topLinePunct w:val="0"/>
              <w:autoSpaceDE/>
              <w:autoSpaceDN/>
              <w:bidi w:val="0"/>
              <w:snapToGrid/>
              <w:spacing w:line="480" w:lineRule="exact"/>
              <w:jc w:val="center"/>
              <w:rPr>
                <w:rFonts w:hint="eastAsia" w:asciiTheme="minorEastAsia" w:hAnsiTheme="minorEastAsia" w:eastAsiaTheme="minorEastAsia" w:cstheme="minorEastAsia"/>
                <w:kern w:val="2"/>
                <w:sz w:val="21"/>
                <w:szCs w:val="21"/>
                <w:lang w:val="en-US" w:eastAsia="zh-CN" w:bidi="ar-SA"/>
              </w:rPr>
            </w:pPr>
          </w:p>
        </w:tc>
      </w:tr>
    </w:tbl>
    <w:p w14:paraId="26FFA6DC">
      <w:pPr>
        <w:keepNext w:val="0"/>
        <w:keepLines w:val="0"/>
        <w:pageBreakBefore w:val="0"/>
        <w:widowControl/>
        <w:shd w:val="clear" w:color="auto" w:fill="FFFFFF"/>
        <w:kinsoku/>
        <w:wordWrap/>
        <w:overflowPunct/>
        <w:topLinePunct w:val="0"/>
        <w:autoSpaceDE/>
        <w:autoSpaceDN/>
        <w:bidi w:val="0"/>
        <w:snapToGrid/>
        <w:spacing w:line="480" w:lineRule="exact"/>
        <w:ind w:firstLine="422"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（三）采购标的执行标准：</w:t>
      </w:r>
      <w:r>
        <w:rPr>
          <w:rFonts w:hint="eastAsia" w:asciiTheme="minorEastAsia" w:hAnsiTheme="minorEastAsia" w:eastAsiaTheme="minorEastAsia" w:cstheme="minorEastAsia"/>
          <w:kern w:val="2"/>
          <w:sz w:val="21"/>
          <w:szCs w:val="21"/>
          <w:lang w:val="en-US" w:eastAsia="zh-CN" w:bidi="ar-SA"/>
        </w:rPr>
        <w:t xml:space="preserve">需执行的国家相关标准、规范。 </w:t>
      </w:r>
    </w:p>
    <w:p w14:paraId="40F6F7BB">
      <w:pPr>
        <w:shd w:val="clear" w:color="auto" w:fill="FFFFFF"/>
        <w:spacing w:line="360" w:lineRule="auto"/>
        <w:ind w:firstLine="422" w:firstLineChars="200"/>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（四）服务标准、期限、效率等要求：</w:t>
      </w:r>
    </w:p>
    <w:p w14:paraId="6A8F6EDC">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1、服务标准：规划编制过程中要加强与有关部门对接，确保符合产业准入、国土空间、生态环境保护、能源资源利用等管控要求。</w:t>
      </w:r>
    </w:p>
    <w:p w14:paraId="4C6AC907">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2、服务期限：自合同生效之日起90日历天内完成。</w:t>
      </w:r>
    </w:p>
    <w:p w14:paraId="3CF0F106">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3、完成效率：严格按照期限完成编制工作。</w:t>
      </w:r>
    </w:p>
    <w:p w14:paraId="0A4E0027">
      <w:pPr>
        <w:pStyle w:val="2"/>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4、其他要求：</w:t>
      </w:r>
    </w:p>
    <w:p w14:paraId="2D706473">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成果标准应符合《中华人民共和国城乡规划法》、《中华人民共和国文物保护法》、《中华人民共和国环境保护法》、《河南省村庄规划编制和实施规定》（河南省人民政府令第212号）、《河南省自然资源厅关于进一步做好全省村庄规划编制工作的通知》（豫自然资源发【2023】38号）、《河南省自然资源厅办公室关于进一步推进乡村规划工作的通知》（豫自然资办发【2024】2号）、《河南省县域村庄分类和布局规划编制指南》（试行）、河南省《“通则式”村庄规划管理规定》编制要求（试行）、《禹州市城乡总体规划》、《禹州市国土空间规划》以及乡镇国土空间规划。</w:t>
      </w:r>
    </w:p>
    <w:p w14:paraId="37AA424B">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（2）公示版成果。公示版村庄规划成果本着简洁易懂、方便好用的原则，对报批版成果进行简化，主要由规划文本、图件和表格构成</w:t>
      </w:r>
      <w:r>
        <w:rPr>
          <w:rFonts w:hint="eastAsia" w:asciiTheme="minorEastAsia" w:hAnsiTheme="minorEastAsia" w:cstheme="minorEastAsia"/>
          <w:kern w:val="2"/>
          <w:sz w:val="21"/>
          <w:szCs w:val="21"/>
          <w:lang w:val="en-US" w:eastAsia="zh-CN" w:bidi="ar-SA"/>
        </w:rPr>
        <w:t>，</w:t>
      </w:r>
      <w:r>
        <w:rPr>
          <w:rFonts w:hint="eastAsia" w:asciiTheme="minorEastAsia" w:hAnsiTheme="minorEastAsia" w:eastAsiaTheme="minorEastAsia" w:cstheme="minorEastAsia"/>
          <w:kern w:val="2"/>
          <w:sz w:val="21"/>
          <w:szCs w:val="21"/>
          <w:lang w:val="en-US" w:eastAsia="zh-CN" w:bidi="ar-SA"/>
        </w:rPr>
        <w:t>该成果主要供村民使用。</w:t>
      </w:r>
    </w:p>
    <w:p w14:paraId="1D1A150F">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（3）报批版成果。报批版村庄规划成果主要由规划文本、图件、表格、数据库、附件组成。该成果主要用于市县政府进行审批。</w:t>
      </w:r>
    </w:p>
    <w:p w14:paraId="17C3A0E0">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5、规划成果具体要求</w:t>
      </w:r>
      <w:r>
        <w:rPr>
          <w:rFonts w:hint="eastAsia" w:asciiTheme="minorEastAsia" w:hAnsiTheme="minorEastAsia" w:cstheme="minorEastAsia"/>
          <w:kern w:val="2"/>
          <w:sz w:val="21"/>
          <w:szCs w:val="21"/>
          <w:lang w:val="en-US" w:eastAsia="zh-CN" w:bidi="ar-SA"/>
        </w:rPr>
        <w:t>：</w:t>
      </w:r>
    </w:p>
    <w:p w14:paraId="20C592CB">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通则式”村庄规划管理规定成果包含文本和图件（村域现状图、村域控制线图、村庄用地规划引导图、村民住房设计引导图），图件表达形式和深度按照河南省《“通则式”村庄规划管理规定》编制要求（试行）编制。鼓励编制村容村貌提升改造相关的风貌引导图，图件表达形式和深度参照《河南省实用性村庄规划编制导则（第二次修订）》环境整治引导图。图件应长期在村庄宣传栏展示，供村民查阅使用。</w:t>
      </w:r>
    </w:p>
    <w:p w14:paraId="33328752">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kern w:val="2"/>
          <w:sz w:val="21"/>
          <w:szCs w:val="21"/>
          <w:lang w:val="zh-CN" w:eastAsia="zh-CN" w:bidi="ar-SA"/>
        </w:rPr>
        <w:t>禹州市村庄分类和布局规划》成果应纳入国土空间规划“一张图”实施监督信息系统，数据成果要符合《国土空间调查、规划、用途管制用地用海分类指南（试行）》和《河南省国土空间总体规划基础数据归类实施细则（试行）》的要求，数据库标准参照《市级国土空间总体规划数据库规范（试行）》执行。规划成果主要包括综合报告和图纸，以纸质文件和电子文件两种形式表达。</w:t>
      </w:r>
    </w:p>
    <w:p w14:paraId="071A4438">
      <w:pPr>
        <w:shd w:val="clear" w:color="auto" w:fill="FFFFFF"/>
        <w:spacing w:line="360" w:lineRule="auto"/>
        <w:ind w:firstLine="422" w:firstLineChars="200"/>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（五）采购标的其他技术、服务等要求：</w:t>
      </w:r>
    </w:p>
    <w:p w14:paraId="50AFF68F">
      <w:pPr>
        <w:shd w:val="clear" w:color="auto" w:fill="FFFFFF"/>
        <w:spacing w:line="360" w:lineRule="auto"/>
        <w:ind w:firstLine="420" w:firstLineChars="200"/>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1、以上要求为最低要求，投标人不能低于此要求，否则为无效投标。</w:t>
      </w:r>
    </w:p>
    <w:p w14:paraId="4197870B">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2、供应商应就该项目完整投标，否则为无效投标。</w:t>
      </w:r>
    </w:p>
    <w:p w14:paraId="4F62750C">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3、投标文件中须有详细的实施（技术）方案。</w:t>
      </w:r>
    </w:p>
    <w:p w14:paraId="4EC353B4">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4、在本项目实施过程中发生的一切与本项目相关的安全事故及责任均由中标供应商承担，本单位不承担任何责任及费用。</w:t>
      </w:r>
    </w:p>
    <w:p w14:paraId="12D5CCB7">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5、本次招标某些技术标准与国家所要求的标准不统一或有不兼容的地方，均以国家强制性标准或最新出台的标准为准。</w:t>
      </w:r>
    </w:p>
    <w:p w14:paraId="4BB5B6A1">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6、如果未在招标文件中要求提供其相关行业标准或国家强制性标准的，则投标人有责任给予补充说明。</w:t>
      </w:r>
    </w:p>
    <w:p w14:paraId="41841A35">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7、中标企业于中标后第三日上午09:00向禹州市城乡规划发展中心提供投标文件中所有资质原件，不符合或不能提供的，取消其中标资格并列入不良记录及信用中国。</w:t>
      </w:r>
    </w:p>
    <w:p w14:paraId="273F16E2">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（六）验收标准</w:t>
      </w:r>
    </w:p>
    <w:p w14:paraId="14A8AF3C">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CBB66CD">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2、符合招标文件要求和投标文件承诺。</w:t>
      </w:r>
    </w:p>
    <w:p w14:paraId="1C27AF5E">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3、本项目验收如需要第三方验收，中标方将承担所有产生的费用。</w:t>
      </w:r>
    </w:p>
    <w:p w14:paraId="75AFA7FA">
      <w:pPr>
        <w:shd w:val="clear" w:color="auto" w:fill="FFFFFF"/>
        <w:spacing w:line="360" w:lineRule="auto"/>
        <w:ind w:firstLine="422" w:firstLineChars="200"/>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（七）采购资金支付</w:t>
      </w:r>
    </w:p>
    <w:p w14:paraId="2799E568">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（一）支付方式：财政支付，银行转账。</w:t>
      </w:r>
    </w:p>
    <w:p w14:paraId="02695F37">
      <w:pPr>
        <w:shd w:val="clear" w:color="auto" w:fill="FFFFFF"/>
        <w:spacing w:line="360" w:lineRule="auto"/>
        <w:ind w:firstLine="420" w:firstLineChars="200"/>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zh-CN" w:eastAsia="zh-CN" w:bidi="ar-SA"/>
        </w:rPr>
        <w:t>（二）支付时间及条件：</w:t>
      </w:r>
      <w:r>
        <w:rPr>
          <w:rFonts w:hint="eastAsia" w:asciiTheme="minorEastAsia" w:hAnsiTheme="minorEastAsia" w:cstheme="minorEastAsia"/>
          <w:kern w:val="2"/>
          <w:sz w:val="21"/>
          <w:szCs w:val="21"/>
          <w:lang w:val="en-US" w:eastAsia="zh-CN" w:bidi="ar-SA"/>
        </w:rPr>
        <w:t>交付成果后，收到发票后五个工作日内一次性付清。</w:t>
      </w:r>
    </w:p>
    <w:p w14:paraId="0FD1DEA5">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p>
    <w:p w14:paraId="4B8682E8">
      <w:pPr>
        <w:shd w:val="clear" w:color="auto" w:fill="FFFFFF"/>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p>
    <w:p w14:paraId="0C9C7C44">
      <w:pPr>
        <w:shd w:val="clear" w:color="auto" w:fill="FFFFFF"/>
        <w:spacing w:line="360" w:lineRule="auto"/>
        <w:jc w:val="left"/>
        <w:rPr>
          <w:rFonts w:hint="eastAsia" w:asciiTheme="minorEastAsia" w:hAnsiTheme="minorEastAsia" w:eastAsiaTheme="minorEastAsia" w:cstheme="minorEastAsia"/>
          <w:kern w:val="2"/>
          <w:sz w:val="21"/>
          <w:szCs w:val="21"/>
          <w:lang w:val="en-US" w:eastAsia="zh-CN" w:bidi="ar-SA"/>
        </w:rPr>
      </w:pPr>
    </w:p>
    <w:p w14:paraId="3036176B">
      <w:pPr>
        <w:widowControl/>
        <w:ind w:firstLine="2108" w:firstLineChars="1000"/>
        <w:rPr>
          <w:rFonts w:cs="宋体" w:asciiTheme="majorEastAsia" w:hAnsiTheme="majorEastAsia" w:eastAsiaTheme="majorEastAsia"/>
          <w:b/>
          <w:kern w:val="0"/>
          <w:sz w:val="32"/>
          <w:szCs w:val="32"/>
        </w:rPr>
      </w:pPr>
      <w:r>
        <w:rPr>
          <w:rFonts w:hint="eastAsia" w:cs="微软雅黑"/>
          <w:b/>
          <w:szCs w:val="21"/>
          <w:lang w:val="en-US" w:eastAsia="zh-CN"/>
        </w:rPr>
        <w:t xml:space="preserve">  </w:t>
      </w:r>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606ACB65">
            <w:pPr>
              <w:rPr>
                <w:rFonts w:ascii="宋体" w:hAnsi="宋体" w:eastAsia="宋体" w:cs="仿宋"/>
                <w:kern w:val="0"/>
                <w:sz w:val="30"/>
                <w:szCs w:val="30"/>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w:t>
            </w:r>
            <w:r>
              <w:rPr>
                <w:rFonts w:hint="eastAsia" w:asciiTheme="minorEastAsia" w:hAnsiTheme="minorEastAsia" w:cstheme="minorEastAsia"/>
                <w:kern w:val="2"/>
                <w:sz w:val="21"/>
                <w:szCs w:val="21"/>
                <w:lang w:val="en-US" w:eastAsia="zh-CN" w:bidi="ar-SA"/>
              </w:rPr>
              <w:t>城乡规划发展中心</w:t>
            </w:r>
            <w:r>
              <w:rPr>
                <w:rFonts w:hint="eastAsia" w:asciiTheme="minorEastAsia" w:hAnsiTheme="minorEastAsia" w:eastAsiaTheme="minorEastAsia" w:cstheme="minorEastAsia"/>
                <w:kern w:val="2"/>
                <w:sz w:val="21"/>
                <w:szCs w:val="21"/>
                <w:lang w:val="en-US" w:eastAsia="zh-CN" w:bidi="ar-SA"/>
              </w:rPr>
              <w:t xml:space="preserve">禹州市324个村庄规划编制费项目 </w:t>
            </w:r>
            <w:r>
              <w:rPr>
                <w:rFonts w:hint="eastAsia" w:cs="Helvetica"/>
                <w:lang w:val="en-US" w:eastAsia="zh-CN"/>
              </w:rPr>
              <w:t xml:space="preserve"> </w:t>
            </w:r>
            <w:r>
              <w:rPr>
                <w:rFonts w:hint="eastAsia" w:cs="仿宋_GB2312" w:asciiTheme="minorEastAsia" w:hAnsiTheme="minorEastAsia"/>
                <w:szCs w:val="21"/>
              </w:rPr>
              <w:t>(不见面开标）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4031</w:t>
            </w:r>
          </w:p>
          <w:p w14:paraId="3ADD7C31">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合同</w:t>
            </w:r>
            <w:r>
              <w:rPr>
                <w:rFonts w:hint="eastAsia" w:cs="仿宋_GB2312" w:asciiTheme="minorEastAsia" w:hAnsiTheme="minorEastAsia"/>
                <w:szCs w:val="21"/>
              </w:rPr>
              <w:t>签订后</w:t>
            </w:r>
            <w:r>
              <w:rPr>
                <w:rFonts w:hint="eastAsia" w:cs="仿宋_GB2312" w:asciiTheme="minorEastAsia" w:hAnsiTheme="minorEastAsia"/>
                <w:szCs w:val="21"/>
                <w:lang w:val="en-US" w:eastAsia="zh-CN"/>
              </w:rPr>
              <w:t>90日历天完成</w:t>
            </w:r>
          </w:p>
          <w:p w14:paraId="0AD91C71">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履约地点：禹州市城乡规划发展中心</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391AA25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cs="仿宋_GB2312" w:asciiTheme="minorEastAsia" w:hAnsiTheme="minorEastAsia" w:eastAsia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w:t>
            </w:r>
            <w:r>
              <w:rPr>
                <w:rFonts w:hint="eastAsia" w:cs="仿宋_GB2312" w:asciiTheme="minorEastAsia" w:hAnsiTheme="minorEastAsia" w:eastAsiaTheme="minorEastAsia"/>
                <w:kern w:val="2"/>
                <w:sz w:val="21"/>
                <w:szCs w:val="21"/>
                <w:lang w:val="en-US" w:eastAsia="zh-CN" w:bidi="ar-SA"/>
              </w:rPr>
              <w:t>禹州市城乡规划发展中心</w:t>
            </w:r>
          </w:p>
          <w:p w14:paraId="3203982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地址：禹州市禹王大道103号</w:t>
            </w:r>
          </w:p>
          <w:p w14:paraId="4D5AEA5C">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cs="仿宋_GB2312" w:asciiTheme="minorEastAsia" w:hAnsiTheme="minorEastAsia" w:eastAsiaTheme="minorEastAsia"/>
                <w:szCs w:val="21"/>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eastAsia="zh-CN"/>
              </w:rPr>
              <w:t>：</w:t>
            </w:r>
            <w:r>
              <w:rPr>
                <w:rFonts w:hint="eastAsia" w:asciiTheme="minorEastAsia" w:hAnsiTheme="minorEastAsia" w:cstheme="minorEastAsia"/>
                <w:color w:val="000000"/>
                <w:szCs w:val="21"/>
                <w:shd w:val="clear" w:color="auto" w:fill="FFFFFF"/>
                <w:lang w:val="en-US" w:eastAsia="zh-CN"/>
              </w:rPr>
              <w:t>李先生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cstheme="minorEastAsia"/>
                <w:color w:val="000000"/>
                <w:szCs w:val="21"/>
                <w:shd w:val="clear" w:color="auto" w:fill="FFFFFF"/>
                <w:lang w:val="en-US" w:eastAsia="zh-CN"/>
              </w:rPr>
              <w:t>0374-8136088</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14:paraId="11E218CB">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6C50F22F">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46C1ED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14:paraId="40FC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16187CCB">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5A761691">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0464607D">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72F4DA5F">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184B2C6D">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0396AE2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5D2E9DC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2A5473D2">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33DAF702">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5D455B79">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17E261EE">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277174BE">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5AFAA2D">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2939800.00</w:t>
            </w:r>
            <w:r>
              <w:rPr>
                <w:rFonts w:hint="eastAsia" w:cs="宋体" w:asciiTheme="minorEastAsia" w:hAnsiTheme="minorEastAsia"/>
                <w:bCs/>
                <w:szCs w:val="21"/>
                <w:lang w:val="zh-CN"/>
              </w:rPr>
              <w:t>元，超出最高限价的投标无效。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 xml:space="preserve">日8：30（北京时间）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2F3B55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60E7425">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本项目属于专门面向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企业采购的项目（不再执行价格评审优惠的扶持政策）。</w:t>
            </w:r>
          </w:p>
          <w:p w14:paraId="1C731788">
            <w:pPr>
              <w:autoSpaceDE w:val="0"/>
              <w:autoSpaceDN w:val="0"/>
              <w:adjustRightInd w:val="0"/>
              <w:spacing w:line="360" w:lineRule="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2、</w:t>
            </w:r>
            <w:r>
              <w:rPr>
                <w:rFonts w:hint="eastAsia"/>
              </w:rPr>
              <w:t>本次</w:t>
            </w:r>
            <w:r>
              <w:t>采购标的对应的中小企业划分标准所属行业</w:t>
            </w:r>
            <w:r>
              <w:rPr>
                <w:rFonts w:hint="eastAsia"/>
              </w:rPr>
              <w:t>：</w:t>
            </w:r>
            <w:r>
              <w:rPr>
                <w:rFonts w:hint="eastAsia"/>
                <w:lang w:val="en-US" w:eastAsia="zh-CN"/>
              </w:rPr>
              <w:t>科学研究和技术服务业。</w:t>
            </w:r>
          </w:p>
          <w:p w14:paraId="680ABCA9">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29A2E7DA">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7C17CD0E">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shd w:val="clear" w:color="auto" w:fill="auto"/>
            <w:vAlign w:val="center"/>
          </w:tcPr>
          <w:p w14:paraId="321511C3">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shd w:val="clear" w:color="auto" w:fill="auto"/>
            <w:vAlign w:val="center"/>
          </w:tcPr>
          <w:p w14:paraId="30A0C32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A03CE64">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hint="eastAsia"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p w14:paraId="40E00038">
            <w:pPr>
              <w:pStyle w:val="2"/>
              <w:rPr>
                <w:rFonts w:hint="eastAsia" w:eastAsia="仿宋_GB2312"/>
                <w:lang w:val="en-US" w:eastAsia="zh-CN"/>
              </w:rPr>
            </w:pPr>
            <w:r>
              <w:rPr>
                <w:rFonts w:hint="eastAsia" w:cs="宋体" w:asciiTheme="minorEastAsia" w:hAnsiTheme="minorEastAsia" w:eastAsiaTheme="minorEastAsia"/>
                <w:kern w:val="0"/>
                <w:sz w:val="21"/>
                <w:szCs w:val="21"/>
                <w:lang w:val="en-US" w:eastAsia="zh-CN" w:bidi="ar-SA"/>
              </w:rPr>
              <w:t>八、投标人须具有城乡规划乙级或者土地规划乙级及以上资质。</w:t>
            </w:r>
          </w:p>
        </w:tc>
      </w:tr>
    </w:tbl>
    <w:p w14:paraId="225F8BE8">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2F630EB2">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2ACA8E56">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24C06010">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60F8435F">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21DA1D3A">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0BAF11F4">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720E1BF0">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69EA2BC7">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5318AF2F">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1A296A8E">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3A1AB7C7">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170F4CB4">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770BB762">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047B6375">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2647592B">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318E5A9E">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591D88FE">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48D95D9E">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3"/>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3"/>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3"/>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3"/>
        <w:numPr>
          <w:ilvl w:val="1"/>
          <w:numId w:val="14"/>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3"/>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3"/>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3"/>
        <w:numPr>
          <w:ilvl w:val="0"/>
          <w:numId w:val="1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kern w:val="0"/>
          <w:szCs w:val="21"/>
        </w:rPr>
        <w:t>https://chinanpo.mca.gov.cn</w:t>
      </w:r>
      <w:r>
        <w:rPr>
          <w:rStyle w:val="31"/>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3"/>
        <w:numPr>
          <w:ilvl w:val="0"/>
          <w:numId w:val="1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3"/>
        <w:numPr>
          <w:ilvl w:val="0"/>
          <w:numId w:val="1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3"/>
        <w:numPr>
          <w:ilvl w:val="0"/>
          <w:numId w:val="1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3"/>
        <w:numPr>
          <w:ilvl w:val="0"/>
          <w:numId w:val="1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3"/>
        <w:numPr>
          <w:ilvl w:val="1"/>
          <w:numId w:val="14"/>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04C4B3BA">
      <w:pPr>
        <w:pStyle w:val="43"/>
        <w:numPr>
          <w:ilvl w:val="1"/>
          <w:numId w:val="14"/>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2F5FE957">
      <w:pPr>
        <w:pStyle w:val="43"/>
        <w:numPr>
          <w:ilvl w:val="1"/>
          <w:numId w:val="14"/>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3"/>
        <w:numPr>
          <w:ilvl w:val="0"/>
          <w:numId w:val="1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3"/>
        <w:numPr>
          <w:ilvl w:val="0"/>
          <w:numId w:val="1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6C1D59A">
      <w:pPr>
        <w:pStyle w:val="43"/>
        <w:numPr>
          <w:ilvl w:val="0"/>
          <w:numId w:val="1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3"/>
        <w:numPr>
          <w:ilvl w:val="0"/>
          <w:numId w:val="1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B2803E0">
      <w:pPr>
        <w:pStyle w:val="43"/>
        <w:numPr>
          <w:ilvl w:val="0"/>
          <w:numId w:val="17"/>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3"/>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3"/>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2496C204">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ADF2115">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3"/>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3"/>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062794C8">
      <w:pPr>
        <w:autoSpaceDE w:val="0"/>
        <w:autoSpaceDN w:val="0"/>
        <w:spacing w:line="360" w:lineRule="auto"/>
        <w:contextualSpacing/>
        <w:rPr>
          <w:rFonts w:cs="宋体" w:asciiTheme="minorEastAsia" w:hAnsiTheme="minorEastAsia"/>
          <w:kern w:val="0"/>
          <w:szCs w:val="21"/>
        </w:rPr>
      </w:pPr>
    </w:p>
    <w:p w14:paraId="35E3BBFB">
      <w:pPr>
        <w:autoSpaceDE w:val="0"/>
        <w:autoSpaceDN w:val="0"/>
        <w:spacing w:line="360" w:lineRule="auto"/>
        <w:contextualSpacing/>
        <w:rPr>
          <w:rFonts w:cs="宋体" w:asciiTheme="minorEastAsia" w:hAnsiTheme="minorEastAsia"/>
          <w:kern w:val="0"/>
          <w:szCs w:val="21"/>
        </w:rPr>
      </w:pPr>
    </w:p>
    <w:p w14:paraId="3211B629">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00EA9DC8">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01577300">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3"/>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3"/>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3"/>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3"/>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3"/>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3"/>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3"/>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3"/>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3"/>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3"/>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442801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3"/>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3"/>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3"/>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3"/>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3"/>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3"/>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3"/>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3"/>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3"/>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3"/>
        <w:numPr>
          <w:ilvl w:val="1"/>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3"/>
        <w:numPr>
          <w:ilvl w:val="1"/>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3"/>
        <w:numPr>
          <w:ilvl w:val="1"/>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3"/>
        <w:numPr>
          <w:ilvl w:val="1"/>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3"/>
        <w:numPr>
          <w:ilvl w:val="1"/>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3"/>
        <w:numPr>
          <w:ilvl w:val="1"/>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3"/>
        <w:numPr>
          <w:ilvl w:val="1"/>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3"/>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3"/>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3"/>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3"/>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3"/>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3"/>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3"/>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3"/>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3"/>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3"/>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3"/>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3"/>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64F14AE">
      <w:pPr>
        <w:pStyle w:val="43"/>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84030F7">
      <w:pPr>
        <w:pStyle w:val="43"/>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63A8A4">
      <w:pPr>
        <w:pStyle w:val="43"/>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563E4C34">
      <w:pPr>
        <w:pStyle w:val="43"/>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3"/>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3"/>
        <w:numPr>
          <w:ilvl w:val="1"/>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3"/>
        <w:numPr>
          <w:ilvl w:val="0"/>
          <w:numId w:val="3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3"/>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3"/>
        <w:numPr>
          <w:ilvl w:val="1"/>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18EA1C3">
      <w:pPr>
        <w:pStyle w:val="43"/>
        <w:numPr>
          <w:ilvl w:val="1"/>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E2D76FE">
      <w:pPr>
        <w:pStyle w:val="43"/>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3"/>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3"/>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3"/>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3"/>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3"/>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3"/>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3"/>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3"/>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3"/>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3"/>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3"/>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3"/>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3"/>
        <w:numPr>
          <w:ilvl w:val="0"/>
          <w:numId w:val="41"/>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76D14427">
      <w:pPr>
        <w:pStyle w:val="43"/>
        <w:numPr>
          <w:ilvl w:val="0"/>
          <w:numId w:val="41"/>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3"/>
        <w:numPr>
          <w:ilvl w:val="0"/>
          <w:numId w:val="41"/>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3"/>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3"/>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3"/>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4E7A36CD">
      <w:pPr>
        <w:pStyle w:val="43"/>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AB679E">
      <w:pPr>
        <w:pStyle w:val="43"/>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108A0AEB">
      <w:pPr>
        <w:pStyle w:val="43"/>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5EEA056">
      <w:pPr>
        <w:pStyle w:val="43"/>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31252233">
      <w:pPr>
        <w:pStyle w:val="43"/>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453A324">
      <w:pPr>
        <w:pStyle w:val="43"/>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636741E">
      <w:pPr>
        <w:pStyle w:val="43"/>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3AC7894F">
      <w:pPr>
        <w:pStyle w:val="43"/>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3"/>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3"/>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3"/>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3"/>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3"/>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3"/>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3"/>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3"/>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3"/>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3"/>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3"/>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3"/>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3"/>
        <w:numPr>
          <w:ilvl w:val="0"/>
          <w:numId w:val="6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3"/>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3"/>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3"/>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3"/>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3"/>
        <w:numPr>
          <w:ilvl w:val="0"/>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3"/>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3"/>
        <w:numPr>
          <w:ilvl w:val="0"/>
          <w:numId w:val="6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3"/>
        <w:numPr>
          <w:ilvl w:val="0"/>
          <w:numId w:val="65"/>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3"/>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3"/>
        <w:numPr>
          <w:ilvl w:val="0"/>
          <w:numId w:val="6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3"/>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3"/>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3"/>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3"/>
        <w:numPr>
          <w:ilvl w:val="1"/>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3"/>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3"/>
        <w:numPr>
          <w:ilvl w:val="0"/>
          <w:numId w:val="6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29290C94">
      <w:pPr>
        <w:pStyle w:val="43"/>
        <w:numPr>
          <w:ilvl w:val="0"/>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3"/>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3"/>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3"/>
        <w:numPr>
          <w:ilvl w:val="0"/>
          <w:numId w:val="7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3"/>
        <w:numPr>
          <w:ilvl w:val="0"/>
          <w:numId w:val="7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3"/>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3"/>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3"/>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3"/>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3"/>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3"/>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3"/>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3"/>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3"/>
        <w:numPr>
          <w:ilvl w:val="0"/>
          <w:numId w:val="7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3"/>
        <w:numPr>
          <w:ilvl w:val="0"/>
          <w:numId w:val="73"/>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03CDBCBF">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6B5178BB">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3"/>
        <w:numPr>
          <w:ilvl w:val="0"/>
          <w:numId w:val="7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3"/>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2B8741D4">
      <w:pPr>
        <w:pStyle w:val="43"/>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3"/>
        <w:numPr>
          <w:ilvl w:val="0"/>
          <w:numId w:val="7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3"/>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3"/>
        <w:numPr>
          <w:ilvl w:val="0"/>
          <w:numId w:val="7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3"/>
        <w:numPr>
          <w:ilvl w:val="0"/>
          <w:numId w:val="7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3"/>
        <w:numPr>
          <w:ilvl w:val="0"/>
          <w:numId w:val="7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3"/>
        <w:numPr>
          <w:ilvl w:val="0"/>
          <w:numId w:val="7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3"/>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3"/>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3"/>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01E4642C">
      <w:pPr>
        <w:pStyle w:val="43"/>
        <w:numPr>
          <w:ilvl w:val="0"/>
          <w:numId w:val="8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3"/>
        <w:numPr>
          <w:ilvl w:val="0"/>
          <w:numId w:val="8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3"/>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3"/>
        <w:numPr>
          <w:ilvl w:val="0"/>
          <w:numId w:val="8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3"/>
        <w:numPr>
          <w:ilvl w:val="0"/>
          <w:numId w:val="81"/>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3"/>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43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82"/>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BD12104">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2338C9C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02EAC5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7A8AF48">
      <w:pPr>
        <w:autoSpaceDE w:val="0"/>
        <w:autoSpaceDN w:val="0"/>
        <w:spacing w:line="360" w:lineRule="auto"/>
        <w:ind w:left="964" w:leftChars="459" w:firstLine="1606" w:firstLineChars="5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4A6C9DE7">
      <w:pPr>
        <w:jc w:val="center"/>
        <w:rPr>
          <w:rFonts w:cs="宋体" w:asciiTheme="majorEastAsia" w:hAnsiTheme="majorEastAsia" w:eastAsiaTheme="majorEastAsia"/>
          <w:b/>
          <w:kern w:val="0"/>
          <w:sz w:val="36"/>
          <w:szCs w:val="36"/>
        </w:rPr>
      </w:pPr>
    </w:p>
    <w:p w14:paraId="0976A6B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2D62AC0">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1B5E47A1">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5C2325A">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79791B7E">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专门面向中小企业预留采购份额（本项目专门面向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w:t>
      </w:r>
    </w:p>
    <w:p w14:paraId="20D3A9E0">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335C306B">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w:t>
      </w:r>
    </w:p>
    <w:p w14:paraId="40AF556B">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19872129">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1A76F617">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6</w:t>
      </w:r>
      <w:r>
        <w:rPr>
          <w:rFonts w:ascii="ˎ̥" w:hAnsi="ˎ̥"/>
        </w:rPr>
        <w:t>%的扣除，用扣除后的价格参加评审。组成联合体或者接受分包的小微企业与联合体内其他企业、分包企业之间存在直接控股、管理关系的，不享受价格扣除优惠政策。</w:t>
      </w:r>
    </w:p>
    <w:p w14:paraId="62E95F12">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646E2D13">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6E048D77">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DB9F39E">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4BD9A349">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2C7B5CE1">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308C923">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68836411">
      <w:pPr>
        <w:topLinePunct/>
        <w:spacing w:line="360" w:lineRule="auto"/>
        <w:ind w:firstLine="420" w:firstLineChars="200"/>
        <w:contextualSpacing/>
        <w:rPr>
          <w:rFonts w:cs="仿宋_GB2312" w:asciiTheme="minorEastAsia" w:hAnsiTheme="minorEastAsia"/>
          <w:szCs w:val="21"/>
          <w:lang w:val="zh-CN"/>
        </w:rPr>
      </w:pPr>
    </w:p>
    <w:p w14:paraId="66ACB01B">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14:paraId="537CC855">
      <w:pPr>
        <w:pStyle w:val="17"/>
        <w:spacing w:line="360" w:lineRule="auto"/>
        <w:contextualSpacing/>
        <w:rPr>
          <w:rFonts w:cs="宋体" w:asciiTheme="majorEastAsia" w:hAnsiTheme="majorEastAsia" w:eastAsiaTheme="majorEastAsia"/>
          <w:b/>
          <w:kern w:val="0"/>
          <w:sz w:val="36"/>
          <w:szCs w:val="36"/>
        </w:rPr>
      </w:pPr>
    </w:p>
    <w:p w14:paraId="6D304CE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7"/>
        <w:spacing w:line="360" w:lineRule="auto"/>
        <w:contextualSpacing/>
        <w:rPr>
          <w:rFonts w:cs="仿宋_GB2312" w:asciiTheme="minorEastAsia" w:hAnsiTheme="minorEastAsia"/>
          <w:lang w:val="zh-CN"/>
        </w:rPr>
      </w:pPr>
    </w:p>
    <w:p w14:paraId="24CF711E">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1865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14:paraId="4CC1F636">
            <w:pPr>
              <w:spacing w:line="360" w:lineRule="auto"/>
              <w:jc w:val="center"/>
              <w:rPr>
                <w:rFonts w:asciiTheme="minorEastAsia" w:hAnsiTheme="minorEastAsia"/>
                <w:b/>
                <w:szCs w:val="21"/>
              </w:rPr>
            </w:pPr>
            <w:r>
              <w:rPr>
                <w:rFonts w:hint="eastAsia" w:asciiTheme="minorEastAsia" w:hAnsiTheme="minorEastAsia"/>
                <w:b/>
                <w:szCs w:val="21"/>
              </w:rPr>
              <w:t>2</w:t>
            </w:r>
          </w:p>
        </w:tc>
        <w:tc>
          <w:tcPr>
            <w:tcW w:w="2410" w:type="dxa"/>
            <w:vAlign w:val="center"/>
          </w:tcPr>
          <w:p w14:paraId="459BF4C6">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rPr>
              <w:t>中小企业</w:t>
            </w:r>
            <w:r>
              <w:rPr>
                <w:rFonts w:hint="eastAsia" w:asciiTheme="minorEastAsia" w:hAnsiTheme="minorEastAsia"/>
                <w:b/>
                <w:szCs w:val="21"/>
                <w:lang w:val="en-US" w:eastAsia="zh-CN"/>
              </w:rPr>
              <w:t>声明函</w:t>
            </w:r>
          </w:p>
        </w:tc>
        <w:tc>
          <w:tcPr>
            <w:tcW w:w="5954" w:type="dxa"/>
            <w:vAlign w:val="center"/>
          </w:tcPr>
          <w:p w14:paraId="52614E46">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14:paraId="1D310438">
            <w:pPr>
              <w:tabs>
                <w:tab w:val="right" w:pos="5738"/>
              </w:tabs>
              <w:spacing w:line="360" w:lineRule="auto"/>
              <w:jc w:val="left"/>
              <w:rPr>
                <w:rFonts w:hint="eastAsia" w:ascii="宋体" w:hAnsi="宋体" w:cs="微软雅黑" w:eastAsiaTheme="minorEastAsia"/>
                <w:bCs/>
                <w:szCs w:val="21"/>
                <w:lang w:eastAsia="zh-CN"/>
              </w:rPr>
            </w:pPr>
            <w:r>
              <w:rPr>
                <w:rFonts w:hint="eastAsia" w:asciiTheme="minorEastAsia" w:hAnsiTheme="minorEastAsia"/>
                <w:bCs/>
                <w:szCs w:val="21"/>
              </w:rPr>
              <w:t>（2）残疾人福利性单位出具《残疾人福利企业声明函》</w:t>
            </w:r>
            <w:r>
              <w:rPr>
                <w:rFonts w:hint="eastAsia" w:asciiTheme="minorEastAsia" w:hAnsiTheme="minorEastAsia"/>
                <w:bCs/>
                <w:szCs w:val="21"/>
                <w:lang w:eastAsia="zh-CN"/>
              </w:rPr>
              <w:tab/>
            </w:r>
          </w:p>
        </w:tc>
      </w:tr>
      <w:tr w14:paraId="03E2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14:paraId="475DCECF">
            <w:pPr>
              <w:spacing w:line="360" w:lineRule="auto"/>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3</w:t>
            </w:r>
          </w:p>
        </w:tc>
        <w:tc>
          <w:tcPr>
            <w:tcW w:w="2410" w:type="dxa"/>
            <w:vAlign w:val="center"/>
          </w:tcPr>
          <w:p w14:paraId="4094EEB5">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资格证书</w:t>
            </w:r>
          </w:p>
        </w:tc>
        <w:tc>
          <w:tcPr>
            <w:tcW w:w="5954" w:type="dxa"/>
            <w:vAlign w:val="center"/>
          </w:tcPr>
          <w:p w14:paraId="333F0354">
            <w:pPr>
              <w:tabs>
                <w:tab w:val="right" w:pos="5738"/>
              </w:tabs>
              <w:spacing w:line="360" w:lineRule="auto"/>
              <w:jc w:val="left"/>
              <w:rPr>
                <w:rFonts w:hint="default" w:asciiTheme="minorEastAsia" w:hAnsiTheme="minorEastAsia" w:eastAsiaTheme="minorEastAsia"/>
                <w:bCs/>
                <w:szCs w:val="21"/>
                <w:lang w:val="en-US" w:eastAsia="zh-CN"/>
              </w:rPr>
            </w:pPr>
            <w:r>
              <w:rPr>
                <w:rFonts w:hint="eastAsia" w:asciiTheme="minorEastAsia" w:hAnsiTheme="minorEastAsia"/>
                <w:bCs/>
                <w:szCs w:val="21"/>
                <w:lang w:val="en-US" w:eastAsia="zh-CN"/>
              </w:rPr>
              <w:t>符合招标公告申请人的资格要求</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4EF677">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E73C6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6DD91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695C60">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FE0332">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8B7B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E33583">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7"/>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7"/>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7"/>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6C96D1E">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14:paraId="26A613E2">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3BE1F24">
      <w:pPr>
        <w:pStyle w:val="17"/>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260"/>
        <w:gridCol w:w="1418"/>
      </w:tblGrid>
      <w:tr w14:paraId="14BB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389" w:type="dxa"/>
            <w:tcBorders>
              <w:top w:val="single" w:color="auto" w:sz="4" w:space="0"/>
              <w:left w:val="single" w:color="auto" w:sz="4" w:space="0"/>
              <w:bottom w:val="single" w:color="auto" w:sz="4" w:space="0"/>
              <w:right w:val="single" w:color="auto" w:sz="4" w:space="0"/>
            </w:tcBorders>
            <w:noWrap/>
            <w:vAlign w:val="center"/>
          </w:tcPr>
          <w:p w14:paraId="32371EC1">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分值构成</w:t>
            </w:r>
          </w:p>
        </w:tc>
        <w:tc>
          <w:tcPr>
            <w:tcW w:w="7678" w:type="dxa"/>
            <w:gridSpan w:val="2"/>
            <w:tcBorders>
              <w:top w:val="single" w:color="auto" w:sz="4" w:space="0"/>
              <w:left w:val="single" w:color="auto" w:sz="4" w:space="0"/>
              <w:bottom w:val="single" w:color="auto" w:sz="4" w:space="0"/>
              <w:right w:val="single" w:color="auto" w:sz="4" w:space="0"/>
            </w:tcBorders>
            <w:noWrap/>
            <w:vAlign w:val="center"/>
          </w:tcPr>
          <w:p w14:paraId="28BA22D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价格分值： 30分</w:t>
            </w:r>
          </w:p>
          <w:p w14:paraId="1E187C9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商务部分： 20分</w:t>
            </w:r>
          </w:p>
          <w:p w14:paraId="1E79B6A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技术部分： 50分</w:t>
            </w:r>
          </w:p>
        </w:tc>
      </w:tr>
      <w:tr w14:paraId="59A5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73B96AB2">
            <w:pPr>
              <w:tabs>
                <w:tab w:val="left" w:pos="1260"/>
              </w:tabs>
              <w:autoSpaceDE w:val="0"/>
              <w:autoSpaceDN w:val="0"/>
              <w:spacing w:line="360" w:lineRule="auto"/>
              <w:ind w:firstLine="2520" w:firstLineChars="1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一、价格部分（满分30分）</w:t>
            </w:r>
          </w:p>
        </w:tc>
      </w:tr>
      <w:tr w14:paraId="0BD9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89" w:type="dxa"/>
            <w:tcBorders>
              <w:top w:val="single" w:color="auto" w:sz="4" w:space="0"/>
              <w:left w:val="single" w:color="auto" w:sz="4" w:space="0"/>
              <w:bottom w:val="single" w:color="auto" w:sz="4" w:space="0"/>
              <w:right w:val="single" w:color="auto" w:sz="4" w:space="0"/>
            </w:tcBorders>
            <w:noWrap/>
            <w:vAlign w:val="center"/>
          </w:tcPr>
          <w:p w14:paraId="0BFBE479">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评分因素</w:t>
            </w:r>
          </w:p>
        </w:tc>
        <w:tc>
          <w:tcPr>
            <w:tcW w:w="6260" w:type="dxa"/>
            <w:tcBorders>
              <w:top w:val="single" w:color="auto" w:sz="4" w:space="0"/>
              <w:left w:val="single" w:color="auto" w:sz="4" w:space="0"/>
              <w:bottom w:val="single" w:color="auto" w:sz="4" w:space="0"/>
              <w:right w:val="single" w:color="auto" w:sz="4" w:space="0"/>
            </w:tcBorders>
            <w:noWrap/>
            <w:vAlign w:val="center"/>
          </w:tcPr>
          <w:p w14:paraId="16F7E4AE">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评分标准</w:t>
            </w:r>
          </w:p>
        </w:tc>
        <w:tc>
          <w:tcPr>
            <w:tcW w:w="1418" w:type="dxa"/>
            <w:tcBorders>
              <w:top w:val="single" w:color="auto" w:sz="4" w:space="0"/>
              <w:left w:val="single" w:color="auto" w:sz="4" w:space="0"/>
              <w:bottom w:val="single" w:color="auto" w:sz="4" w:space="0"/>
              <w:right w:val="single" w:color="auto" w:sz="4" w:space="0"/>
            </w:tcBorders>
            <w:noWrap/>
            <w:vAlign w:val="center"/>
          </w:tcPr>
          <w:p w14:paraId="6FA10BB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分值</w:t>
            </w:r>
          </w:p>
        </w:tc>
      </w:tr>
      <w:tr w14:paraId="26B7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1389" w:type="dxa"/>
            <w:tcBorders>
              <w:top w:val="single" w:color="auto" w:sz="4" w:space="0"/>
              <w:left w:val="single" w:color="auto" w:sz="4" w:space="0"/>
              <w:bottom w:val="single" w:color="auto" w:sz="4" w:space="0"/>
              <w:right w:val="single" w:color="auto" w:sz="4" w:space="0"/>
            </w:tcBorders>
            <w:noWrap/>
            <w:vAlign w:val="center"/>
          </w:tcPr>
          <w:p w14:paraId="46489582">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投标报价</w:t>
            </w:r>
          </w:p>
          <w:p w14:paraId="4B6C001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6260" w:type="dxa"/>
            <w:tcBorders>
              <w:top w:val="single" w:color="auto" w:sz="4" w:space="0"/>
              <w:left w:val="single" w:color="auto" w:sz="4" w:space="0"/>
              <w:bottom w:val="single" w:color="auto" w:sz="4" w:space="0"/>
              <w:right w:val="single" w:color="auto" w:sz="4" w:space="0"/>
            </w:tcBorders>
            <w:noWrap/>
            <w:vAlign w:val="center"/>
          </w:tcPr>
          <w:p w14:paraId="5AB27A7B">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评标基准价：满足招标文件要求的有效报价中，最低的投标报价为评标基准价。</w:t>
            </w:r>
          </w:p>
          <w:p w14:paraId="1AB8FBF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投标报价得分=（评标基准价/投标报价）×</w:t>
            </w:r>
            <w:r>
              <w:rPr>
                <w:rFonts w:hint="eastAsia" w:cs="仿宋_GB2312" w:asciiTheme="minorEastAsia" w:hAnsiTheme="minorEastAsia"/>
                <w:szCs w:val="21"/>
                <w:lang w:val="en-US" w:eastAsia="zh-CN"/>
              </w:rPr>
              <w:t>30</w:t>
            </w:r>
          </w:p>
          <w:p w14:paraId="1AF3012C">
            <w:pPr>
              <w:pStyle w:val="2"/>
              <w:rPr>
                <w:rFonts w:hint="eastAsia"/>
                <w:lang w:val="en-US" w:eastAsia="zh-CN"/>
              </w:rPr>
            </w:pPr>
            <w:r>
              <w:rPr>
                <w:rFonts w:hint="eastAsia" w:cs="仿宋_GB2312" w:asciiTheme="minorEastAsia" w:hAnsiTheme="minorEastAsia" w:eastAsiaTheme="minorEastAsia"/>
                <w:kern w:val="2"/>
                <w:sz w:val="21"/>
                <w:szCs w:val="21"/>
                <w:lang w:val="zh-CN" w:eastAsia="zh-CN" w:bidi="ar-SA"/>
              </w:rPr>
              <w:t>注：分值计算保留小数点后两位，小数点后第三位“四舍五入”。</w:t>
            </w:r>
          </w:p>
        </w:tc>
        <w:tc>
          <w:tcPr>
            <w:tcW w:w="1418" w:type="dxa"/>
            <w:tcBorders>
              <w:top w:val="single" w:color="auto" w:sz="4" w:space="0"/>
              <w:left w:val="single" w:color="auto" w:sz="4" w:space="0"/>
              <w:bottom w:val="single" w:color="auto" w:sz="4" w:space="0"/>
              <w:right w:val="single" w:color="auto" w:sz="4" w:space="0"/>
            </w:tcBorders>
            <w:noWrap/>
            <w:vAlign w:val="center"/>
          </w:tcPr>
          <w:p w14:paraId="41DC0BF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30分</w:t>
            </w:r>
          </w:p>
        </w:tc>
      </w:tr>
      <w:tr w14:paraId="0C89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5870ABD1">
            <w:pPr>
              <w:tabs>
                <w:tab w:val="left" w:pos="1260"/>
              </w:tabs>
              <w:autoSpaceDE w:val="0"/>
              <w:autoSpaceDN w:val="0"/>
              <w:spacing w:line="360" w:lineRule="auto"/>
              <w:ind w:firstLine="2730" w:firstLineChars="13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二、商务部分（满分20分）</w:t>
            </w:r>
          </w:p>
        </w:tc>
      </w:tr>
      <w:tr w14:paraId="3061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89" w:type="dxa"/>
            <w:tcBorders>
              <w:top w:val="single" w:color="auto" w:sz="4" w:space="0"/>
              <w:left w:val="single" w:color="auto" w:sz="4" w:space="0"/>
              <w:bottom w:val="single" w:color="auto" w:sz="4" w:space="0"/>
              <w:right w:val="single" w:color="auto" w:sz="4" w:space="0"/>
            </w:tcBorders>
            <w:noWrap/>
            <w:vAlign w:val="center"/>
          </w:tcPr>
          <w:p w14:paraId="16853BEB">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评分因素</w:t>
            </w:r>
          </w:p>
        </w:tc>
        <w:tc>
          <w:tcPr>
            <w:tcW w:w="6260" w:type="dxa"/>
            <w:tcBorders>
              <w:top w:val="single" w:color="auto" w:sz="4" w:space="0"/>
              <w:left w:val="single" w:color="auto" w:sz="4" w:space="0"/>
              <w:bottom w:val="single" w:color="auto" w:sz="4" w:space="0"/>
              <w:right w:val="single" w:color="auto" w:sz="4" w:space="0"/>
            </w:tcBorders>
            <w:noWrap/>
            <w:vAlign w:val="center"/>
          </w:tcPr>
          <w:p w14:paraId="1117533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ab/>
            </w:r>
            <w:r>
              <w:rPr>
                <w:rFonts w:hint="eastAsia" w:cs="仿宋_GB2312" w:asciiTheme="minorEastAsia" w:hAnsiTheme="minorEastAsia"/>
                <w:szCs w:val="21"/>
                <w:lang w:val="en-US" w:eastAsia="zh-CN"/>
              </w:rPr>
              <w:tab/>
            </w:r>
            <w:r>
              <w:rPr>
                <w:rFonts w:hint="eastAsia" w:cs="仿宋_GB2312" w:asciiTheme="minorEastAsia" w:hAnsiTheme="minorEastAsia"/>
                <w:szCs w:val="21"/>
                <w:lang w:val="en-US" w:eastAsia="zh-CN"/>
              </w:rPr>
              <w:t>评分标准</w:t>
            </w:r>
          </w:p>
        </w:tc>
        <w:tc>
          <w:tcPr>
            <w:tcW w:w="1418" w:type="dxa"/>
            <w:tcBorders>
              <w:top w:val="single" w:color="auto" w:sz="4" w:space="0"/>
              <w:left w:val="single" w:color="auto" w:sz="4" w:space="0"/>
              <w:bottom w:val="single" w:color="auto" w:sz="4" w:space="0"/>
              <w:right w:val="single" w:color="auto" w:sz="4" w:space="0"/>
            </w:tcBorders>
            <w:noWrap/>
            <w:vAlign w:val="center"/>
          </w:tcPr>
          <w:p w14:paraId="35ECE80B">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分值</w:t>
            </w:r>
          </w:p>
        </w:tc>
      </w:tr>
      <w:tr w14:paraId="75B4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89" w:type="dxa"/>
            <w:tcBorders>
              <w:top w:val="single" w:color="auto" w:sz="4" w:space="0"/>
              <w:left w:val="single" w:color="auto" w:sz="4" w:space="0"/>
              <w:bottom w:val="single" w:color="auto" w:sz="4" w:space="0"/>
              <w:right w:val="single" w:color="auto" w:sz="4" w:space="0"/>
            </w:tcBorders>
            <w:noWrap/>
            <w:vAlign w:val="center"/>
          </w:tcPr>
          <w:p w14:paraId="6753AA83">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企业业绩</w:t>
            </w:r>
          </w:p>
        </w:tc>
        <w:tc>
          <w:tcPr>
            <w:tcW w:w="6260" w:type="dxa"/>
            <w:tcBorders>
              <w:top w:val="single" w:color="auto" w:sz="4" w:space="0"/>
              <w:left w:val="single" w:color="auto" w:sz="4" w:space="0"/>
              <w:bottom w:val="single" w:color="auto" w:sz="4" w:space="0"/>
              <w:right w:val="single" w:color="auto" w:sz="4" w:space="0"/>
            </w:tcBorders>
            <w:noWrap/>
            <w:vAlign w:val="top"/>
          </w:tcPr>
          <w:p w14:paraId="53F92B2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投标人2021年1月1日以来承担同类项目业绩的，每项得2分，最高得8分。 </w:t>
            </w:r>
            <w:r>
              <w:rPr>
                <w:rFonts w:hint="eastAsia" w:cs="仿宋_GB2312" w:asciiTheme="minorEastAsia" w:hAnsiTheme="minorEastAsia"/>
                <w:szCs w:val="21"/>
                <w:lang w:val="zh-CN" w:eastAsia="zh-CN"/>
              </w:rPr>
              <w:t>（“同类项目”是指投标人以往承担过的项目标的或服务内容、服务标准与本次招标的标的或服务内容、服务标准同类。投标文件中须附合同书原件扫描件) </w:t>
            </w:r>
            <w:r>
              <w:rPr>
                <w:rFonts w:hint="eastAsia" w:cs="仿宋_GB2312" w:asciiTheme="minorEastAsia" w:hAnsiTheme="minorEastAsia"/>
                <w:szCs w:val="21"/>
                <w:lang w:val="en-US" w:eastAsia="zh-CN"/>
              </w:rPr>
              <w:t xml:space="preserve">                                                                                       </w:t>
            </w:r>
          </w:p>
        </w:tc>
        <w:tc>
          <w:tcPr>
            <w:tcW w:w="1418" w:type="dxa"/>
            <w:tcBorders>
              <w:top w:val="single" w:color="auto" w:sz="4" w:space="0"/>
              <w:left w:val="single" w:color="auto" w:sz="4" w:space="0"/>
              <w:bottom w:val="single" w:color="auto" w:sz="4" w:space="0"/>
              <w:right w:val="single" w:color="auto" w:sz="4" w:space="0"/>
            </w:tcBorders>
            <w:noWrap/>
            <w:vAlign w:val="center"/>
          </w:tcPr>
          <w:p w14:paraId="26A1F5F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8分</w:t>
            </w:r>
          </w:p>
        </w:tc>
      </w:tr>
      <w:tr w14:paraId="12CD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89" w:type="dxa"/>
            <w:tcBorders>
              <w:top w:val="single" w:color="auto" w:sz="4" w:space="0"/>
              <w:left w:val="single" w:color="auto" w:sz="4" w:space="0"/>
              <w:bottom w:val="single" w:color="auto" w:sz="4" w:space="0"/>
              <w:right w:val="single" w:color="auto" w:sz="4" w:space="0"/>
            </w:tcBorders>
            <w:noWrap/>
            <w:vAlign w:val="center"/>
          </w:tcPr>
          <w:p w14:paraId="7B6187CE">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团队人员</w:t>
            </w:r>
          </w:p>
          <w:p w14:paraId="4DD7BC74">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配备</w:t>
            </w:r>
          </w:p>
        </w:tc>
        <w:tc>
          <w:tcPr>
            <w:tcW w:w="6260" w:type="dxa"/>
            <w:tcBorders>
              <w:top w:val="single" w:color="auto" w:sz="4" w:space="0"/>
              <w:left w:val="nil"/>
              <w:bottom w:val="single" w:color="auto" w:sz="4" w:space="0"/>
              <w:right w:val="single" w:color="auto" w:sz="4" w:space="0"/>
            </w:tcBorders>
            <w:noWrap/>
            <w:vAlign w:val="center"/>
          </w:tcPr>
          <w:p w14:paraId="57526F2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拟派项目负责人</w:t>
            </w:r>
            <w:r>
              <w:rPr>
                <w:rFonts w:hint="eastAsia" w:cs="仿宋_GB2312" w:asciiTheme="minorEastAsia" w:hAnsiTheme="minorEastAsia"/>
                <w:szCs w:val="21"/>
                <w:lang w:val="en-US" w:eastAsia="zh-CN"/>
              </w:rPr>
              <w:t>具</w:t>
            </w:r>
            <w:r>
              <w:rPr>
                <w:rFonts w:hint="eastAsia" w:cs="仿宋_GB2312" w:asciiTheme="minorEastAsia" w:hAnsiTheme="minorEastAsia"/>
                <w:szCs w:val="21"/>
                <w:lang w:val="zh-CN" w:eastAsia="zh-CN"/>
              </w:rPr>
              <w:t>有中级职称或有注册规划师得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分，同时具有中级职称和注册规划师的得</w:t>
            </w:r>
            <w:r>
              <w:rPr>
                <w:rFonts w:hint="eastAsia" w:cs="仿宋_GB2312" w:asciiTheme="minorEastAsia" w:hAnsiTheme="minorEastAsia"/>
                <w:szCs w:val="21"/>
                <w:lang w:val="en-US" w:eastAsia="zh-CN"/>
              </w:rPr>
              <w:t>6分。</w:t>
            </w:r>
            <w:r>
              <w:rPr>
                <w:rFonts w:hint="eastAsia" w:cs="仿宋_GB2312" w:asciiTheme="minorEastAsia" w:hAnsiTheme="minorEastAsia"/>
                <w:szCs w:val="21"/>
                <w:lang w:val="zh-CN" w:eastAsia="zh-CN"/>
              </w:rPr>
              <w:t>(提供证件扫描件)。(提供证件扫描件)</w:t>
            </w:r>
          </w:p>
          <w:p w14:paraId="2226A59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2、拟投入项目实施人员中(不含项目负责人)，具有中级及以上职称的，每有1人得2分，最多得6分。(提供证件扫描件)</w:t>
            </w:r>
          </w:p>
        </w:tc>
        <w:tc>
          <w:tcPr>
            <w:tcW w:w="1418" w:type="dxa"/>
            <w:tcBorders>
              <w:top w:val="single" w:color="auto" w:sz="4" w:space="0"/>
              <w:left w:val="single" w:color="auto" w:sz="4" w:space="0"/>
              <w:bottom w:val="single" w:color="auto" w:sz="4" w:space="0"/>
              <w:right w:val="single" w:color="auto" w:sz="4" w:space="0"/>
            </w:tcBorders>
            <w:noWrap/>
            <w:vAlign w:val="center"/>
          </w:tcPr>
          <w:p w14:paraId="2387E66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12分</w:t>
            </w:r>
          </w:p>
        </w:tc>
      </w:tr>
      <w:tr w14:paraId="23F4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03D7967C">
            <w:pPr>
              <w:tabs>
                <w:tab w:val="left" w:pos="1260"/>
              </w:tabs>
              <w:autoSpaceDE w:val="0"/>
              <w:autoSpaceDN w:val="0"/>
              <w:spacing w:line="360" w:lineRule="auto"/>
              <w:ind w:firstLine="2520" w:firstLineChars="1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三、技术部分（满分50分）</w:t>
            </w:r>
          </w:p>
        </w:tc>
      </w:tr>
      <w:tr w14:paraId="0309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9" w:type="dxa"/>
            <w:tcBorders>
              <w:top w:val="single" w:color="auto" w:sz="4" w:space="0"/>
              <w:left w:val="single" w:color="auto" w:sz="4" w:space="0"/>
              <w:bottom w:val="single" w:color="auto" w:sz="4" w:space="0"/>
              <w:right w:val="single" w:color="auto" w:sz="4" w:space="0"/>
            </w:tcBorders>
            <w:noWrap/>
            <w:vAlign w:val="center"/>
          </w:tcPr>
          <w:p w14:paraId="04C6A5D0">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评分因素</w:t>
            </w:r>
          </w:p>
        </w:tc>
        <w:tc>
          <w:tcPr>
            <w:tcW w:w="6260" w:type="dxa"/>
            <w:tcBorders>
              <w:top w:val="single" w:color="auto" w:sz="4" w:space="0"/>
              <w:left w:val="single" w:color="auto" w:sz="4" w:space="0"/>
              <w:bottom w:val="single" w:color="auto" w:sz="4" w:space="0"/>
              <w:right w:val="single" w:color="auto" w:sz="4" w:space="0"/>
            </w:tcBorders>
            <w:noWrap/>
            <w:vAlign w:val="center"/>
          </w:tcPr>
          <w:p w14:paraId="5B97957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评分标准</w:t>
            </w:r>
          </w:p>
        </w:tc>
        <w:tc>
          <w:tcPr>
            <w:tcW w:w="1418" w:type="dxa"/>
            <w:tcBorders>
              <w:top w:val="single" w:color="auto" w:sz="4" w:space="0"/>
              <w:left w:val="single" w:color="auto" w:sz="4" w:space="0"/>
              <w:bottom w:val="single" w:color="auto" w:sz="4" w:space="0"/>
              <w:right w:val="single" w:color="auto" w:sz="4" w:space="0"/>
            </w:tcBorders>
            <w:noWrap/>
            <w:vAlign w:val="center"/>
          </w:tcPr>
          <w:p w14:paraId="34278CF0">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分值</w:t>
            </w:r>
          </w:p>
        </w:tc>
      </w:tr>
      <w:tr w14:paraId="2A21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D3460">
            <w:pPr>
              <w:tabs>
                <w:tab w:val="left" w:pos="1260"/>
              </w:tabs>
              <w:autoSpaceDE w:val="0"/>
              <w:autoSpaceDN w:val="0"/>
              <w:spacing w:line="360" w:lineRule="auto"/>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整体服务方案及目标任务</w:t>
            </w:r>
          </w:p>
          <w:p w14:paraId="4881B12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6260" w:type="dxa"/>
            <w:tcBorders>
              <w:top w:val="single" w:color="auto" w:sz="4" w:space="0"/>
              <w:left w:val="nil"/>
              <w:bottom w:val="single" w:color="auto" w:sz="4" w:space="0"/>
              <w:right w:val="single" w:color="auto" w:sz="4" w:space="0"/>
            </w:tcBorders>
            <w:noWrap/>
            <w:vAlign w:val="center"/>
          </w:tcPr>
          <w:p w14:paraId="6CFF3DC7">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对本项目制定整体服务实施方案及目标任务进行描述，包括：对本项目实际情况的认知度、对项目背景、目的、需求的理解深入程度等。</w:t>
            </w:r>
            <w:r>
              <w:rPr>
                <w:rFonts w:hint="eastAsia" w:cs="仿宋_GB2312" w:asciiTheme="minorEastAsia" w:hAnsiTheme="minorEastAsia"/>
                <w:szCs w:val="21"/>
                <w:lang w:val="en-US" w:eastAsia="zh-CN"/>
              </w:rPr>
              <w:t>每项内容全面详细可行的得 7分，不缺项且仅做简单描述得3分，缺项或不提供不得分。</w:t>
            </w:r>
          </w:p>
        </w:tc>
        <w:tc>
          <w:tcPr>
            <w:tcW w:w="1418" w:type="dxa"/>
            <w:tcBorders>
              <w:top w:val="single" w:color="auto" w:sz="4" w:space="0"/>
              <w:left w:val="single" w:color="auto" w:sz="4" w:space="0"/>
              <w:bottom w:val="single" w:color="auto" w:sz="4" w:space="0"/>
              <w:right w:val="single" w:color="auto" w:sz="4" w:space="0"/>
            </w:tcBorders>
            <w:noWrap/>
            <w:vAlign w:val="center"/>
          </w:tcPr>
          <w:p w14:paraId="46E6CB6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7分</w:t>
            </w:r>
          </w:p>
        </w:tc>
      </w:tr>
      <w:tr w14:paraId="7F0A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AB182">
            <w:pPr>
              <w:tabs>
                <w:tab w:val="left" w:pos="1260"/>
              </w:tabs>
              <w:autoSpaceDE w:val="0"/>
              <w:autoSpaceDN w:val="0"/>
              <w:spacing w:line="360" w:lineRule="auto"/>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规划构思</w:t>
            </w:r>
          </w:p>
          <w:p w14:paraId="0F3EB544">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tc>
        <w:tc>
          <w:tcPr>
            <w:tcW w:w="6260" w:type="dxa"/>
            <w:tcBorders>
              <w:top w:val="single" w:color="auto" w:sz="4" w:space="0"/>
              <w:left w:val="nil"/>
              <w:bottom w:val="single" w:color="auto" w:sz="4" w:space="0"/>
              <w:right w:val="single" w:color="auto" w:sz="4" w:space="0"/>
            </w:tcBorders>
            <w:noWrap/>
            <w:vAlign w:val="center"/>
          </w:tcPr>
          <w:p w14:paraId="5179F2DB">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zh-CN" w:eastAsia="zh-CN"/>
              </w:rPr>
              <w:t>对本项目的规划框架包括：</w:t>
            </w:r>
            <w:r>
              <w:rPr>
                <w:rFonts w:hint="eastAsia" w:cs="仿宋_GB2312" w:asciiTheme="minorEastAsia" w:hAnsiTheme="minorEastAsia"/>
                <w:szCs w:val="21"/>
                <w:lang w:val="en-US" w:eastAsia="zh-CN"/>
              </w:rPr>
              <w:t>规划的难点、关键问题、规划管理部门的需求、 整体规划编制框架等。每项内容全面详细可行的得 7分，不缺项且仅做简单描述得3分，缺项或不提供不得分</w:t>
            </w:r>
          </w:p>
        </w:tc>
        <w:tc>
          <w:tcPr>
            <w:tcW w:w="1418" w:type="dxa"/>
            <w:tcBorders>
              <w:top w:val="single" w:color="auto" w:sz="4" w:space="0"/>
              <w:left w:val="single" w:color="auto" w:sz="4" w:space="0"/>
              <w:bottom w:val="single" w:color="auto" w:sz="4" w:space="0"/>
              <w:right w:val="single" w:color="auto" w:sz="4" w:space="0"/>
            </w:tcBorders>
            <w:noWrap/>
            <w:vAlign w:val="center"/>
          </w:tcPr>
          <w:p w14:paraId="2189375A">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7分</w:t>
            </w:r>
          </w:p>
        </w:tc>
      </w:tr>
      <w:tr w14:paraId="42B6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687C2">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项目进度</w:t>
            </w:r>
          </w:p>
          <w:p w14:paraId="7B7D89C2">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安排</w:t>
            </w:r>
          </w:p>
        </w:tc>
        <w:tc>
          <w:tcPr>
            <w:tcW w:w="6260" w:type="dxa"/>
            <w:tcBorders>
              <w:top w:val="single" w:color="auto" w:sz="4" w:space="0"/>
              <w:left w:val="nil"/>
              <w:bottom w:val="single" w:color="auto" w:sz="4" w:space="0"/>
              <w:right w:val="single" w:color="auto" w:sz="4" w:space="0"/>
            </w:tcBorders>
            <w:noWrap/>
            <w:vAlign w:val="center"/>
          </w:tcPr>
          <w:p w14:paraId="4B1A4055">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项目整体进度安排计划包括：工期保证措施、进度控制和管理措施。每项内容全面详细可行的得 7分，不缺项且仅做简单描述得3分，缺项或不提供不得分。</w:t>
            </w:r>
          </w:p>
        </w:tc>
        <w:tc>
          <w:tcPr>
            <w:tcW w:w="1418" w:type="dxa"/>
            <w:tcBorders>
              <w:top w:val="single" w:color="auto" w:sz="4" w:space="0"/>
              <w:left w:val="single" w:color="auto" w:sz="4" w:space="0"/>
              <w:bottom w:val="single" w:color="auto" w:sz="4" w:space="0"/>
              <w:right w:val="single" w:color="auto" w:sz="4" w:space="0"/>
            </w:tcBorders>
            <w:noWrap/>
            <w:vAlign w:val="center"/>
          </w:tcPr>
          <w:p w14:paraId="7C8B1366">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7分</w:t>
            </w:r>
          </w:p>
        </w:tc>
      </w:tr>
      <w:tr w14:paraId="7A5F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6F316">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确保项目质量的保证措施</w:t>
            </w:r>
          </w:p>
        </w:tc>
        <w:tc>
          <w:tcPr>
            <w:tcW w:w="6260" w:type="dxa"/>
            <w:tcBorders>
              <w:top w:val="single" w:color="auto" w:sz="4" w:space="0"/>
              <w:left w:val="nil"/>
              <w:bottom w:val="single" w:color="auto" w:sz="4" w:space="0"/>
              <w:right w:val="single" w:color="auto" w:sz="4" w:space="0"/>
            </w:tcBorders>
            <w:noWrap/>
            <w:vAlign w:val="center"/>
          </w:tcPr>
          <w:p w14:paraId="01F5ABD9">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根据供应商提供的质量保证方案，包括：质量保证体系、保障措施、人员组织安排、技术提供、工作制度、成果管理。每项内容全面详细可行的得 7分，不缺项且仅做简单描述得3分，缺项或不提供不得分。</w:t>
            </w:r>
          </w:p>
        </w:tc>
        <w:tc>
          <w:tcPr>
            <w:tcW w:w="1418" w:type="dxa"/>
            <w:tcBorders>
              <w:top w:val="single" w:color="auto" w:sz="4" w:space="0"/>
              <w:left w:val="single" w:color="auto" w:sz="4" w:space="0"/>
              <w:bottom w:val="single" w:color="auto" w:sz="4" w:space="0"/>
              <w:right w:val="single" w:color="auto" w:sz="4" w:space="0"/>
            </w:tcBorders>
            <w:noWrap/>
            <w:vAlign w:val="center"/>
          </w:tcPr>
          <w:p w14:paraId="78C4AFDC">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7分</w:t>
            </w:r>
          </w:p>
        </w:tc>
      </w:tr>
      <w:tr w14:paraId="3352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E53EC">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进度保证措施</w:t>
            </w:r>
          </w:p>
        </w:tc>
        <w:tc>
          <w:tcPr>
            <w:tcW w:w="6260" w:type="dxa"/>
            <w:tcBorders>
              <w:top w:val="single" w:color="auto" w:sz="4" w:space="0"/>
              <w:left w:val="nil"/>
              <w:bottom w:val="single" w:color="auto" w:sz="4" w:space="0"/>
              <w:right w:val="single" w:color="auto" w:sz="4" w:space="0"/>
            </w:tcBorders>
            <w:noWrap/>
            <w:vAlign w:val="center"/>
          </w:tcPr>
          <w:p w14:paraId="233708C1">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进度保证措施： 包括但不限于完成相应工作的时间节点、阶段性目标、工作进度 计划、成果文件审查及递交等。 每项内容全面详细可行的得 7分，不缺项且仅做简单描述得3分，缺项或不提供不得分。</w:t>
            </w:r>
          </w:p>
        </w:tc>
        <w:tc>
          <w:tcPr>
            <w:tcW w:w="1418" w:type="dxa"/>
            <w:tcBorders>
              <w:top w:val="single" w:color="auto" w:sz="4" w:space="0"/>
              <w:left w:val="single" w:color="auto" w:sz="4" w:space="0"/>
              <w:bottom w:val="single" w:color="auto" w:sz="4" w:space="0"/>
              <w:right w:val="single" w:color="auto" w:sz="4" w:space="0"/>
            </w:tcBorders>
            <w:noWrap/>
            <w:vAlign w:val="center"/>
          </w:tcPr>
          <w:p w14:paraId="211A19EA">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7</w:t>
            </w:r>
          </w:p>
          <w:p w14:paraId="0894FA7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分</w:t>
            </w:r>
          </w:p>
        </w:tc>
      </w:tr>
      <w:tr w14:paraId="32E1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51421">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项目重点难点分析及合理化建议</w:t>
            </w:r>
          </w:p>
        </w:tc>
        <w:tc>
          <w:tcPr>
            <w:tcW w:w="6260" w:type="dxa"/>
            <w:tcBorders>
              <w:top w:val="single" w:color="auto" w:sz="4" w:space="0"/>
              <w:left w:val="nil"/>
              <w:bottom w:val="single" w:color="auto" w:sz="4" w:space="0"/>
              <w:right w:val="single" w:color="auto" w:sz="4" w:space="0"/>
            </w:tcBorders>
            <w:noWrap/>
            <w:vAlign w:val="center"/>
          </w:tcPr>
          <w:p w14:paraId="76216D62">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针对项目重点难点分析，应对措施，合理化建议：包括但不限于土地现状、耕地保护、生态保护、村民住房设计、乡村基础设施和公共服务设施、乡村产业发展、历史文化保护、环境整治引导、近期建设等。每项内容全面详细可行的得 7分，不缺项且仅做简单描述得3分，缺项或不提供不得分。</w:t>
            </w:r>
          </w:p>
        </w:tc>
        <w:tc>
          <w:tcPr>
            <w:tcW w:w="1418" w:type="dxa"/>
            <w:tcBorders>
              <w:top w:val="single" w:color="auto" w:sz="4" w:space="0"/>
              <w:left w:val="single" w:color="auto" w:sz="4" w:space="0"/>
              <w:bottom w:val="single" w:color="auto" w:sz="4" w:space="0"/>
              <w:right w:val="single" w:color="auto" w:sz="4" w:space="0"/>
            </w:tcBorders>
            <w:noWrap/>
            <w:vAlign w:val="center"/>
          </w:tcPr>
          <w:p w14:paraId="645E55A3">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7分</w:t>
            </w:r>
          </w:p>
        </w:tc>
      </w:tr>
      <w:tr w14:paraId="4020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1389" w:type="dxa"/>
            <w:tcBorders>
              <w:top w:val="single" w:color="auto" w:sz="4" w:space="0"/>
              <w:left w:val="single" w:color="auto" w:sz="4" w:space="0"/>
              <w:right w:val="single" w:color="auto" w:sz="4" w:space="0"/>
            </w:tcBorders>
            <w:shd w:val="clear" w:color="auto" w:fill="auto"/>
            <w:noWrap/>
            <w:vAlign w:val="center"/>
          </w:tcPr>
          <w:p w14:paraId="3581E8E0">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服务承诺</w:t>
            </w:r>
          </w:p>
        </w:tc>
        <w:tc>
          <w:tcPr>
            <w:tcW w:w="6260" w:type="dxa"/>
            <w:tcBorders>
              <w:top w:val="single" w:color="auto" w:sz="4" w:space="0"/>
              <w:left w:val="nil"/>
              <w:bottom w:val="single" w:color="auto" w:sz="4" w:space="0"/>
              <w:right w:val="single" w:color="auto" w:sz="4" w:space="0"/>
            </w:tcBorders>
            <w:shd w:val="clear" w:color="auto" w:fill="auto"/>
            <w:noWrap/>
            <w:vAlign w:val="center"/>
          </w:tcPr>
          <w:p w14:paraId="0E590A08">
            <w:pPr>
              <w:tabs>
                <w:tab w:val="left" w:pos="1260"/>
              </w:tabs>
              <w:autoSpaceDE w:val="0"/>
              <w:autoSpaceDN w:val="0"/>
              <w:spacing w:line="360" w:lineRule="auto"/>
              <w:contextualSpacing/>
              <w:rPr>
                <w:rFonts w:hint="eastAsia" w:cs="仿宋_GB2312" w:asciiTheme="minorEastAsia" w:hAnsiTheme="minorEastAsia"/>
                <w:szCs w:val="21"/>
                <w:lang w:val="en-US" w:eastAsia="zh-CN"/>
              </w:rPr>
            </w:pPr>
            <w:bookmarkStart w:id="12" w:name="_GoBack"/>
            <w:r>
              <w:rPr>
                <w:rFonts w:hint="eastAsia" w:cs="仿宋_GB2312" w:asciiTheme="minorEastAsia" w:hAnsiTheme="minorEastAsia"/>
                <w:szCs w:val="21"/>
                <w:lang w:val="en-US" w:eastAsia="zh-CN"/>
              </w:rPr>
              <w:t>服务承诺中包含服务周期、跟踪服务、保证项目顺利进展方面内容：1、服务响应承诺，包括但不限于问题响应时间、到达现场时间、解决问题时间等。每项内容完整且详细可行得6分，不缺项且仅做简单描述3分，缺项或不提供不得分。</w:t>
            </w:r>
          </w:p>
          <w:p w14:paraId="66AF8F6D">
            <w:p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2、投标人承诺对于一般技术问题能当时解决、对于重要技术问题和关键性技术问题能及时给与解决，能提供现场技术咨询服务的得2分。</w:t>
            </w:r>
            <w:bookmarkEnd w:id="12"/>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3638D">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8分</w:t>
            </w:r>
          </w:p>
        </w:tc>
      </w:tr>
    </w:tbl>
    <w:p w14:paraId="5FA60220">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p>
    <w:p w14:paraId="6AE69B69">
      <w:pPr>
        <w:pStyle w:val="17"/>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ACF6469">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7D909743">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7"/>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7"/>
        <w:spacing w:line="360" w:lineRule="auto"/>
        <w:contextualSpacing/>
        <w:jc w:val="center"/>
        <w:rPr>
          <w:rFonts w:cs="宋体" w:asciiTheme="majorEastAsia" w:hAnsiTheme="majorEastAsia" w:eastAsiaTheme="majorEastAsia"/>
          <w:b/>
          <w:kern w:val="0"/>
          <w:sz w:val="36"/>
          <w:szCs w:val="36"/>
        </w:rPr>
      </w:pPr>
    </w:p>
    <w:p w14:paraId="162F90CA">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7"/>
        <w:spacing w:line="360" w:lineRule="auto"/>
        <w:contextualSpacing/>
        <w:jc w:val="center"/>
        <w:rPr>
          <w:rFonts w:cs="宋体" w:asciiTheme="majorEastAsia" w:hAnsiTheme="majorEastAsia" w:eastAsiaTheme="majorEastAsia"/>
          <w:b/>
          <w:kern w:val="0"/>
          <w:sz w:val="36"/>
          <w:szCs w:val="36"/>
        </w:rPr>
      </w:pPr>
    </w:p>
    <w:p w14:paraId="1FC3205B">
      <w:pPr>
        <w:pStyle w:val="17"/>
        <w:spacing w:line="360" w:lineRule="auto"/>
        <w:contextualSpacing/>
        <w:jc w:val="center"/>
        <w:rPr>
          <w:rFonts w:cs="宋体" w:asciiTheme="majorEastAsia" w:hAnsiTheme="majorEastAsia" w:eastAsiaTheme="majorEastAsia"/>
          <w:b/>
          <w:kern w:val="0"/>
          <w:sz w:val="36"/>
          <w:szCs w:val="36"/>
        </w:rPr>
      </w:pPr>
    </w:p>
    <w:p w14:paraId="4E88E0F4">
      <w:pPr>
        <w:pStyle w:val="17"/>
        <w:spacing w:line="360" w:lineRule="auto"/>
        <w:contextualSpacing/>
        <w:jc w:val="center"/>
        <w:rPr>
          <w:rFonts w:cs="宋体" w:asciiTheme="majorEastAsia" w:hAnsiTheme="majorEastAsia" w:eastAsiaTheme="majorEastAsia"/>
          <w:b/>
          <w:kern w:val="0"/>
          <w:sz w:val="36"/>
          <w:szCs w:val="36"/>
        </w:rPr>
      </w:pPr>
    </w:p>
    <w:p w14:paraId="0B376A66">
      <w:pPr>
        <w:pStyle w:val="17"/>
        <w:spacing w:line="360" w:lineRule="auto"/>
        <w:contextualSpacing/>
        <w:jc w:val="center"/>
        <w:rPr>
          <w:rFonts w:cs="宋体" w:asciiTheme="majorEastAsia" w:hAnsiTheme="majorEastAsia" w:eastAsiaTheme="majorEastAsia"/>
          <w:b/>
          <w:kern w:val="0"/>
          <w:sz w:val="36"/>
          <w:szCs w:val="36"/>
        </w:rPr>
      </w:pPr>
    </w:p>
    <w:p w14:paraId="5BB6A591">
      <w:pPr>
        <w:pStyle w:val="17"/>
        <w:spacing w:line="360" w:lineRule="auto"/>
        <w:contextualSpacing/>
        <w:jc w:val="center"/>
        <w:rPr>
          <w:rFonts w:cs="宋体" w:asciiTheme="majorEastAsia" w:hAnsiTheme="majorEastAsia" w:eastAsiaTheme="majorEastAsia"/>
          <w:b/>
          <w:kern w:val="0"/>
          <w:sz w:val="36"/>
          <w:szCs w:val="36"/>
        </w:rPr>
      </w:pPr>
    </w:p>
    <w:p w14:paraId="54D3D6A3">
      <w:pPr>
        <w:pStyle w:val="17"/>
        <w:spacing w:line="360" w:lineRule="auto"/>
        <w:contextualSpacing/>
        <w:jc w:val="center"/>
        <w:rPr>
          <w:rFonts w:cs="宋体" w:asciiTheme="majorEastAsia" w:hAnsiTheme="majorEastAsia" w:eastAsiaTheme="majorEastAsia"/>
          <w:b/>
          <w:kern w:val="0"/>
          <w:sz w:val="36"/>
          <w:szCs w:val="36"/>
        </w:rPr>
      </w:pPr>
    </w:p>
    <w:p w14:paraId="2F4B4DF8">
      <w:pPr>
        <w:pStyle w:val="17"/>
        <w:spacing w:line="360" w:lineRule="auto"/>
        <w:contextualSpacing/>
        <w:jc w:val="center"/>
        <w:rPr>
          <w:rFonts w:cs="宋体" w:asciiTheme="majorEastAsia" w:hAnsiTheme="majorEastAsia" w:eastAsiaTheme="majorEastAsia"/>
          <w:b/>
          <w:kern w:val="0"/>
          <w:sz w:val="36"/>
          <w:szCs w:val="36"/>
        </w:rPr>
      </w:pPr>
    </w:p>
    <w:p w14:paraId="25D442A8">
      <w:pPr>
        <w:pStyle w:val="17"/>
        <w:spacing w:line="360" w:lineRule="auto"/>
        <w:contextualSpacing/>
        <w:jc w:val="center"/>
        <w:rPr>
          <w:rFonts w:cs="宋体" w:asciiTheme="majorEastAsia" w:hAnsiTheme="majorEastAsia" w:eastAsiaTheme="majorEastAsia"/>
          <w:b/>
          <w:kern w:val="0"/>
          <w:sz w:val="36"/>
          <w:szCs w:val="36"/>
        </w:rPr>
      </w:pPr>
    </w:p>
    <w:p w14:paraId="5751951D">
      <w:pPr>
        <w:pStyle w:val="17"/>
        <w:spacing w:line="360" w:lineRule="auto"/>
        <w:contextualSpacing/>
        <w:jc w:val="center"/>
        <w:rPr>
          <w:rFonts w:cs="宋体" w:asciiTheme="majorEastAsia" w:hAnsiTheme="majorEastAsia" w:eastAsiaTheme="majorEastAsia"/>
          <w:b/>
          <w:kern w:val="0"/>
          <w:sz w:val="36"/>
          <w:szCs w:val="36"/>
        </w:rPr>
      </w:pPr>
    </w:p>
    <w:p w14:paraId="1AC0B6AA">
      <w:pPr>
        <w:pStyle w:val="17"/>
        <w:spacing w:line="360" w:lineRule="auto"/>
        <w:contextualSpacing/>
        <w:jc w:val="center"/>
        <w:rPr>
          <w:rFonts w:cs="宋体" w:asciiTheme="majorEastAsia" w:hAnsiTheme="majorEastAsia" w:eastAsiaTheme="majorEastAsia"/>
          <w:b/>
          <w:kern w:val="0"/>
          <w:sz w:val="36"/>
          <w:szCs w:val="36"/>
        </w:rPr>
      </w:pPr>
    </w:p>
    <w:p w14:paraId="504844C2">
      <w:pPr>
        <w:pStyle w:val="17"/>
        <w:spacing w:line="360" w:lineRule="auto"/>
        <w:contextualSpacing/>
        <w:jc w:val="center"/>
        <w:rPr>
          <w:rFonts w:cs="宋体" w:asciiTheme="majorEastAsia" w:hAnsiTheme="majorEastAsia" w:eastAsiaTheme="majorEastAsia"/>
          <w:b/>
          <w:kern w:val="0"/>
          <w:sz w:val="36"/>
          <w:szCs w:val="36"/>
        </w:rPr>
      </w:pPr>
    </w:p>
    <w:p w14:paraId="4A9E89CD">
      <w:pPr>
        <w:pStyle w:val="17"/>
        <w:spacing w:line="360" w:lineRule="auto"/>
        <w:contextualSpacing/>
        <w:jc w:val="center"/>
        <w:rPr>
          <w:rFonts w:cs="宋体" w:asciiTheme="majorEastAsia" w:hAnsiTheme="majorEastAsia" w:eastAsiaTheme="majorEastAsia"/>
          <w:b/>
          <w:kern w:val="0"/>
          <w:sz w:val="36"/>
          <w:szCs w:val="36"/>
        </w:rPr>
      </w:pPr>
    </w:p>
    <w:p w14:paraId="634D4998">
      <w:pPr>
        <w:pStyle w:val="17"/>
        <w:spacing w:line="360" w:lineRule="auto"/>
        <w:contextualSpacing/>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7"/>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7"/>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7"/>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7"/>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7"/>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7"/>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7"/>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7"/>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7"/>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7"/>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7"/>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7"/>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7"/>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rPr>
              <w:t>其它资料</w:t>
            </w:r>
          </w:p>
        </w:tc>
        <w:tc>
          <w:tcPr>
            <w:tcW w:w="1559" w:type="dxa"/>
            <w:vAlign w:val="center"/>
          </w:tcPr>
          <w:p w14:paraId="42413ACC">
            <w:pPr>
              <w:pStyle w:val="17"/>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7"/>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7"/>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7"/>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53F1F97D">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7"/>
        <w:adjustRightInd w:val="0"/>
        <w:snapToGrid w:val="0"/>
        <w:spacing w:line="360" w:lineRule="auto"/>
        <w:rPr>
          <w:rFonts w:asciiTheme="minorEastAsia" w:hAnsiTheme="minorEastAsia" w:eastAsiaTheme="minorEastAsia"/>
          <w:sz w:val="21"/>
          <w:szCs w:val="21"/>
        </w:rPr>
      </w:pPr>
    </w:p>
    <w:p w14:paraId="0F98A844">
      <w:pPr>
        <w:pStyle w:val="17"/>
        <w:adjustRightInd w:val="0"/>
        <w:snapToGrid w:val="0"/>
        <w:spacing w:line="360" w:lineRule="auto"/>
        <w:rPr>
          <w:rFonts w:asciiTheme="minorEastAsia" w:hAnsiTheme="minorEastAsia" w:eastAsiaTheme="minorEastAsia"/>
          <w:sz w:val="21"/>
          <w:szCs w:val="21"/>
        </w:rPr>
      </w:pPr>
    </w:p>
    <w:p w14:paraId="01489364">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5"/>
        <w:spacing w:line="480" w:lineRule="auto"/>
        <w:ind w:firstLine="472" w:firstLineChars="225"/>
        <w:jc w:val="left"/>
        <w:rPr>
          <w:rFonts w:asciiTheme="minorEastAsia" w:hAnsiTheme="minorEastAsia"/>
          <w:sz w:val="21"/>
          <w:szCs w:val="21"/>
        </w:rPr>
      </w:pPr>
    </w:p>
    <w:p w14:paraId="4BB45ADB">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5"/>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47"/>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9F466F">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14:paraId="1231B578">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9"/>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9A414BD">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3"/>
        <w:rPr>
          <w:rFonts w:ascii="宋体" w:cs="宋体"/>
          <w:sz w:val="24"/>
          <w:lang w:val="zh-CN"/>
        </w:rPr>
      </w:pPr>
    </w:p>
    <w:p w14:paraId="654C5B20">
      <w:pPr>
        <w:pStyle w:val="3"/>
        <w:rPr>
          <w:rFonts w:ascii="宋体" w:cs="宋体"/>
          <w:sz w:val="24"/>
          <w:lang w:val="zh-CN"/>
        </w:rPr>
      </w:pPr>
    </w:p>
    <w:p w14:paraId="5CE32BD6">
      <w:pPr>
        <w:pStyle w:val="3"/>
        <w:rPr>
          <w:rFonts w:ascii="宋体" w:cs="宋体"/>
          <w:sz w:val="24"/>
          <w:lang w:val="zh-CN"/>
        </w:rPr>
      </w:pPr>
    </w:p>
    <w:p w14:paraId="707894DC">
      <w:pPr>
        <w:spacing w:line="360" w:lineRule="auto"/>
        <w:rPr>
          <w:rFonts w:ascii="宋体" w:hAnsi="宋体"/>
          <w:b/>
          <w:bCs/>
          <w:sz w:val="24"/>
          <w:szCs w:val="24"/>
        </w:rPr>
      </w:pPr>
    </w:p>
    <w:p w14:paraId="1F9F8CB8">
      <w:pPr>
        <w:spacing w:line="360" w:lineRule="auto"/>
        <w:ind w:firstLine="420" w:firstLineChars="200"/>
        <w:rPr>
          <w:rFonts w:hint="eastAsia" w:ascii="宋体" w:hAnsi="宋体"/>
          <w:szCs w:val="21"/>
        </w:rPr>
      </w:pPr>
      <w:r>
        <w:rPr>
          <w:rFonts w:hint="eastAsia" w:ascii="宋体" w:hAnsi="宋体"/>
          <w:szCs w:val="21"/>
          <w:lang w:val="en-US" w:eastAsia="zh-CN"/>
        </w:rPr>
        <w:t xml:space="preserve">3.6 </w:t>
      </w:r>
      <w:r>
        <w:rPr>
          <w:rFonts w:hint="eastAsia" w:ascii="宋体" w:hAnsi="宋体"/>
          <w:szCs w:val="21"/>
        </w:rPr>
        <w:t>中小企业声明函（服务）</w:t>
      </w:r>
    </w:p>
    <w:p w14:paraId="14477F12">
      <w:pPr>
        <w:spacing w:line="360" w:lineRule="auto"/>
        <w:ind w:firstLine="420" w:firstLineChars="200"/>
        <w:rPr>
          <w:rFonts w:hint="eastAsia" w:ascii="宋体" w:hAnsi="宋体"/>
          <w:szCs w:val="21"/>
        </w:rPr>
      </w:pPr>
      <w:r>
        <w:rPr>
          <w:rFonts w:hint="eastAsia" w:ascii="宋体" w:hAnsi="宋体"/>
          <w:szCs w:val="21"/>
        </w:rPr>
        <w:t>本公司（联合体）郑重声明，根据《政府采购促进中小企业发展管理办法》（财库﹝2020﹞46 号）的规定，本公司（联合体）参加    （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spacing w:line="360" w:lineRule="auto"/>
        <w:ind w:firstLine="420" w:firstLineChars="200"/>
        <w:rPr>
          <w:rFonts w:hint="eastAsia" w:ascii="宋体" w:hAnsi="宋体"/>
          <w:szCs w:val="21"/>
        </w:rPr>
      </w:pPr>
      <w:r>
        <w:rPr>
          <w:rFonts w:hint="eastAsia" w:ascii="宋体" w:hAnsi="宋体"/>
          <w:szCs w:val="21"/>
        </w:rPr>
        <w:t>1.   （标的名称），属于    （采购文件中明确的所属行业）；承建（承接）企业为    （企业名称），从业人员    人，营业收入为    万元，资产总额为    万元，属于     （中型企业、小型企业、微型企业）；</w:t>
      </w:r>
    </w:p>
    <w:p w14:paraId="1AE796FC">
      <w:pPr>
        <w:spacing w:line="360" w:lineRule="auto"/>
        <w:ind w:firstLine="420" w:firstLineChars="200"/>
        <w:rPr>
          <w:rFonts w:hint="eastAsia" w:ascii="宋体" w:hAnsi="宋体"/>
          <w:szCs w:val="21"/>
        </w:rPr>
      </w:pPr>
      <w:r>
        <w:rPr>
          <w:rFonts w:hint="eastAsia" w:ascii="宋体" w:hAnsi="宋体"/>
          <w:szCs w:val="21"/>
        </w:rPr>
        <w:t>2.     （标的名称），属于     （采购文件中明确的所属行业）行业；制造商为       （企业名称），从业人员    人，营业收入为    万元，资产总额为   万元1，属于     （中型企业、小型企业、微型企业）；</w:t>
      </w:r>
    </w:p>
    <w:p w14:paraId="5957828C">
      <w:pPr>
        <w:spacing w:line="360" w:lineRule="auto"/>
        <w:ind w:firstLine="420" w:firstLineChars="200"/>
        <w:rPr>
          <w:rFonts w:hint="eastAsia" w:ascii="宋体" w:hAnsi="宋体"/>
          <w:szCs w:val="21"/>
        </w:rPr>
      </w:pPr>
      <w:r>
        <w:rPr>
          <w:rFonts w:hint="eastAsia" w:ascii="宋体" w:hAnsi="宋体"/>
          <w:szCs w:val="21"/>
        </w:rPr>
        <w:t>……</w:t>
      </w:r>
    </w:p>
    <w:p w14:paraId="62FA0923">
      <w:pPr>
        <w:spacing w:line="360" w:lineRule="auto"/>
        <w:ind w:firstLine="420" w:firstLineChars="200"/>
        <w:rPr>
          <w:rFonts w:hint="eastAsia"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14:paraId="206A1FF7">
      <w:pPr>
        <w:spacing w:line="360" w:lineRule="auto"/>
        <w:ind w:firstLine="420" w:firstLineChars="200"/>
        <w:rPr>
          <w:rFonts w:hint="eastAsia" w:ascii="宋体" w:hAnsi="宋体"/>
          <w:szCs w:val="21"/>
        </w:rPr>
      </w:pPr>
      <w:r>
        <w:rPr>
          <w:rFonts w:hint="eastAsia" w:ascii="宋体" w:hAnsi="宋体"/>
          <w:szCs w:val="21"/>
        </w:rPr>
        <w:t>本企业对上述声明内容的真实性负责。如有虚假，将依法承担相应责任。</w:t>
      </w:r>
    </w:p>
    <w:p w14:paraId="41B5763E">
      <w:pPr>
        <w:spacing w:line="360" w:lineRule="auto"/>
        <w:ind w:firstLine="420" w:firstLineChars="200"/>
        <w:rPr>
          <w:rFonts w:hint="eastAsia" w:ascii="宋体" w:hAnsi="宋体"/>
          <w:szCs w:val="21"/>
        </w:rPr>
      </w:pPr>
      <w:r>
        <w:rPr>
          <w:rFonts w:hint="eastAsia" w:ascii="宋体" w:hAnsi="宋体"/>
          <w:szCs w:val="21"/>
        </w:rPr>
        <w:t>企业名称（盖章）：</w:t>
      </w:r>
    </w:p>
    <w:p w14:paraId="35E0BDE2">
      <w:pPr>
        <w:spacing w:line="360" w:lineRule="auto"/>
        <w:ind w:firstLine="420" w:firstLineChars="200"/>
        <w:rPr>
          <w:rFonts w:hint="eastAsia" w:ascii="宋体" w:hAnsi="宋体"/>
          <w:szCs w:val="21"/>
        </w:rPr>
      </w:pPr>
      <w:r>
        <w:rPr>
          <w:rFonts w:hint="eastAsia" w:ascii="宋体" w:hAnsi="宋体"/>
          <w:szCs w:val="21"/>
        </w:rPr>
        <w:t>日 期：</w:t>
      </w:r>
    </w:p>
    <w:p w14:paraId="06FBA58A">
      <w:pPr>
        <w:spacing w:line="360" w:lineRule="auto"/>
        <w:ind w:firstLine="420" w:firstLineChars="200"/>
        <w:rPr>
          <w:rFonts w:hint="eastAsia" w:ascii="宋体" w:hAnsi="宋体"/>
          <w:szCs w:val="21"/>
        </w:rPr>
      </w:pPr>
      <w:r>
        <w:rPr>
          <w:rFonts w:hint="eastAsia" w:ascii="宋体" w:hAnsi="宋体"/>
          <w:szCs w:val="21"/>
        </w:rPr>
        <w:t>说明：</w:t>
      </w:r>
    </w:p>
    <w:p w14:paraId="46CDC508">
      <w:pPr>
        <w:spacing w:line="360" w:lineRule="auto"/>
        <w:ind w:firstLine="420" w:firstLineChars="200"/>
        <w:rPr>
          <w:rFonts w:hint="eastAsia" w:ascii="宋体" w:hAnsi="宋体"/>
          <w:szCs w:val="21"/>
        </w:rPr>
      </w:pPr>
      <w:r>
        <w:rPr>
          <w:rFonts w:hint="eastAsia" w:ascii="宋体" w:hAnsi="宋体"/>
          <w:szCs w:val="21"/>
        </w:rPr>
        <w:t>1、从业人员、营业收入、资产总额填报上一年度数据，无上一年度数据的新成立企业可不填报。</w:t>
      </w:r>
    </w:p>
    <w:p w14:paraId="0B296559">
      <w:pPr>
        <w:spacing w:line="360" w:lineRule="auto"/>
        <w:ind w:firstLine="420" w:firstLineChars="200"/>
        <w:rPr>
          <w:rFonts w:hint="eastAsia" w:ascii="宋体" w:hAnsi="宋体"/>
          <w:szCs w:val="21"/>
        </w:rPr>
      </w:pPr>
      <w:r>
        <w:rPr>
          <w:rFonts w:hint="eastAsia" w:ascii="宋体" w:hAnsi="宋体"/>
          <w:szCs w:val="21"/>
        </w:rPr>
        <w:t>2、中小企业参加政府采购活动，应当出具《中小企业声明函》，否则不得享受相关中小企业扶持政策。</w:t>
      </w:r>
    </w:p>
    <w:p w14:paraId="5BEA7E3B">
      <w:pPr>
        <w:widowControl/>
        <w:spacing w:before="100" w:beforeAutospacing="1" w:after="100" w:afterAutospacing="1" w:line="360" w:lineRule="auto"/>
        <w:contextualSpacing/>
        <w:jc w:val="left"/>
        <w:rPr>
          <w:rFonts w:ascii="宋体" w:hAnsi="宋体" w:cs="Arial"/>
          <w:kern w:val="0"/>
          <w:szCs w:val="21"/>
        </w:rPr>
      </w:pPr>
    </w:p>
    <w:p w14:paraId="5F438EF5">
      <w:pPr>
        <w:widowControl/>
        <w:jc w:val="left"/>
        <w:rPr>
          <w:rFonts w:ascii="宋体" w:hAnsi="宋体"/>
          <w:b/>
          <w:bCs/>
          <w:sz w:val="24"/>
          <w:szCs w:val="24"/>
        </w:rPr>
      </w:pPr>
    </w:p>
    <w:p w14:paraId="578303B0">
      <w:pPr>
        <w:shd w:val="clear" w:color="auto" w:fill="FFFFFF"/>
        <w:spacing w:before="100" w:beforeAutospacing="1" w:after="100" w:afterAutospacing="1" w:line="435" w:lineRule="atLeast"/>
        <w:rPr>
          <w:rFonts w:ascii="Arial" w:hAnsi="Arial" w:eastAsia="宋体" w:cs="Arial"/>
          <w:color w:val="333333"/>
          <w:kern w:val="0"/>
          <w:szCs w:val="21"/>
        </w:rPr>
      </w:pPr>
    </w:p>
    <w:p w14:paraId="1D5B77F2">
      <w:pPr>
        <w:autoSpaceDE w:val="0"/>
        <w:autoSpaceDN w:val="0"/>
        <w:adjustRightInd w:val="0"/>
        <w:spacing w:line="360" w:lineRule="auto"/>
        <w:jc w:val="center"/>
        <w:outlineLvl w:val="0"/>
        <w:rPr>
          <w:rFonts w:hint="eastAsia" w:ascii="宋体" w:hAnsi="宋体"/>
          <w:b/>
          <w:bCs/>
          <w:sz w:val="24"/>
          <w:szCs w:val="24"/>
          <w:lang w:val="en-US" w:eastAsia="zh-CN"/>
        </w:rPr>
      </w:pPr>
      <w:bookmarkStart w:id="10" w:name="OLE_LINK13"/>
      <w:bookmarkStart w:id="11" w:name="OLE_LINK14"/>
    </w:p>
    <w:p w14:paraId="3C1DB04C">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bookmarkEnd w:id="10"/>
    <w:bookmarkEnd w:id="11"/>
    <w:p w14:paraId="7C04F00A">
      <w:pPr>
        <w:spacing w:line="360" w:lineRule="auto"/>
        <w:rPr>
          <w:rFonts w:ascii="宋体" w:hAnsi="宋体"/>
          <w:szCs w:val="21"/>
        </w:rPr>
      </w:pPr>
    </w:p>
    <w:p w14:paraId="0A3A3DA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253EB7">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CDF4277">
      <w:pPr>
        <w:spacing w:line="360" w:lineRule="auto"/>
        <w:rPr>
          <w:rFonts w:ascii="宋体" w:hAnsi="宋体"/>
          <w:szCs w:val="21"/>
        </w:rPr>
      </w:pPr>
    </w:p>
    <w:p w14:paraId="1479845B">
      <w:pPr>
        <w:spacing w:line="360" w:lineRule="auto"/>
        <w:rPr>
          <w:rFonts w:ascii="宋体" w:hAnsi="宋体"/>
          <w:szCs w:val="21"/>
        </w:rPr>
      </w:pPr>
    </w:p>
    <w:p w14:paraId="70D65013">
      <w:pPr>
        <w:spacing w:line="360" w:lineRule="auto"/>
        <w:rPr>
          <w:rFonts w:ascii="宋体" w:hAnsi="宋体"/>
          <w:szCs w:val="21"/>
        </w:rPr>
      </w:pPr>
    </w:p>
    <w:p w14:paraId="1BFA377C">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FA3A122">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D3BC370">
      <w:pPr>
        <w:spacing w:line="480" w:lineRule="auto"/>
        <w:ind w:left="4358" w:leftChars="2075"/>
        <w:rPr>
          <w:rFonts w:cs="Arial" w:asciiTheme="minorEastAsia" w:hAnsiTheme="minorEastAsia"/>
          <w:szCs w:val="21"/>
        </w:rPr>
      </w:pPr>
    </w:p>
    <w:p w14:paraId="70E974A3"/>
    <w:p w14:paraId="31CA94CA"/>
    <w:p w14:paraId="30833E00"/>
    <w:p w14:paraId="64E95268"/>
    <w:p w14:paraId="14DF1CCA"/>
    <w:p w14:paraId="18FBB87A"/>
    <w:p w14:paraId="76C9A575"/>
    <w:p w14:paraId="78E22D66">
      <w:pPr>
        <w:spacing w:line="360" w:lineRule="auto"/>
        <w:jc w:val="center"/>
        <w:rPr>
          <w:rFonts w:ascii="宋体" w:hAnsi="宋体"/>
          <w:b/>
          <w:bCs/>
          <w:sz w:val="24"/>
          <w:szCs w:val="24"/>
        </w:rPr>
      </w:pPr>
    </w:p>
    <w:p w14:paraId="0F62AD92">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0C894DB4">
      <w:pPr>
        <w:spacing w:line="360" w:lineRule="auto"/>
        <w:jc w:val="center"/>
        <w:rPr>
          <w:rFonts w:ascii="宋体" w:hAnsi="宋体"/>
          <w:bCs/>
          <w:sz w:val="24"/>
          <w:szCs w:val="24"/>
        </w:rPr>
      </w:pPr>
      <w:r>
        <w:rPr>
          <w:rFonts w:hint="eastAsia" w:ascii="宋体" w:hAnsi="宋体"/>
          <w:bCs/>
          <w:sz w:val="24"/>
          <w:szCs w:val="24"/>
        </w:rPr>
        <w:t>（承诺函格式自拟）</w:t>
      </w:r>
    </w:p>
    <w:p w14:paraId="351427A3">
      <w:pPr>
        <w:autoSpaceDE w:val="0"/>
        <w:autoSpaceDN w:val="0"/>
        <w:adjustRightInd w:val="0"/>
        <w:spacing w:line="360" w:lineRule="auto"/>
        <w:jc w:val="center"/>
        <w:outlineLvl w:val="0"/>
        <w:rPr>
          <w:rFonts w:ascii="宋体" w:hAnsi="宋体"/>
          <w:b/>
          <w:bCs/>
          <w:sz w:val="24"/>
          <w:szCs w:val="24"/>
        </w:rPr>
      </w:pPr>
    </w:p>
    <w:p w14:paraId="29808ACF">
      <w:pPr>
        <w:widowControl/>
        <w:jc w:val="left"/>
        <w:rPr>
          <w:rFonts w:ascii="宋体" w:hAnsi="宋体"/>
          <w:b/>
          <w:bCs/>
          <w:sz w:val="24"/>
          <w:szCs w:val="24"/>
        </w:rPr>
      </w:pPr>
      <w:r>
        <w:rPr>
          <w:rFonts w:ascii="宋体" w:hAnsi="宋体"/>
          <w:b/>
          <w:bCs/>
          <w:sz w:val="24"/>
          <w:szCs w:val="24"/>
        </w:rPr>
        <w:br w:type="page"/>
      </w:r>
    </w:p>
    <w:p w14:paraId="4C1BB364">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14C824CE">
      <w:pPr>
        <w:spacing w:line="360" w:lineRule="auto"/>
        <w:jc w:val="center"/>
        <w:rPr>
          <w:rFonts w:ascii="宋体" w:hAnsi="宋体"/>
          <w:bCs/>
          <w:sz w:val="24"/>
          <w:szCs w:val="24"/>
        </w:rPr>
      </w:pPr>
      <w:r>
        <w:rPr>
          <w:rFonts w:hint="eastAsia" w:ascii="宋体" w:hAnsi="宋体"/>
          <w:bCs/>
          <w:sz w:val="24"/>
          <w:szCs w:val="24"/>
        </w:rPr>
        <w:t>（承诺函格式自拟）</w:t>
      </w:r>
    </w:p>
    <w:p w14:paraId="7BDBC7CF">
      <w:pPr>
        <w:spacing w:line="360" w:lineRule="auto"/>
        <w:jc w:val="center"/>
        <w:rPr>
          <w:rFonts w:ascii="宋体" w:hAnsi="宋体"/>
          <w:bCs/>
          <w:sz w:val="24"/>
          <w:szCs w:val="24"/>
        </w:rPr>
      </w:pPr>
    </w:p>
    <w:p w14:paraId="7E7323FE">
      <w:pPr>
        <w:spacing w:line="360" w:lineRule="auto"/>
        <w:jc w:val="center"/>
        <w:rPr>
          <w:rFonts w:ascii="宋体" w:hAnsi="宋体"/>
          <w:bCs/>
          <w:sz w:val="24"/>
          <w:szCs w:val="24"/>
        </w:rPr>
      </w:pPr>
    </w:p>
    <w:p w14:paraId="4F71B8A4">
      <w:pPr>
        <w:spacing w:line="360" w:lineRule="auto"/>
        <w:jc w:val="center"/>
        <w:rPr>
          <w:rFonts w:ascii="宋体" w:hAnsi="宋体"/>
          <w:bCs/>
          <w:sz w:val="24"/>
          <w:szCs w:val="24"/>
        </w:rPr>
      </w:pPr>
    </w:p>
    <w:p w14:paraId="3A94B94F">
      <w:pPr>
        <w:spacing w:line="360" w:lineRule="auto"/>
        <w:jc w:val="center"/>
        <w:rPr>
          <w:rFonts w:ascii="宋体" w:hAnsi="宋体"/>
          <w:bCs/>
          <w:sz w:val="24"/>
          <w:szCs w:val="24"/>
        </w:rPr>
      </w:pPr>
    </w:p>
    <w:p w14:paraId="12BB0522">
      <w:pPr>
        <w:spacing w:line="360" w:lineRule="auto"/>
        <w:jc w:val="center"/>
        <w:rPr>
          <w:rFonts w:ascii="宋体" w:hAnsi="宋体"/>
          <w:bCs/>
          <w:sz w:val="24"/>
          <w:szCs w:val="24"/>
        </w:rPr>
      </w:pPr>
    </w:p>
    <w:p w14:paraId="65764FC9">
      <w:pPr>
        <w:spacing w:line="360" w:lineRule="auto"/>
        <w:jc w:val="center"/>
        <w:rPr>
          <w:rFonts w:ascii="宋体" w:hAnsi="宋体"/>
          <w:bCs/>
          <w:sz w:val="24"/>
          <w:szCs w:val="24"/>
        </w:rPr>
      </w:pPr>
    </w:p>
    <w:p w14:paraId="20F18EE8">
      <w:pPr>
        <w:spacing w:line="360" w:lineRule="auto"/>
        <w:jc w:val="center"/>
        <w:rPr>
          <w:rFonts w:ascii="宋体" w:hAnsi="宋体"/>
          <w:bCs/>
          <w:sz w:val="24"/>
          <w:szCs w:val="24"/>
        </w:rPr>
      </w:pPr>
    </w:p>
    <w:p w14:paraId="05B583C5">
      <w:pPr>
        <w:spacing w:line="360" w:lineRule="auto"/>
        <w:jc w:val="center"/>
        <w:rPr>
          <w:rFonts w:ascii="宋体" w:hAnsi="宋体"/>
          <w:bCs/>
          <w:sz w:val="24"/>
          <w:szCs w:val="24"/>
        </w:rPr>
      </w:pPr>
    </w:p>
    <w:p w14:paraId="305E3171">
      <w:pPr>
        <w:spacing w:line="360" w:lineRule="auto"/>
        <w:jc w:val="center"/>
        <w:rPr>
          <w:rFonts w:ascii="宋体" w:hAnsi="宋体"/>
          <w:bCs/>
          <w:sz w:val="24"/>
          <w:szCs w:val="24"/>
        </w:rPr>
      </w:pPr>
    </w:p>
    <w:p w14:paraId="64C2AE10">
      <w:pPr>
        <w:spacing w:line="360" w:lineRule="auto"/>
        <w:jc w:val="center"/>
        <w:rPr>
          <w:rFonts w:ascii="宋体" w:hAnsi="宋体"/>
          <w:bCs/>
          <w:sz w:val="24"/>
          <w:szCs w:val="24"/>
        </w:rPr>
      </w:pPr>
    </w:p>
    <w:p w14:paraId="00F93725">
      <w:pPr>
        <w:spacing w:line="360" w:lineRule="auto"/>
        <w:jc w:val="center"/>
        <w:rPr>
          <w:rFonts w:ascii="宋体" w:hAnsi="宋体"/>
          <w:bCs/>
          <w:sz w:val="24"/>
          <w:szCs w:val="24"/>
        </w:rPr>
      </w:pPr>
    </w:p>
    <w:p w14:paraId="0E56AEFF">
      <w:pPr>
        <w:spacing w:line="360" w:lineRule="auto"/>
        <w:jc w:val="center"/>
        <w:rPr>
          <w:rFonts w:ascii="宋体" w:hAnsi="宋体"/>
          <w:bCs/>
          <w:sz w:val="24"/>
          <w:szCs w:val="24"/>
        </w:rPr>
      </w:pPr>
    </w:p>
    <w:p w14:paraId="5A37DC3F">
      <w:pPr>
        <w:spacing w:line="360" w:lineRule="auto"/>
        <w:jc w:val="center"/>
        <w:rPr>
          <w:rFonts w:ascii="宋体" w:hAnsi="宋体"/>
          <w:bCs/>
          <w:sz w:val="24"/>
          <w:szCs w:val="24"/>
        </w:rPr>
      </w:pPr>
    </w:p>
    <w:p w14:paraId="32C92EEF">
      <w:pPr>
        <w:spacing w:line="360" w:lineRule="auto"/>
        <w:jc w:val="center"/>
        <w:rPr>
          <w:rFonts w:ascii="宋体" w:hAnsi="宋体"/>
          <w:bCs/>
          <w:sz w:val="24"/>
          <w:szCs w:val="24"/>
        </w:rPr>
      </w:pPr>
    </w:p>
    <w:p w14:paraId="3526F594">
      <w:pPr>
        <w:spacing w:line="360" w:lineRule="auto"/>
        <w:jc w:val="center"/>
        <w:rPr>
          <w:rFonts w:ascii="宋体" w:hAnsi="宋体"/>
          <w:bCs/>
          <w:sz w:val="24"/>
          <w:szCs w:val="24"/>
        </w:rPr>
      </w:pPr>
    </w:p>
    <w:p w14:paraId="467DC2D0">
      <w:pPr>
        <w:spacing w:line="360" w:lineRule="auto"/>
        <w:jc w:val="center"/>
        <w:rPr>
          <w:rFonts w:ascii="宋体" w:hAnsi="宋体"/>
          <w:bCs/>
          <w:sz w:val="24"/>
          <w:szCs w:val="24"/>
        </w:rPr>
      </w:pPr>
    </w:p>
    <w:p w14:paraId="63B3E962">
      <w:pPr>
        <w:spacing w:line="360" w:lineRule="auto"/>
        <w:jc w:val="center"/>
        <w:rPr>
          <w:rFonts w:ascii="宋体" w:hAnsi="宋体"/>
          <w:bCs/>
          <w:sz w:val="24"/>
          <w:szCs w:val="24"/>
        </w:rPr>
      </w:pPr>
    </w:p>
    <w:p w14:paraId="01B9947A">
      <w:pPr>
        <w:spacing w:line="360" w:lineRule="auto"/>
        <w:jc w:val="center"/>
        <w:rPr>
          <w:rFonts w:ascii="宋体" w:hAnsi="宋体"/>
          <w:bCs/>
          <w:sz w:val="24"/>
          <w:szCs w:val="24"/>
        </w:rPr>
      </w:pPr>
    </w:p>
    <w:p w14:paraId="7040BF10">
      <w:pPr>
        <w:spacing w:line="360" w:lineRule="auto"/>
        <w:jc w:val="center"/>
        <w:rPr>
          <w:rFonts w:ascii="宋体" w:hAnsi="宋体"/>
          <w:bCs/>
          <w:sz w:val="24"/>
          <w:szCs w:val="24"/>
        </w:rPr>
      </w:pPr>
    </w:p>
    <w:p w14:paraId="5CC771B0">
      <w:pPr>
        <w:spacing w:line="360" w:lineRule="auto"/>
        <w:jc w:val="center"/>
        <w:rPr>
          <w:rFonts w:ascii="宋体" w:hAnsi="宋体"/>
          <w:bCs/>
          <w:sz w:val="24"/>
          <w:szCs w:val="24"/>
        </w:rPr>
      </w:pPr>
    </w:p>
    <w:p w14:paraId="1AA40B5D">
      <w:pPr>
        <w:spacing w:line="360" w:lineRule="auto"/>
        <w:jc w:val="center"/>
        <w:rPr>
          <w:rFonts w:ascii="宋体" w:hAnsi="宋体"/>
          <w:bCs/>
          <w:sz w:val="24"/>
          <w:szCs w:val="24"/>
        </w:rPr>
      </w:pPr>
    </w:p>
    <w:p w14:paraId="6EA2F1D6">
      <w:pPr>
        <w:spacing w:line="360" w:lineRule="auto"/>
        <w:jc w:val="center"/>
        <w:rPr>
          <w:rFonts w:ascii="宋体" w:hAnsi="宋体"/>
          <w:bCs/>
          <w:sz w:val="24"/>
          <w:szCs w:val="24"/>
        </w:rPr>
      </w:pPr>
    </w:p>
    <w:p w14:paraId="60E44549">
      <w:pPr>
        <w:spacing w:line="360" w:lineRule="auto"/>
        <w:jc w:val="center"/>
        <w:rPr>
          <w:rFonts w:ascii="宋体" w:hAnsi="宋体"/>
          <w:bCs/>
          <w:sz w:val="24"/>
          <w:szCs w:val="24"/>
        </w:rPr>
      </w:pPr>
    </w:p>
    <w:p w14:paraId="6CEDBF39">
      <w:pPr>
        <w:spacing w:line="360" w:lineRule="auto"/>
        <w:jc w:val="center"/>
        <w:rPr>
          <w:rFonts w:ascii="宋体" w:hAnsi="宋体"/>
          <w:bCs/>
          <w:sz w:val="24"/>
          <w:szCs w:val="24"/>
        </w:rPr>
      </w:pPr>
    </w:p>
    <w:p w14:paraId="32B8202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6ECE597">
      <w:pPr>
        <w:autoSpaceDE w:val="0"/>
        <w:autoSpaceDN w:val="0"/>
        <w:adjustRightInd w:val="0"/>
        <w:spacing w:line="360" w:lineRule="auto"/>
        <w:jc w:val="center"/>
        <w:outlineLvl w:val="0"/>
        <w:rPr>
          <w:rFonts w:hAnsi="宋体" w:eastAsia="宋体"/>
          <w:b/>
          <w:snapToGrid w:val="0"/>
          <w:kern w:val="0"/>
          <w:sz w:val="36"/>
          <w:szCs w:val="36"/>
        </w:rPr>
      </w:pPr>
    </w:p>
    <w:p w14:paraId="18F6EDDE">
      <w:pPr>
        <w:autoSpaceDE w:val="0"/>
        <w:autoSpaceDN w:val="0"/>
        <w:adjustRightInd w:val="0"/>
        <w:spacing w:line="360" w:lineRule="auto"/>
        <w:jc w:val="center"/>
        <w:outlineLvl w:val="0"/>
        <w:rPr>
          <w:rFonts w:hAnsi="宋体" w:eastAsia="宋体"/>
          <w:b/>
          <w:snapToGrid w:val="0"/>
          <w:kern w:val="0"/>
          <w:sz w:val="36"/>
          <w:szCs w:val="36"/>
        </w:rPr>
      </w:pPr>
    </w:p>
    <w:p w14:paraId="6AAC3EE7">
      <w:pPr>
        <w:autoSpaceDE w:val="0"/>
        <w:autoSpaceDN w:val="0"/>
        <w:adjustRightInd w:val="0"/>
        <w:spacing w:line="360" w:lineRule="auto"/>
        <w:jc w:val="center"/>
        <w:outlineLvl w:val="0"/>
        <w:rPr>
          <w:rFonts w:hAnsi="宋体" w:eastAsia="宋体"/>
          <w:b/>
          <w:snapToGrid w:val="0"/>
          <w:kern w:val="0"/>
          <w:sz w:val="36"/>
          <w:szCs w:val="36"/>
        </w:rPr>
      </w:pPr>
    </w:p>
    <w:p w14:paraId="2068BBB8">
      <w:pPr>
        <w:autoSpaceDE w:val="0"/>
        <w:autoSpaceDN w:val="0"/>
        <w:adjustRightInd w:val="0"/>
        <w:spacing w:line="360" w:lineRule="auto"/>
        <w:jc w:val="center"/>
        <w:outlineLvl w:val="0"/>
        <w:rPr>
          <w:rFonts w:hAnsi="宋体" w:eastAsia="宋体"/>
          <w:b/>
          <w:snapToGrid w:val="0"/>
          <w:kern w:val="0"/>
          <w:sz w:val="36"/>
          <w:szCs w:val="36"/>
        </w:rPr>
      </w:pPr>
    </w:p>
    <w:p w14:paraId="084E055C">
      <w:pPr>
        <w:autoSpaceDE w:val="0"/>
        <w:autoSpaceDN w:val="0"/>
        <w:adjustRightInd w:val="0"/>
        <w:spacing w:line="360" w:lineRule="auto"/>
        <w:jc w:val="center"/>
        <w:rPr>
          <w:rFonts w:cs="黑体" w:asciiTheme="minorEastAsia" w:hAnsiTheme="minorEastAsia"/>
          <w:b/>
          <w:bCs/>
          <w:sz w:val="44"/>
          <w:szCs w:val="44"/>
          <w:lang w:val="zh-CN"/>
        </w:rPr>
      </w:pPr>
    </w:p>
    <w:p w14:paraId="2F42E8E8">
      <w:pPr>
        <w:autoSpaceDE w:val="0"/>
        <w:autoSpaceDN w:val="0"/>
        <w:adjustRightInd w:val="0"/>
        <w:spacing w:line="360" w:lineRule="auto"/>
        <w:jc w:val="center"/>
        <w:rPr>
          <w:rFonts w:cs="黑体" w:asciiTheme="minorEastAsia" w:hAnsiTheme="minorEastAsia"/>
          <w:b/>
          <w:bCs/>
          <w:sz w:val="44"/>
          <w:szCs w:val="44"/>
          <w:lang w:val="zh-CN"/>
        </w:rPr>
      </w:pPr>
    </w:p>
    <w:p w14:paraId="1DE6897C">
      <w:pPr>
        <w:autoSpaceDE w:val="0"/>
        <w:autoSpaceDN w:val="0"/>
        <w:adjustRightInd w:val="0"/>
        <w:spacing w:line="360" w:lineRule="auto"/>
        <w:jc w:val="center"/>
        <w:rPr>
          <w:rFonts w:cs="黑体" w:asciiTheme="minorEastAsia" w:hAnsiTheme="minorEastAsia"/>
          <w:b/>
          <w:bCs/>
          <w:sz w:val="44"/>
          <w:szCs w:val="44"/>
          <w:lang w:val="zh-CN"/>
        </w:rPr>
      </w:pPr>
    </w:p>
    <w:p w14:paraId="52F38397">
      <w:pPr>
        <w:autoSpaceDE w:val="0"/>
        <w:autoSpaceDN w:val="0"/>
        <w:adjustRightInd w:val="0"/>
        <w:spacing w:line="360" w:lineRule="auto"/>
        <w:jc w:val="center"/>
        <w:rPr>
          <w:rFonts w:cs="黑体" w:asciiTheme="minorEastAsia" w:hAnsiTheme="minorEastAsia"/>
          <w:b/>
          <w:bCs/>
          <w:sz w:val="44"/>
          <w:szCs w:val="44"/>
          <w:lang w:val="zh-CN"/>
        </w:rPr>
      </w:pPr>
    </w:p>
    <w:p w14:paraId="183E3D2D">
      <w:pPr>
        <w:autoSpaceDE w:val="0"/>
        <w:autoSpaceDN w:val="0"/>
        <w:adjustRightInd w:val="0"/>
        <w:spacing w:line="360" w:lineRule="auto"/>
        <w:jc w:val="center"/>
        <w:rPr>
          <w:rFonts w:cs="黑体" w:asciiTheme="minorEastAsia" w:hAnsiTheme="minorEastAsia"/>
          <w:b/>
          <w:bCs/>
          <w:sz w:val="44"/>
          <w:szCs w:val="44"/>
          <w:lang w:val="zh-CN"/>
        </w:rPr>
      </w:pPr>
    </w:p>
    <w:p w14:paraId="7200973F">
      <w:pPr>
        <w:autoSpaceDE w:val="0"/>
        <w:autoSpaceDN w:val="0"/>
        <w:adjustRightInd w:val="0"/>
        <w:spacing w:line="360" w:lineRule="auto"/>
        <w:jc w:val="center"/>
        <w:rPr>
          <w:rFonts w:cs="黑体" w:asciiTheme="minorEastAsia" w:hAnsiTheme="minorEastAsia"/>
          <w:b/>
          <w:bCs/>
          <w:sz w:val="44"/>
          <w:szCs w:val="44"/>
          <w:lang w:val="zh-CN"/>
        </w:rPr>
      </w:pPr>
    </w:p>
    <w:p w14:paraId="18699F9B">
      <w:pPr>
        <w:autoSpaceDE w:val="0"/>
        <w:autoSpaceDN w:val="0"/>
        <w:adjustRightInd w:val="0"/>
        <w:spacing w:line="360" w:lineRule="auto"/>
        <w:jc w:val="center"/>
        <w:rPr>
          <w:rFonts w:cs="黑体" w:asciiTheme="minorEastAsia" w:hAnsiTheme="minorEastAsia"/>
          <w:b/>
          <w:bCs/>
          <w:sz w:val="44"/>
          <w:szCs w:val="44"/>
          <w:lang w:val="zh-CN"/>
        </w:rPr>
      </w:pPr>
    </w:p>
    <w:p w14:paraId="00B7CB68">
      <w:pPr>
        <w:autoSpaceDE w:val="0"/>
        <w:autoSpaceDN w:val="0"/>
        <w:adjustRightInd w:val="0"/>
        <w:spacing w:line="360" w:lineRule="auto"/>
        <w:jc w:val="center"/>
        <w:rPr>
          <w:rFonts w:cs="黑体" w:asciiTheme="minorEastAsia" w:hAnsiTheme="minorEastAsia"/>
          <w:b/>
          <w:bCs/>
          <w:sz w:val="44"/>
          <w:szCs w:val="44"/>
          <w:lang w:val="zh-CN"/>
        </w:rPr>
      </w:pPr>
    </w:p>
    <w:p w14:paraId="68D66DAA">
      <w:pPr>
        <w:autoSpaceDE w:val="0"/>
        <w:autoSpaceDN w:val="0"/>
        <w:adjustRightInd w:val="0"/>
        <w:spacing w:line="360" w:lineRule="auto"/>
        <w:jc w:val="center"/>
        <w:rPr>
          <w:rFonts w:cs="黑体" w:asciiTheme="minorEastAsia" w:hAnsiTheme="minorEastAsia"/>
          <w:b/>
          <w:bCs/>
          <w:sz w:val="44"/>
          <w:szCs w:val="44"/>
          <w:lang w:val="zh-CN"/>
        </w:rPr>
      </w:pPr>
    </w:p>
    <w:p w14:paraId="47B48300">
      <w:pPr>
        <w:autoSpaceDE w:val="0"/>
        <w:autoSpaceDN w:val="0"/>
        <w:adjustRightInd w:val="0"/>
        <w:spacing w:line="360" w:lineRule="auto"/>
        <w:jc w:val="center"/>
        <w:rPr>
          <w:rFonts w:cs="黑体" w:asciiTheme="minorEastAsia" w:hAnsiTheme="minorEastAsia"/>
          <w:b/>
          <w:bCs/>
          <w:sz w:val="44"/>
          <w:szCs w:val="44"/>
          <w:lang w:val="zh-CN"/>
        </w:rPr>
      </w:pPr>
    </w:p>
    <w:p w14:paraId="304826B0">
      <w:pPr>
        <w:autoSpaceDE w:val="0"/>
        <w:autoSpaceDN w:val="0"/>
        <w:adjustRightInd w:val="0"/>
        <w:spacing w:line="360" w:lineRule="auto"/>
        <w:jc w:val="center"/>
        <w:rPr>
          <w:rFonts w:cs="黑体" w:asciiTheme="minorEastAsia" w:hAnsiTheme="minorEastAsia"/>
          <w:b/>
          <w:bCs/>
          <w:sz w:val="44"/>
          <w:szCs w:val="44"/>
          <w:lang w:val="zh-CN"/>
        </w:rPr>
      </w:pPr>
    </w:p>
    <w:p w14:paraId="2AB8D10E">
      <w:pPr>
        <w:autoSpaceDE w:val="0"/>
        <w:autoSpaceDN w:val="0"/>
        <w:adjustRightInd w:val="0"/>
        <w:spacing w:line="360" w:lineRule="auto"/>
        <w:jc w:val="center"/>
        <w:rPr>
          <w:rFonts w:cs="黑体" w:asciiTheme="minorEastAsia" w:hAnsiTheme="minorEastAsia"/>
          <w:b/>
          <w:bCs/>
          <w:sz w:val="44"/>
          <w:szCs w:val="44"/>
          <w:lang w:val="zh-CN"/>
        </w:rPr>
      </w:pPr>
    </w:p>
    <w:p w14:paraId="467ACF61">
      <w:pPr>
        <w:autoSpaceDE w:val="0"/>
        <w:autoSpaceDN w:val="0"/>
        <w:adjustRightInd w:val="0"/>
        <w:spacing w:line="360" w:lineRule="auto"/>
        <w:jc w:val="center"/>
        <w:rPr>
          <w:rFonts w:cs="黑体" w:asciiTheme="minorEastAsia" w:hAnsiTheme="minorEastAsia"/>
          <w:b/>
          <w:bCs/>
          <w:sz w:val="44"/>
          <w:szCs w:val="44"/>
          <w:lang w:val="zh-CN"/>
        </w:rPr>
      </w:pPr>
    </w:p>
    <w:p w14:paraId="556F12A5">
      <w:pPr>
        <w:autoSpaceDE w:val="0"/>
        <w:autoSpaceDN w:val="0"/>
        <w:adjustRightInd w:val="0"/>
        <w:spacing w:line="360" w:lineRule="auto"/>
        <w:jc w:val="center"/>
        <w:rPr>
          <w:rFonts w:cs="黑体" w:asciiTheme="minorEastAsia" w:hAnsiTheme="minorEastAsia"/>
          <w:b/>
          <w:bCs/>
          <w:sz w:val="44"/>
          <w:szCs w:val="44"/>
          <w:lang w:val="zh-CN"/>
        </w:rPr>
      </w:pPr>
    </w:p>
    <w:p w14:paraId="4BBE5419">
      <w:pPr>
        <w:autoSpaceDE w:val="0"/>
        <w:autoSpaceDN w:val="0"/>
        <w:adjustRightInd w:val="0"/>
        <w:spacing w:line="360" w:lineRule="auto"/>
        <w:jc w:val="center"/>
        <w:rPr>
          <w:rFonts w:cs="黑体" w:asciiTheme="minorEastAsia" w:hAnsiTheme="minorEastAsia"/>
          <w:b/>
          <w:bCs/>
          <w:sz w:val="44"/>
          <w:szCs w:val="44"/>
          <w:lang w:val="zh-CN"/>
        </w:rPr>
      </w:pPr>
    </w:p>
    <w:p w14:paraId="7C7A68C1">
      <w:pPr>
        <w:autoSpaceDE w:val="0"/>
        <w:autoSpaceDN w:val="0"/>
        <w:adjustRightInd w:val="0"/>
        <w:spacing w:line="360" w:lineRule="auto"/>
        <w:rPr>
          <w:rFonts w:cs="黑体" w:asciiTheme="minorEastAsia" w:hAnsiTheme="minorEastAsia"/>
          <w:b/>
          <w:bCs/>
          <w:sz w:val="44"/>
          <w:szCs w:val="44"/>
          <w:lang w:val="zh-CN"/>
        </w:rPr>
      </w:pPr>
    </w:p>
    <w:p w14:paraId="266DED0C">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24287C8C">
      <w:pPr>
        <w:autoSpaceDE w:val="0"/>
        <w:autoSpaceDN w:val="0"/>
        <w:adjustRightInd w:val="0"/>
        <w:spacing w:line="360" w:lineRule="auto"/>
        <w:jc w:val="center"/>
        <w:outlineLvl w:val="0"/>
        <w:rPr>
          <w:rFonts w:hAnsi="宋体" w:eastAsia="宋体"/>
          <w:b/>
          <w:snapToGrid w:val="0"/>
          <w:kern w:val="0"/>
          <w:sz w:val="36"/>
          <w:szCs w:val="36"/>
        </w:rPr>
      </w:pPr>
    </w:p>
    <w:p w14:paraId="50D6AE5F">
      <w:pPr>
        <w:autoSpaceDE w:val="0"/>
        <w:autoSpaceDN w:val="0"/>
        <w:adjustRightInd w:val="0"/>
        <w:spacing w:line="480" w:lineRule="auto"/>
        <w:rPr>
          <w:rFonts w:cs="宋体" w:asciiTheme="minorEastAsia" w:hAnsiTheme="minorEastAsia"/>
          <w:sz w:val="24"/>
          <w:szCs w:val="24"/>
          <w:lang w:val="zh-CN"/>
        </w:rPr>
      </w:pPr>
    </w:p>
    <w:p w14:paraId="47B689BD">
      <w:pPr>
        <w:autoSpaceDE w:val="0"/>
        <w:autoSpaceDN w:val="0"/>
        <w:adjustRightInd w:val="0"/>
        <w:spacing w:line="360" w:lineRule="auto"/>
        <w:outlineLvl w:val="0"/>
        <w:rPr>
          <w:rFonts w:ascii="宋体" w:hAnsi="宋体"/>
          <w:b/>
          <w:bCs/>
          <w:sz w:val="24"/>
          <w:szCs w:val="24"/>
        </w:rPr>
      </w:pPr>
    </w:p>
    <w:p w14:paraId="52317E9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技术方案（实施方案）</w:t>
      </w:r>
    </w:p>
    <w:p w14:paraId="53C771FC">
      <w:pPr>
        <w:snapToGrid w:val="0"/>
        <w:spacing w:line="360" w:lineRule="auto"/>
        <w:jc w:val="center"/>
        <w:rPr>
          <w:rFonts w:hAnsi="宋体" w:eastAsia="宋体"/>
          <w:b/>
          <w:snapToGrid w:val="0"/>
          <w:kern w:val="0"/>
          <w:sz w:val="36"/>
          <w:szCs w:val="36"/>
        </w:rPr>
      </w:pPr>
    </w:p>
    <w:p w14:paraId="1F88FBB3">
      <w:pPr>
        <w:snapToGrid w:val="0"/>
        <w:spacing w:line="360" w:lineRule="auto"/>
        <w:jc w:val="center"/>
        <w:rPr>
          <w:rFonts w:hAnsi="宋体" w:eastAsia="宋体"/>
          <w:b/>
          <w:snapToGrid w:val="0"/>
          <w:kern w:val="0"/>
          <w:sz w:val="36"/>
          <w:szCs w:val="36"/>
        </w:rPr>
      </w:pPr>
    </w:p>
    <w:p w14:paraId="46047FE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8B058DE">
      <w:pPr>
        <w:snapToGrid w:val="0"/>
        <w:spacing w:line="360" w:lineRule="auto"/>
        <w:jc w:val="center"/>
        <w:rPr>
          <w:rFonts w:hAnsi="宋体" w:eastAsia="宋体"/>
          <w:b/>
          <w:snapToGrid w:val="0"/>
          <w:kern w:val="0"/>
          <w:sz w:val="36"/>
          <w:szCs w:val="36"/>
        </w:rPr>
      </w:pPr>
    </w:p>
    <w:p w14:paraId="0CC34760">
      <w:pPr>
        <w:snapToGrid w:val="0"/>
        <w:spacing w:line="360" w:lineRule="auto"/>
        <w:jc w:val="center"/>
        <w:rPr>
          <w:rFonts w:hAnsi="宋体" w:eastAsia="宋体"/>
          <w:b/>
          <w:snapToGrid w:val="0"/>
          <w:kern w:val="0"/>
          <w:sz w:val="36"/>
          <w:szCs w:val="36"/>
        </w:rPr>
      </w:pPr>
    </w:p>
    <w:p w14:paraId="3635C627">
      <w:pPr>
        <w:snapToGrid w:val="0"/>
        <w:spacing w:line="360" w:lineRule="auto"/>
        <w:jc w:val="center"/>
        <w:rPr>
          <w:rFonts w:hAnsi="宋体" w:eastAsia="宋体"/>
          <w:b/>
          <w:snapToGrid w:val="0"/>
          <w:kern w:val="0"/>
          <w:sz w:val="36"/>
          <w:szCs w:val="36"/>
        </w:rPr>
      </w:pPr>
    </w:p>
    <w:p w14:paraId="73695516">
      <w:pPr>
        <w:snapToGrid w:val="0"/>
        <w:spacing w:line="360" w:lineRule="auto"/>
        <w:jc w:val="center"/>
        <w:rPr>
          <w:rFonts w:hAnsi="宋体" w:eastAsia="宋体"/>
          <w:b/>
          <w:snapToGrid w:val="0"/>
          <w:kern w:val="0"/>
          <w:sz w:val="36"/>
          <w:szCs w:val="36"/>
        </w:rPr>
      </w:pPr>
    </w:p>
    <w:p w14:paraId="4B1F08D4">
      <w:pPr>
        <w:snapToGrid w:val="0"/>
        <w:spacing w:line="360" w:lineRule="auto"/>
        <w:jc w:val="center"/>
        <w:rPr>
          <w:rFonts w:hAnsi="宋体" w:eastAsia="宋体"/>
          <w:b/>
          <w:snapToGrid w:val="0"/>
          <w:kern w:val="0"/>
          <w:sz w:val="36"/>
          <w:szCs w:val="36"/>
        </w:rPr>
      </w:pPr>
    </w:p>
    <w:p w14:paraId="3AD3402B">
      <w:pPr>
        <w:snapToGrid w:val="0"/>
        <w:spacing w:line="360" w:lineRule="auto"/>
        <w:jc w:val="center"/>
        <w:rPr>
          <w:rFonts w:hAnsi="宋体" w:eastAsia="宋体"/>
          <w:b/>
          <w:snapToGrid w:val="0"/>
          <w:kern w:val="0"/>
          <w:sz w:val="36"/>
          <w:szCs w:val="36"/>
        </w:rPr>
      </w:pPr>
    </w:p>
    <w:p w14:paraId="4824F7B1">
      <w:pPr>
        <w:snapToGrid w:val="0"/>
        <w:spacing w:line="360" w:lineRule="auto"/>
        <w:jc w:val="center"/>
        <w:rPr>
          <w:rFonts w:hAnsi="宋体" w:eastAsia="宋体"/>
          <w:b/>
          <w:snapToGrid w:val="0"/>
          <w:kern w:val="0"/>
          <w:sz w:val="36"/>
          <w:szCs w:val="36"/>
        </w:rPr>
      </w:pPr>
    </w:p>
    <w:p w14:paraId="3FEEE230">
      <w:pPr>
        <w:snapToGrid w:val="0"/>
        <w:spacing w:line="360" w:lineRule="auto"/>
        <w:jc w:val="center"/>
        <w:rPr>
          <w:rFonts w:hAnsi="宋体" w:eastAsia="宋体"/>
          <w:b/>
          <w:snapToGrid w:val="0"/>
          <w:kern w:val="0"/>
          <w:sz w:val="36"/>
          <w:szCs w:val="36"/>
        </w:rPr>
      </w:pPr>
    </w:p>
    <w:p w14:paraId="3A1635D1">
      <w:pPr>
        <w:snapToGrid w:val="0"/>
        <w:spacing w:line="360" w:lineRule="auto"/>
        <w:jc w:val="center"/>
        <w:rPr>
          <w:rFonts w:hAnsi="宋体" w:eastAsia="宋体"/>
          <w:b/>
          <w:snapToGrid w:val="0"/>
          <w:kern w:val="0"/>
          <w:sz w:val="36"/>
          <w:szCs w:val="36"/>
        </w:rPr>
      </w:pPr>
    </w:p>
    <w:p w14:paraId="170C1D92">
      <w:pPr>
        <w:snapToGrid w:val="0"/>
        <w:spacing w:line="360" w:lineRule="auto"/>
        <w:jc w:val="center"/>
        <w:rPr>
          <w:rFonts w:hAnsi="宋体" w:eastAsia="宋体"/>
          <w:b/>
          <w:snapToGrid w:val="0"/>
          <w:kern w:val="0"/>
          <w:sz w:val="36"/>
          <w:szCs w:val="36"/>
        </w:rPr>
      </w:pPr>
    </w:p>
    <w:p w14:paraId="4DC20376">
      <w:pPr>
        <w:snapToGrid w:val="0"/>
        <w:spacing w:line="360" w:lineRule="auto"/>
        <w:jc w:val="center"/>
        <w:rPr>
          <w:rFonts w:hAnsi="宋体" w:eastAsia="宋体"/>
          <w:b/>
          <w:snapToGrid w:val="0"/>
          <w:kern w:val="0"/>
          <w:sz w:val="36"/>
          <w:szCs w:val="36"/>
        </w:rPr>
      </w:pPr>
    </w:p>
    <w:p w14:paraId="5630C506">
      <w:pPr>
        <w:snapToGrid w:val="0"/>
        <w:spacing w:line="360" w:lineRule="auto"/>
        <w:rPr>
          <w:rFonts w:hAnsi="宋体" w:eastAsia="宋体"/>
          <w:b/>
          <w:snapToGrid w:val="0"/>
          <w:kern w:val="0"/>
          <w:sz w:val="36"/>
          <w:szCs w:val="36"/>
        </w:rPr>
      </w:pPr>
    </w:p>
    <w:p w14:paraId="05C61D3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14:paraId="6D6836DE">
      <w:pPr>
        <w:autoSpaceDE w:val="0"/>
        <w:autoSpaceDN w:val="0"/>
        <w:adjustRightInd w:val="0"/>
        <w:spacing w:line="360" w:lineRule="auto"/>
        <w:jc w:val="center"/>
        <w:outlineLvl w:val="0"/>
        <w:rPr>
          <w:rFonts w:ascii="宋体" w:hAnsi="宋体"/>
          <w:b/>
          <w:bCs/>
          <w:sz w:val="28"/>
          <w:szCs w:val="28"/>
        </w:rPr>
      </w:pPr>
    </w:p>
    <w:p w14:paraId="62E6778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822F089">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6B140A2">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28D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AFC1BFA">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04C80AEE">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16C4B0C7">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016515AC">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14:paraId="450C7789">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4A6F77EE">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361C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7EA76B6">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701CB750">
            <w:pPr>
              <w:pStyle w:val="10"/>
              <w:spacing w:line="360" w:lineRule="auto"/>
              <w:rPr>
                <w:rFonts w:ascii="宋体" w:hAnsi="宋体" w:eastAsia="宋体" w:cs="Times New Roman"/>
                <w:sz w:val="21"/>
                <w:szCs w:val="21"/>
              </w:rPr>
            </w:pPr>
          </w:p>
        </w:tc>
        <w:tc>
          <w:tcPr>
            <w:tcW w:w="3579" w:type="dxa"/>
            <w:vAlign w:val="center"/>
          </w:tcPr>
          <w:p w14:paraId="785AF27A">
            <w:pPr>
              <w:pStyle w:val="10"/>
              <w:spacing w:line="360" w:lineRule="auto"/>
              <w:rPr>
                <w:rFonts w:ascii="宋体" w:hAnsi="宋体" w:eastAsia="宋体" w:cs="Times New Roman"/>
                <w:sz w:val="21"/>
                <w:szCs w:val="21"/>
              </w:rPr>
            </w:pPr>
          </w:p>
        </w:tc>
        <w:tc>
          <w:tcPr>
            <w:tcW w:w="1440" w:type="dxa"/>
            <w:vAlign w:val="center"/>
          </w:tcPr>
          <w:p w14:paraId="637CE408">
            <w:pPr>
              <w:pStyle w:val="10"/>
              <w:spacing w:line="360" w:lineRule="auto"/>
              <w:rPr>
                <w:rFonts w:ascii="宋体" w:hAnsi="宋体" w:eastAsia="宋体" w:cs="Times New Roman"/>
                <w:sz w:val="21"/>
                <w:szCs w:val="21"/>
              </w:rPr>
            </w:pPr>
          </w:p>
        </w:tc>
        <w:tc>
          <w:tcPr>
            <w:tcW w:w="1706" w:type="dxa"/>
            <w:vAlign w:val="center"/>
          </w:tcPr>
          <w:p w14:paraId="02E8B34B">
            <w:pPr>
              <w:pStyle w:val="10"/>
              <w:spacing w:line="360" w:lineRule="auto"/>
              <w:rPr>
                <w:rFonts w:ascii="宋体" w:hAnsi="宋体" w:eastAsia="宋体" w:cs="Times New Roman"/>
                <w:sz w:val="21"/>
                <w:szCs w:val="21"/>
              </w:rPr>
            </w:pPr>
          </w:p>
        </w:tc>
      </w:tr>
      <w:tr w14:paraId="6DF5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E989532">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53E5C8C6">
            <w:pPr>
              <w:pStyle w:val="10"/>
              <w:spacing w:line="360" w:lineRule="auto"/>
              <w:rPr>
                <w:rFonts w:ascii="宋体" w:hAnsi="宋体" w:eastAsia="宋体" w:cs="Times New Roman"/>
                <w:sz w:val="21"/>
                <w:szCs w:val="21"/>
              </w:rPr>
            </w:pPr>
          </w:p>
        </w:tc>
        <w:tc>
          <w:tcPr>
            <w:tcW w:w="3579" w:type="dxa"/>
            <w:vAlign w:val="center"/>
          </w:tcPr>
          <w:p w14:paraId="5F30350F">
            <w:pPr>
              <w:pStyle w:val="10"/>
              <w:spacing w:line="360" w:lineRule="auto"/>
              <w:rPr>
                <w:rFonts w:ascii="宋体" w:hAnsi="宋体" w:eastAsia="宋体" w:cs="Times New Roman"/>
                <w:sz w:val="21"/>
                <w:szCs w:val="21"/>
              </w:rPr>
            </w:pPr>
          </w:p>
        </w:tc>
        <w:tc>
          <w:tcPr>
            <w:tcW w:w="1440" w:type="dxa"/>
            <w:vAlign w:val="center"/>
          </w:tcPr>
          <w:p w14:paraId="22C4CF75">
            <w:pPr>
              <w:pStyle w:val="10"/>
              <w:spacing w:line="360" w:lineRule="auto"/>
              <w:rPr>
                <w:rFonts w:ascii="宋体" w:hAnsi="宋体" w:eastAsia="宋体" w:cs="Times New Roman"/>
                <w:sz w:val="21"/>
                <w:szCs w:val="21"/>
              </w:rPr>
            </w:pPr>
          </w:p>
        </w:tc>
        <w:tc>
          <w:tcPr>
            <w:tcW w:w="1706" w:type="dxa"/>
            <w:vAlign w:val="center"/>
          </w:tcPr>
          <w:p w14:paraId="5AF37836">
            <w:pPr>
              <w:pStyle w:val="10"/>
              <w:spacing w:line="360" w:lineRule="auto"/>
              <w:rPr>
                <w:rFonts w:ascii="宋体" w:hAnsi="宋体" w:eastAsia="宋体" w:cs="Times New Roman"/>
                <w:sz w:val="21"/>
                <w:szCs w:val="21"/>
              </w:rPr>
            </w:pPr>
          </w:p>
        </w:tc>
      </w:tr>
      <w:tr w14:paraId="2CDB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A2ADEE0">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66964E92">
            <w:pPr>
              <w:pStyle w:val="10"/>
              <w:spacing w:line="360" w:lineRule="auto"/>
              <w:rPr>
                <w:rFonts w:ascii="宋体" w:hAnsi="宋体" w:eastAsia="宋体" w:cs="Times New Roman"/>
                <w:sz w:val="21"/>
                <w:szCs w:val="21"/>
              </w:rPr>
            </w:pPr>
          </w:p>
        </w:tc>
        <w:tc>
          <w:tcPr>
            <w:tcW w:w="3579" w:type="dxa"/>
            <w:vAlign w:val="center"/>
          </w:tcPr>
          <w:p w14:paraId="1998A04B">
            <w:pPr>
              <w:pStyle w:val="10"/>
              <w:spacing w:line="360" w:lineRule="auto"/>
              <w:rPr>
                <w:rFonts w:ascii="宋体" w:hAnsi="宋体" w:eastAsia="宋体" w:cs="Times New Roman"/>
                <w:sz w:val="21"/>
                <w:szCs w:val="21"/>
              </w:rPr>
            </w:pPr>
          </w:p>
        </w:tc>
        <w:tc>
          <w:tcPr>
            <w:tcW w:w="1440" w:type="dxa"/>
            <w:vAlign w:val="center"/>
          </w:tcPr>
          <w:p w14:paraId="4F788535">
            <w:pPr>
              <w:pStyle w:val="10"/>
              <w:spacing w:line="360" w:lineRule="auto"/>
              <w:rPr>
                <w:rFonts w:ascii="宋体" w:hAnsi="宋体" w:eastAsia="宋体" w:cs="Times New Roman"/>
                <w:sz w:val="21"/>
                <w:szCs w:val="21"/>
              </w:rPr>
            </w:pPr>
          </w:p>
        </w:tc>
        <w:tc>
          <w:tcPr>
            <w:tcW w:w="1706" w:type="dxa"/>
            <w:vAlign w:val="center"/>
          </w:tcPr>
          <w:p w14:paraId="64D5516D">
            <w:pPr>
              <w:pStyle w:val="10"/>
              <w:spacing w:line="360" w:lineRule="auto"/>
              <w:rPr>
                <w:rFonts w:ascii="宋体" w:hAnsi="宋体" w:eastAsia="宋体" w:cs="Times New Roman"/>
                <w:sz w:val="21"/>
                <w:szCs w:val="21"/>
              </w:rPr>
            </w:pPr>
          </w:p>
        </w:tc>
      </w:tr>
      <w:tr w14:paraId="1E44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04EE9FC">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B853F36">
            <w:pPr>
              <w:rPr>
                <w:rFonts w:ascii="宋体"/>
                <w:szCs w:val="21"/>
              </w:rPr>
            </w:pPr>
          </w:p>
        </w:tc>
        <w:tc>
          <w:tcPr>
            <w:tcW w:w="3579" w:type="dxa"/>
            <w:vAlign w:val="center"/>
          </w:tcPr>
          <w:p w14:paraId="029D9CB0">
            <w:pPr>
              <w:rPr>
                <w:rFonts w:ascii="宋体"/>
                <w:szCs w:val="21"/>
              </w:rPr>
            </w:pPr>
          </w:p>
        </w:tc>
        <w:tc>
          <w:tcPr>
            <w:tcW w:w="1440" w:type="dxa"/>
            <w:vAlign w:val="center"/>
          </w:tcPr>
          <w:p w14:paraId="6BBDE911">
            <w:pPr>
              <w:rPr>
                <w:rFonts w:ascii="宋体"/>
                <w:szCs w:val="21"/>
              </w:rPr>
            </w:pPr>
          </w:p>
        </w:tc>
        <w:tc>
          <w:tcPr>
            <w:tcW w:w="1706" w:type="dxa"/>
            <w:vAlign w:val="center"/>
          </w:tcPr>
          <w:p w14:paraId="68BF071C">
            <w:pPr>
              <w:rPr>
                <w:rFonts w:ascii="宋体"/>
                <w:szCs w:val="21"/>
              </w:rPr>
            </w:pPr>
          </w:p>
        </w:tc>
      </w:tr>
      <w:tr w14:paraId="4809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7603E70">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0587082B">
            <w:pPr>
              <w:rPr>
                <w:rFonts w:ascii="宋体"/>
                <w:szCs w:val="21"/>
              </w:rPr>
            </w:pPr>
          </w:p>
        </w:tc>
        <w:tc>
          <w:tcPr>
            <w:tcW w:w="3579" w:type="dxa"/>
            <w:vAlign w:val="center"/>
          </w:tcPr>
          <w:p w14:paraId="40D908AA">
            <w:pPr>
              <w:rPr>
                <w:rFonts w:ascii="宋体"/>
                <w:szCs w:val="21"/>
              </w:rPr>
            </w:pPr>
          </w:p>
        </w:tc>
        <w:tc>
          <w:tcPr>
            <w:tcW w:w="1440" w:type="dxa"/>
            <w:vAlign w:val="center"/>
          </w:tcPr>
          <w:p w14:paraId="72C6F3EA">
            <w:pPr>
              <w:rPr>
                <w:rFonts w:ascii="宋体"/>
                <w:szCs w:val="21"/>
              </w:rPr>
            </w:pPr>
          </w:p>
        </w:tc>
        <w:tc>
          <w:tcPr>
            <w:tcW w:w="1706" w:type="dxa"/>
            <w:vAlign w:val="center"/>
          </w:tcPr>
          <w:p w14:paraId="26955CB4">
            <w:pPr>
              <w:rPr>
                <w:rFonts w:ascii="宋体"/>
                <w:szCs w:val="21"/>
              </w:rPr>
            </w:pPr>
          </w:p>
        </w:tc>
      </w:tr>
    </w:tbl>
    <w:p w14:paraId="22440262">
      <w:pPr>
        <w:autoSpaceDE w:val="0"/>
        <w:autoSpaceDN w:val="0"/>
        <w:adjustRightInd w:val="0"/>
        <w:spacing w:line="480" w:lineRule="auto"/>
        <w:rPr>
          <w:rFonts w:cs="宋体" w:asciiTheme="minorEastAsia" w:hAnsiTheme="minorEastAsia"/>
          <w:szCs w:val="21"/>
          <w:lang w:val="zh-CN"/>
        </w:rPr>
      </w:pPr>
    </w:p>
    <w:p w14:paraId="46A9DBB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4311FE0">
      <w:pPr>
        <w:autoSpaceDE w:val="0"/>
        <w:autoSpaceDN w:val="0"/>
        <w:adjustRightInd w:val="0"/>
        <w:spacing w:line="480" w:lineRule="auto"/>
        <w:rPr>
          <w:rFonts w:cs="宋体" w:asciiTheme="minorEastAsia" w:hAnsiTheme="minorEastAsia"/>
          <w:szCs w:val="21"/>
          <w:lang w:val="zh-CN"/>
        </w:rPr>
      </w:pPr>
    </w:p>
    <w:p w14:paraId="131F02F5">
      <w:pPr>
        <w:autoSpaceDE w:val="0"/>
        <w:autoSpaceDN w:val="0"/>
        <w:adjustRightInd w:val="0"/>
        <w:spacing w:line="480" w:lineRule="auto"/>
        <w:rPr>
          <w:rFonts w:cs="宋体" w:asciiTheme="minorEastAsia" w:hAnsiTheme="minorEastAsia"/>
          <w:sz w:val="24"/>
          <w:szCs w:val="24"/>
          <w:lang w:val="zh-CN"/>
        </w:rPr>
      </w:pPr>
    </w:p>
    <w:p w14:paraId="2FDD0847">
      <w:pPr>
        <w:autoSpaceDE w:val="0"/>
        <w:autoSpaceDN w:val="0"/>
        <w:adjustRightInd w:val="0"/>
        <w:spacing w:line="360" w:lineRule="auto"/>
        <w:jc w:val="center"/>
        <w:outlineLvl w:val="0"/>
        <w:rPr>
          <w:rFonts w:ascii="宋体" w:hAnsi="宋体"/>
          <w:b/>
          <w:bCs/>
          <w:sz w:val="24"/>
          <w:szCs w:val="24"/>
        </w:rPr>
      </w:pPr>
    </w:p>
    <w:p w14:paraId="6B947E18">
      <w:pPr>
        <w:autoSpaceDE w:val="0"/>
        <w:autoSpaceDN w:val="0"/>
        <w:adjustRightInd w:val="0"/>
        <w:spacing w:line="360" w:lineRule="auto"/>
        <w:jc w:val="center"/>
        <w:outlineLvl w:val="0"/>
        <w:rPr>
          <w:rFonts w:ascii="宋体" w:hAnsi="宋体"/>
          <w:b/>
          <w:bCs/>
          <w:sz w:val="24"/>
          <w:szCs w:val="24"/>
        </w:rPr>
      </w:pPr>
    </w:p>
    <w:p w14:paraId="6B66E89D">
      <w:pPr>
        <w:autoSpaceDE w:val="0"/>
        <w:autoSpaceDN w:val="0"/>
        <w:adjustRightInd w:val="0"/>
        <w:spacing w:line="360" w:lineRule="auto"/>
        <w:jc w:val="center"/>
        <w:outlineLvl w:val="0"/>
        <w:rPr>
          <w:rFonts w:ascii="宋体" w:hAnsi="宋体"/>
          <w:b/>
          <w:bCs/>
          <w:sz w:val="24"/>
          <w:szCs w:val="24"/>
        </w:rPr>
      </w:pPr>
    </w:p>
    <w:p w14:paraId="40019C0C">
      <w:pPr>
        <w:autoSpaceDE w:val="0"/>
        <w:autoSpaceDN w:val="0"/>
        <w:adjustRightInd w:val="0"/>
        <w:spacing w:line="360" w:lineRule="auto"/>
        <w:jc w:val="center"/>
        <w:outlineLvl w:val="0"/>
        <w:rPr>
          <w:rFonts w:ascii="宋体" w:hAnsi="宋体"/>
          <w:b/>
          <w:bCs/>
          <w:sz w:val="24"/>
          <w:szCs w:val="24"/>
        </w:rPr>
      </w:pPr>
    </w:p>
    <w:p w14:paraId="326D2978">
      <w:pPr>
        <w:autoSpaceDE w:val="0"/>
        <w:autoSpaceDN w:val="0"/>
        <w:adjustRightInd w:val="0"/>
        <w:spacing w:line="360" w:lineRule="auto"/>
        <w:jc w:val="center"/>
        <w:outlineLvl w:val="0"/>
        <w:rPr>
          <w:rFonts w:ascii="宋体" w:hAnsi="宋体"/>
          <w:b/>
          <w:bCs/>
          <w:sz w:val="24"/>
          <w:szCs w:val="24"/>
        </w:rPr>
      </w:pPr>
    </w:p>
    <w:p w14:paraId="3FCD3C5D">
      <w:pPr>
        <w:autoSpaceDE w:val="0"/>
        <w:autoSpaceDN w:val="0"/>
        <w:adjustRightInd w:val="0"/>
        <w:spacing w:line="360" w:lineRule="auto"/>
        <w:jc w:val="center"/>
        <w:outlineLvl w:val="0"/>
        <w:rPr>
          <w:rFonts w:ascii="宋体" w:hAnsi="宋体"/>
          <w:b/>
          <w:bCs/>
          <w:sz w:val="24"/>
          <w:szCs w:val="24"/>
        </w:rPr>
      </w:pPr>
    </w:p>
    <w:p w14:paraId="46F3B66B">
      <w:pPr>
        <w:autoSpaceDE w:val="0"/>
        <w:autoSpaceDN w:val="0"/>
        <w:adjustRightInd w:val="0"/>
        <w:spacing w:line="360" w:lineRule="auto"/>
        <w:jc w:val="center"/>
        <w:outlineLvl w:val="0"/>
        <w:rPr>
          <w:rFonts w:ascii="宋体" w:hAnsi="宋体"/>
          <w:b/>
          <w:bCs/>
          <w:sz w:val="24"/>
          <w:szCs w:val="24"/>
        </w:rPr>
      </w:pPr>
    </w:p>
    <w:p w14:paraId="093E1260">
      <w:pPr>
        <w:autoSpaceDE w:val="0"/>
        <w:autoSpaceDN w:val="0"/>
        <w:adjustRightInd w:val="0"/>
        <w:spacing w:line="360" w:lineRule="auto"/>
        <w:jc w:val="center"/>
        <w:outlineLvl w:val="0"/>
        <w:rPr>
          <w:rFonts w:ascii="宋体" w:hAnsi="宋体"/>
          <w:b/>
          <w:bCs/>
          <w:sz w:val="24"/>
          <w:szCs w:val="24"/>
        </w:rPr>
      </w:pPr>
    </w:p>
    <w:p w14:paraId="69B7B4F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售后服务方案</w:t>
      </w:r>
    </w:p>
    <w:p w14:paraId="4817437F">
      <w:pPr>
        <w:autoSpaceDE w:val="0"/>
        <w:autoSpaceDN w:val="0"/>
        <w:adjustRightInd w:val="0"/>
        <w:spacing w:line="360" w:lineRule="auto"/>
        <w:jc w:val="center"/>
        <w:outlineLvl w:val="0"/>
        <w:rPr>
          <w:rFonts w:ascii="宋体" w:hAnsi="宋体"/>
          <w:b/>
          <w:bCs/>
          <w:sz w:val="36"/>
          <w:szCs w:val="36"/>
        </w:rPr>
      </w:pPr>
    </w:p>
    <w:p w14:paraId="62D614A5">
      <w:pPr>
        <w:autoSpaceDE w:val="0"/>
        <w:autoSpaceDN w:val="0"/>
        <w:adjustRightInd w:val="0"/>
        <w:spacing w:line="360" w:lineRule="auto"/>
        <w:jc w:val="center"/>
        <w:outlineLvl w:val="0"/>
        <w:rPr>
          <w:rFonts w:ascii="宋体" w:hAnsi="宋体"/>
          <w:b/>
          <w:bCs/>
          <w:sz w:val="36"/>
          <w:szCs w:val="36"/>
        </w:rPr>
      </w:pPr>
    </w:p>
    <w:p w14:paraId="0FDA95EE">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54E3B4CE">
      <w:pPr>
        <w:autoSpaceDE w:val="0"/>
        <w:autoSpaceDN w:val="0"/>
        <w:adjustRightInd w:val="0"/>
        <w:spacing w:line="360" w:lineRule="auto"/>
        <w:jc w:val="center"/>
        <w:outlineLvl w:val="0"/>
        <w:rPr>
          <w:rFonts w:ascii="宋体" w:hAnsi="宋体"/>
          <w:b/>
          <w:bCs/>
          <w:sz w:val="36"/>
          <w:szCs w:val="36"/>
        </w:rPr>
      </w:pPr>
    </w:p>
    <w:p w14:paraId="43F779DA">
      <w:pPr>
        <w:autoSpaceDE w:val="0"/>
        <w:autoSpaceDN w:val="0"/>
        <w:adjustRightInd w:val="0"/>
        <w:spacing w:line="360" w:lineRule="auto"/>
        <w:jc w:val="center"/>
        <w:outlineLvl w:val="0"/>
        <w:rPr>
          <w:rFonts w:ascii="宋体" w:hAnsi="宋体"/>
          <w:b/>
          <w:bCs/>
          <w:sz w:val="36"/>
          <w:szCs w:val="36"/>
        </w:rPr>
      </w:pPr>
    </w:p>
    <w:p w14:paraId="4B3A29BA">
      <w:pPr>
        <w:autoSpaceDE w:val="0"/>
        <w:autoSpaceDN w:val="0"/>
        <w:adjustRightInd w:val="0"/>
        <w:spacing w:line="360" w:lineRule="auto"/>
        <w:jc w:val="center"/>
        <w:outlineLvl w:val="0"/>
        <w:rPr>
          <w:rFonts w:ascii="宋体" w:hAnsi="宋体"/>
          <w:b/>
          <w:bCs/>
          <w:sz w:val="36"/>
          <w:szCs w:val="36"/>
        </w:rPr>
      </w:pPr>
    </w:p>
    <w:p w14:paraId="77B8B11F">
      <w:pPr>
        <w:autoSpaceDE w:val="0"/>
        <w:autoSpaceDN w:val="0"/>
        <w:adjustRightInd w:val="0"/>
        <w:spacing w:line="360" w:lineRule="auto"/>
        <w:jc w:val="center"/>
        <w:outlineLvl w:val="0"/>
        <w:rPr>
          <w:rFonts w:ascii="宋体" w:hAnsi="宋体"/>
          <w:b/>
          <w:bCs/>
          <w:sz w:val="36"/>
          <w:szCs w:val="36"/>
        </w:rPr>
      </w:pPr>
    </w:p>
    <w:p w14:paraId="79F34921">
      <w:pPr>
        <w:autoSpaceDE w:val="0"/>
        <w:autoSpaceDN w:val="0"/>
        <w:adjustRightInd w:val="0"/>
        <w:spacing w:line="360" w:lineRule="auto"/>
        <w:jc w:val="center"/>
        <w:outlineLvl w:val="0"/>
        <w:rPr>
          <w:rFonts w:ascii="宋体" w:hAnsi="宋体"/>
          <w:b/>
          <w:bCs/>
          <w:sz w:val="36"/>
          <w:szCs w:val="36"/>
        </w:rPr>
      </w:pPr>
    </w:p>
    <w:p w14:paraId="7E96BD5B">
      <w:pPr>
        <w:autoSpaceDE w:val="0"/>
        <w:autoSpaceDN w:val="0"/>
        <w:adjustRightInd w:val="0"/>
        <w:spacing w:line="360" w:lineRule="auto"/>
        <w:jc w:val="center"/>
        <w:outlineLvl w:val="0"/>
        <w:rPr>
          <w:rFonts w:ascii="宋体" w:hAnsi="宋体"/>
          <w:b/>
          <w:bCs/>
          <w:sz w:val="36"/>
          <w:szCs w:val="36"/>
        </w:rPr>
      </w:pPr>
    </w:p>
    <w:p w14:paraId="733216DC">
      <w:pPr>
        <w:autoSpaceDE w:val="0"/>
        <w:autoSpaceDN w:val="0"/>
        <w:adjustRightInd w:val="0"/>
        <w:spacing w:line="360" w:lineRule="auto"/>
        <w:jc w:val="center"/>
        <w:outlineLvl w:val="0"/>
        <w:rPr>
          <w:rFonts w:ascii="宋体" w:hAnsi="宋体"/>
          <w:b/>
          <w:bCs/>
          <w:sz w:val="36"/>
          <w:szCs w:val="36"/>
        </w:rPr>
      </w:pPr>
    </w:p>
    <w:p w14:paraId="5FFC7587">
      <w:pPr>
        <w:autoSpaceDE w:val="0"/>
        <w:autoSpaceDN w:val="0"/>
        <w:adjustRightInd w:val="0"/>
        <w:spacing w:line="360" w:lineRule="auto"/>
        <w:jc w:val="center"/>
        <w:outlineLvl w:val="0"/>
        <w:rPr>
          <w:rFonts w:ascii="宋体" w:hAnsi="宋体"/>
          <w:b/>
          <w:bCs/>
          <w:sz w:val="36"/>
          <w:szCs w:val="36"/>
        </w:rPr>
      </w:pPr>
    </w:p>
    <w:p w14:paraId="32F417BB">
      <w:pPr>
        <w:autoSpaceDE w:val="0"/>
        <w:autoSpaceDN w:val="0"/>
        <w:adjustRightInd w:val="0"/>
        <w:spacing w:line="360" w:lineRule="auto"/>
        <w:jc w:val="center"/>
        <w:outlineLvl w:val="0"/>
        <w:rPr>
          <w:rFonts w:ascii="宋体" w:hAnsi="宋体"/>
          <w:b/>
          <w:bCs/>
          <w:sz w:val="36"/>
          <w:szCs w:val="36"/>
        </w:rPr>
      </w:pPr>
    </w:p>
    <w:p w14:paraId="478003E8">
      <w:pPr>
        <w:autoSpaceDE w:val="0"/>
        <w:autoSpaceDN w:val="0"/>
        <w:adjustRightInd w:val="0"/>
        <w:spacing w:line="360" w:lineRule="auto"/>
        <w:jc w:val="center"/>
        <w:outlineLvl w:val="0"/>
        <w:rPr>
          <w:rFonts w:ascii="宋体" w:hAnsi="宋体"/>
          <w:b/>
          <w:bCs/>
          <w:sz w:val="36"/>
          <w:szCs w:val="36"/>
        </w:rPr>
      </w:pPr>
    </w:p>
    <w:p w14:paraId="5116EAC6">
      <w:pPr>
        <w:autoSpaceDE w:val="0"/>
        <w:autoSpaceDN w:val="0"/>
        <w:adjustRightInd w:val="0"/>
        <w:spacing w:line="360" w:lineRule="auto"/>
        <w:jc w:val="center"/>
        <w:outlineLvl w:val="0"/>
        <w:rPr>
          <w:rFonts w:ascii="宋体" w:hAnsi="宋体"/>
          <w:b/>
          <w:bCs/>
          <w:sz w:val="36"/>
          <w:szCs w:val="36"/>
        </w:rPr>
      </w:pPr>
    </w:p>
    <w:p w14:paraId="501A7626">
      <w:pPr>
        <w:autoSpaceDE w:val="0"/>
        <w:autoSpaceDN w:val="0"/>
        <w:adjustRightInd w:val="0"/>
        <w:spacing w:line="360" w:lineRule="auto"/>
        <w:jc w:val="center"/>
        <w:outlineLvl w:val="0"/>
        <w:rPr>
          <w:rFonts w:ascii="宋体" w:hAnsi="宋体"/>
          <w:b/>
          <w:bCs/>
          <w:sz w:val="36"/>
          <w:szCs w:val="36"/>
        </w:rPr>
      </w:pPr>
    </w:p>
    <w:p w14:paraId="6473583F">
      <w:pPr>
        <w:autoSpaceDE w:val="0"/>
        <w:autoSpaceDN w:val="0"/>
        <w:adjustRightInd w:val="0"/>
        <w:spacing w:line="360" w:lineRule="auto"/>
        <w:jc w:val="center"/>
        <w:outlineLvl w:val="0"/>
        <w:rPr>
          <w:rFonts w:ascii="宋体" w:hAnsi="宋体"/>
          <w:b/>
          <w:bCs/>
          <w:sz w:val="36"/>
          <w:szCs w:val="36"/>
        </w:rPr>
      </w:pPr>
    </w:p>
    <w:p w14:paraId="4BB3C1A5">
      <w:pPr>
        <w:autoSpaceDE w:val="0"/>
        <w:autoSpaceDN w:val="0"/>
        <w:adjustRightInd w:val="0"/>
        <w:spacing w:line="360" w:lineRule="auto"/>
        <w:jc w:val="center"/>
        <w:outlineLvl w:val="0"/>
        <w:rPr>
          <w:rFonts w:ascii="宋体" w:hAnsi="宋体"/>
          <w:b/>
          <w:bCs/>
          <w:sz w:val="36"/>
          <w:szCs w:val="36"/>
        </w:rPr>
      </w:pPr>
    </w:p>
    <w:p w14:paraId="75446118">
      <w:pPr>
        <w:spacing w:line="360" w:lineRule="auto"/>
        <w:rPr>
          <w:rFonts w:cs="宋体" w:asciiTheme="minorEastAsia" w:hAnsiTheme="minorEastAsia"/>
          <w:szCs w:val="21"/>
          <w:lang w:val="zh-CN"/>
        </w:rPr>
      </w:pPr>
    </w:p>
    <w:p w14:paraId="398E3BDE"/>
    <w:p w14:paraId="6675AEEC"/>
    <w:p w14:paraId="4D6EB53D"/>
    <w:p w14:paraId="5B77C9F6"/>
    <w:p w14:paraId="259FDB8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7AEFDB0F"/>
    <w:p w14:paraId="17484519"/>
    <w:p w14:paraId="3152E598"/>
    <w:p w14:paraId="56176A6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337015F6">
      <w:pPr>
        <w:spacing w:line="360" w:lineRule="auto"/>
        <w:jc w:val="center"/>
        <w:rPr>
          <w:rFonts w:ascii="宋体" w:hAnsi="宋体"/>
          <w:b/>
          <w:bCs/>
          <w:sz w:val="28"/>
          <w:szCs w:val="28"/>
        </w:rPr>
      </w:pPr>
      <w:r>
        <w:rPr>
          <w:rFonts w:ascii="宋体" w:hAnsi="宋体"/>
          <w:b/>
          <w:bCs/>
          <w:sz w:val="28"/>
          <w:szCs w:val="28"/>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20"/>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14:paraId="61958F67">
                <w:pPr>
                  <w:pStyle w:val="20"/>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8">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0">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2">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6">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B62D740"/>
    <w:multiLevelType w:val="multilevel"/>
    <w:tmpl w:val="4B62D74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43">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4">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5">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9">
    <w:nsid w:val="59F817C2"/>
    <w:multiLevelType w:val="singleLevel"/>
    <w:tmpl w:val="59F817C2"/>
    <w:lvl w:ilvl="0" w:tentative="0">
      <w:start w:val="2"/>
      <w:numFmt w:val="chineseCounting"/>
      <w:suff w:val="space"/>
      <w:lvlText w:val="第%1章"/>
      <w:lvlJc w:val="left"/>
    </w:lvl>
  </w:abstractNum>
  <w:abstractNum w:abstractNumId="50">
    <w:nsid w:val="59F817E8"/>
    <w:multiLevelType w:val="singleLevel"/>
    <w:tmpl w:val="59F817E8"/>
    <w:lvl w:ilvl="0" w:tentative="0">
      <w:start w:val="1"/>
      <w:numFmt w:val="chineseCounting"/>
      <w:pStyle w:val="54"/>
      <w:suff w:val="nothing"/>
      <w:lvlText w:val="%1、"/>
      <w:lvlJc w:val="left"/>
    </w:lvl>
  </w:abstractNum>
  <w:abstractNum w:abstractNumId="51">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4">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3">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4">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6">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3">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4">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5">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8">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50"/>
  </w:num>
  <w:num w:numId="4">
    <w:abstractNumId w:val="44"/>
  </w:num>
  <w:num w:numId="5">
    <w:abstractNumId w:val="42"/>
  </w:num>
  <w:num w:numId="6">
    <w:abstractNumId w:val="13"/>
  </w:num>
  <w:num w:numId="7">
    <w:abstractNumId w:val="57"/>
  </w:num>
  <w:num w:numId="8">
    <w:abstractNumId w:val="80"/>
  </w:num>
  <w:num w:numId="9">
    <w:abstractNumId w:val="70"/>
  </w:num>
  <w:num w:numId="10">
    <w:abstractNumId w:val="8"/>
  </w:num>
  <w:num w:numId="11">
    <w:abstractNumId w:val="36"/>
  </w:num>
  <w:num w:numId="12">
    <w:abstractNumId w:val="33"/>
  </w:num>
  <w:num w:numId="13">
    <w:abstractNumId w:val="49"/>
  </w:num>
  <w:num w:numId="14">
    <w:abstractNumId w:val="25"/>
  </w:num>
  <w:num w:numId="15">
    <w:abstractNumId w:val="65"/>
  </w:num>
  <w:num w:numId="16">
    <w:abstractNumId w:val="31"/>
  </w:num>
  <w:num w:numId="17">
    <w:abstractNumId w:val="34"/>
  </w:num>
  <w:num w:numId="18">
    <w:abstractNumId w:val="60"/>
  </w:num>
  <w:num w:numId="19">
    <w:abstractNumId w:val="17"/>
  </w:num>
  <w:num w:numId="20">
    <w:abstractNumId w:val="19"/>
  </w:num>
  <w:num w:numId="21">
    <w:abstractNumId w:val="79"/>
  </w:num>
  <w:num w:numId="22">
    <w:abstractNumId w:val="56"/>
  </w:num>
  <w:num w:numId="23">
    <w:abstractNumId w:val="76"/>
  </w:num>
  <w:num w:numId="24">
    <w:abstractNumId w:val="9"/>
  </w:num>
  <w:num w:numId="25">
    <w:abstractNumId w:val="11"/>
  </w:num>
  <w:num w:numId="26">
    <w:abstractNumId w:val="54"/>
  </w:num>
  <w:num w:numId="27">
    <w:abstractNumId w:val="29"/>
  </w:num>
  <w:num w:numId="28">
    <w:abstractNumId w:val="51"/>
  </w:num>
  <w:num w:numId="29">
    <w:abstractNumId w:val="64"/>
  </w:num>
  <w:num w:numId="30">
    <w:abstractNumId w:val="38"/>
  </w:num>
  <w:num w:numId="31">
    <w:abstractNumId w:val="30"/>
  </w:num>
  <w:num w:numId="32">
    <w:abstractNumId w:val="5"/>
  </w:num>
  <w:num w:numId="33">
    <w:abstractNumId w:val="22"/>
  </w:num>
  <w:num w:numId="34">
    <w:abstractNumId w:val="21"/>
  </w:num>
  <w:num w:numId="35">
    <w:abstractNumId w:val="75"/>
  </w:num>
  <w:num w:numId="36">
    <w:abstractNumId w:val="66"/>
  </w:num>
  <w:num w:numId="37">
    <w:abstractNumId w:val="59"/>
  </w:num>
  <w:num w:numId="38">
    <w:abstractNumId w:val="69"/>
  </w:num>
  <w:num w:numId="39">
    <w:abstractNumId w:val="46"/>
  </w:num>
  <w:num w:numId="40">
    <w:abstractNumId w:val="12"/>
  </w:num>
  <w:num w:numId="41">
    <w:abstractNumId w:val="24"/>
  </w:num>
  <w:num w:numId="42">
    <w:abstractNumId w:val="61"/>
  </w:num>
  <w:num w:numId="43">
    <w:abstractNumId w:val="35"/>
  </w:num>
  <w:num w:numId="44">
    <w:abstractNumId w:val="45"/>
  </w:num>
  <w:num w:numId="45">
    <w:abstractNumId w:val="67"/>
  </w:num>
  <w:num w:numId="46">
    <w:abstractNumId w:val="53"/>
  </w:num>
  <w:num w:numId="47">
    <w:abstractNumId w:val="37"/>
  </w:num>
  <w:num w:numId="48">
    <w:abstractNumId w:val="26"/>
  </w:num>
  <w:num w:numId="49">
    <w:abstractNumId w:val="27"/>
  </w:num>
  <w:num w:numId="50">
    <w:abstractNumId w:val="74"/>
  </w:num>
  <w:num w:numId="51">
    <w:abstractNumId w:val="28"/>
  </w:num>
  <w:num w:numId="52">
    <w:abstractNumId w:val="23"/>
  </w:num>
  <w:num w:numId="53">
    <w:abstractNumId w:val="10"/>
  </w:num>
  <w:num w:numId="54">
    <w:abstractNumId w:val="48"/>
  </w:num>
  <w:num w:numId="55">
    <w:abstractNumId w:val="43"/>
  </w:num>
  <w:num w:numId="56">
    <w:abstractNumId w:val="4"/>
  </w:num>
  <w:num w:numId="57">
    <w:abstractNumId w:val="6"/>
  </w:num>
  <w:num w:numId="58">
    <w:abstractNumId w:val="18"/>
  </w:num>
  <w:num w:numId="59">
    <w:abstractNumId w:val="58"/>
  </w:num>
  <w:num w:numId="60">
    <w:abstractNumId w:val="47"/>
  </w:num>
  <w:num w:numId="61">
    <w:abstractNumId w:val="73"/>
  </w:num>
  <w:num w:numId="62">
    <w:abstractNumId w:val="40"/>
  </w:num>
  <w:num w:numId="63">
    <w:abstractNumId w:val="78"/>
  </w:num>
  <w:num w:numId="64">
    <w:abstractNumId w:val="81"/>
  </w:num>
  <w:num w:numId="65">
    <w:abstractNumId w:val="20"/>
  </w:num>
  <w:num w:numId="66">
    <w:abstractNumId w:val="14"/>
  </w:num>
  <w:num w:numId="67">
    <w:abstractNumId w:val="41"/>
  </w:num>
  <w:num w:numId="68">
    <w:abstractNumId w:val="71"/>
  </w:num>
  <w:num w:numId="69">
    <w:abstractNumId w:val="68"/>
  </w:num>
  <w:num w:numId="70">
    <w:abstractNumId w:val="55"/>
  </w:num>
  <w:num w:numId="71">
    <w:abstractNumId w:val="3"/>
  </w:num>
  <w:num w:numId="72">
    <w:abstractNumId w:val="72"/>
  </w:num>
  <w:num w:numId="73">
    <w:abstractNumId w:val="2"/>
  </w:num>
  <w:num w:numId="74">
    <w:abstractNumId w:val="16"/>
  </w:num>
  <w:num w:numId="75">
    <w:abstractNumId w:val="52"/>
  </w:num>
  <w:num w:numId="76">
    <w:abstractNumId w:val="15"/>
  </w:num>
  <w:num w:numId="77">
    <w:abstractNumId w:val="63"/>
  </w:num>
  <w:num w:numId="78">
    <w:abstractNumId w:val="7"/>
  </w:num>
  <w:num w:numId="79">
    <w:abstractNumId w:val="62"/>
  </w:num>
  <w:num w:numId="80">
    <w:abstractNumId w:val="32"/>
  </w:num>
  <w:num w:numId="81">
    <w:abstractNumId w:val="39"/>
  </w:num>
  <w:num w:numId="82">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3AFE"/>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C25065"/>
    <w:rsid w:val="03E300E1"/>
    <w:rsid w:val="04270E0A"/>
    <w:rsid w:val="044C5A83"/>
    <w:rsid w:val="046705E4"/>
    <w:rsid w:val="05025C1D"/>
    <w:rsid w:val="06CA569A"/>
    <w:rsid w:val="07972AF0"/>
    <w:rsid w:val="08B35707"/>
    <w:rsid w:val="0ACA0AE6"/>
    <w:rsid w:val="0CB75678"/>
    <w:rsid w:val="0D9832DA"/>
    <w:rsid w:val="0DBC68F4"/>
    <w:rsid w:val="0DDC6402"/>
    <w:rsid w:val="0E986DE4"/>
    <w:rsid w:val="0F0B20EC"/>
    <w:rsid w:val="0FCC70AF"/>
    <w:rsid w:val="15264327"/>
    <w:rsid w:val="15455322"/>
    <w:rsid w:val="157E5495"/>
    <w:rsid w:val="15F5735F"/>
    <w:rsid w:val="1661013C"/>
    <w:rsid w:val="16B80AB4"/>
    <w:rsid w:val="16D25811"/>
    <w:rsid w:val="1867397D"/>
    <w:rsid w:val="189F3F32"/>
    <w:rsid w:val="18C33D65"/>
    <w:rsid w:val="19AA220F"/>
    <w:rsid w:val="1A0A2F75"/>
    <w:rsid w:val="1AB25D6E"/>
    <w:rsid w:val="1C10420C"/>
    <w:rsid w:val="1C6074FD"/>
    <w:rsid w:val="1CC2188C"/>
    <w:rsid w:val="1D1F774C"/>
    <w:rsid w:val="1D8C706B"/>
    <w:rsid w:val="1DB9543B"/>
    <w:rsid w:val="23151041"/>
    <w:rsid w:val="232314D2"/>
    <w:rsid w:val="23B138FF"/>
    <w:rsid w:val="2571700B"/>
    <w:rsid w:val="258A17FF"/>
    <w:rsid w:val="27980351"/>
    <w:rsid w:val="27B83638"/>
    <w:rsid w:val="27FE5869"/>
    <w:rsid w:val="280A391D"/>
    <w:rsid w:val="28A41BFF"/>
    <w:rsid w:val="29994ABF"/>
    <w:rsid w:val="29EE7EF6"/>
    <w:rsid w:val="2A6C413F"/>
    <w:rsid w:val="2AE3006C"/>
    <w:rsid w:val="2C4031E8"/>
    <w:rsid w:val="2D0A51B9"/>
    <w:rsid w:val="2D636C32"/>
    <w:rsid w:val="2E267B1B"/>
    <w:rsid w:val="2F7C41F6"/>
    <w:rsid w:val="2FD63C44"/>
    <w:rsid w:val="30E43EF4"/>
    <w:rsid w:val="315B0955"/>
    <w:rsid w:val="31BE28A4"/>
    <w:rsid w:val="34773C21"/>
    <w:rsid w:val="34C1590F"/>
    <w:rsid w:val="34C359EA"/>
    <w:rsid w:val="34D65F64"/>
    <w:rsid w:val="356279A7"/>
    <w:rsid w:val="35AD7127"/>
    <w:rsid w:val="36417643"/>
    <w:rsid w:val="369E361B"/>
    <w:rsid w:val="36F6663C"/>
    <w:rsid w:val="370A55C3"/>
    <w:rsid w:val="3728673B"/>
    <w:rsid w:val="37371251"/>
    <w:rsid w:val="38261B78"/>
    <w:rsid w:val="39C26CA9"/>
    <w:rsid w:val="3A2D6018"/>
    <w:rsid w:val="3ACC4283"/>
    <w:rsid w:val="3B6B48C7"/>
    <w:rsid w:val="3DA05553"/>
    <w:rsid w:val="3E2B6D80"/>
    <w:rsid w:val="3F3423F7"/>
    <w:rsid w:val="3FD26124"/>
    <w:rsid w:val="40093884"/>
    <w:rsid w:val="417411D1"/>
    <w:rsid w:val="43394480"/>
    <w:rsid w:val="43A55671"/>
    <w:rsid w:val="44B85F15"/>
    <w:rsid w:val="45264EFE"/>
    <w:rsid w:val="45B10E25"/>
    <w:rsid w:val="45BB732B"/>
    <w:rsid w:val="45EA6EE0"/>
    <w:rsid w:val="46157AF3"/>
    <w:rsid w:val="4698770F"/>
    <w:rsid w:val="46B1257F"/>
    <w:rsid w:val="4731435F"/>
    <w:rsid w:val="4776609A"/>
    <w:rsid w:val="48BF5CAC"/>
    <w:rsid w:val="48D95BBE"/>
    <w:rsid w:val="49865F45"/>
    <w:rsid w:val="4A020870"/>
    <w:rsid w:val="4A5E47CC"/>
    <w:rsid w:val="4AD807FC"/>
    <w:rsid w:val="4B7B3F78"/>
    <w:rsid w:val="4C9C7C83"/>
    <w:rsid w:val="4E1E2CE2"/>
    <w:rsid w:val="4E320449"/>
    <w:rsid w:val="4F52414B"/>
    <w:rsid w:val="4FAF72DD"/>
    <w:rsid w:val="4FC21359"/>
    <w:rsid w:val="4FE3374A"/>
    <w:rsid w:val="50B653EC"/>
    <w:rsid w:val="51622DF4"/>
    <w:rsid w:val="53C03E02"/>
    <w:rsid w:val="5407551C"/>
    <w:rsid w:val="547E6784"/>
    <w:rsid w:val="54DD089B"/>
    <w:rsid w:val="54DF16B0"/>
    <w:rsid w:val="555D6947"/>
    <w:rsid w:val="557B0928"/>
    <w:rsid w:val="56C87B9D"/>
    <w:rsid w:val="57482A8C"/>
    <w:rsid w:val="585C6856"/>
    <w:rsid w:val="58F711C9"/>
    <w:rsid w:val="598D4786"/>
    <w:rsid w:val="59BA56A6"/>
    <w:rsid w:val="59E52814"/>
    <w:rsid w:val="5A6E2809"/>
    <w:rsid w:val="5AA26C32"/>
    <w:rsid w:val="5C234CA4"/>
    <w:rsid w:val="5CAC1E25"/>
    <w:rsid w:val="5CBD097B"/>
    <w:rsid w:val="5CEE7739"/>
    <w:rsid w:val="5CF64305"/>
    <w:rsid w:val="5D216923"/>
    <w:rsid w:val="5E062304"/>
    <w:rsid w:val="5E065D78"/>
    <w:rsid w:val="5E921830"/>
    <w:rsid w:val="5EE36EBB"/>
    <w:rsid w:val="60335C18"/>
    <w:rsid w:val="60B3541A"/>
    <w:rsid w:val="614B0CCD"/>
    <w:rsid w:val="615941F6"/>
    <w:rsid w:val="61A1672E"/>
    <w:rsid w:val="61BB7373"/>
    <w:rsid w:val="622F00B1"/>
    <w:rsid w:val="62DD052C"/>
    <w:rsid w:val="636E5628"/>
    <w:rsid w:val="63780255"/>
    <w:rsid w:val="647A325C"/>
    <w:rsid w:val="65331F2B"/>
    <w:rsid w:val="657A6961"/>
    <w:rsid w:val="65BD2F68"/>
    <w:rsid w:val="67281E0C"/>
    <w:rsid w:val="674C3ED2"/>
    <w:rsid w:val="69317154"/>
    <w:rsid w:val="69540E1C"/>
    <w:rsid w:val="6BE26B06"/>
    <w:rsid w:val="6C88312E"/>
    <w:rsid w:val="6D0B5631"/>
    <w:rsid w:val="6E1416F9"/>
    <w:rsid w:val="6EAC65A4"/>
    <w:rsid w:val="6F0F625F"/>
    <w:rsid w:val="6F4A1255"/>
    <w:rsid w:val="6FBB235F"/>
    <w:rsid w:val="6FBC1868"/>
    <w:rsid w:val="6FF70753"/>
    <w:rsid w:val="701B2E02"/>
    <w:rsid w:val="711B38F2"/>
    <w:rsid w:val="713A5FB0"/>
    <w:rsid w:val="719941B8"/>
    <w:rsid w:val="730E4B34"/>
    <w:rsid w:val="7353032E"/>
    <w:rsid w:val="73E838BF"/>
    <w:rsid w:val="74350E97"/>
    <w:rsid w:val="76442519"/>
    <w:rsid w:val="77077643"/>
    <w:rsid w:val="78433288"/>
    <w:rsid w:val="785504B4"/>
    <w:rsid w:val="786D5FFA"/>
    <w:rsid w:val="78B17060"/>
    <w:rsid w:val="78F60BE6"/>
    <w:rsid w:val="7A277702"/>
    <w:rsid w:val="7A28432B"/>
    <w:rsid w:val="7CB61980"/>
    <w:rsid w:val="7D07647A"/>
    <w:rsid w:val="7D2C5C84"/>
    <w:rsid w:val="7D3E74C4"/>
    <w:rsid w:val="7DAC70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
    <w:name w:val="Body Text"/>
    <w:basedOn w:val="1"/>
    <w:next w:val="4"/>
    <w:link w:val="55"/>
    <w:unhideWhenUsed/>
    <w:qFormat/>
    <w:uiPriority w:val="99"/>
    <w:pPr>
      <w:spacing w:after="120"/>
    </w:pPr>
  </w:style>
  <w:style w:type="paragraph" w:styleId="4">
    <w:name w:val="Body Text 2"/>
    <w:basedOn w:val="1"/>
    <w:qFormat/>
    <w:uiPriority w:val="0"/>
    <w:pPr>
      <w:spacing w:line="480" w:lineRule="auto"/>
      <w:ind w:right="357"/>
    </w:pPr>
    <w:rPr>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index 5"/>
    <w:basedOn w:val="1"/>
    <w:next w:val="1"/>
    <w:qFormat/>
    <w:uiPriority w:val="0"/>
    <w:pPr>
      <w:ind w:left="1680"/>
    </w:pPr>
    <w:rPr>
      <w:rFonts w:cs="Times New Roman"/>
    </w:rPr>
  </w:style>
  <w:style w:type="paragraph" w:styleId="12">
    <w:name w:val="Body Text 3"/>
    <w:basedOn w:val="1"/>
    <w:link w:val="51"/>
    <w:qFormat/>
    <w:uiPriority w:val="0"/>
    <w:rPr>
      <w:rFonts w:ascii="Times New Roman" w:hAnsi="Times New Roman" w:eastAsia="宋体" w:cs="Times New Roman"/>
      <w:color w:val="FF0000"/>
      <w:sz w:val="24"/>
      <w:szCs w:val="24"/>
    </w:rPr>
  </w:style>
  <w:style w:type="paragraph" w:styleId="13">
    <w:name w:val="Body Text Indent"/>
    <w:basedOn w:val="1"/>
    <w:next w:val="14"/>
    <w:link w:val="60"/>
    <w:qFormat/>
    <w:uiPriority w:val="0"/>
    <w:pPr>
      <w:adjustRightInd w:val="0"/>
      <w:spacing w:after="120" w:line="360" w:lineRule="atLeast"/>
      <w:ind w:left="420" w:leftChars="200"/>
      <w:jc w:val="left"/>
      <w:textAlignment w:val="baseline"/>
    </w:pPr>
    <w:rPr>
      <w:sz w:val="24"/>
    </w:rPr>
  </w:style>
  <w:style w:type="paragraph" w:styleId="14">
    <w:name w:val="Body Text First Indent 2"/>
    <w:basedOn w:val="13"/>
    <w:next w:val="1"/>
    <w:qFormat/>
    <w:uiPriority w:val="99"/>
    <w:pPr>
      <w:tabs>
        <w:tab w:val="left" w:pos="945"/>
        <w:tab w:val="left" w:pos="1155"/>
      </w:tabs>
      <w:ind w:firstLine="420" w:firstLineChars="2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36"/>
    <w:qFormat/>
    <w:uiPriority w:val="0"/>
    <w:rPr>
      <w:rFonts w:eastAsia="宋体"/>
      <w:sz w:val="24"/>
    </w:rPr>
  </w:style>
  <w:style w:type="paragraph" w:styleId="18">
    <w:name w:val="Date"/>
    <w:basedOn w:val="1"/>
    <w:next w:val="1"/>
    <w:link w:val="37"/>
    <w:unhideWhenUsed/>
    <w:qFormat/>
    <w:uiPriority w:val="99"/>
    <w:pPr>
      <w:ind w:left="100" w:leftChars="2500"/>
    </w:pPr>
  </w:style>
  <w:style w:type="paragraph" w:styleId="19">
    <w:name w:val="Balloon Text"/>
    <w:basedOn w:val="1"/>
    <w:link w:val="62"/>
    <w:semiHidden/>
    <w:unhideWhenUsed/>
    <w:qFormat/>
    <w:uiPriority w:val="99"/>
    <w:rPr>
      <w:sz w:val="18"/>
      <w:szCs w:val="18"/>
    </w:r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3"/>
    <w:next w:val="14"/>
    <w:link w:val="56"/>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Hyperlink"/>
    <w:basedOn w:val="28"/>
    <w:unhideWhenUsed/>
    <w:qFormat/>
    <w:uiPriority w:val="0"/>
    <w:rPr>
      <w:color w:val="0000FF"/>
      <w:u w:val="single"/>
    </w:rPr>
  </w:style>
  <w:style w:type="character" w:customStyle="1" w:styleId="32">
    <w:name w:val="标题 1 Char"/>
    <w:basedOn w:val="28"/>
    <w:link w:val="5"/>
    <w:qFormat/>
    <w:uiPriority w:val="0"/>
    <w:rPr>
      <w:rFonts w:ascii="Calibri" w:hAnsi="Calibri" w:eastAsia="宋体" w:cs="Times New Roman"/>
      <w:b/>
      <w:bCs/>
      <w:kern w:val="44"/>
      <w:sz w:val="44"/>
      <w:szCs w:val="44"/>
    </w:rPr>
  </w:style>
  <w:style w:type="character" w:customStyle="1" w:styleId="33">
    <w:name w:val="标题 2 Char"/>
    <w:basedOn w:val="28"/>
    <w:link w:val="6"/>
    <w:qFormat/>
    <w:uiPriority w:val="0"/>
    <w:rPr>
      <w:rFonts w:ascii="Arial" w:hAnsi="Arial" w:eastAsia="黑体" w:cs="Times New Roman"/>
      <w:b/>
      <w:bCs/>
      <w:sz w:val="32"/>
      <w:szCs w:val="32"/>
    </w:rPr>
  </w:style>
  <w:style w:type="character" w:customStyle="1" w:styleId="34">
    <w:name w:val="标题 3 Char"/>
    <w:basedOn w:val="28"/>
    <w:link w:val="7"/>
    <w:qFormat/>
    <w:uiPriority w:val="0"/>
    <w:rPr>
      <w:rFonts w:ascii="宋体" w:hAnsi="宋体" w:eastAsia="宋体" w:cs="Times New Roman"/>
      <w:b/>
      <w:color w:val="000000"/>
      <w:kern w:val="0"/>
      <w:sz w:val="24"/>
      <w:szCs w:val="20"/>
      <w:lang w:val="en-GB"/>
    </w:rPr>
  </w:style>
  <w:style w:type="character" w:customStyle="1" w:styleId="35">
    <w:name w:val="标题 4 Char"/>
    <w:basedOn w:val="28"/>
    <w:link w:val="8"/>
    <w:qFormat/>
    <w:uiPriority w:val="0"/>
    <w:rPr>
      <w:rFonts w:ascii="Arial" w:hAnsi="Arial" w:eastAsia="黑体" w:cs="Times New Roman"/>
      <w:b/>
      <w:bCs/>
      <w:sz w:val="28"/>
      <w:szCs w:val="28"/>
    </w:rPr>
  </w:style>
  <w:style w:type="character" w:customStyle="1" w:styleId="36">
    <w:name w:val="纯文本 Char"/>
    <w:basedOn w:val="28"/>
    <w:link w:val="17"/>
    <w:qFormat/>
    <w:uiPriority w:val="0"/>
    <w:rPr>
      <w:rFonts w:eastAsia="宋体"/>
      <w:sz w:val="24"/>
    </w:rPr>
  </w:style>
  <w:style w:type="character" w:customStyle="1" w:styleId="37">
    <w:name w:val="日期 Char"/>
    <w:basedOn w:val="28"/>
    <w:link w:val="18"/>
    <w:qFormat/>
    <w:uiPriority w:val="99"/>
  </w:style>
  <w:style w:type="character" w:customStyle="1" w:styleId="38">
    <w:name w:val="页脚 Char"/>
    <w:basedOn w:val="28"/>
    <w:link w:val="20"/>
    <w:qFormat/>
    <w:uiPriority w:val="99"/>
    <w:rPr>
      <w:sz w:val="18"/>
      <w:szCs w:val="18"/>
    </w:rPr>
  </w:style>
  <w:style w:type="character" w:customStyle="1" w:styleId="39">
    <w:name w:val="页眉 Char"/>
    <w:basedOn w:val="28"/>
    <w:link w:val="21"/>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next w:val="11"/>
    <w:qFormat/>
    <w:uiPriority w:val="0"/>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8"/>
    <w:link w:val="12"/>
    <w:qFormat/>
    <w:uiPriority w:val="0"/>
    <w:rPr>
      <w:rFonts w:ascii="Times New Roman" w:hAnsi="Times New Roman" w:eastAsia="宋体" w:cs="Times New Roman"/>
      <w:color w:val="FF0000"/>
      <w:sz w:val="24"/>
      <w:szCs w:val="24"/>
    </w:rPr>
  </w:style>
  <w:style w:type="character" w:customStyle="1" w:styleId="52">
    <w:name w:val="edittexttarea"/>
    <w:basedOn w:val="28"/>
    <w:qFormat/>
    <w:uiPriority w:val="0"/>
  </w:style>
  <w:style w:type="paragraph" w:customStyle="1" w:styleId="53">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8"/>
    <w:link w:val="3"/>
    <w:qFormat/>
    <w:uiPriority w:val="99"/>
  </w:style>
  <w:style w:type="character" w:customStyle="1" w:styleId="56">
    <w:name w:val="正文首行缩进 Char"/>
    <w:basedOn w:val="55"/>
    <w:link w:val="25"/>
    <w:qFormat/>
    <w:uiPriority w:val="0"/>
    <w:rPr>
      <w:rFonts w:ascii="宋体" w:hAnsi="Times New Roman" w:eastAsia="宋体" w:cs="Times New Roman"/>
      <w:kern w:val="0"/>
      <w:sz w:val="34"/>
      <w:szCs w:val="20"/>
    </w:rPr>
  </w:style>
  <w:style w:type="character" w:customStyle="1" w:styleId="57">
    <w:name w:val="HTML 预设格式 Char"/>
    <w:basedOn w:val="28"/>
    <w:semiHidden/>
    <w:qFormat/>
    <w:uiPriority w:val="99"/>
    <w:rPr>
      <w:rFonts w:ascii="宋体" w:hAnsi="宋体" w:eastAsia="宋体" w:cs="宋体"/>
      <w:kern w:val="0"/>
      <w:sz w:val="24"/>
      <w:szCs w:val="24"/>
    </w:rPr>
  </w:style>
  <w:style w:type="character" w:customStyle="1" w:styleId="58">
    <w:name w:val="HTML 预设格式 Char1"/>
    <w:basedOn w:val="28"/>
    <w:link w:val="23"/>
    <w:semiHidden/>
    <w:qFormat/>
    <w:uiPriority w:val="99"/>
    <w:rPr>
      <w:rFonts w:ascii="Courier New" w:hAnsi="Courier New" w:cs="Courier New"/>
      <w:sz w:val="20"/>
      <w:szCs w:val="20"/>
    </w:rPr>
  </w:style>
  <w:style w:type="character" w:customStyle="1" w:styleId="59">
    <w:name w:val="正文文本缩进 Char"/>
    <w:qFormat/>
    <w:uiPriority w:val="0"/>
    <w:rPr>
      <w:sz w:val="24"/>
    </w:rPr>
  </w:style>
  <w:style w:type="character" w:customStyle="1" w:styleId="60">
    <w:name w:val="正文文本缩进 Char1"/>
    <w:basedOn w:val="28"/>
    <w:link w:val="13"/>
    <w:semiHidden/>
    <w:qFormat/>
    <w:uiPriority w:val="99"/>
  </w:style>
  <w:style w:type="character" w:customStyle="1" w:styleId="61">
    <w:name w:val="批注框文本 Char"/>
    <w:basedOn w:val="28"/>
    <w:semiHidden/>
    <w:qFormat/>
    <w:uiPriority w:val="99"/>
    <w:rPr>
      <w:sz w:val="18"/>
      <w:szCs w:val="18"/>
    </w:rPr>
  </w:style>
  <w:style w:type="character" w:customStyle="1" w:styleId="62">
    <w:name w:val="批注框文本 Char1"/>
    <w:basedOn w:val="28"/>
    <w:link w:val="19"/>
    <w:semiHidden/>
    <w:qFormat/>
    <w:uiPriority w:val="99"/>
    <w:rPr>
      <w:sz w:val="18"/>
      <w:szCs w:val="18"/>
    </w:rPr>
  </w:style>
  <w:style w:type="paragraph" w:customStyle="1" w:styleId="63">
    <w:name w:val="Table Paragraph"/>
    <w:basedOn w:val="1"/>
    <w:qFormat/>
    <w:uiPriority w:val="1"/>
    <w:rPr>
      <w:rFonts w:ascii="Arial Unicode MS" w:hAnsi="Arial Unicode MS" w:eastAsia="Arial Unicode MS" w:cs="Arial Unicode MS"/>
      <w:lang w:val="zh-CN" w:bidi="zh-CN"/>
    </w:rPr>
  </w:style>
  <w:style w:type="paragraph" w:customStyle="1" w:styleId="64">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5">
    <w:name w:val="style4"/>
    <w:basedOn w:val="1"/>
    <w:next w:val="1"/>
    <w:qFormat/>
    <w:uiPriority w:val="0"/>
    <w:pPr>
      <w:widowControl/>
      <w:spacing w:before="280" w:after="280"/>
    </w:pPr>
    <w:rPr>
      <w:rFonts w:ascii="宋体" w:hAnsi="Times New Roman" w:eastAsia="宋体" w:cs="Times New Roman"/>
      <w:sz w:val="18"/>
      <w:szCs w:val="24"/>
    </w:rPr>
  </w:style>
  <w:style w:type="character" w:customStyle="1" w:styleId="66">
    <w:name w:val="NormalCharacter"/>
    <w:semiHidden/>
    <w:qFormat/>
    <w:uiPriority w:val="0"/>
  </w:style>
  <w:style w:type="paragraph" w:customStyle="1" w:styleId="67">
    <w:name w:val="BodyText1I"/>
    <w:basedOn w:val="68"/>
    <w:qFormat/>
    <w:uiPriority w:val="0"/>
    <w:pPr>
      <w:spacing w:after="120"/>
      <w:ind w:firstLine="420" w:firstLineChars="100"/>
    </w:pPr>
    <w:rPr>
      <w:rFonts w:ascii="Times New Roman" w:eastAsia="宋体"/>
      <w:szCs w:val="24"/>
    </w:rPr>
  </w:style>
  <w:style w:type="paragraph" w:customStyle="1" w:styleId="68">
    <w:name w:val="BodyText"/>
    <w:basedOn w:val="1"/>
    <w:qFormat/>
    <w:uiPriority w:val="0"/>
    <w:rPr>
      <w:rFonts w:ascii="仿宋_GB2312" w:hAnsi="Times New Roman" w:eastAsia="仿宋_GB2312"/>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10951</Words>
  <Characters>11412</Characters>
  <Lines>301</Lines>
  <Paragraphs>84</Paragraphs>
  <TotalTime>27</TotalTime>
  <ScaleCrop>false</ScaleCrop>
  <LinksUpToDate>false</LinksUpToDate>
  <CharactersWithSpaces>11581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禹州市公共资源交易中心:侯英红</cp:lastModifiedBy>
  <cp:lastPrinted>2022-06-28T10:10:00Z</cp:lastPrinted>
  <dcterms:modified xsi:type="dcterms:W3CDTF">2024-12-12T08:46:45Z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9663DBD9AAB94A838702D29DFCB400DE_12</vt:lpwstr>
  </property>
</Properties>
</file>