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禹州市农业农村局禹州市第三次全国土壤普查成果汇总项目</w:t>
      </w:r>
    </w:p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28"/>
          <w:szCs w:val="28"/>
          <w:lang w:val="en-US" w:eastAsia="zh-CN" w:bidi="ar-SA"/>
        </w:rPr>
        <w:t>竞争性磋商公告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禹州市农业农村局禹州市第三次全国土壤普查成果汇总项目</w:t>
      </w:r>
      <w:r>
        <w:rPr>
          <w:rFonts w:hint="eastAsia" w:hAnsi="宋体"/>
          <w:color w:val="auto"/>
          <w:szCs w:val="21"/>
        </w:rPr>
        <w:t>的潜在投标人应在</w:t>
      </w:r>
      <w:r>
        <w:rPr>
          <w:rFonts w:hint="eastAsia" w:hAnsi="宋体"/>
          <w:color w:val="auto"/>
          <w:szCs w:val="21"/>
          <w:lang w:eastAsia="zh-CN"/>
        </w:rPr>
        <w:t>磋商</w:t>
      </w:r>
      <w:r>
        <w:rPr>
          <w:rFonts w:hint="eastAsia" w:hAnsi="宋体"/>
          <w:color w:val="auto"/>
          <w:szCs w:val="21"/>
        </w:rPr>
        <w:t>响应截止时间前登录《全国公共资源交易平台（河南省·许昌市）》“投标人/供应商登录”入口（http://ggzy.xuchang.gov.cn:8088/ggzy/）自行免费下载获取招标文件，并于20</w:t>
      </w:r>
      <w:r>
        <w:rPr>
          <w:rFonts w:hint="eastAsia" w:hAnsi="宋体"/>
          <w:color w:val="auto"/>
          <w:szCs w:val="21"/>
        </w:rPr>
        <w:t>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时30分（北京时间）前递交响应文件。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1.项目编号：YZC</w:t>
      </w:r>
      <w:r>
        <w:rPr>
          <w:rFonts w:hint="eastAsia" w:hAnsi="宋体"/>
          <w:color w:val="auto"/>
          <w:szCs w:val="21"/>
        </w:rPr>
        <w:t>G-DL</w:t>
      </w:r>
      <w:r>
        <w:rPr>
          <w:rFonts w:hint="eastAsia" w:hAnsi="宋体"/>
          <w:color w:val="auto"/>
          <w:szCs w:val="21"/>
          <w:lang w:val="en-US" w:eastAsia="zh-CN"/>
        </w:rPr>
        <w:t>C</w:t>
      </w:r>
      <w:r>
        <w:rPr>
          <w:rFonts w:hint="eastAsia" w:hAnsi="宋体"/>
          <w:color w:val="auto"/>
          <w:szCs w:val="21"/>
        </w:rPr>
        <w:t>202</w:t>
      </w:r>
      <w:r>
        <w:rPr>
          <w:rFonts w:hint="eastAsia" w:hAnsi="宋体"/>
          <w:color w:val="auto"/>
          <w:szCs w:val="21"/>
          <w:lang w:val="en-US" w:eastAsia="zh-CN"/>
        </w:rPr>
        <w:t>4014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禹州市农业农村局禹州市第三次全国土壤普查成果汇总项目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3.采购方式：竞争性磋商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800000.00</w:t>
      </w:r>
      <w:r>
        <w:rPr>
          <w:rFonts w:hint="eastAsia" w:hAnsi="宋体"/>
          <w:color w:val="auto"/>
          <w:szCs w:val="21"/>
        </w:rPr>
        <w:t>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800000.00</w:t>
      </w:r>
      <w:r>
        <w:rPr>
          <w:rFonts w:hint="eastAsia" w:hAnsi="宋体"/>
          <w:color w:val="auto"/>
          <w:szCs w:val="21"/>
        </w:rPr>
        <w:t xml:space="preserve">元 </w:t>
      </w:r>
    </w:p>
    <w:tbl>
      <w:tblPr>
        <w:tblStyle w:val="15"/>
        <w:tblW w:w="9059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21"/>
        <w:gridCol w:w="3426"/>
        <w:gridCol w:w="187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59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59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YZCG-DL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 w:hAnsi="宋体"/>
                <w:color w:val="auto"/>
                <w:szCs w:val="21"/>
              </w:rPr>
              <w:t>202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4014</w:t>
            </w:r>
          </w:p>
        </w:tc>
        <w:tc>
          <w:tcPr>
            <w:tcW w:w="342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禹州市农业农村局禹州市第三次全国土壤普查成果汇总项目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800000.00</w:t>
            </w:r>
            <w:r>
              <w:rPr>
                <w:rFonts w:hint="eastAsia" w:hAnsi="宋体"/>
                <w:color w:val="auto"/>
                <w:szCs w:val="21"/>
              </w:rPr>
              <w:t>元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hAnsi="宋体"/>
                <w:color w:val="auto"/>
                <w:szCs w:val="21"/>
                <w:lang w:val="en-US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800000.00</w:t>
            </w:r>
            <w:r>
              <w:rPr>
                <w:rFonts w:hint="eastAsia" w:hAnsi="宋体"/>
                <w:color w:val="auto"/>
                <w:szCs w:val="21"/>
              </w:rPr>
              <w:t>元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按照《第三次全国土壤普查技术规范》（修订版）和《第三次全国土壤普查成果清单及形成方法》等要求</w:t>
      </w:r>
      <w:r>
        <w:rPr>
          <w:rFonts w:hint="eastAsia"/>
          <w:color w:val="auto"/>
          <w:sz w:val="21"/>
          <w:szCs w:val="21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</w:rPr>
        <w:t>我市土壤三普成果汇总项目主要工作内容是：土壤三普数据成果、数字化图件成果（土壤类型图编制及出版、土壤志编制及出版、土壤质量分布图、土壤利用分布图、土壤养分图、土壤盐碱化酸化分布图等）、数据库和文字成果（工作报告、技术报告、土壤利用评价报告、土壤质量报告、土壤盐碱化酸化报告等）等成果汇总工作（详见</w:t>
      </w:r>
      <w:r>
        <w:rPr>
          <w:rFonts w:hint="eastAsia" w:hAnsi="宋体"/>
          <w:color w:val="auto"/>
          <w:sz w:val="21"/>
          <w:szCs w:val="21"/>
          <w:lang w:eastAsia="zh-CN"/>
        </w:rPr>
        <w:t>磋商</w:t>
      </w:r>
      <w:r>
        <w:rPr>
          <w:rFonts w:hint="eastAsia" w:hAnsi="宋体"/>
          <w:color w:val="auto"/>
          <w:sz w:val="21"/>
          <w:szCs w:val="21"/>
        </w:rPr>
        <w:t>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6.合同履行期</w:t>
      </w:r>
      <w:r>
        <w:rPr>
          <w:rFonts w:hint="eastAsia" w:hAnsi="宋体"/>
          <w:color w:val="auto"/>
          <w:sz w:val="21"/>
          <w:szCs w:val="21"/>
        </w:rPr>
        <w:t>限</w:t>
      </w:r>
      <w:r>
        <w:rPr>
          <w:rFonts w:hint="eastAsia" w:hAnsi="宋体"/>
          <w:color w:val="auto"/>
          <w:sz w:val="21"/>
          <w:szCs w:val="21"/>
        </w:rPr>
        <w:t>：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202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4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年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9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月底完成</w:t>
      </w:r>
      <w:r>
        <w:rPr>
          <w:rFonts w:hint="eastAsia" w:hAnsi="宋体"/>
          <w:color w:val="auto"/>
          <w:sz w:val="21"/>
          <w:szCs w:val="21"/>
        </w:rPr>
        <w:t>。</w:t>
      </w:r>
      <w:r>
        <w:rPr>
          <w:rFonts w:hint="eastAsia" w:hAnsi="宋体"/>
          <w:color w:val="auto"/>
          <w:sz w:val="21"/>
          <w:szCs w:val="21"/>
          <w:lang w:val="en-US" w:eastAsia="zh-CN"/>
        </w:rPr>
        <w:t xml:space="preserve">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9.是否专门面向中</w:t>
      </w:r>
      <w:r>
        <w:rPr>
          <w:rFonts w:hint="eastAsia" w:hAnsi="宋体"/>
          <w:color w:val="auto"/>
          <w:szCs w:val="21"/>
        </w:rPr>
        <w:t>小企业：</w:t>
      </w:r>
      <w:r>
        <w:rPr>
          <w:rFonts w:hint="eastAsia" w:hAnsi="宋体"/>
          <w:color w:val="auto"/>
          <w:szCs w:val="21"/>
          <w:lang w:eastAsia="zh-CN"/>
        </w:rPr>
        <w:t>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（本项目专门面向中小企业采购）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pStyle w:val="43"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zh-CN" w:eastAsia="zh-CN" w:bidi="ar-SA"/>
        </w:rPr>
        <w:t>需要按照《第三次全国土壤普查技术规程规范（修订版）》要求进行操作，具备相应的技术力量，要具有与分项成果相匹配的技术团队，主要包括土壤学、土壤数字制图、测绘、GIS、土壤农业利用适宜性评价和耕地质量等级评价等相应的专家（提供承诺函）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</w:t>
      </w:r>
      <w:r>
        <w:rPr>
          <w:rFonts w:hint="eastAsia" w:hAnsi="宋体"/>
          <w:color w:val="auto"/>
          <w:szCs w:val="21"/>
        </w:rPr>
        <w:t>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03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27</w:t>
      </w:r>
      <w:r>
        <w:rPr>
          <w:rFonts w:hint="eastAsia" w:hAnsi="宋体"/>
          <w:color w:val="auto"/>
          <w:szCs w:val="21"/>
        </w:rPr>
        <w:t>日 至 202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</w:rPr>
        <w:t>，每天上午00:00至12:00，下午12:01至23:59（北京时间，法定节假日除外。）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</w:t>
      </w:r>
      <w:r>
        <w:rPr>
          <w:rFonts w:hint="eastAsia" w:hAnsi="宋体"/>
          <w:color w:val="auto"/>
          <w:szCs w:val="21"/>
          <w:lang w:eastAsia="zh-CN"/>
        </w:rPr>
        <w:t>磋商</w:t>
      </w:r>
      <w:r>
        <w:rPr>
          <w:rFonts w:hint="eastAsia" w:hAnsi="宋体"/>
          <w:color w:val="auto"/>
          <w:szCs w:val="21"/>
        </w:rPr>
        <w:t>响应截止时间前登录《全国公共资源交易平台（河南省·许昌市）》“投标人/供应商登录”入口（http://ggzy.xuchang.gov.cn:8088/ggzy/）自行免费下载。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</w:t>
      </w:r>
      <w:r>
        <w:rPr>
          <w:rFonts w:hint="eastAsia" w:hAnsi="宋体"/>
          <w:color w:val="auto"/>
          <w:szCs w:val="21"/>
          <w:lang w:val="en-US" w:eastAsia="zh-CN"/>
        </w:rPr>
        <w:t>4</w:t>
      </w:r>
      <w:r>
        <w:rPr>
          <w:rFonts w:hint="eastAsia" w:hAnsi="宋体"/>
          <w:color w:val="auto"/>
          <w:szCs w:val="21"/>
        </w:rPr>
        <w:t>年</w:t>
      </w:r>
      <w:r>
        <w:rPr>
          <w:rFonts w:hint="eastAsia" w:hAnsi="宋体"/>
          <w:color w:val="auto"/>
          <w:szCs w:val="21"/>
          <w:lang w:val="en-US" w:eastAsia="zh-CN"/>
        </w:rPr>
        <w:t>04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>时30分（北京时间）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pStyle w:val="2"/>
        <w:numPr>
          <w:ilvl w:val="0"/>
          <w:numId w:val="0"/>
        </w:numPr>
        <w:ind w:left="288" w:leftChars="0"/>
        <w:rPr>
          <w:color w:val="auto"/>
        </w:rPr>
      </w:pPr>
    </w:p>
    <w:p>
      <w:pPr>
        <w:numPr>
          <w:ilvl w:val="0"/>
          <w:numId w:val="2"/>
        </w:numPr>
        <w:tabs>
          <w:tab w:val="left" w:pos="7095"/>
        </w:tabs>
        <w:spacing w:line="384" w:lineRule="auto"/>
        <w:ind w:firstLine="422" w:firstLineChars="200"/>
        <w:contextualSpacing/>
        <w:rPr>
          <w:rFonts w:hint="eastAsia"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其他补充事宜</w:t>
      </w:r>
    </w:p>
    <w:p>
      <w:pPr>
        <w:pStyle w:val="13"/>
        <w:numPr>
          <w:ilvl w:val="0"/>
          <w:numId w:val="0"/>
        </w:numPr>
        <w:ind w:firstLine="420" w:firstLineChars="200"/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1、项目编号以本磋商文件中的采购编号为准，采购编号</w:t>
      </w:r>
      <w:r>
        <w:rPr>
          <w:rFonts w:hint="eastAsia" w:hAnsi="宋体" w:asci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 xml:space="preserve">：YZCG-DLC2024014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val="en-US" w:eastAsia="zh-CN"/>
        </w:rPr>
        <w:t>2、</w:t>
      </w:r>
      <w:r>
        <w:rPr>
          <w:rFonts w:hint="eastAsia" w:hAnsi="宋体"/>
          <w:color w:val="auto"/>
          <w:szCs w:val="21"/>
        </w:rPr>
        <w:t>监督单位：禹州市政府采购监督管理办公室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农业农村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局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禹王大道西段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联系人：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和先生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hint="eastAsia" w:eastAsia="宋体" w:asciiTheme="majorEastAsia" w:hAnsiTheme="majorEastAsia" w:cstheme="majorEastAsia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 xml:space="preserve">13938781222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pStyle w:val="5"/>
        <w:spacing w:line="348" w:lineRule="auto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名称：</w:t>
      </w:r>
      <w:r>
        <w:rPr>
          <w:rFonts w:hint="eastAsia"/>
          <w:color w:val="auto"/>
        </w:rPr>
        <w:t>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地址：</w:t>
      </w:r>
      <w:r>
        <w:rPr>
          <w:rFonts w:hint="eastAsia"/>
          <w:color w:val="auto"/>
          <w:lang w:val="en-US" w:eastAsia="zh-CN"/>
        </w:rPr>
        <w:t>禹州市颍北大道6号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0374-8281999</w:t>
      </w:r>
      <w:bookmarkStart w:id="0" w:name="_GoBack"/>
      <w:bookmarkEnd w:id="0"/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连女士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0374-8281999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1E49208"/>
    <w:multiLevelType w:val="singleLevel"/>
    <w:tmpl w:val="71E4920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922bee79-d9ab-4c22-9d3c-cac15d59b9d1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2503F"/>
    <w:rsid w:val="00C52FED"/>
    <w:rsid w:val="00C75CA4"/>
    <w:rsid w:val="00C81D3A"/>
    <w:rsid w:val="00CA149A"/>
    <w:rsid w:val="00D376F9"/>
    <w:rsid w:val="00EA08B8"/>
    <w:rsid w:val="00EE7581"/>
    <w:rsid w:val="00F62936"/>
    <w:rsid w:val="025D7B9F"/>
    <w:rsid w:val="02DC4E0A"/>
    <w:rsid w:val="071F30EB"/>
    <w:rsid w:val="081128A2"/>
    <w:rsid w:val="093E0C81"/>
    <w:rsid w:val="0A424693"/>
    <w:rsid w:val="0B293A5F"/>
    <w:rsid w:val="0B563B56"/>
    <w:rsid w:val="0CED59FB"/>
    <w:rsid w:val="0D63594E"/>
    <w:rsid w:val="0D6E42F3"/>
    <w:rsid w:val="0DC02A29"/>
    <w:rsid w:val="10707910"/>
    <w:rsid w:val="108D2CE2"/>
    <w:rsid w:val="117B6FDE"/>
    <w:rsid w:val="11F02045"/>
    <w:rsid w:val="132316DC"/>
    <w:rsid w:val="14676E3E"/>
    <w:rsid w:val="15A32FAF"/>
    <w:rsid w:val="15C9656A"/>
    <w:rsid w:val="166325E7"/>
    <w:rsid w:val="17086943"/>
    <w:rsid w:val="178526DD"/>
    <w:rsid w:val="18116993"/>
    <w:rsid w:val="1AC272B5"/>
    <w:rsid w:val="1AEA6245"/>
    <w:rsid w:val="1BD432F2"/>
    <w:rsid w:val="1C1469DB"/>
    <w:rsid w:val="1C584098"/>
    <w:rsid w:val="1D5726AE"/>
    <w:rsid w:val="1E3417FF"/>
    <w:rsid w:val="1F221CF8"/>
    <w:rsid w:val="1F914E56"/>
    <w:rsid w:val="20472039"/>
    <w:rsid w:val="20897D3B"/>
    <w:rsid w:val="20B00A53"/>
    <w:rsid w:val="21C019ED"/>
    <w:rsid w:val="26A82D08"/>
    <w:rsid w:val="27010B47"/>
    <w:rsid w:val="270C7333"/>
    <w:rsid w:val="27604658"/>
    <w:rsid w:val="2A2B739C"/>
    <w:rsid w:val="2E145D4A"/>
    <w:rsid w:val="2ECD538A"/>
    <w:rsid w:val="317672F1"/>
    <w:rsid w:val="324B2D8D"/>
    <w:rsid w:val="32FD3482"/>
    <w:rsid w:val="341140DB"/>
    <w:rsid w:val="3456487D"/>
    <w:rsid w:val="346457AE"/>
    <w:rsid w:val="34E26A56"/>
    <w:rsid w:val="360016DD"/>
    <w:rsid w:val="385D7067"/>
    <w:rsid w:val="3A490B50"/>
    <w:rsid w:val="3ADB3ABB"/>
    <w:rsid w:val="3BE57C6E"/>
    <w:rsid w:val="3D647D56"/>
    <w:rsid w:val="3EB03CA6"/>
    <w:rsid w:val="40C83FF8"/>
    <w:rsid w:val="411C0608"/>
    <w:rsid w:val="48B63713"/>
    <w:rsid w:val="49DE7B2F"/>
    <w:rsid w:val="4C3647DD"/>
    <w:rsid w:val="4C3F23DE"/>
    <w:rsid w:val="4C5B3942"/>
    <w:rsid w:val="4D8A7F66"/>
    <w:rsid w:val="4E1704DC"/>
    <w:rsid w:val="4E4F5496"/>
    <w:rsid w:val="51C961B3"/>
    <w:rsid w:val="52CB2F54"/>
    <w:rsid w:val="54694D94"/>
    <w:rsid w:val="57924A5B"/>
    <w:rsid w:val="58C44394"/>
    <w:rsid w:val="58E82C2D"/>
    <w:rsid w:val="5A1A736B"/>
    <w:rsid w:val="5DA24229"/>
    <w:rsid w:val="5DEB0614"/>
    <w:rsid w:val="5EBE19C1"/>
    <w:rsid w:val="5F6C6814"/>
    <w:rsid w:val="606801FF"/>
    <w:rsid w:val="60B3541A"/>
    <w:rsid w:val="62F615EE"/>
    <w:rsid w:val="634E31D8"/>
    <w:rsid w:val="63A026D4"/>
    <w:rsid w:val="64145F33"/>
    <w:rsid w:val="667E6B92"/>
    <w:rsid w:val="684F3C7A"/>
    <w:rsid w:val="68614FC0"/>
    <w:rsid w:val="68A847B6"/>
    <w:rsid w:val="69383A1A"/>
    <w:rsid w:val="69AC398E"/>
    <w:rsid w:val="6A7A7BDD"/>
    <w:rsid w:val="6BA725F1"/>
    <w:rsid w:val="6FC14EB8"/>
    <w:rsid w:val="702851B6"/>
    <w:rsid w:val="72494B2A"/>
    <w:rsid w:val="72BC46BB"/>
    <w:rsid w:val="73891774"/>
    <w:rsid w:val="74432700"/>
    <w:rsid w:val="746A1A64"/>
    <w:rsid w:val="78053506"/>
    <w:rsid w:val="788D5076"/>
    <w:rsid w:val="78E72A28"/>
    <w:rsid w:val="7BCE4202"/>
    <w:rsid w:val="7CE87DA1"/>
    <w:rsid w:val="7DAF3C2E"/>
    <w:rsid w:val="7DB424D7"/>
    <w:rsid w:val="7E9F4AAE"/>
    <w:rsid w:val="7EF82C92"/>
    <w:rsid w:val="7F113AB4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6"/>
    <w:next w:val="1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4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2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6"/>
    <w:qFormat/>
    <w:uiPriority w:val="0"/>
    <w:rPr>
      <w:color w:val="FF0000"/>
    </w:rPr>
  </w:style>
  <w:style w:type="character" w:customStyle="1" w:styleId="25">
    <w:name w:val="red3"/>
    <w:basedOn w:val="16"/>
    <w:qFormat/>
    <w:uiPriority w:val="0"/>
    <w:rPr>
      <w:color w:val="CC0000"/>
    </w:rPr>
  </w:style>
  <w:style w:type="character" w:customStyle="1" w:styleId="26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16"/>
    <w:qFormat/>
    <w:uiPriority w:val="0"/>
  </w:style>
  <w:style w:type="character" w:customStyle="1" w:styleId="29">
    <w:name w:val="gb-jt"/>
    <w:basedOn w:val="16"/>
    <w:qFormat/>
    <w:uiPriority w:val="0"/>
  </w:style>
  <w:style w:type="character" w:customStyle="1" w:styleId="30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31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3">
    <w:name w:val="hover24"/>
    <w:basedOn w:val="16"/>
    <w:qFormat/>
    <w:uiPriority w:val="0"/>
  </w:style>
  <w:style w:type="character" w:customStyle="1" w:styleId="34">
    <w:name w:val="hover"/>
    <w:basedOn w:val="16"/>
    <w:qFormat/>
    <w:uiPriority w:val="0"/>
  </w:style>
  <w:style w:type="character" w:customStyle="1" w:styleId="35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6"/>
    <w:qFormat/>
    <w:uiPriority w:val="0"/>
    <w:rPr>
      <w:color w:val="CC0000"/>
    </w:rPr>
  </w:style>
  <w:style w:type="character" w:customStyle="1" w:styleId="38">
    <w:name w:val="red7"/>
    <w:basedOn w:val="16"/>
    <w:qFormat/>
    <w:uiPriority w:val="0"/>
    <w:rPr>
      <w:color w:val="FF0000"/>
    </w:rPr>
  </w:style>
  <w:style w:type="character" w:customStyle="1" w:styleId="39">
    <w:name w:val="hover18"/>
    <w:basedOn w:val="16"/>
    <w:qFormat/>
    <w:uiPriority w:val="0"/>
  </w:style>
  <w:style w:type="character" w:customStyle="1" w:styleId="40">
    <w:name w:val="active3"/>
    <w:basedOn w:val="16"/>
    <w:qFormat/>
    <w:uiPriority w:val="0"/>
    <w:rPr>
      <w:color w:val="FFFFFF"/>
      <w:shd w:val="clear" w:fill="2B7AFC"/>
    </w:rPr>
  </w:style>
  <w:style w:type="character" w:customStyle="1" w:styleId="41">
    <w:name w:val="active"/>
    <w:basedOn w:val="16"/>
    <w:qFormat/>
    <w:uiPriority w:val="0"/>
    <w:rPr>
      <w:color w:val="FFFFFF"/>
      <w:shd w:val="clear" w:fill="2B7AFC"/>
    </w:rPr>
  </w:style>
  <w:style w:type="character" w:customStyle="1" w:styleId="42">
    <w:name w:val="hover23"/>
    <w:basedOn w:val="16"/>
    <w:qFormat/>
    <w:uiPriority w:val="0"/>
  </w:style>
  <w:style w:type="paragraph" w:customStyle="1" w:styleId="43">
    <w:name w:val="*正文"/>
    <w:basedOn w:val="1"/>
    <w:next w:val="1"/>
    <w:qFormat/>
    <w:uiPriority w:val="99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1439</Words>
  <Characters>1730</Characters>
  <Lines>10</Lines>
  <Paragraphs>3</Paragraphs>
  <TotalTime>2</TotalTime>
  <ScaleCrop>false</ScaleCrop>
  <LinksUpToDate>false</LinksUpToDate>
  <CharactersWithSpaces>1742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2024-03-25T10:48:00Z</cp:lastPrinted>
  <dcterms:modified xsi:type="dcterms:W3CDTF">2024-03-27T05:13:23Z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A5A972D3A4D7492498E3F4902B218294</vt:lpwstr>
  </property>
</Properties>
</file>