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shd w:val="clear" w:color="auto" w:fill="FFFFFF"/>
          <w:lang w:val="en-US" w:eastAsia="zh-CN"/>
        </w:rPr>
      </w:pPr>
    </w:p>
    <w:p>
      <w:pPr>
        <w:jc w:val="center"/>
        <w:rPr>
          <w:rFonts w:hint="eastAsia"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申请拨付1792路监控网络服务</w:t>
      </w:r>
    </w:p>
    <w:p>
      <w:pPr>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4"/>
          <w:szCs w:val="44"/>
          <w:shd w:val="clear" w:color="auto" w:fill="FFFFFF"/>
        </w:rPr>
        <w:t xml:space="preserve"> </w:t>
      </w: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37</w:t>
      </w:r>
    </w:p>
    <w:p>
      <w:pPr>
        <w:ind w:firstLine="1080" w:firstLineChars="300"/>
        <w:jc w:val="both"/>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采购单位：</w:t>
      </w:r>
      <w:r>
        <w:rPr>
          <w:rFonts w:hint="eastAsia" w:asciiTheme="majorEastAsia" w:hAnsiTheme="majorEastAsia" w:eastAsiaTheme="majorEastAsia" w:cstheme="majorEastAsia"/>
          <w:bCs/>
          <w:sz w:val="36"/>
          <w:szCs w:val="36"/>
          <w:lang w:val="en-US" w:eastAsia="zh-CN"/>
        </w:rPr>
        <w:t>中共襄城县委政法委员会</w:t>
      </w:r>
    </w:p>
    <w:p>
      <w:pPr>
        <w:ind w:firstLine="1080" w:firstLineChars="300"/>
        <w:jc w:val="both"/>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采购机构：襄城县政府采购中心</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pStyle w:val="39"/>
        <w:rPr>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rPr>
          <w:rFonts w:cs="宋体" w:asciiTheme="majorEastAsia" w:hAnsiTheme="majorEastAsia" w:eastAsiaTheme="majorEastAsia"/>
          <w:b/>
          <w:kern w:val="0"/>
          <w:sz w:val="32"/>
          <w:szCs w:val="32"/>
        </w:rPr>
      </w:pPr>
      <w:r>
        <w:rPr>
          <w:rFonts w:hint="eastAsia" w:ascii="宋体" w:hAnsi="宋体" w:eastAsia="宋体" w:cs="Arial"/>
          <w:b/>
          <w:kern w:val="0"/>
          <w:sz w:val="24"/>
          <w:szCs w:val="24"/>
        </w:rPr>
        <w:t>项目概况</w:t>
      </w:r>
    </w:p>
    <w:tbl>
      <w:tblPr>
        <w:tblStyle w:val="31"/>
        <w:tblW w:w="9930" w:type="dxa"/>
        <w:tblCellSpacing w:w="15" w:type="dxa"/>
        <w:tblInd w:w="0" w:type="dxa"/>
        <w:tblLayout w:type="autofit"/>
        <w:tblCellMar>
          <w:top w:w="0" w:type="dxa"/>
          <w:left w:w="108" w:type="dxa"/>
          <w:bottom w:w="0" w:type="dxa"/>
          <w:right w:w="108" w:type="dxa"/>
        </w:tblCellMar>
      </w:tblPr>
      <w:tblGrid>
        <w:gridCol w:w="169"/>
        <w:gridCol w:w="8945"/>
        <w:gridCol w:w="816"/>
      </w:tblGrid>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lang w:val="en-US" w:eastAsia="zh-CN"/>
              </w:rPr>
              <w:t>中共襄城县委政法委员会</w:t>
            </w:r>
            <w:r>
              <w:rPr>
                <w:rFonts w:hint="eastAsia" w:ascii="宋体" w:hAnsi="宋体" w:eastAsia="宋体" w:cs="Arial"/>
                <w:kern w:val="0"/>
                <w:sz w:val="24"/>
                <w:szCs w:val="24"/>
              </w:rPr>
              <w:t>“申请拨付1792路监控网络服务（不见面开标）”采购项目的潜在投标人应在《全国公共资源交易平台（河南省•许昌市）（http://ggzy.xuchang.gov.cn/）获取招标文件，并于2023年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31</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Arial"/>
                <w:kern w:val="0"/>
                <w:sz w:val="24"/>
                <w:szCs w:val="24"/>
              </w:rPr>
              <w:t>点00分（北京时间）前提交（上传）投标文件。</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37</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eastAsia="宋体" w:cs="Arial"/>
                <w:kern w:val="0"/>
                <w:sz w:val="24"/>
                <w:szCs w:val="24"/>
                <w:lang w:val="en-US" w:eastAsia="zh-CN"/>
              </w:rPr>
              <w:t>申请拨付1792路监控网络服务</w:t>
            </w:r>
            <w:r>
              <w:rPr>
                <w:rFonts w:hint="eastAsia" w:ascii="宋体" w:hAnsi="宋体" w:eastAsia="宋体" w:cs="Arial"/>
                <w:kern w:val="0"/>
                <w:sz w:val="24"/>
                <w:szCs w:val="24"/>
              </w:rPr>
              <w:t>（不见面开标）</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val="en-US" w:eastAsia="zh-CN"/>
              </w:rPr>
              <w:t>1768000.00</w:t>
            </w:r>
            <w:r>
              <w:rPr>
                <w:rFonts w:hint="eastAsia" w:ascii="宋体" w:hAnsi="宋体" w:eastAsia="宋体" w:cs="宋体"/>
                <w:kern w:val="0"/>
                <w:sz w:val="24"/>
                <w:szCs w:val="24"/>
                <w:shd w:val="clear" w:color="auto" w:fill="FFFFFF"/>
              </w:rPr>
              <w:t>元。</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ind w:firstLine="240" w:firstLineChars="100"/>
              <w:jc w:val="left"/>
              <w:rPr>
                <w:rFonts w:hint="default" w:ascii="宋体" w:hAnsi="宋体" w:eastAsia="宋体" w:cs="宋体"/>
                <w:kern w:val="0"/>
                <w:sz w:val="24"/>
                <w:szCs w:val="24"/>
                <w:shd w:val="clear" w:color="auto" w:fill="FFFFFF"/>
                <w:lang w:val="en-US"/>
              </w:rPr>
            </w:pPr>
            <w:r>
              <w:rPr>
                <w:rFonts w:hint="eastAsia" w:ascii="宋体" w:hAnsi="宋体" w:eastAsia="宋体" w:cs="宋体"/>
                <w:kern w:val="0"/>
                <w:sz w:val="24"/>
                <w:szCs w:val="24"/>
                <w:shd w:val="clear" w:color="auto" w:fill="FFFFFF"/>
              </w:rPr>
              <w:t>最高限价：</w:t>
            </w:r>
            <w:r>
              <w:rPr>
                <w:rFonts w:hint="eastAsia" w:ascii="宋体" w:hAnsi="宋体" w:eastAsia="宋体" w:cs="宋体"/>
                <w:kern w:val="0"/>
                <w:sz w:val="24"/>
                <w:szCs w:val="24"/>
                <w:shd w:val="clear" w:color="auto" w:fill="FFFFFF"/>
                <w:lang w:val="en-US" w:eastAsia="zh-CN"/>
              </w:rPr>
              <w:t>1768000.00元。</w:t>
            </w:r>
          </w:p>
          <w:tbl>
            <w:tblPr>
              <w:tblStyle w:val="31"/>
              <w:tblW w:w="4882"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2297"/>
              <w:gridCol w:w="1408"/>
              <w:gridCol w:w="214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1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37-1</w:t>
                  </w:r>
                </w:p>
              </w:tc>
              <w:tc>
                <w:tcPr>
                  <w:tcW w:w="81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rPr>
                  </w:pPr>
                  <w:r>
                    <w:rPr>
                      <w:rFonts w:hint="eastAsia" w:ascii="宋体" w:hAnsi="宋体" w:eastAsia="宋体" w:cs="宋体"/>
                      <w:kern w:val="0"/>
                      <w:sz w:val="24"/>
                      <w:szCs w:val="24"/>
                      <w:shd w:val="clear" w:color="auto" w:fill="FFFFFF"/>
                      <w:lang w:val="en-US" w:eastAsia="zh-CN"/>
                    </w:rPr>
                    <w:t>1768000.00</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1768000.00</w:t>
                  </w:r>
                </w:p>
              </w:tc>
            </w:tr>
          </w:tbl>
          <w:p>
            <w:pPr>
              <w:pStyle w:val="40"/>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项目采购完成全县16 个乡镇，448 个行政村的1792个视频监控点的网络连接及县城区重点项目连接和与政法委监控平台的无缝对接；</w:t>
            </w:r>
            <w:r>
              <w:rPr>
                <w:rFonts w:hint="eastAsia" w:cs="Arial"/>
                <w:kern w:val="0"/>
                <w:sz w:val="24"/>
                <w:szCs w:val="24"/>
                <w:shd w:val="clear" w:color="auto" w:fill="FFFFFF"/>
              </w:rPr>
              <w:t>其他详细参数见招标文件第二章“项目需求”</w:t>
            </w:r>
            <w:r>
              <w:rPr>
                <w:rFonts w:hint="eastAsia" w:ascii="宋体" w:hAnsi="宋体" w:eastAsia="宋体" w:cs="仿宋"/>
                <w:sz w:val="24"/>
                <w:szCs w:val="24"/>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宋体" w:hAnsi="宋体" w:eastAsia="宋体" w:cs="Arial"/>
                <w:kern w:val="0"/>
                <w:sz w:val="24"/>
                <w:szCs w:val="24"/>
                <w:lang w:val="en-US" w:eastAsia="zh-CN"/>
              </w:rPr>
              <w:t>以签订合同为准</w:t>
            </w:r>
            <w:r>
              <w:rPr>
                <w:rFonts w:hint="eastAsia" w:ascii="宋体" w:hAnsi="宋体" w:eastAsia="宋体" w:cs="仿宋"/>
                <w:kern w:val="0"/>
                <w:sz w:val="24"/>
                <w:szCs w:val="24"/>
                <w:shd w:val="clear" w:color="auto" w:fill="FFFFFF"/>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40"/>
              <w:numPr>
                <w:ilvl w:val="0"/>
                <w:numId w:val="0"/>
              </w:numPr>
            </w:pPr>
            <w:r>
              <w:rPr>
                <w:rFonts w:hint="eastAsia"/>
                <w:lang w:val="en-US" w:eastAsia="zh-CN"/>
              </w:rPr>
              <w:t>9、是否专门面向中小企业：是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无</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23</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31</w:t>
            </w:r>
            <w:r>
              <w:rPr>
                <w:rFonts w:hint="eastAsia" w:ascii="宋体" w:hAnsi="宋体" w:eastAsia="宋体" w:cs="Arial"/>
                <w:kern w:val="0"/>
                <w:sz w:val="24"/>
                <w:szCs w:val="24"/>
              </w:rPr>
              <w:t>日（北京时间，法定节假日除外）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31</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31</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名称：</w:t>
            </w:r>
            <w:r>
              <w:rPr>
                <w:rFonts w:hint="eastAsia" w:ascii="宋体" w:hAnsi="宋体" w:eastAsia="宋体" w:cs="Arial"/>
                <w:kern w:val="0"/>
                <w:sz w:val="24"/>
                <w:szCs w:val="24"/>
                <w:lang w:val="en-US" w:eastAsia="zh-CN"/>
              </w:rPr>
              <w:t>中共襄城县委政法委员会</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杨再星</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联系方式：13569910017</w:t>
            </w: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李</w:t>
            </w:r>
            <w:r>
              <w:rPr>
                <w:rFonts w:hint="eastAsia" w:ascii="宋体" w:hAnsi="宋体" w:eastAsia="宋体" w:cs="Arial"/>
                <w:kern w:val="0"/>
                <w:sz w:val="24"/>
                <w:szCs w:val="24"/>
              </w:rPr>
              <w:t>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w:t>
            </w:r>
            <w:r>
              <w:rPr>
                <w:rFonts w:hint="eastAsia" w:ascii="宋体" w:hAnsi="宋体" w:eastAsia="宋体" w:cs="Arial"/>
                <w:kern w:val="0"/>
                <w:sz w:val="24"/>
                <w:szCs w:val="24"/>
                <w:lang w:val="en-US" w:eastAsia="zh-CN"/>
              </w:rPr>
              <w:t>李</w:t>
            </w:r>
            <w:r>
              <w:rPr>
                <w:rFonts w:hint="eastAsia" w:ascii="宋体" w:hAnsi="宋体" w:eastAsia="宋体" w:cs="Arial"/>
                <w:kern w:val="0"/>
                <w:sz w:val="24"/>
                <w:szCs w:val="24"/>
              </w:rPr>
              <w:t>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rPr>
          <w:rFonts w:hint="eastAsia" w:ascii="宋体" w:hAnsi="宋体" w:cs="宋体" w:eastAsiaTheme="minorEastAsia"/>
          <w:b/>
          <w:sz w:val="24"/>
          <w:szCs w:val="24"/>
          <w:lang w:eastAsia="zh-CN"/>
        </w:rPr>
      </w:pPr>
      <w:r>
        <w:rPr>
          <w:rFonts w:hint="eastAsia" w:ascii="宋体" w:hAnsi="宋体" w:cs="宋体"/>
          <w:b/>
          <w:sz w:val="24"/>
          <w:szCs w:val="24"/>
        </w:rPr>
        <w:t>一、采购需求</w:t>
      </w:r>
      <w:r>
        <w:rPr>
          <w:rFonts w:hint="eastAsia" w:ascii="宋体" w:hAnsi="宋体" w:cs="宋体"/>
          <w:b/>
          <w:sz w:val="24"/>
          <w:szCs w:val="24"/>
          <w:lang w:eastAsia="zh-CN"/>
        </w:rPr>
        <w:t>：</w:t>
      </w:r>
    </w:p>
    <w:p>
      <w:pPr>
        <w:pStyle w:val="40"/>
        <w:numPr>
          <w:ilvl w:val="0"/>
          <w:numId w:val="0"/>
        </w:num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项目采购项目采购完成全县16 个乡镇，448 个行政村的1792个视频监控点的网络连接及县城区重点项目连接和与政法委监控平台的无缝对接</w:t>
      </w:r>
      <w:r>
        <w:rPr>
          <w:rFonts w:hint="eastAsia" w:asciiTheme="majorEastAsia" w:hAnsiTheme="majorEastAsia" w:eastAsiaTheme="majorEastAsia"/>
          <w:sz w:val="24"/>
          <w:szCs w:val="24"/>
          <w:lang w:eastAsia="zh-CN"/>
        </w:rPr>
        <w:t>。</w:t>
      </w:r>
    </w:p>
    <w:p>
      <w:pPr>
        <w:pStyle w:val="40"/>
        <w:numPr>
          <w:ilvl w:val="0"/>
          <w:numId w:val="0"/>
        </w:numPr>
        <w:rPr>
          <w:rFonts w:hint="eastAsia"/>
          <w:b/>
          <w:bCs/>
          <w:lang w:val="en-US" w:eastAsia="zh-CN"/>
        </w:rPr>
      </w:pPr>
      <w:r>
        <w:rPr>
          <w:rFonts w:hint="eastAsia"/>
          <w:b/>
          <w:bCs/>
          <w:lang w:val="en-US" w:eastAsia="zh-CN"/>
        </w:rPr>
        <w:t>二、采购清单：</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143"/>
        <w:gridCol w:w="4111"/>
        <w:gridCol w:w="709"/>
        <w:gridCol w:w="127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序号</w:t>
            </w:r>
          </w:p>
        </w:tc>
        <w:tc>
          <w:tcPr>
            <w:tcW w:w="1143"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货物名称</w:t>
            </w:r>
          </w:p>
        </w:tc>
        <w:tc>
          <w:tcPr>
            <w:tcW w:w="4111"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技术规格及主要参数</w:t>
            </w:r>
          </w:p>
        </w:tc>
        <w:tc>
          <w:tcPr>
            <w:tcW w:w="709"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单位</w:t>
            </w:r>
          </w:p>
        </w:tc>
        <w:tc>
          <w:tcPr>
            <w:tcW w:w="1275"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数量</w:t>
            </w:r>
          </w:p>
        </w:tc>
        <w:tc>
          <w:tcPr>
            <w:tcW w:w="1137" w:type="dxa"/>
            <w:tcBorders>
              <w:top w:val="single" w:color="auto" w:sz="4" w:space="0"/>
              <w:left w:val="single" w:color="auto" w:sz="4" w:space="0"/>
              <w:bottom w:val="single" w:color="auto" w:sz="4" w:space="0"/>
              <w:right w:val="single" w:color="auto" w:sz="4" w:space="0"/>
            </w:tcBorders>
            <w:noWrap/>
            <w:vAlign w:val="top"/>
          </w:tcPr>
          <w:p>
            <w:pPr>
              <w:jc w:val="left"/>
              <w:rPr>
                <w:rFonts w:hint="eastAsia"/>
                <w:sz w:val="32"/>
                <w:szCs w:val="32"/>
                <w:lang w:eastAsia="zh-CN"/>
              </w:rPr>
            </w:pPr>
            <w:r>
              <w:rPr>
                <w:rFonts w:hint="eastAsia"/>
                <w:sz w:val="32"/>
                <w:szCs w:val="32"/>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1</w:t>
            </w:r>
          </w:p>
        </w:tc>
        <w:tc>
          <w:tcPr>
            <w:tcW w:w="1143"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光纤租赁</w:t>
            </w:r>
          </w:p>
        </w:tc>
        <w:tc>
          <w:tcPr>
            <w:tcW w:w="4111"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1、光纤裸纤分为三层:中心高折射率玻璃芯(芯径一般为 50 或62.5um)，中间为低折射率硅玻璃包层(直径一般为 125μm)，最外是加强用的树脂涂层。</w:t>
            </w:r>
          </w:p>
          <w:p>
            <w:pPr>
              <w:jc w:val="left"/>
              <w:rPr>
                <w:rFonts w:hint="eastAsia"/>
                <w:sz w:val="32"/>
                <w:szCs w:val="32"/>
                <w:lang w:eastAsia="zh-CN"/>
              </w:rPr>
            </w:pPr>
            <w:r>
              <w:rPr>
                <w:rFonts w:hint="eastAsia"/>
                <w:sz w:val="32"/>
                <w:szCs w:val="32"/>
                <w:lang w:eastAsia="zh-CN"/>
              </w:rPr>
              <w:t>2、常用光纤规格:</w:t>
            </w:r>
          </w:p>
          <w:p>
            <w:pPr>
              <w:jc w:val="left"/>
              <w:rPr>
                <w:rFonts w:hint="eastAsia"/>
                <w:sz w:val="32"/>
                <w:szCs w:val="32"/>
                <w:lang w:eastAsia="zh-CN"/>
              </w:rPr>
            </w:pPr>
            <w:r>
              <w:rPr>
                <w:rFonts w:hint="eastAsia"/>
                <w:sz w:val="32"/>
                <w:szCs w:val="32"/>
                <w:lang w:eastAsia="zh-CN"/>
              </w:rPr>
              <w:t>单模:8/125μm，9/125μm，10/125μm</w:t>
            </w:r>
          </w:p>
          <w:p>
            <w:pPr>
              <w:jc w:val="left"/>
              <w:rPr>
                <w:rFonts w:hint="eastAsia"/>
                <w:sz w:val="32"/>
                <w:szCs w:val="32"/>
                <w:lang w:eastAsia="zh-CN"/>
              </w:rPr>
            </w:pPr>
            <w:r>
              <w:rPr>
                <w:rFonts w:hint="eastAsia"/>
                <w:sz w:val="32"/>
                <w:szCs w:val="32"/>
                <w:lang w:eastAsia="zh-CN"/>
              </w:rPr>
              <w:t>多模: 50/125μm 欧洲标准</w:t>
            </w:r>
            <w:r>
              <w:rPr>
                <w:rFonts w:hint="eastAsia"/>
                <w:sz w:val="32"/>
                <w:szCs w:val="32"/>
                <w:lang w:eastAsia="zh-CN"/>
              </w:rPr>
              <w:tab/>
            </w:r>
            <w:r>
              <w:rPr>
                <w:rFonts w:hint="eastAsia"/>
                <w:sz w:val="32"/>
                <w:szCs w:val="32"/>
                <w:lang w:eastAsia="zh-CN"/>
              </w:rPr>
              <w:t>62.5/125μm 美国标准</w:t>
            </w:r>
          </w:p>
          <w:p>
            <w:pPr>
              <w:jc w:val="left"/>
              <w:rPr>
                <w:rFonts w:hint="eastAsia"/>
                <w:sz w:val="32"/>
                <w:szCs w:val="32"/>
                <w:lang w:eastAsia="zh-CN"/>
              </w:rPr>
            </w:pPr>
            <w:r>
              <w:rPr>
                <w:rFonts w:hint="eastAsia"/>
                <w:sz w:val="32"/>
                <w:szCs w:val="32"/>
                <w:lang w:eastAsia="zh-CN"/>
              </w:rPr>
              <w:t>3、连接各单位的光纤须为专线，带宽≥100M，并传输至政法委监控平台。</w:t>
            </w:r>
          </w:p>
          <w:p>
            <w:pPr>
              <w:jc w:val="left"/>
              <w:rPr>
                <w:rFonts w:hint="eastAsia"/>
                <w:sz w:val="32"/>
                <w:szCs w:val="32"/>
                <w:lang w:eastAsia="zh-CN"/>
              </w:rPr>
            </w:pPr>
            <w:r>
              <w:rPr>
                <w:rFonts w:hint="eastAsia"/>
                <w:sz w:val="32"/>
                <w:szCs w:val="32"/>
                <w:lang w:eastAsia="zh-CN"/>
              </w:rPr>
              <w:t>4、供应商提供的服务具体标准满足工信部颁布的《电信服务规范》，保证使用方通信业务安全畅通。网络可用率≥99.9%；主干环路切换时间＜50ms；端到端电路（甲方中心节点到各分支节点）的传输比特差错率（误码率）≤1.0×10E-7；全网中断次数≤5次/年；单点中断次数≤3次/年。故障响应时间小于10分钟，故障响应率达到100%，业务恢复时限小于2小时（由于光缆中断、客户原因、移动正常割接导致的专线中断除外）。</w:t>
            </w:r>
          </w:p>
        </w:tc>
        <w:tc>
          <w:tcPr>
            <w:tcW w:w="709"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条</w:t>
            </w:r>
          </w:p>
        </w:tc>
        <w:tc>
          <w:tcPr>
            <w:tcW w:w="1275"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jc w:val="left"/>
              <w:rPr>
                <w:rFonts w:hint="eastAsia"/>
                <w:sz w:val="32"/>
                <w:szCs w:val="32"/>
                <w:lang w:eastAsia="zh-CN"/>
              </w:rPr>
            </w:pPr>
            <w:r>
              <w:rPr>
                <w:rFonts w:hint="eastAsia"/>
                <w:sz w:val="32"/>
                <w:szCs w:val="32"/>
                <w:lang w:eastAsia="zh-CN"/>
              </w:rPr>
              <w:t>1792</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sz w:val="32"/>
                <w:szCs w:val="32"/>
                <w:lang w:eastAsia="zh-CN"/>
              </w:rPr>
            </w:pPr>
            <w:r>
              <w:rPr>
                <w:rFonts w:hint="eastAsia"/>
                <w:sz w:val="32"/>
                <w:szCs w:val="32"/>
                <w:lang w:eastAsia="zh-CN"/>
              </w:rPr>
              <w:t>是</w:t>
            </w:r>
          </w:p>
        </w:tc>
      </w:tr>
    </w:tbl>
    <w:p>
      <w:pPr>
        <w:jc w:val="left"/>
        <w:rPr>
          <w:rFonts w:hint="eastAsia"/>
          <w:sz w:val="32"/>
          <w:szCs w:val="32"/>
          <w:lang w:eastAsia="zh-CN"/>
        </w:rPr>
      </w:pPr>
      <w:r>
        <w:rPr>
          <w:rFonts w:hint="eastAsia"/>
          <w:sz w:val="32"/>
          <w:szCs w:val="32"/>
          <w:lang w:val="en-US" w:eastAsia="zh-CN"/>
        </w:rPr>
        <w:t>三</w:t>
      </w:r>
      <w:r>
        <w:rPr>
          <w:rFonts w:hint="eastAsia"/>
          <w:sz w:val="32"/>
          <w:szCs w:val="32"/>
          <w:lang w:eastAsia="zh-CN"/>
        </w:rPr>
        <w:t>、其他要求</w:t>
      </w:r>
    </w:p>
    <w:p>
      <w:pPr>
        <w:widowControl/>
        <w:shd w:val="clear" w:color="auto" w:fill="FFFFFF"/>
        <w:spacing w:line="360" w:lineRule="auto"/>
        <w:contextualSpacing/>
        <w:jc w:val="left"/>
        <w:rPr>
          <w:rFonts w:hint="eastAsia" w:ascii="宋体" w:hAnsi="宋体" w:cs="宋体"/>
          <w:bCs/>
          <w:kern w:val="0"/>
          <w:sz w:val="24"/>
          <w:szCs w:val="24"/>
          <w:lang w:val="zh-CN" w:eastAsia="zh-CN"/>
        </w:rPr>
      </w:pPr>
      <w:r>
        <w:rPr>
          <w:rFonts w:hint="eastAsia" w:ascii="宋体" w:hAnsi="宋体" w:cs="宋体"/>
          <w:bCs/>
          <w:kern w:val="0"/>
          <w:sz w:val="24"/>
          <w:szCs w:val="24"/>
          <w:lang w:eastAsia="zh-CN"/>
        </w:rPr>
        <w:t>1、谈判人应就本项目完整谈判，谈判人所投产品必须满足谈判文件要求，</w:t>
      </w:r>
      <w:r>
        <w:rPr>
          <w:rFonts w:hint="eastAsia" w:ascii="宋体" w:hAnsi="宋体" w:cs="宋体"/>
          <w:bCs/>
          <w:kern w:val="0"/>
          <w:sz w:val="24"/>
          <w:szCs w:val="24"/>
          <w:lang w:val="zh-CN" w:eastAsia="zh-CN"/>
        </w:rPr>
        <w:t>否则为无效谈判。</w:t>
      </w:r>
    </w:p>
    <w:p>
      <w:pPr>
        <w:widowControl/>
        <w:shd w:val="clear" w:color="auto" w:fill="FFFFFF"/>
        <w:spacing w:line="360" w:lineRule="auto"/>
        <w:contextualSpacing/>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2、中标单位应遵守国家有关法律、法规及执业规范，应遵守审计部门、财政部门的相关制度规定。</w:t>
      </w:r>
    </w:p>
    <w:p>
      <w:pPr>
        <w:widowControl/>
        <w:shd w:val="clear" w:color="auto" w:fill="FFFFFF"/>
        <w:spacing w:line="360" w:lineRule="auto"/>
        <w:contextualSpacing/>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四、验收标准</w:t>
      </w:r>
    </w:p>
    <w:p>
      <w:pPr>
        <w:widowControl/>
        <w:shd w:val="clear" w:color="auto" w:fill="FFFFFF"/>
        <w:spacing w:line="360" w:lineRule="auto"/>
        <w:contextualSpacing/>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2、按照谈判文件要求、谈判文件响应和承诺验收。</w:t>
      </w:r>
    </w:p>
    <w:p>
      <w:pPr>
        <w:pStyle w:val="28"/>
        <w:widowControl/>
        <w:shd w:val="clear" w:color="auto" w:fill="FFFFFF"/>
        <w:spacing w:line="360" w:lineRule="auto"/>
        <w:contextualSpacing/>
        <w:jc w:val="left"/>
        <w:rPr>
          <w:rFonts w:hint="eastAsia" w:ascii="宋体" w:hAnsi="宋体" w:cs="宋体"/>
          <w:b/>
          <w:bCs/>
          <w:shd w:val="clear" w:color="auto" w:fill="FFFFFF"/>
        </w:rPr>
      </w:pPr>
      <w:r>
        <w:rPr>
          <w:rFonts w:hint="eastAsia" w:ascii="宋体" w:hAnsi="宋体" w:cs="宋体"/>
          <w:b/>
          <w:kern w:val="0"/>
          <w:sz w:val="24"/>
          <w:szCs w:val="24"/>
          <w:lang w:val="en-US" w:eastAsia="zh-CN"/>
        </w:rPr>
        <w:t>五</w:t>
      </w:r>
      <w:r>
        <w:rPr>
          <w:rFonts w:hint="eastAsia" w:ascii="宋体" w:hAnsi="宋体" w:cs="宋体"/>
          <w:b/>
          <w:bCs/>
          <w:shd w:val="clear" w:color="auto" w:fill="FFFFFF"/>
        </w:rPr>
        <w:t>、本项目预算金额：</w:t>
      </w:r>
      <w:r>
        <w:rPr>
          <w:rFonts w:hint="eastAsia" w:ascii="宋体" w:hAnsi="宋体" w:cs="宋体"/>
          <w:b/>
          <w:bCs/>
          <w:shd w:val="clear" w:color="auto" w:fill="FFFFFF"/>
          <w:lang w:val="en-US" w:eastAsia="zh-CN"/>
        </w:rPr>
        <w:t>1768000.00元；</w:t>
      </w:r>
      <w:r>
        <w:rPr>
          <w:rFonts w:hint="eastAsia" w:ascii="宋体" w:hAnsi="宋体" w:cs="宋体"/>
          <w:b/>
          <w:bCs/>
          <w:kern w:val="0"/>
          <w:lang w:val="zh-CN"/>
        </w:rPr>
        <w:t>超出最高限价的投标无效。</w:t>
      </w:r>
    </w:p>
    <w:p>
      <w:pPr>
        <w:widowControl/>
        <w:shd w:val="clear" w:color="auto" w:fill="FFFFFF"/>
        <w:spacing w:line="360" w:lineRule="auto"/>
        <w:contextualSpacing/>
        <w:jc w:val="left"/>
        <w:rPr>
          <w:rFonts w:ascii="宋体" w:hAnsi="宋体" w:cs="宋体"/>
          <w:bCs/>
          <w:kern w:val="0"/>
          <w:sz w:val="24"/>
          <w:szCs w:val="24"/>
        </w:rPr>
      </w:pPr>
      <w:r>
        <w:rPr>
          <w:rFonts w:hint="eastAsia" w:ascii="宋体" w:hAnsi="宋体" w:cs="宋体"/>
          <w:b/>
          <w:kern w:val="0"/>
          <w:sz w:val="24"/>
          <w:szCs w:val="24"/>
          <w:lang w:val="en-US" w:eastAsia="zh-CN"/>
        </w:rPr>
        <w:t>六</w:t>
      </w:r>
      <w:r>
        <w:rPr>
          <w:rFonts w:hint="eastAsia" w:ascii="宋体" w:hAnsi="宋体" w:cs="宋体"/>
          <w:b/>
          <w:kern w:val="0"/>
          <w:sz w:val="24"/>
          <w:szCs w:val="24"/>
          <w:lang w:val="zh-CN"/>
        </w:rPr>
        <w:t>、资金支付</w:t>
      </w:r>
      <w:r>
        <w:rPr>
          <w:rFonts w:hint="eastAsia" w:ascii="宋体" w:hAnsi="宋体" w:cs="宋体"/>
          <w:b/>
          <w:kern w:val="0"/>
          <w:sz w:val="24"/>
          <w:szCs w:val="24"/>
          <w:lang w:val="en-US" w:eastAsia="zh-CN"/>
        </w:rPr>
        <w:t>及条件：</w:t>
      </w:r>
      <w:r>
        <w:rPr>
          <w:rFonts w:hint="eastAsia" w:ascii="宋体" w:hAnsi="宋体" w:cs="宋体"/>
          <w:bCs/>
          <w:kern w:val="0"/>
          <w:sz w:val="24"/>
          <w:szCs w:val="24"/>
          <w:lang w:eastAsia="zh-CN"/>
        </w:rPr>
        <w:t>以签订合同为准</w:t>
      </w:r>
    </w:p>
    <w:p>
      <w:pPr>
        <w:spacing w:line="480" w:lineRule="auto"/>
        <w:jc w:val="left"/>
        <w:rPr>
          <w:rFonts w:hint="eastAsia" w:ascii="宋体" w:hAnsi="宋体" w:eastAsia="宋体" w:cs="宋体"/>
          <w:sz w:val="24"/>
          <w:szCs w:val="24"/>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default"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1.项目编号：襄财竞谈-2023-</w:t>
            </w:r>
            <w:r>
              <w:rPr>
                <w:rFonts w:hint="eastAsia" w:ascii="宋体" w:hAnsi="宋体" w:eastAsia="宋体" w:cs="宋体"/>
                <w:kern w:val="0"/>
                <w:sz w:val="24"/>
                <w:szCs w:val="24"/>
                <w:shd w:val="clear" w:color="040000" w:fill="FFFFFF"/>
                <w:lang w:val="en-US" w:eastAsia="zh-CN"/>
              </w:rPr>
              <w:t>37</w:t>
            </w:r>
          </w:p>
          <w:p>
            <w:pPr>
              <w:autoSpaceDE w:val="0"/>
              <w:autoSpaceDN w:val="0"/>
              <w:adjustRightInd w:val="0"/>
              <w:spacing w:line="360" w:lineRule="auto"/>
              <w:jc w:val="left"/>
              <w:rPr>
                <w:rFonts w:hint="eastAsia" w:ascii="宋体" w:hAnsi="宋体" w:eastAsia="宋体" w:cs="Arial"/>
                <w:kern w:val="0"/>
                <w:sz w:val="24"/>
                <w:szCs w:val="24"/>
              </w:rPr>
            </w:pPr>
            <w:r>
              <w:rPr>
                <w:rFonts w:hint="eastAsia" w:ascii="宋体" w:hAnsi="宋体" w:eastAsia="宋体" w:cs="宋体"/>
                <w:kern w:val="0"/>
                <w:sz w:val="24"/>
                <w:szCs w:val="24"/>
                <w:shd w:val="clear" w:color="040000" w:fill="FFFFFF"/>
              </w:rPr>
              <w:t>2.项目名称</w:t>
            </w:r>
            <w:r>
              <w:rPr>
                <w:rFonts w:hint="eastAsia" w:ascii="宋体" w:hAnsi="宋体" w:eastAsia="宋体" w:cs="宋体"/>
                <w:kern w:val="0"/>
                <w:sz w:val="24"/>
                <w:szCs w:val="24"/>
                <w:shd w:val="clear" w:color="040000" w:fill="FFFFFF"/>
                <w:lang w:eastAsia="zh-CN"/>
              </w:rPr>
              <w:t>：</w:t>
            </w:r>
            <w:r>
              <w:rPr>
                <w:rFonts w:hint="eastAsia" w:ascii="宋体" w:hAnsi="宋体" w:eastAsia="宋体" w:cs="Arial"/>
                <w:kern w:val="0"/>
                <w:sz w:val="24"/>
                <w:szCs w:val="24"/>
              </w:rPr>
              <w:t>申请拨付1792路监控网络服务（不见面开标）</w:t>
            </w:r>
          </w:p>
          <w:p>
            <w:pPr>
              <w:autoSpaceDE w:val="0"/>
              <w:autoSpaceDN w:val="0"/>
              <w:adjustRightInd w:val="0"/>
              <w:spacing w:line="360" w:lineRule="auto"/>
              <w:jc w:val="left"/>
              <w:rPr>
                <w:rFonts w:hint="eastAsia" w:ascii="宋体" w:hAnsi="宋体" w:cs="宋体" w:eastAsiaTheme="majorEastAsia"/>
                <w:kern w:val="0"/>
                <w:sz w:val="24"/>
                <w:szCs w:val="24"/>
                <w:shd w:val="clear" w:color="040000" w:fill="FFFFFF"/>
                <w:lang w:eastAsia="zh-CN"/>
              </w:rPr>
            </w:pPr>
            <w:r>
              <w:rPr>
                <w:rFonts w:hint="eastAsia" w:ascii="宋体" w:hAnsi="宋体" w:eastAsia="宋体" w:cs="宋体"/>
                <w:kern w:val="0"/>
                <w:sz w:val="24"/>
                <w:szCs w:val="24"/>
                <w:shd w:val="clear" w:color="040000" w:fill="FFFFFF"/>
              </w:rPr>
              <w:t>3.采购需求：</w:t>
            </w:r>
            <w:r>
              <w:rPr>
                <w:rFonts w:hint="eastAsia" w:asciiTheme="majorEastAsia" w:hAnsiTheme="majorEastAsia" w:eastAsiaTheme="majorEastAsia"/>
                <w:sz w:val="24"/>
                <w:szCs w:val="24"/>
              </w:rPr>
              <w:t>项目采购项目采购完成全县16 个乡镇，448 个行政村的1792个视频监控点的网络连接及县城区重点项目连接和与政法委监控平台的无缝对接；其他详细参数见招标文件第二章“项目需求”</w:t>
            </w:r>
            <w:r>
              <w:rPr>
                <w:rFonts w:hint="eastAsia" w:asciiTheme="majorEastAsia" w:hAnsiTheme="majorEastAsia" w:eastAsiaTheme="majorEastAsia"/>
                <w:sz w:val="24"/>
                <w:szCs w:val="24"/>
                <w:lang w:eastAsia="zh-CN"/>
              </w:rPr>
              <w:t>。</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Arial"/>
                <w:kern w:val="0"/>
                <w:sz w:val="24"/>
                <w:szCs w:val="24"/>
                <w:lang w:val="en-US" w:eastAsia="zh-CN"/>
              </w:rPr>
            </w:pPr>
            <w:r>
              <w:rPr>
                <w:rFonts w:hint="eastAsia" w:cs="仿宋_GB2312" w:asciiTheme="minorEastAsia" w:hAnsiTheme="minorEastAsia"/>
                <w:sz w:val="24"/>
                <w:szCs w:val="24"/>
              </w:rPr>
              <w:t>名称：</w:t>
            </w:r>
            <w:r>
              <w:rPr>
                <w:rFonts w:hint="eastAsia" w:ascii="宋体" w:hAnsi="宋体" w:eastAsia="宋体" w:cs="Arial"/>
                <w:kern w:val="0"/>
                <w:sz w:val="24"/>
                <w:szCs w:val="24"/>
                <w:lang w:val="en-US" w:eastAsia="zh-CN"/>
              </w:rPr>
              <w:t>中共襄城县委政法委员会</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0"/>
                <w:sz w:val="24"/>
                <w:szCs w:val="24"/>
                <w:lang w:val="en-US" w:eastAsia="zh-CN"/>
              </w:rPr>
              <w:t>杨再星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Arial"/>
                <w:kern w:val="0"/>
                <w:sz w:val="24"/>
                <w:szCs w:val="24"/>
              </w:rPr>
              <w:t>13569910017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 xml:space="preserve">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zh-CN" w:eastAsia="zh-CN"/>
              </w:rPr>
              <w:t>1768000.00</w:t>
            </w:r>
            <w:r>
              <w:rPr>
                <w:rFonts w:hint="eastAsia" w:cs="宋体" w:asciiTheme="minorEastAsia" w:hAnsiTheme="minorEastAsia"/>
                <w:b/>
                <w:bCs/>
                <w:sz w:val="28"/>
                <w:szCs w:val="28"/>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10</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31</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09</w:t>
            </w:r>
            <w:r>
              <w:rPr>
                <w:rFonts w:hint="eastAsia" w:cs="宋体" w:asciiTheme="minorEastAsia" w:hAnsiTheme="minorEastAsia"/>
                <w:b/>
                <w:bCs/>
                <w:sz w:val="36"/>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cs="宋体" w:asciiTheme="minorEastAsia" w:hAnsiTheme="minorEastAsia"/>
                <w:sz w:val="24"/>
                <w:szCs w:val="24"/>
                <w:lang w:val="en-US" w:eastAsia="zh-CN"/>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sz w:val="24"/>
                <w:szCs w:val="24"/>
                <w:lang w:val="en-US" w:eastAsia="zh-CN"/>
              </w:rPr>
              <w:t>服务业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62"/>
              <w:ind w:firstLine="600" w:firstLineChars="250"/>
              <w:jc w:val="both"/>
              <w:rPr>
                <w:rFonts w:hAnsi="宋体" w:asciiTheme="minorHAnsi" w:eastAsiaTheme="minorEastAsia"/>
                <w:color w:val="auto"/>
                <w:kern w:val="2"/>
              </w:rPr>
            </w:pPr>
          </w:p>
          <w:p>
            <w:pPr>
              <w:pStyle w:val="62"/>
              <w:ind w:firstLine="600" w:firstLineChars="250"/>
              <w:jc w:val="both"/>
              <w:rPr>
                <w:rFonts w:hAnsi="宋体" w:asciiTheme="minorHAnsi" w:eastAsiaTheme="minorEastAsia"/>
                <w:color w:val="auto"/>
                <w:kern w:val="2"/>
              </w:rPr>
            </w:pPr>
          </w:p>
          <w:p>
            <w:pPr>
              <w:pStyle w:val="6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4"/>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4"/>
        <w:numPr>
          <w:ilvl w:val="1"/>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4"/>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4"/>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4"/>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4"/>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4"/>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4"/>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4"/>
        <w:numPr>
          <w:ilvl w:val="1"/>
          <w:numId w:val="8"/>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4"/>
        <w:numPr>
          <w:ilvl w:val="0"/>
          <w:numId w:val="6"/>
        </w:numPr>
        <w:autoSpaceDE w:val="0"/>
        <w:autoSpaceDN w:val="0"/>
        <w:spacing w:line="360" w:lineRule="auto"/>
        <w:ind w:firstLineChars="0"/>
        <w:contextualSpacing/>
        <w:rPr>
          <w:rFonts w:ascii="宋体" w:hAnsi="宋体" w:cs="宋体"/>
          <w:vanish/>
          <w:kern w:val="0"/>
          <w:sz w:val="24"/>
          <w:szCs w:val="24"/>
        </w:rPr>
      </w:pPr>
    </w:p>
    <w:p>
      <w:pPr>
        <w:pStyle w:val="64"/>
        <w:numPr>
          <w:ilvl w:val="0"/>
          <w:numId w:val="6"/>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4"/>
        <w:numPr>
          <w:ilvl w:val="1"/>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20"/>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20"/>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4"/>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20"/>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70"/>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2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2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2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4"/>
        <w:numPr>
          <w:ilvl w:val="1"/>
          <w:numId w:val="11"/>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4"/>
        <w:numPr>
          <w:ilvl w:val="0"/>
          <w:numId w:val="6"/>
        </w:numPr>
        <w:autoSpaceDE w:val="0"/>
        <w:autoSpaceDN w:val="0"/>
        <w:spacing w:line="360" w:lineRule="auto"/>
        <w:ind w:firstLineChars="0"/>
        <w:contextualSpacing/>
        <w:rPr>
          <w:rFonts w:ascii="宋体" w:hAnsi="宋体" w:cs="宋体"/>
          <w:vanish/>
          <w:kern w:val="0"/>
          <w:sz w:val="24"/>
          <w:szCs w:val="24"/>
        </w:rPr>
      </w:pPr>
    </w:p>
    <w:p>
      <w:pPr>
        <w:pStyle w:val="64"/>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4"/>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4"/>
        <w:numPr>
          <w:ilvl w:val="1"/>
          <w:numId w:val="6"/>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通过《全国公共资源交易平台（河南省·许昌市）》一次性提出，提出后电话联系本项目谈判公告中集采机构联系人查看，如未提出视为全面接受；</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20%（10%-20%）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20"/>
        <w:spacing w:line="360" w:lineRule="auto"/>
        <w:contextualSpacing/>
        <w:rPr>
          <w:rFonts w:hAnsi="宋体" w:cs="宋体"/>
          <w:lang w:val="zh-CN"/>
        </w:rPr>
      </w:pPr>
    </w:p>
    <w:p>
      <w:pPr>
        <w:pStyle w:val="20"/>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40"/>
              <w:ind w:firstLine="0" w:firstLineChars="0"/>
              <w:rPr>
                <w:rFonts w:hint="eastAsia" w:eastAsia="宋体" w:cs="宋体" w:asciiTheme="minorEastAsia" w:hAnsiTheme="minorEastAsia"/>
                <w:b/>
                <w:kern w:val="0"/>
                <w:sz w:val="24"/>
                <w:szCs w:val="24"/>
                <w:lang w:val="en-US" w:eastAsia="zh-CN"/>
              </w:rPr>
            </w:pPr>
            <w:r>
              <w:rPr>
                <w:rFonts w:hint="eastAsia" w:eastAsia="宋体" w:cs="宋体" w:asciiTheme="minorEastAsia" w:hAnsiTheme="minorEastAsia"/>
                <w:b/>
                <w:kern w:val="0"/>
                <w:sz w:val="24"/>
                <w:szCs w:val="24"/>
                <w:lang w:val="en-US" w:eastAsia="zh-CN"/>
              </w:rPr>
              <w:t>无</w:t>
            </w:r>
          </w:p>
        </w:tc>
      </w:tr>
    </w:tbl>
    <w:p>
      <w:pPr>
        <w:pStyle w:val="20"/>
        <w:spacing w:line="360" w:lineRule="auto"/>
        <w:contextualSpacing/>
        <w:rPr>
          <w:rFonts w:ascii="宋体" w:hAnsi="宋体" w:cs="宋体"/>
          <w:b/>
          <w:szCs w:val="24"/>
          <w:lang w:val="zh-CN"/>
        </w:rPr>
      </w:pPr>
    </w:p>
    <w:p>
      <w:pPr>
        <w:pStyle w:val="20"/>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20"/>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2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2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20"/>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1"/>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20"/>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20"/>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8"/>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84023138"/>
      <w:bookmarkStart w:id="3" w:name="_Toc186274126"/>
      <w:bookmarkStart w:id="4" w:name="_Toc174185203"/>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42"/>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9"/>
        <w:ind w:firstLine="0" w:firstLineChars="0"/>
        <w:rPr>
          <w:rFonts w:hAnsi="宋体" w:cs="微软雅黑"/>
          <w:szCs w:val="28"/>
        </w:rPr>
      </w:pPr>
    </w:p>
    <w:p>
      <w:pPr>
        <w:pStyle w:val="29"/>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4"/>
        <w:tabs>
          <w:tab w:val="left" w:pos="660"/>
        </w:tabs>
        <w:snapToGrid w:val="0"/>
        <w:spacing w:before="0" w:line="400" w:lineRule="exact"/>
        <w:rPr>
          <w:rFonts w:cs="黑体"/>
          <w:color w:val="auto"/>
          <w:kern w:val="2"/>
          <w:sz w:val="32"/>
          <w:szCs w:val="32"/>
          <w:lang w:val="zh-CN"/>
        </w:rPr>
      </w:pPr>
    </w:p>
    <w:p>
      <w:pPr>
        <w:pStyle w:val="74"/>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1"/>
        <w:tblW w:w="4998" w:type="pct"/>
        <w:tblInd w:w="0" w:type="dxa"/>
        <w:tblLayout w:type="autofit"/>
        <w:tblCellMar>
          <w:top w:w="0" w:type="dxa"/>
          <w:left w:w="108" w:type="dxa"/>
          <w:bottom w:w="0" w:type="dxa"/>
          <w:right w:w="108" w:type="dxa"/>
        </w:tblCellMar>
      </w:tblPr>
      <w:tblGrid>
        <w:gridCol w:w="722"/>
        <w:gridCol w:w="1254"/>
        <w:gridCol w:w="3008"/>
        <w:gridCol w:w="2490"/>
        <w:gridCol w:w="2490"/>
      </w:tblGrid>
      <w:tr>
        <w:tblPrEx>
          <w:tblCellMar>
            <w:top w:w="0" w:type="dxa"/>
            <w:left w:w="108" w:type="dxa"/>
            <w:bottom w:w="0" w:type="dxa"/>
            <w:right w:w="108" w:type="dxa"/>
          </w:tblCellMar>
        </w:tblPrEx>
        <w:trPr>
          <w:trHeight w:val="467" w:hRule="atLeast"/>
        </w:trPr>
        <w:tc>
          <w:tcPr>
            <w:tcW w:w="362"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6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150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en-US" w:eastAsia="zh-CN"/>
              </w:rPr>
              <w:t>投标报价</w:t>
            </w:r>
            <w:bookmarkStart w:id="10" w:name="_GoBack"/>
            <w:bookmarkEnd w:id="10"/>
            <w:r>
              <w:rPr>
                <w:rFonts w:hint="eastAsia" w:ascii="宋体" w:hAnsi="宋体" w:eastAsia="宋体" w:cs="宋体"/>
                <w:b/>
                <w:sz w:val="24"/>
                <w:szCs w:val="24"/>
                <w:lang w:val="zh-CN"/>
              </w:rPr>
              <w:t>（</w:t>
            </w:r>
            <w:r>
              <w:rPr>
                <w:rFonts w:hint="eastAsia" w:ascii="宋体" w:hAnsi="宋体" w:eastAsia="宋体" w:cs="宋体"/>
                <w:b/>
                <w:sz w:val="24"/>
                <w:szCs w:val="24"/>
                <w:lang w:val="en-US" w:eastAsia="zh-CN"/>
              </w:rPr>
              <w:t>元</w:t>
            </w:r>
            <w:r>
              <w:rPr>
                <w:rFonts w:hint="eastAsia" w:ascii="宋体" w:hAnsi="宋体" w:eastAsia="宋体" w:cs="宋体"/>
                <w:b/>
                <w:sz w:val="24"/>
                <w:szCs w:val="24"/>
                <w:lang w:val="zh-CN"/>
              </w:rPr>
              <w:t>）</w:t>
            </w:r>
          </w:p>
        </w:tc>
        <w:tc>
          <w:tcPr>
            <w:tcW w:w="124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服务期限</w:t>
            </w:r>
          </w:p>
        </w:tc>
        <w:tc>
          <w:tcPr>
            <w:tcW w:w="124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36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6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50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p>
        </w:tc>
        <w:tc>
          <w:tcPr>
            <w:tcW w:w="124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p>
        </w:tc>
        <w:tc>
          <w:tcPr>
            <w:tcW w:w="124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40"/>
        <w:ind w:firstLine="0" w:firstLineChars="0"/>
        <w:rPr>
          <w:rFonts w:ascii="宋体" w:hAnsi="宋体" w:eastAsia="宋体" w:cs="宋体"/>
          <w:sz w:val="24"/>
          <w:szCs w:val="24"/>
          <w:lang w:val="zh-CN"/>
        </w:rPr>
      </w:pPr>
    </w:p>
    <w:p>
      <w:pPr>
        <w:pStyle w:val="4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2"/>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40"/>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val="en-US" w:eastAsia="zh-CN"/>
        </w:rPr>
        <w:t>谈判</w:t>
      </w:r>
      <w:r>
        <w:rPr>
          <w:rFonts w:hint="eastAsia" w:ascii="宋体" w:hAnsi="宋体" w:cs="Courier New"/>
          <w:sz w:val="24"/>
          <w:szCs w:val="24"/>
        </w:rPr>
        <w:t>文件提供的全部货物与相关服务的响应总价</w:t>
      </w:r>
      <w:r>
        <w:rPr>
          <w:rFonts w:hint="eastAsia" w:cs="Arial"/>
          <w:sz w:val="26"/>
          <w:szCs w:val="26"/>
          <w:lang w:val="en-US" w:eastAsia="zh-CN"/>
        </w:rPr>
        <w:t>大写</w:t>
      </w:r>
      <w:r>
        <w:rPr>
          <w:rFonts w:hint="eastAsia" w:cs="Arial"/>
          <w:sz w:val="26"/>
          <w:szCs w:val="26"/>
          <w:u w:val="single"/>
        </w:rPr>
        <w:t xml:space="preserve">      </w:t>
      </w:r>
      <w:r>
        <w:rPr>
          <w:rFonts w:hint="eastAsia" w:cs="Arial"/>
          <w:sz w:val="26"/>
          <w:szCs w:val="26"/>
          <w:u w:val="single"/>
          <w:lang w:val="en-US" w:eastAsia="zh-CN"/>
        </w:rPr>
        <w:t>，</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8"/>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8"/>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8"/>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8"/>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9"/>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62"/>
        <w:rPr>
          <w:rFonts w:hAnsi="宋体"/>
          <w:color w:val="auto"/>
        </w:rPr>
      </w:pPr>
    </w:p>
    <w:p>
      <w:pPr>
        <w:pStyle w:val="62"/>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6"/>
        <w:spacing w:line="480" w:lineRule="auto"/>
        <w:ind w:firstLine="540" w:firstLineChars="225"/>
        <w:jc w:val="left"/>
        <w:rPr>
          <w:rFonts w:hAnsi="宋体"/>
          <w:szCs w:val="24"/>
        </w:rPr>
      </w:pPr>
      <w:r>
        <w:rPr>
          <w:rFonts w:hint="eastAsia" w:hAnsi="宋体"/>
          <w:szCs w:val="24"/>
        </w:rPr>
        <w:t>地址：</w:t>
      </w:r>
    </w:p>
    <w:p>
      <w:pPr>
        <w:pStyle w:val="6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6"/>
        <w:spacing w:line="480" w:lineRule="auto"/>
        <w:ind w:firstLine="540" w:firstLineChars="225"/>
        <w:jc w:val="left"/>
        <w:rPr>
          <w:rFonts w:hAnsi="宋体"/>
          <w:szCs w:val="24"/>
        </w:rPr>
      </w:pPr>
    </w:p>
    <w:p>
      <w:pPr>
        <w:pStyle w:val="66"/>
        <w:spacing w:line="480" w:lineRule="auto"/>
        <w:ind w:firstLine="540" w:firstLineChars="225"/>
        <w:jc w:val="left"/>
        <w:rPr>
          <w:rFonts w:hAnsi="宋体"/>
          <w:szCs w:val="24"/>
        </w:rPr>
      </w:pPr>
    </w:p>
    <w:p>
      <w:pPr>
        <w:pStyle w:val="6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9"/>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8"/>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4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40"/>
        <w:ind w:firstLine="480"/>
        <w:rPr>
          <w:rFonts w:ascii="宋体" w:hAnsi="宋体" w:eastAsia="宋体" w:cs="宋体"/>
          <w:sz w:val="24"/>
          <w:szCs w:val="24"/>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asciiTheme="majorEastAsia" w:hAnsiTheme="majorEastAsia" w:eastAsiaTheme="majorEastAsia"/>
          <w:b/>
          <w:bCs/>
          <w:sz w:val="24"/>
          <w:szCs w:val="24"/>
        </w:rPr>
        <w:t>（</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b/>
          <w:bCs/>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4"/>
      <w:bookmarkStart w:id="9" w:name="OLE_LINK13"/>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D3C0819B"/>
    <w:multiLevelType w:val="singleLevel"/>
    <w:tmpl w:val="D3C0819B"/>
    <w:lvl w:ilvl="0" w:tentative="0">
      <w:start w:val="8"/>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0">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10"/>
  </w:num>
  <w:num w:numId="4">
    <w:abstractNumId w:val="4"/>
  </w:num>
  <w:num w:numId="5">
    <w:abstractNumId w:val="9"/>
  </w:num>
  <w:num w:numId="6">
    <w:abstractNumId w:val="6"/>
  </w:num>
  <w:num w:numId="7">
    <w:abstractNumId w:val="8"/>
  </w:num>
  <w:num w:numId="8">
    <w:abstractNumId w:val="5"/>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5NWU2NDRmYjYzYTM1YWY4ZGFlMTJiZDVhMTM3ZWE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3BE185C"/>
    <w:rsid w:val="053F5432"/>
    <w:rsid w:val="05746CEC"/>
    <w:rsid w:val="064E7C45"/>
    <w:rsid w:val="0A1C41D7"/>
    <w:rsid w:val="0CAE7D79"/>
    <w:rsid w:val="0E155530"/>
    <w:rsid w:val="0F492F98"/>
    <w:rsid w:val="0FAB5FD7"/>
    <w:rsid w:val="100B4F00"/>
    <w:rsid w:val="14214638"/>
    <w:rsid w:val="149819C8"/>
    <w:rsid w:val="15DD55FA"/>
    <w:rsid w:val="15EE44D7"/>
    <w:rsid w:val="161F53FC"/>
    <w:rsid w:val="18225C86"/>
    <w:rsid w:val="197B011F"/>
    <w:rsid w:val="19F336D0"/>
    <w:rsid w:val="1A476EB4"/>
    <w:rsid w:val="1AB570BD"/>
    <w:rsid w:val="1AB905E9"/>
    <w:rsid w:val="1BC27E34"/>
    <w:rsid w:val="1C317F37"/>
    <w:rsid w:val="1C527EEE"/>
    <w:rsid w:val="1D90357B"/>
    <w:rsid w:val="21B622BD"/>
    <w:rsid w:val="21DF17AC"/>
    <w:rsid w:val="22B643D4"/>
    <w:rsid w:val="25063B3A"/>
    <w:rsid w:val="25720679"/>
    <w:rsid w:val="27B5253B"/>
    <w:rsid w:val="27DA7E0D"/>
    <w:rsid w:val="28645955"/>
    <w:rsid w:val="28E25ED8"/>
    <w:rsid w:val="2C2E4C48"/>
    <w:rsid w:val="2CDF2443"/>
    <w:rsid w:val="2CF2542C"/>
    <w:rsid w:val="2D5F028F"/>
    <w:rsid w:val="2DD940B6"/>
    <w:rsid w:val="2EDC0C65"/>
    <w:rsid w:val="2F45482D"/>
    <w:rsid w:val="2F477084"/>
    <w:rsid w:val="30201025"/>
    <w:rsid w:val="302557C4"/>
    <w:rsid w:val="305F0D15"/>
    <w:rsid w:val="307D673F"/>
    <w:rsid w:val="32B20743"/>
    <w:rsid w:val="33FC6231"/>
    <w:rsid w:val="35306958"/>
    <w:rsid w:val="36475A22"/>
    <w:rsid w:val="369D517D"/>
    <w:rsid w:val="391E6950"/>
    <w:rsid w:val="3A1A525E"/>
    <w:rsid w:val="3A8A2780"/>
    <w:rsid w:val="3B380893"/>
    <w:rsid w:val="3CCC1107"/>
    <w:rsid w:val="3D96637E"/>
    <w:rsid w:val="3E917D5A"/>
    <w:rsid w:val="3EF664DB"/>
    <w:rsid w:val="446B0669"/>
    <w:rsid w:val="46366161"/>
    <w:rsid w:val="46E35449"/>
    <w:rsid w:val="473960E8"/>
    <w:rsid w:val="485128BA"/>
    <w:rsid w:val="49574371"/>
    <w:rsid w:val="4B0D3D20"/>
    <w:rsid w:val="4D005CCE"/>
    <w:rsid w:val="505F0174"/>
    <w:rsid w:val="50C7185D"/>
    <w:rsid w:val="51352836"/>
    <w:rsid w:val="53215907"/>
    <w:rsid w:val="532D5146"/>
    <w:rsid w:val="544C0545"/>
    <w:rsid w:val="54971B7A"/>
    <w:rsid w:val="551F3830"/>
    <w:rsid w:val="553C072C"/>
    <w:rsid w:val="57AC6B77"/>
    <w:rsid w:val="58A31F4C"/>
    <w:rsid w:val="58BE1257"/>
    <w:rsid w:val="5C9D2E5E"/>
    <w:rsid w:val="5CB139A0"/>
    <w:rsid w:val="5D1A2817"/>
    <w:rsid w:val="5F930E52"/>
    <w:rsid w:val="614E3A65"/>
    <w:rsid w:val="625A29C1"/>
    <w:rsid w:val="62AD6C8A"/>
    <w:rsid w:val="63B47F1F"/>
    <w:rsid w:val="64F63B27"/>
    <w:rsid w:val="67341FB4"/>
    <w:rsid w:val="69FB4D8B"/>
    <w:rsid w:val="6B6C5492"/>
    <w:rsid w:val="6D082649"/>
    <w:rsid w:val="6D0A6C54"/>
    <w:rsid w:val="6D32159C"/>
    <w:rsid w:val="6E3E58E1"/>
    <w:rsid w:val="714B0BB4"/>
    <w:rsid w:val="71584775"/>
    <w:rsid w:val="719E6AF6"/>
    <w:rsid w:val="72001B41"/>
    <w:rsid w:val="73612AB3"/>
    <w:rsid w:val="755E1E93"/>
    <w:rsid w:val="75AB4839"/>
    <w:rsid w:val="767C5E46"/>
    <w:rsid w:val="76A15D08"/>
    <w:rsid w:val="76B625A7"/>
    <w:rsid w:val="77AC7C4B"/>
    <w:rsid w:val="78AF68A0"/>
    <w:rsid w:val="7B8317BC"/>
    <w:rsid w:val="7C0E5AA7"/>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45"/>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46"/>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47"/>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48"/>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49"/>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50"/>
    <w:qFormat/>
    <w:uiPriority w:val="0"/>
    <w:rPr>
      <w:rFonts w:ascii="Times New Roman" w:hAnsi="Times New Roman" w:eastAsia="宋体" w:cs="Times New Roman"/>
      <w:color w:val="FF0000"/>
      <w:sz w:val="24"/>
      <w:szCs w:val="24"/>
    </w:rPr>
  </w:style>
  <w:style w:type="paragraph" w:styleId="14">
    <w:name w:val="Body Text"/>
    <w:basedOn w:val="1"/>
    <w:link w:val="51"/>
    <w:semiHidden/>
    <w:unhideWhenUsed/>
    <w:qFormat/>
    <w:uiPriority w:val="99"/>
    <w:pPr>
      <w:spacing w:after="120"/>
    </w:pPr>
  </w:style>
  <w:style w:type="paragraph" w:styleId="15">
    <w:name w:val="Body Text Indent"/>
    <w:basedOn w:val="1"/>
    <w:next w:val="16"/>
    <w:link w:val="52"/>
    <w:qFormat/>
    <w:uiPriority w:val="99"/>
    <w:pPr>
      <w:adjustRightInd w:val="0"/>
      <w:spacing w:after="120" w:line="360" w:lineRule="atLeast"/>
      <w:ind w:left="420" w:leftChars="200"/>
      <w:jc w:val="left"/>
      <w:textAlignment w:val="baseline"/>
    </w:pPr>
    <w:rPr>
      <w:kern w:val="0"/>
      <w:sz w:val="24"/>
      <w:szCs w:val="20"/>
    </w:rPr>
  </w:style>
  <w:style w:type="paragraph" w:styleId="16">
    <w:name w:val="envelope return"/>
    <w:basedOn w:val="1"/>
    <w:qFormat/>
    <w:uiPriority w:val="0"/>
    <w:pPr>
      <w:snapToGrid w:val="0"/>
    </w:pPr>
    <w:rPr>
      <w:rFonts w:ascii="Arial" w:hAnsi="Arial" w:eastAsia="宋体" w:cs="Times New Roman"/>
    </w:rPr>
  </w:style>
  <w:style w:type="paragraph" w:styleId="17">
    <w:name w:val="Block Text"/>
    <w:basedOn w:val="1"/>
    <w:semiHidden/>
    <w:unhideWhenUsed/>
    <w:qFormat/>
    <w:uiPriority w:val="99"/>
    <w:pPr>
      <w:spacing w:after="120"/>
      <w:ind w:left="1440" w:leftChars="700" w:right="1440" w:rightChars="700"/>
    </w:p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3"/>
    <w:qFormat/>
    <w:uiPriority w:val="0"/>
    <w:rPr>
      <w:rFonts w:eastAsia="宋体"/>
      <w:sz w:val="24"/>
    </w:rPr>
  </w:style>
  <w:style w:type="paragraph" w:styleId="21">
    <w:name w:val="Date"/>
    <w:basedOn w:val="1"/>
    <w:next w:val="1"/>
    <w:link w:val="54"/>
    <w:unhideWhenUsed/>
    <w:qFormat/>
    <w:uiPriority w:val="0"/>
    <w:pPr>
      <w:ind w:left="100" w:leftChars="2500"/>
    </w:pPr>
  </w:style>
  <w:style w:type="paragraph" w:styleId="22">
    <w:name w:val="Body Text Indent 2"/>
    <w:basedOn w:val="1"/>
    <w:link w:val="55"/>
    <w:semiHidden/>
    <w:unhideWhenUsed/>
    <w:qFormat/>
    <w:uiPriority w:val="99"/>
    <w:pPr>
      <w:spacing w:after="120" w:line="480" w:lineRule="auto"/>
      <w:ind w:left="420" w:leftChars="200"/>
    </w:pPr>
  </w:style>
  <w:style w:type="paragraph" w:styleId="23">
    <w:name w:val="Balloon Text"/>
    <w:basedOn w:val="1"/>
    <w:link w:val="56"/>
    <w:unhideWhenUsed/>
    <w:qFormat/>
    <w:uiPriority w:val="0"/>
    <w:rPr>
      <w:sz w:val="18"/>
      <w:szCs w:val="18"/>
    </w:rPr>
  </w:style>
  <w:style w:type="paragraph" w:styleId="24">
    <w:name w:val="footer"/>
    <w:basedOn w:val="1"/>
    <w:link w:val="57"/>
    <w:unhideWhenUsed/>
    <w:qFormat/>
    <w:uiPriority w:val="99"/>
    <w:pPr>
      <w:tabs>
        <w:tab w:val="center" w:pos="4153"/>
        <w:tab w:val="right" w:pos="8306"/>
      </w:tabs>
      <w:snapToGrid w:val="0"/>
      <w:jc w:val="left"/>
    </w:pPr>
    <w:rPr>
      <w:sz w:val="18"/>
      <w:szCs w:val="18"/>
    </w:rPr>
  </w:style>
  <w:style w:type="paragraph" w:styleId="25">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paragraph" w:styleId="29">
    <w:name w:val="Body Text First Indent"/>
    <w:basedOn w:val="14"/>
    <w:link w:val="60"/>
    <w:qFormat/>
    <w:uiPriority w:val="0"/>
    <w:pPr>
      <w:ind w:firstLine="420" w:firstLineChars="100"/>
    </w:pPr>
    <w:rPr>
      <w:rFonts w:ascii="宋体" w:hAnsi="Times New Roman" w:eastAsia="宋体" w:cs="Times New Roman"/>
      <w:kern w:val="0"/>
      <w:sz w:val="34"/>
      <w:szCs w:val="20"/>
    </w:rPr>
  </w:style>
  <w:style w:type="paragraph" w:styleId="30">
    <w:name w:val="Body Text First Indent 2"/>
    <w:basedOn w:val="15"/>
    <w:next w:val="1"/>
    <w:qFormat/>
    <w:uiPriority w:val="0"/>
    <w:pPr>
      <w:ind w:firstLine="420" w:firstLineChars="200"/>
    </w:pPr>
    <w:rPr>
      <w:rFonts w:ascii="Calibri" w:hAnsi="Calibri"/>
    </w:rPr>
  </w:style>
  <w:style w:type="table" w:styleId="32">
    <w:name w:val="Table Grid"/>
    <w:basedOn w:val="3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unhideWhenUsed/>
    <w:qFormat/>
    <w:uiPriority w:val="99"/>
    <w:rPr>
      <w:color w:val="800080" w:themeColor="followedHyperlink"/>
      <w:u w:val="single"/>
    </w:rPr>
  </w:style>
  <w:style w:type="character" w:styleId="37">
    <w:name w:val="Emphasis"/>
    <w:basedOn w:val="33"/>
    <w:qFormat/>
    <w:uiPriority w:val="0"/>
    <w:rPr>
      <w:i/>
      <w:iCs/>
    </w:rPr>
  </w:style>
  <w:style w:type="character" w:styleId="38">
    <w:name w:val="Hyperlink"/>
    <w:basedOn w:val="33"/>
    <w:unhideWhenUsed/>
    <w:qFormat/>
    <w:uiPriority w:val="99"/>
    <w:rPr>
      <w:color w:val="0000FF"/>
      <w:u w:val="single"/>
    </w:rPr>
  </w:style>
  <w:style w:type="paragraph" w:customStyle="1" w:styleId="39">
    <w:name w:val="_Style 3"/>
    <w:basedOn w:val="1"/>
    <w:qFormat/>
    <w:uiPriority w:val="0"/>
    <w:pPr>
      <w:widowControl w:val="0"/>
      <w:jc w:val="both"/>
    </w:pPr>
    <w:rPr>
      <w:kern w:val="2"/>
      <w:sz w:val="21"/>
      <w:szCs w:val="22"/>
      <w:lang w:val="en-US" w:eastAsia="zh-CN" w:bidi="ar-SA"/>
    </w:rPr>
  </w:style>
  <w:style w:type="paragraph" w:customStyle="1" w:styleId="40">
    <w:name w:val="列出段落1"/>
    <w:basedOn w:val="1"/>
    <w:qFormat/>
    <w:uiPriority w:val="34"/>
    <w:pPr>
      <w:ind w:firstLine="420" w:firstLineChars="200"/>
    </w:pPr>
  </w:style>
  <w:style w:type="character" w:customStyle="1" w:styleId="41">
    <w:name w:val="标题 1 Char"/>
    <w:basedOn w:val="33"/>
    <w:link w:val="2"/>
    <w:qFormat/>
    <w:uiPriority w:val="0"/>
    <w:rPr>
      <w:rFonts w:ascii="Calibri" w:hAnsi="Calibri" w:eastAsia="宋体" w:cs="Times New Roman"/>
      <w:b/>
      <w:bCs/>
      <w:kern w:val="44"/>
      <w:sz w:val="44"/>
      <w:szCs w:val="44"/>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宋体" w:hAnsi="宋体" w:eastAsia="宋体" w:cs="Times New Roman"/>
      <w:b/>
      <w:color w:val="000000"/>
      <w:kern w:val="0"/>
      <w:sz w:val="24"/>
      <w:szCs w:val="20"/>
      <w:lang w:val="en-GB"/>
    </w:rPr>
  </w:style>
  <w:style w:type="character" w:customStyle="1" w:styleId="44">
    <w:name w:val="标题 4 Char"/>
    <w:basedOn w:val="33"/>
    <w:link w:val="5"/>
    <w:qFormat/>
    <w:uiPriority w:val="0"/>
    <w:rPr>
      <w:rFonts w:ascii="Arial" w:hAnsi="Arial" w:eastAsia="黑体" w:cs="Times New Roman"/>
      <w:b/>
      <w:bCs/>
      <w:sz w:val="28"/>
      <w:szCs w:val="28"/>
    </w:rPr>
  </w:style>
  <w:style w:type="character" w:customStyle="1" w:styleId="45">
    <w:name w:val="标题 5 Char"/>
    <w:basedOn w:val="33"/>
    <w:link w:val="6"/>
    <w:qFormat/>
    <w:uiPriority w:val="0"/>
    <w:rPr>
      <w:rFonts w:ascii="Times New Roman" w:hAnsi="Times New Roman" w:eastAsia="宋体" w:cs="Times New Roman"/>
      <w:b/>
      <w:bCs/>
      <w:sz w:val="28"/>
      <w:szCs w:val="28"/>
    </w:rPr>
  </w:style>
  <w:style w:type="character" w:customStyle="1" w:styleId="46">
    <w:name w:val="标题 6 Char"/>
    <w:basedOn w:val="33"/>
    <w:link w:val="7"/>
    <w:qFormat/>
    <w:uiPriority w:val="0"/>
    <w:rPr>
      <w:rFonts w:ascii="Arial" w:hAnsi="Arial" w:eastAsia="黑体" w:cs="Times New Roman"/>
      <w:b/>
      <w:bCs/>
      <w:sz w:val="24"/>
      <w:szCs w:val="24"/>
    </w:rPr>
  </w:style>
  <w:style w:type="character" w:customStyle="1" w:styleId="47">
    <w:name w:val="标题 7 Char"/>
    <w:basedOn w:val="33"/>
    <w:link w:val="8"/>
    <w:qFormat/>
    <w:uiPriority w:val="0"/>
    <w:rPr>
      <w:rFonts w:ascii="Times New Roman" w:hAnsi="Times New Roman" w:eastAsia="宋体" w:cs="Times New Roman"/>
      <w:b/>
      <w:bCs/>
      <w:sz w:val="24"/>
      <w:szCs w:val="24"/>
    </w:rPr>
  </w:style>
  <w:style w:type="character" w:customStyle="1" w:styleId="48">
    <w:name w:val="标题 8 Char"/>
    <w:basedOn w:val="33"/>
    <w:link w:val="9"/>
    <w:qFormat/>
    <w:uiPriority w:val="0"/>
    <w:rPr>
      <w:rFonts w:ascii="Arial" w:hAnsi="Arial" w:eastAsia="黑体" w:cs="Times New Roman"/>
      <w:sz w:val="24"/>
      <w:szCs w:val="24"/>
    </w:rPr>
  </w:style>
  <w:style w:type="character" w:customStyle="1" w:styleId="49">
    <w:name w:val="标题 9 Char"/>
    <w:basedOn w:val="33"/>
    <w:link w:val="10"/>
    <w:qFormat/>
    <w:uiPriority w:val="0"/>
    <w:rPr>
      <w:rFonts w:ascii="Arial" w:hAnsi="Arial" w:eastAsia="黑体" w:cs="Times New Roman"/>
      <w:sz w:val="21"/>
      <w:szCs w:val="21"/>
    </w:rPr>
  </w:style>
  <w:style w:type="character" w:customStyle="1" w:styleId="50">
    <w:name w:val="正文文本 3 Char"/>
    <w:basedOn w:val="33"/>
    <w:link w:val="13"/>
    <w:qFormat/>
    <w:uiPriority w:val="0"/>
    <w:rPr>
      <w:rFonts w:ascii="Times New Roman" w:hAnsi="Times New Roman" w:eastAsia="宋体" w:cs="Times New Roman"/>
      <w:color w:val="FF0000"/>
      <w:sz w:val="24"/>
      <w:szCs w:val="24"/>
    </w:rPr>
  </w:style>
  <w:style w:type="character" w:customStyle="1" w:styleId="51">
    <w:name w:val="正文文本 Char"/>
    <w:basedOn w:val="33"/>
    <w:link w:val="14"/>
    <w:semiHidden/>
    <w:qFormat/>
    <w:uiPriority w:val="99"/>
  </w:style>
  <w:style w:type="character" w:customStyle="1" w:styleId="52">
    <w:name w:val="正文文本缩进 Char"/>
    <w:link w:val="15"/>
    <w:qFormat/>
    <w:uiPriority w:val="99"/>
    <w:rPr>
      <w:sz w:val="24"/>
    </w:rPr>
  </w:style>
  <w:style w:type="character" w:customStyle="1" w:styleId="53">
    <w:name w:val="纯文本 Char"/>
    <w:basedOn w:val="33"/>
    <w:link w:val="20"/>
    <w:qFormat/>
    <w:uiPriority w:val="0"/>
    <w:rPr>
      <w:rFonts w:eastAsia="宋体"/>
      <w:sz w:val="24"/>
    </w:rPr>
  </w:style>
  <w:style w:type="character" w:customStyle="1" w:styleId="54">
    <w:name w:val="日期 Char"/>
    <w:basedOn w:val="33"/>
    <w:link w:val="21"/>
    <w:qFormat/>
    <w:uiPriority w:val="0"/>
  </w:style>
  <w:style w:type="character" w:customStyle="1" w:styleId="55">
    <w:name w:val="正文文本缩进 2 Char"/>
    <w:basedOn w:val="33"/>
    <w:link w:val="22"/>
    <w:semiHidden/>
    <w:qFormat/>
    <w:uiPriority w:val="99"/>
    <w:rPr>
      <w:kern w:val="2"/>
      <w:sz w:val="21"/>
      <w:szCs w:val="22"/>
    </w:rPr>
  </w:style>
  <w:style w:type="character" w:customStyle="1" w:styleId="56">
    <w:name w:val="批注框文本 Char"/>
    <w:basedOn w:val="33"/>
    <w:link w:val="23"/>
    <w:qFormat/>
    <w:uiPriority w:val="0"/>
    <w:rPr>
      <w:kern w:val="2"/>
      <w:sz w:val="18"/>
      <w:szCs w:val="18"/>
    </w:rPr>
  </w:style>
  <w:style w:type="character" w:customStyle="1" w:styleId="57">
    <w:name w:val="页脚 Char"/>
    <w:basedOn w:val="33"/>
    <w:link w:val="24"/>
    <w:qFormat/>
    <w:uiPriority w:val="99"/>
    <w:rPr>
      <w:sz w:val="18"/>
      <w:szCs w:val="18"/>
    </w:rPr>
  </w:style>
  <w:style w:type="character" w:customStyle="1" w:styleId="58">
    <w:name w:val="页眉 Char"/>
    <w:basedOn w:val="33"/>
    <w:link w:val="25"/>
    <w:qFormat/>
    <w:uiPriority w:val="99"/>
    <w:rPr>
      <w:sz w:val="18"/>
      <w:szCs w:val="18"/>
    </w:rPr>
  </w:style>
  <w:style w:type="character" w:customStyle="1" w:styleId="59">
    <w:name w:val="HTML 预设格式 Char"/>
    <w:basedOn w:val="33"/>
    <w:link w:val="27"/>
    <w:semiHidden/>
    <w:qFormat/>
    <w:uiPriority w:val="99"/>
    <w:rPr>
      <w:rFonts w:ascii="宋体" w:hAnsi="宋体" w:eastAsia="宋体" w:cs="宋体"/>
      <w:kern w:val="0"/>
      <w:sz w:val="24"/>
      <w:szCs w:val="24"/>
    </w:rPr>
  </w:style>
  <w:style w:type="character" w:customStyle="1" w:styleId="60">
    <w:name w:val="正文首行缩进 Char"/>
    <w:basedOn w:val="51"/>
    <w:link w:val="29"/>
    <w:qFormat/>
    <w:uiPriority w:val="0"/>
    <w:rPr>
      <w:rFonts w:ascii="宋体" w:hAnsi="Times New Roman" w:eastAsia="宋体" w:cs="Times New Roman"/>
      <w:kern w:val="0"/>
      <w:sz w:val="34"/>
      <w:szCs w:val="20"/>
    </w:rPr>
  </w:style>
  <w:style w:type="character" w:customStyle="1" w:styleId="61">
    <w:name w:val="纯文本 Char1"/>
    <w:qFormat/>
    <w:uiPriority w:val="0"/>
    <w:rPr>
      <w:rFonts w:eastAsia="宋体"/>
      <w:sz w:val="24"/>
    </w:rPr>
  </w:style>
  <w:style w:type="paragraph" w:customStyle="1" w:styleId="62">
    <w:name w:val="Default"/>
    <w:next w:val="63"/>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3">
    <w:name w:val="大标题"/>
    <w:basedOn w:val="1"/>
    <w:next w:val="30"/>
    <w:qFormat/>
    <w:uiPriority w:val="0"/>
    <w:pPr>
      <w:jc w:val="center"/>
    </w:pPr>
    <w:rPr>
      <w:rFonts w:ascii="Arial" w:hAnsi="Arial" w:eastAsia="宋体"/>
      <w:b/>
      <w:sz w:val="28"/>
      <w:szCs w:val="24"/>
    </w:rPr>
  </w:style>
  <w:style w:type="paragraph" w:styleId="64">
    <w:name w:val="List Paragraph"/>
    <w:basedOn w:val="1"/>
    <w:unhideWhenUsed/>
    <w:qFormat/>
    <w:uiPriority w:val="34"/>
    <w:pPr>
      <w:ind w:firstLine="420" w:firstLineChars="200"/>
    </w:pPr>
  </w:style>
  <w:style w:type="character" w:customStyle="1" w:styleId="65">
    <w:name w:val="正文文本缩进 Char Char"/>
    <w:link w:val="66"/>
    <w:qFormat/>
    <w:uiPriority w:val="0"/>
    <w:rPr>
      <w:rFonts w:ascii="宋体"/>
      <w:sz w:val="24"/>
    </w:rPr>
  </w:style>
  <w:style w:type="paragraph" w:customStyle="1" w:styleId="66">
    <w:name w:val="正文文本缩进1"/>
    <w:basedOn w:val="1"/>
    <w:link w:val="65"/>
    <w:qFormat/>
    <w:uiPriority w:val="0"/>
    <w:pPr>
      <w:spacing w:line="360" w:lineRule="auto"/>
      <w:ind w:firstLine="480" w:firstLineChars="200"/>
    </w:pPr>
    <w:rPr>
      <w:rFonts w:ascii="宋体"/>
      <w:sz w:val="24"/>
    </w:rPr>
  </w:style>
  <w:style w:type="character" w:customStyle="1" w:styleId="67">
    <w:name w:val="日期 Char Char"/>
    <w:link w:val="68"/>
    <w:qFormat/>
    <w:uiPriority w:val="0"/>
    <w:rPr>
      <w:sz w:val="24"/>
    </w:rPr>
  </w:style>
  <w:style w:type="paragraph" w:customStyle="1" w:styleId="68">
    <w:name w:val="日期1"/>
    <w:basedOn w:val="1"/>
    <w:next w:val="1"/>
    <w:link w:val="67"/>
    <w:qFormat/>
    <w:uiPriority w:val="0"/>
    <w:rPr>
      <w:sz w:val="24"/>
    </w:rPr>
  </w:style>
  <w:style w:type="paragraph" w:customStyle="1" w:styleId="69">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0">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2">
    <w:name w:val="edittexttarea"/>
    <w:basedOn w:val="33"/>
    <w:qFormat/>
    <w:uiPriority w:val="0"/>
  </w:style>
  <w:style w:type="paragraph" w:customStyle="1" w:styleId="7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7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5">
    <w:name w:val="正文文本缩进 Char1"/>
    <w:basedOn w:val="33"/>
    <w:semiHidden/>
    <w:qFormat/>
    <w:uiPriority w:val="99"/>
    <w:rPr>
      <w:kern w:val="2"/>
      <w:sz w:val="21"/>
      <w:szCs w:val="22"/>
    </w:rPr>
  </w:style>
  <w:style w:type="character" w:customStyle="1" w:styleId="76">
    <w:name w:val="red"/>
    <w:basedOn w:val="33"/>
    <w:qFormat/>
    <w:uiPriority w:val="0"/>
    <w:rPr>
      <w:color w:val="FF0000"/>
      <w:sz w:val="18"/>
      <w:szCs w:val="18"/>
    </w:rPr>
  </w:style>
  <w:style w:type="character" w:customStyle="1" w:styleId="77">
    <w:name w:val="red1"/>
    <w:basedOn w:val="33"/>
    <w:qFormat/>
    <w:uiPriority w:val="0"/>
    <w:rPr>
      <w:color w:val="FF0000"/>
      <w:sz w:val="18"/>
      <w:szCs w:val="18"/>
    </w:rPr>
  </w:style>
  <w:style w:type="character" w:customStyle="1" w:styleId="78">
    <w:name w:val="red2"/>
    <w:basedOn w:val="33"/>
    <w:qFormat/>
    <w:uiPriority w:val="0"/>
    <w:rPr>
      <w:color w:val="FF0000"/>
    </w:rPr>
  </w:style>
  <w:style w:type="character" w:customStyle="1" w:styleId="79">
    <w:name w:val="gb-jt"/>
    <w:basedOn w:val="33"/>
    <w:qFormat/>
    <w:uiPriority w:val="0"/>
  </w:style>
  <w:style w:type="character" w:customStyle="1" w:styleId="80">
    <w:name w:val="green"/>
    <w:basedOn w:val="33"/>
    <w:qFormat/>
    <w:uiPriority w:val="0"/>
    <w:rPr>
      <w:color w:val="66AE00"/>
      <w:sz w:val="18"/>
      <w:szCs w:val="18"/>
    </w:rPr>
  </w:style>
  <w:style w:type="character" w:customStyle="1" w:styleId="81">
    <w:name w:val="green1"/>
    <w:basedOn w:val="33"/>
    <w:qFormat/>
    <w:uiPriority w:val="0"/>
    <w:rPr>
      <w:color w:val="66AE00"/>
      <w:sz w:val="18"/>
      <w:szCs w:val="18"/>
    </w:rPr>
  </w:style>
  <w:style w:type="character" w:customStyle="1" w:styleId="82">
    <w:name w:val="hover25"/>
    <w:basedOn w:val="33"/>
    <w:qFormat/>
    <w:uiPriority w:val="0"/>
  </w:style>
  <w:style w:type="character" w:customStyle="1" w:styleId="83">
    <w:name w:val="blue"/>
    <w:basedOn w:val="33"/>
    <w:qFormat/>
    <w:uiPriority w:val="0"/>
    <w:rPr>
      <w:color w:val="0371C6"/>
      <w:sz w:val="21"/>
      <w:szCs w:val="21"/>
    </w:rPr>
  </w:style>
  <w:style w:type="character" w:customStyle="1" w:styleId="84">
    <w:name w:val="right"/>
    <w:basedOn w:val="33"/>
    <w:qFormat/>
    <w:uiPriority w:val="0"/>
    <w:rPr>
      <w:color w:val="999999"/>
      <w:sz w:val="18"/>
      <w:szCs w:val="18"/>
    </w:rPr>
  </w:style>
  <w:style w:type="paragraph" w:customStyle="1" w:styleId="8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p16"/>
    <w:basedOn w:val="1"/>
    <w:qFormat/>
    <w:uiPriority w:val="0"/>
    <w:pPr>
      <w:widowControl/>
      <w:jc w:val="left"/>
    </w:pPr>
    <w:rPr>
      <w:rFonts w:ascii="宋体" w:hAnsi="宋体" w:eastAsia="宋体" w:cs="宋体"/>
      <w:kern w:val="0"/>
      <w:sz w:val="24"/>
      <w:szCs w:val="24"/>
    </w:rPr>
  </w:style>
  <w:style w:type="paragraph" w:customStyle="1" w:styleId="92">
    <w:name w:val="p0"/>
    <w:basedOn w:val="1"/>
    <w:qFormat/>
    <w:uiPriority w:val="0"/>
    <w:pPr>
      <w:widowControl/>
    </w:pPr>
    <w:rPr>
      <w:rFonts w:ascii="Times New Roman" w:hAnsi="Times New Roman" w:eastAsia="宋体" w:cs="Times New Roman"/>
      <w:kern w:val="0"/>
      <w:szCs w:val="21"/>
    </w:rPr>
  </w:style>
  <w:style w:type="paragraph" w:customStyle="1" w:styleId="93">
    <w:name w:val="_Style 5"/>
    <w:basedOn w:val="1"/>
    <w:qFormat/>
    <w:uiPriority w:val="99"/>
    <w:pPr>
      <w:ind w:firstLine="420" w:firstLineChars="200"/>
    </w:pPr>
    <w:rPr>
      <w:rFonts w:ascii="Calibri" w:hAnsi="Calibri"/>
    </w:rPr>
  </w:style>
  <w:style w:type="character" w:customStyle="1" w:styleId="94">
    <w:name w:val="font11"/>
    <w:basedOn w:val="33"/>
    <w:qFormat/>
    <w:uiPriority w:val="0"/>
  </w:style>
  <w:style w:type="character" w:customStyle="1" w:styleId="95">
    <w:name w:val="font01"/>
    <w:basedOn w:val="33"/>
    <w:qFormat/>
    <w:uiPriority w:val="0"/>
  </w:style>
  <w:style w:type="paragraph" w:customStyle="1" w:styleId="96">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7">
    <w:name w:val="title1"/>
    <w:basedOn w:val="33"/>
    <w:qFormat/>
    <w:uiPriority w:val="0"/>
    <w:rPr>
      <w:sz w:val="18"/>
      <w:szCs w:val="18"/>
    </w:rPr>
  </w:style>
  <w:style w:type="character" w:customStyle="1" w:styleId="98">
    <w:name w:val="large1"/>
    <w:basedOn w:val="33"/>
    <w:qFormat/>
    <w:uiPriority w:val="0"/>
    <w:rPr>
      <w:rFonts w:hint="eastAsia" w:ascii="宋体" w:hAnsi="宋体" w:eastAsia="宋体"/>
      <w:sz w:val="21"/>
      <w:szCs w:val="21"/>
    </w:rPr>
  </w:style>
  <w:style w:type="paragraph" w:styleId="99">
    <w:name w:val="No Spacing"/>
    <w:link w:val="100"/>
    <w:qFormat/>
    <w:uiPriority w:val="1"/>
    <w:rPr>
      <w:rFonts w:asciiTheme="minorHAnsi" w:hAnsiTheme="minorHAnsi" w:eastAsiaTheme="minorEastAsia" w:cstheme="minorBidi"/>
      <w:sz w:val="22"/>
      <w:szCs w:val="22"/>
      <w:lang w:val="en-US" w:eastAsia="zh-CN" w:bidi="ar-SA"/>
    </w:rPr>
  </w:style>
  <w:style w:type="character" w:customStyle="1" w:styleId="100">
    <w:name w:val="无间隔 Char"/>
    <w:basedOn w:val="33"/>
    <w:link w:val="99"/>
    <w:qFormat/>
    <w:uiPriority w:val="1"/>
    <w:rPr>
      <w:sz w:val="22"/>
      <w:szCs w:val="22"/>
    </w:rPr>
  </w:style>
  <w:style w:type="paragraph" w:customStyle="1" w:styleId="101">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4">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5">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6">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4">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5">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6">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7">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8">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9">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0">
    <w:name w:val="列出段落2"/>
    <w:basedOn w:val="1"/>
    <w:unhideWhenUsed/>
    <w:qFormat/>
    <w:uiPriority w:val="34"/>
    <w:pPr>
      <w:ind w:firstLine="420" w:firstLineChars="200"/>
    </w:pPr>
  </w:style>
  <w:style w:type="paragraph" w:customStyle="1" w:styleId="121">
    <w:name w:val="UserStyle_0"/>
    <w:basedOn w:val="122"/>
    <w:qFormat/>
    <w:uiPriority w:val="0"/>
    <w:pPr>
      <w:ind w:firstLine="420" w:firstLineChars="100"/>
      <w:jc w:val="center"/>
      <w:textAlignment w:val="baseline"/>
    </w:pPr>
  </w:style>
  <w:style w:type="paragraph" w:customStyle="1" w:styleId="122">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30088</Words>
  <Characters>31857</Characters>
  <Lines>258</Lines>
  <Paragraphs>72</Paragraphs>
  <TotalTime>1</TotalTime>
  <ScaleCrop>false</ScaleCrop>
  <LinksUpToDate>false</LinksUpToDate>
  <CharactersWithSpaces>33003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襄城县公共资源交易中心:李向飞</cp:lastModifiedBy>
  <cp:lastPrinted>2019-07-17T03:26:00Z</cp:lastPrinted>
  <dcterms:modified xsi:type="dcterms:W3CDTF">2023-10-23T00:49:38Z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626DCE8FAAF54110BA474AADF4475A0B_13</vt:lpwstr>
  </property>
</Properties>
</file>