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4"/>
          <w:szCs w:val="48"/>
        </w:rPr>
      </w:pPr>
      <w:r>
        <w:rPr>
          <w:rFonts w:hint="eastAsia" w:cs="仿宋" w:asciiTheme="minorEastAsia" w:hAnsiTheme="minorEastAsia"/>
          <w:b/>
          <w:sz w:val="44"/>
          <w:szCs w:val="48"/>
        </w:rPr>
        <w:t>2023年襄城县烟炕煤改电配套设施建设项目</w:t>
      </w:r>
    </w:p>
    <w:p>
      <w:pPr>
        <w:jc w:val="center"/>
        <w:rPr>
          <w:rFonts w:cs="仿宋" w:asciiTheme="minorEastAsia" w:hAnsiTheme="minorEastAsia"/>
          <w:b/>
          <w:sz w:val="44"/>
          <w:szCs w:val="48"/>
        </w:rPr>
      </w:pPr>
      <w:r>
        <w:rPr>
          <w:rFonts w:hint="eastAsia" w:cs="仿宋" w:asciiTheme="minorEastAsia" w:hAnsiTheme="minorEastAsia"/>
          <w:b/>
          <w:sz w:val="44"/>
          <w:szCs w:val="48"/>
        </w:rPr>
        <w:t xml:space="preserve">(不见面开标)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21</w:t>
      </w:r>
    </w:p>
    <w:p>
      <w:pPr>
        <w:rPr>
          <w:rFonts w:hint="eastAsia" w:ascii="宋体" w:hAnsi="宋体" w:eastAsia="宋体" w:cstheme="majorEastAsia"/>
          <w:bCs/>
          <w:sz w:val="36"/>
          <w:szCs w:val="36"/>
        </w:rPr>
      </w:pPr>
      <w:r>
        <w:rPr>
          <w:rFonts w:hint="eastAsia" w:ascii="宋体" w:hAnsi="宋体" w:eastAsia="宋体" w:cstheme="majorEastAsia"/>
          <w:bCs/>
          <w:sz w:val="36"/>
          <w:szCs w:val="36"/>
        </w:rPr>
        <w:t>采购单位：襄城县乡村振兴局（襄城县扶贫开发办公室）</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七</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宋体" w:hAnsi="宋体" w:eastAsia="宋体" w:cs="Arial"/>
          <w:bCs/>
          <w:kern w:val="0"/>
          <w:sz w:val="24"/>
          <w:szCs w:val="24"/>
        </w:rPr>
        <w:t>襄城县乡村振兴局（襄城县扶贫开发办公室）</w:t>
      </w:r>
      <w:r>
        <w:rPr>
          <w:rFonts w:hint="eastAsia" w:asciiTheme="minorEastAsia" w:hAnsiTheme="minorEastAsia"/>
          <w:color w:val="000000"/>
          <w:sz w:val="24"/>
          <w:szCs w:val="24"/>
        </w:rPr>
        <w:t>“2023年襄城县烟炕煤改电配套设施建设项目”采购项目的潜在投标人应在《全国公共资源交易平台（河南省·许昌市）》（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04</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11</w:t>
      </w:r>
      <w:r>
        <w:rPr>
          <w:rFonts w:hint="eastAsia" w:asciiTheme="minorEastAsia" w:hAnsiTheme="minorEastAsia"/>
          <w:color w:val="000000"/>
          <w:sz w:val="24"/>
          <w:szCs w:val="24"/>
        </w:rPr>
        <w:t>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28359002"/>
      <w:bookmarkEnd w:id="0"/>
      <w:bookmarkStart w:id="1" w:name="_Toc28359079"/>
      <w:bookmarkEnd w:id="1"/>
      <w:bookmarkStart w:id="2" w:name="_Hlk24379207"/>
      <w:bookmarkEnd w:id="2"/>
      <w:bookmarkStart w:id="3" w:name="_Toc35393790"/>
      <w:bookmarkEnd w:id="3"/>
      <w:bookmarkStart w:id="4" w:name="_Toc35393621"/>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21</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2023年襄城县烟炕煤改电配套设施建设项目(</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946</w:t>
      </w:r>
      <w:r>
        <w:rPr>
          <w:rFonts w:hint="eastAsia" w:cs="宋体" w:asciiTheme="minorEastAsia" w:hAnsiTheme="minorEastAsia"/>
          <w:color w:val="000000"/>
          <w:kern w:val="0"/>
          <w:sz w:val="24"/>
          <w:szCs w:val="24"/>
          <w:shd w:val="clear" w:color="auto" w:fill="FFFFFF"/>
        </w:rPr>
        <w:t>000.00</w:t>
      </w:r>
      <w:r>
        <w:rPr>
          <w:rFonts w:hint="eastAsia" w:cs="宋体" w:asciiTheme="minorEastAsia" w:hAnsiTheme="minorEastAsia"/>
          <w:kern w:val="0"/>
          <w:sz w:val="24"/>
          <w:szCs w:val="24"/>
        </w:rPr>
        <w:t>元.</w:t>
      </w:r>
    </w:p>
    <w:tbl>
      <w:tblPr>
        <w:tblStyle w:val="25"/>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2562"/>
        <w:gridCol w:w="1276"/>
        <w:gridCol w:w="1842"/>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48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3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21</w:t>
            </w:r>
          </w:p>
        </w:tc>
        <w:tc>
          <w:tcPr>
            <w:tcW w:w="737"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946</w:t>
            </w:r>
            <w:r>
              <w:rPr>
                <w:rFonts w:hint="eastAsia" w:cs="宋体" w:asciiTheme="minorEastAsia" w:hAnsiTheme="minorEastAsia"/>
                <w:color w:val="000000"/>
                <w:kern w:val="0"/>
                <w:sz w:val="24"/>
                <w:szCs w:val="24"/>
                <w:shd w:val="clear" w:color="auto" w:fill="FFFFFF"/>
              </w:rPr>
              <w:t xml:space="preserve">000.00 </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946</w:t>
            </w:r>
            <w:r>
              <w:rPr>
                <w:rFonts w:hint="eastAsia" w:cs="宋体" w:asciiTheme="minorEastAsia" w:hAnsiTheme="minorEastAsia"/>
                <w:color w:val="000000"/>
                <w:kern w:val="0"/>
                <w:sz w:val="24"/>
                <w:szCs w:val="24"/>
                <w:shd w:val="clear" w:color="auto" w:fill="FFFFFF"/>
              </w:rPr>
              <w:t>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本项目采购</w:t>
      </w:r>
      <w:r>
        <w:rPr>
          <w:rFonts w:hint="eastAsia" w:cs="Arial" w:asciiTheme="minorEastAsia" w:hAnsiTheme="minorEastAsia"/>
          <w:color w:val="000000"/>
          <w:kern w:val="0"/>
          <w:sz w:val="24"/>
          <w:szCs w:val="24"/>
        </w:rPr>
        <w:t>2023年襄城县烟炕煤改电配套设施建设</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10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5"/>
        <w:tblW w:w="10454" w:type="pct"/>
        <w:tblCellSpacing w:w="15" w:type="dxa"/>
        <w:tblInd w:w="-381" w:type="dxa"/>
        <w:tblLayout w:type="autofit"/>
        <w:tblCellMar>
          <w:top w:w="15" w:type="dxa"/>
          <w:left w:w="15" w:type="dxa"/>
          <w:bottom w:w="15" w:type="dxa"/>
          <w:right w:w="15" w:type="dxa"/>
        </w:tblCellMar>
      </w:tblPr>
      <w:tblGrid>
        <w:gridCol w:w="9339"/>
        <w:gridCol w:w="9340"/>
      </w:tblGrid>
      <w:tr>
        <w:tblPrEx>
          <w:tblCellMar>
            <w:top w:w="15" w:type="dxa"/>
            <w:left w:w="15" w:type="dxa"/>
            <w:bottom w:w="15" w:type="dxa"/>
            <w:right w:w="15" w:type="dxa"/>
          </w:tblCellMar>
        </w:tblPrEx>
        <w:trPr>
          <w:tblCellSpacing w:w="15" w:type="dxa"/>
        </w:trPr>
        <w:tc>
          <w:tcPr>
            <w:tcW w:w="2487" w:type="pct"/>
            <w:vAlign w:val="center"/>
          </w:tcPr>
          <w:p>
            <w:pPr>
              <w:widowControl/>
              <w:spacing w:line="360" w:lineRule="auto"/>
              <w:ind w:firstLine="480" w:firstLineChars="200"/>
              <w:jc w:val="left"/>
              <w:rPr>
                <w:rFonts w:cs="Arial" w:asciiTheme="minorEastAsia" w:hAnsiTheme="minorEastAsia"/>
                <w:color w:val="000000"/>
                <w:kern w:val="0"/>
                <w:sz w:val="24"/>
                <w:szCs w:val="24"/>
              </w:rPr>
            </w:pPr>
            <w:bookmarkStart w:id="5" w:name="_Toc28359003"/>
            <w:bookmarkEnd w:id="5"/>
            <w:bookmarkStart w:id="6" w:name="_Toc35393622"/>
            <w:bookmarkEnd w:id="6"/>
            <w:bookmarkStart w:id="7" w:name="_Toc28359080"/>
            <w:bookmarkEnd w:id="7"/>
            <w:bookmarkStart w:id="8" w:name="_Toc35393791"/>
            <w:bookmarkEnd w:id="8"/>
            <w:r>
              <w:rPr>
                <w:rFonts w:hint="eastAsia" w:cs="仿宋" w:asciiTheme="minorEastAsia" w:hAnsiTheme="minorEastAsia"/>
                <w:sz w:val="24"/>
                <w:szCs w:val="24"/>
                <w:shd w:val="clear" w:color="auto" w:fill="FFFFFF"/>
              </w:rPr>
              <w:t>8.</w:t>
            </w:r>
            <w:r>
              <w:rPr>
                <w:rFonts w:cs="仿宋" w:asciiTheme="minorEastAsia" w:hAnsiTheme="minorEastAsia"/>
                <w:sz w:val="24"/>
                <w:szCs w:val="24"/>
                <w:shd w:val="clear" w:color="auto" w:fill="FFFFFF"/>
              </w:rPr>
              <w:t>是否接受进口产品：</w:t>
            </w:r>
            <w:r>
              <w:rPr>
                <w:rFonts w:cs="Arial" w:asciiTheme="minorEastAsia" w:hAnsiTheme="minorEastAsia"/>
                <w:color w:val="000000"/>
                <w:kern w:val="0"/>
                <w:sz w:val="24"/>
                <w:szCs w:val="24"/>
              </w:rPr>
              <w:t>否</w:t>
            </w:r>
          </w:p>
          <w:p>
            <w:pPr>
              <w:pStyle w:val="32"/>
              <w:spacing w:line="360" w:lineRule="auto"/>
              <w:ind w:firstLine="480" w:firstLineChars="200"/>
            </w:pPr>
            <w:r>
              <w:rPr>
                <w:rFonts w:hint="eastAsia"/>
              </w:rPr>
              <w:t>9.是否专门面向中小企业：是</w:t>
            </w:r>
          </w:p>
        </w:tc>
        <w:tc>
          <w:tcPr>
            <w:tcW w:w="2487" w:type="pct"/>
            <w:vAlign w:val="center"/>
          </w:tcPr>
          <w:p>
            <w:pPr>
              <w:pStyle w:val="32"/>
              <w:spacing w:line="360" w:lineRule="auto"/>
              <w:ind w:firstLine="480" w:firstLineChars="200"/>
              <w:rPr>
                <w:rFonts w:hint="eastAsia"/>
              </w:rPr>
            </w:pPr>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120" w:firstLineChars="5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投标人须具备电力工程施工总承包三级以上（含三级）资质同时具备电监会颁发的承装（修、试）四级及以上电力设施许可证；具有有效的安全生产许可证。</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5"/>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28359005"/>
            <w:bookmarkEnd w:id="14"/>
            <w:bookmarkStart w:id="15" w:name="_Toc35393624"/>
            <w:bookmarkEnd w:id="15"/>
            <w:bookmarkStart w:id="16" w:name="_Toc35393793"/>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7</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31</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04</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04</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11</w:t>
      </w:r>
      <w:r>
        <w:rPr>
          <w:rFonts w:hint="eastAsia" w:asciiTheme="minorEastAsia" w:hAnsiTheme="minorEastAsia"/>
          <w:color w:val="000000"/>
          <w:sz w:val="24"/>
          <w:szCs w:val="24"/>
        </w:rPr>
        <w:t>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5"/>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35393627"/>
            <w:bookmarkEnd w:id="17"/>
            <w:bookmarkStart w:id="18" w:name="_Toc35393796"/>
            <w:bookmarkEnd w:id="18"/>
            <w:bookmarkStart w:id="19" w:name="_Toc28359085"/>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04</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11</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称：襄城县乡村振兴局（襄城县扶贫开发办公室）</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09"/>
      <w:bookmarkEnd w:id="21"/>
      <w:bookmarkStart w:id="22" w:name="_Toc28359086"/>
      <w:bookmarkEnd w:id="22"/>
      <w:r>
        <w:rPr>
          <w:rFonts w:hint="eastAsia" w:asciiTheme="minorEastAsia" w:hAnsiTheme="minorEastAsia"/>
          <w:color w:val="000000"/>
          <w:sz w:val="24"/>
          <w:szCs w:val="24"/>
          <w:lang w:val="en-US" w:eastAsia="zh-CN"/>
        </w:rPr>
        <w:t>孙晓可</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13733745980</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本项目采购2023年襄城县烟炕煤改电配套设施建设</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r>
        <w:rPr>
          <w:rFonts w:hint="eastAsia" w:ascii="微软雅黑" w:hAnsi="微软雅黑" w:eastAsia="微软雅黑" w:cs="微软雅黑"/>
          <w:b/>
          <w:bCs/>
          <w:color w:val="000000"/>
          <w:kern w:val="0"/>
          <w:sz w:val="24"/>
          <w:szCs w:val="24"/>
          <w:lang w:val="en-US" w:eastAsia="zh-CN"/>
        </w:rPr>
        <w:t>配套变压器18套</w:t>
      </w:r>
      <w:r>
        <w:rPr>
          <w:rFonts w:hint="eastAsia" w:ascii="微软雅黑" w:hAnsi="微软雅黑" w:eastAsia="微软雅黑" w:cs="微软雅黑"/>
          <w:b/>
          <w:bCs/>
          <w:color w:val="000000"/>
          <w:kern w:val="0"/>
          <w:sz w:val="24"/>
          <w:szCs w:val="24"/>
          <w:lang w:eastAsia="zh-CN"/>
        </w:rPr>
        <w:t>）。</w:t>
      </w:r>
    </w:p>
    <w:tbl>
      <w:tblPr>
        <w:tblStyle w:val="25"/>
        <w:tblW w:w="4998" w:type="pct"/>
        <w:tblInd w:w="0" w:type="dxa"/>
        <w:tblLayout w:type="autofit"/>
        <w:tblCellMar>
          <w:top w:w="0" w:type="dxa"/>
          <w:left w:w="108" w:type="dxa"/>
          <w:bottom w:w="0" w:type="dxa"/>
          <w:right w:w="108" w:type="dxa"/>
        </w:tblCellMar>
      </w:tblPr>
      <w:tblGrid>
        <w:gridCol w:w="953"/>
        <w:gridCol w:w="1784"/>
        <w:gridCol w:w="3059"/>
        <w:gridCol w:w="800"/>
        <w:gridCol w:w="830"/>
        <w:gridCol w:w="740"/>
        <w:gridCol w:w="890"/>
      </w:tblGrid>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序号</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名称</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规格参数</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单位</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数量</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szCs w:val="24"/>
                <w:lang w:bidi="ar"/>
              </w:rPr>
              <w:t>单价</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szCs w:val="24"/>
                <w:lang w:bidi="ar"/>
              </w:rPr>
              <w:t>合价</w:t>
            </w: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变压器</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S13-200KVA</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高压绕组：10kV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低压绕组：0.4kV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联结组：Dyn11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额定频率： 50Hz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额定容量：200kVA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相数：3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调压方式：无励磁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调压位置：高压侧      </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调压范围：±5%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台</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配电柜</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JP柜200KVA(出十二路）</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额定工作电压：电流400V</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额定频率：50Hz</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额定绝缘电压:660V</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额定电流：400A</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额定绝缘电压：1000V</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额定冲击耐受电压：12000V</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台</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3</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变压器台架</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Style w:val="84"/>
                <w:rFonts w:hint="default" w:ascii="仿宋" w:hAnsi="仿宋" w:eastAsia="仿宋" w:cs="仿宋"/>
                <w:sz w:val="24"/>
                <w:szCs w:val="24"/>
                <w:lang w:bidi="ar"/>
              </w:rPr>
              <w:t>［150</w:t>
            </w:r>
            <w:r>
              <w:rPr>
                <w:rStyle w:val="85"/>
                <w:rFonts w:hint="default" w:ascii="仿宋" w:hAnsi="仿宋" w:eastAsia="仿宋" w:cs="仿宋"/>
                <w:sz w:val="24"/>
                <w:szCs w:val="24"/>
                <w:lang w:bidi="ar"/>
              </w:rPr>
              <w:t>，</w:t>
            </w:r>
            <w:r>
              <w:rPr>
                <w:rStyle w:val="84"/>
                <w:rFonts w:hint="default" w:ascii="仿宋" w:hAnsi="仿宋" w:eastAsia="仿宋" w:cs="仿宋"/>
                <w:sz w:val="24"/>
                <w:szCs w:val="24"/>
                <w:lang w:bidi="ar"/>
              </w:rPr>
              <w:t>3000mm</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4</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电杆</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非预应力D190,12米</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根</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5</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计量开关</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ZW32-12/T</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额定电压：10KV  6KV</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 xml:space="preserve">额定频率：50Hz </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额定绝缘水平：12/42/75 KV</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电压比10KV/0.1KV/0.22KV</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电流比：5~800/5A</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10KV真空额定电流：630A</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6</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绝缘导线</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10kV,JKLYJ-120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米</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7</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变压器出线</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JKIRJY-240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米</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8</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跌落式熔断器</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RW-10F/100A</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组</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9</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避雷器</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HY5WS-17/50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组</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10</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隔离开关</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GW9-12/400A</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组</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11</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底盘</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800*800*200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12</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卡盘</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200*1000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13</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接地极</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三极</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14</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铜线</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BV-35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米</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15</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风力驱鸟器</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4"/>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16</w:t>
            </w:r>
          </w:p>
        </w:tc>
        <w:tc>
          <w:tcPr>
            <w:tcW w:w="9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令克棒</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10kV</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p>
        </w:tc>
      </w:tr>
    </w:tbl>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hAnsi="Calibri" w:eastAsia="宋体" w:cs="宋体"/>
          <w:b/>
          <w:sz w:val="32"/>
          <w:szCs w:val="24"/>
          <w:lang w:val="zh-CN" w:bidi="zh-CN"/>
        </w:rPr>
        <w:t>三</w:t>
      </w:r>
      <w:r>
        <w:rPr>
          <w:rFonts w:ascii="宋体" w:hAnsi="Calibri" w:eastAsia="宋体" w:cs="宋体"/>
          <w:b/>
          <w:sz w:val="32"/>
          <w:szCs w:val="24"/>
          <w:lang w:val="zh-CN" w:bidi="zh-CN"/>
        </w:rPr>
        <w:t>、</w:t>
      </w:r>
      <w:r>
        <w:rPr>
          <w:rFonts w:ascii="宋体" w:cs="宋体"/>
          <w:b/>
          <w:sz w:val="24"/>
          <w:lang w:val="zh-CN" w:bidi="zh-CN"/>
        </w:rPr>
        <w:t>采购标的的其他技术、服务等要求</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lang w:val="zh-CN" w:bidi="zh-CN"/>
        </w:rPr>
        <w:t>否则为无效投标。</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pPr>
        <w:pStyle w:val="23"/>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3"/>
        <w:widowControl/>
        <w:shd w:val="clear" w:color="auto" w:fill="FFFFFF"/>
        <w:spacing w:line="360" w:lineRule="auto"/>
        <w:contextualSpacing/>
        <w:rPr>
          <w:rFonts w:ascii="宋体" w:cs="宋体"/>
          <w:lang w:val="zh-CN" w:bidi="zh-CN"/>
        </w:rPr>
      </w:pPr>
      <w:r>
        <w:rPr>
          <w:rFonts w:hint="eastAsia" w:ascii="宋体" w:cs="宋体"/>
          <w:lang w:val="zh-CN" w:bidi="zh-CN"/>
        </w:rPr>
        <w:t>4、</w:t>
      </w:r>
      <w:r>
        <w:rPr>
          <w:rFonts w:ascii="宋体" w:cs="宋体"/>
          <w:lang w:val="zh-CN" w:bidi="zh-CN"/>
        </w:rPr>
        <w:t>本项目为交钥匙工程。</w:t>
      </w:r>
    </w:p>
    <w:p>
      <w:pPr>
        <w:pStyle w:val="23"/>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3"/>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3"/>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3"/>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zh-CN" w:eastAsia="zh-CN" w:bidi="ar-SA"/>
        </w:rPr>
        <w:t>五、本项目预算金额</w:t>
      </w:r>
      <w:r>
        <w:rPr>
          <w:rFonts w:hint="eastAsia" w:cs="宋体" w:asciiTheme="minorEastAsia" w:hAnsiTheme="minorEastAsia" w:eastAsiaTheme="minorEastAsia"/>
          <w:b/>
          <w:kern w:val="0"/>
          <w:sz w:val="24"/>
          <w:szCs w:val="24"/>
          <w:lang w:val="en-US" w:eastAsia="zh-CN" w:bidi="ar-SA"/>
        </w:rPr>
        <w:t>946000.00</w:t>
      </w:r>
      <w:r>
        <w:rPr>
          <w:rFonts w:hint="eastAsia" w:cs="宋体" w:asciiTheme="minorEastAsia" w:hAnsiTheme="minorEastAsia" w:eastAsiaTheme="minorEastAsia"/>
          <w:b/>
          <w:kern w:val="0"/>
          <w:sz w:val="24"/>
          <w:szCs w:val="24"/>
          <w:lang w:val="zh-CN" w:eastAsia="zh-CN" w:bidi="ar-SA"/>
        </w:rPr>
        <w:t>元（超出预算金额的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32"/>
        <w:rPr>
          <w:rFonts w:hint="eastAsia" w:cs="微软雅黑" w:asciiTheme="minorEastAsia" w:hAnsiTheme="minorEastAsia" w:eastAsiaTheme="minorEastAsia"/>
          <w:b w:val="0"/>
          <w:bCs/>
          <w:color w:val="auto"/>
          <w:kern w:val="2"/>
          <w:sz w:val="24"/>
          <w:szCs w:val="24"/>
          <w:lang w:val="zh-CN" w:eastAsia="zh-CN" w:bidi="ar-SA"/>
        </w:rPr>
      </w:pPr>
      <w:r>
        <w:rPr>
          <w:rFonts w:hint="eastAsia" w:cs="微软雅黑" w:asciiTheme="minorEastAsia" w:hAnsiTheme="minorEastAsia" w:eastAsiaTheme="minorEastAsia"/>
          <w:b/>
          <w:bCs w:val="0"/>
          <w:color w:val="auto"/>
          <w:kern w:val="2"/>
          <w:sz w:val="24"/>
          <w:szCs w:val="24"/>
          <w:lang w:val="en-US" w:eastAsia="zh-CN" w:bidi="ar-SA"/>
        </w:rPr>
        <w:t>1、支付方式：</w:t>
      </w:r>
      <w:r>
        <w:rPr>
          <w:rFonts w:hint="eastAsia" w:cs="微软雅黑" w:asciiTheme="minorEastAsia" w:hAnsiTheme="minorEastAsia" w:eastAsiaTheme="minorEastAsia"/>
          <w:b w:val="0"/>
          <w:bCs/>
          <w:color w:val="auto"/>
          <w:kern w:val="2"/>
          <w:sz w:val="24"/>
          <w:szCs w:val="24"/>
          <w:lang w:val="en-US" w:eastAsia="zh-CN" w:bidi="ar-SA"/>
        </w:rPr>
        <w:t>银行转帐</w:t>
      </w:r>
    </w:p>
    <w:p>
      <w:pPr>
        <w:pStyle w:val="3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微软雅黑" w:asciiTheme="minorEastAsia" w:hAnsiTheme="minorEastAsia" w:eastAsiaTheme="minorEastAsia"/>
          <w:b w:val="0"/>
          <w:bCs/>
          <w:color w:val="auto"/>
          <w:kern w:val="2"/>
          <w:sz w:val="24"/>
          <w:szCs w:val="24"/>
          <w:lang w:val="en-US" w:eastAsia="zh-CN" w:bidi="ar-SA"/>
        </w:rPr>
      </w:pPr>
      <w:r>
        <w:rPr>
          <w:rFonts w:hint="eastAsia" w:cs="微软雅黑" w:asciiTheme="minorEastAsia" w:hAnsiTheme="minorEastAsia" w:eastAsiaTheme="minorEastAsia"/>
          <w:b/>
          <w:bCs w:val="0"/>
          <w:color w:val="auto"/>
          <w:kern w:val="2"/>
          <w:sz w:val="24"/>
          <w:szCs w:val="24"/>
          <w:lang w:val="en-US" w:eastAsia="zh-CN" w:bidi="ar-SA"/>
        </w:rPr>
        <w:t>2、付款方式：</w:t>
      </w:r>
      <w:r>
        <w:rPr>
          <w:rFonts w:hint="eastAsia" w:cs="微软雅黑" w:asciiTheme="minorEastAsia" w:hAnsiTheme="minorEastAsia" w:eastAsiaTheme="minorEastAsia"/>
          <w:b w:val="0"/>
          <w:bCs/>
          <w:color w:val="auto"/>
          <w:kern w:val="2"/>
          <w:sz w:val="24"/>
          <w:szCs w:val="24"/>
          <w:lang w:val="en-US" w:eastAsia="zh-CN" w:bidi="ar-SA"/>
        </w:rPr>
        <w:t>签订合同后支付合同价款的30%作为购置预付款，设备全部运抵后支付至合同价款的70%；设备完成安装、调试并经验收合格后支付至合同价款的97%；剩余3%作为质保金，质保期满且无问题后无息一次性付清。</w:t>
      </w:r>
    </w:p>
    <w:p>
      <w:pPr>
        <w:spacing w:line="220" w:lineRule="atLeast"/>
      </w:pPr>
    </w:p>
    <w:p>
      <w:pPr>
        <w:autoSpaceDE w:val="0"/>
        <w:autoSpaceDN w:val="0"/>
        <w:adjustRightInd w:val="0"/>
        <w:ind w:firstLine="1920" w:firstLineChars="600"/>
        <w:rPr>
          <w:rFonts w:cs="宋体" w:asciiTheme="majorEastAsia" w:hAnsiTheme="majorEastAsia" w:eastAsiaTheme="majorEastAsia"/>
          <w:b/>
          <w:kern w:val="0"/>
          <w:sz w:val="32"/>
          <w:szCs w:val="32"/>
        </w:rPr>
      </w:pPr>
    </w:p>
    <w:p>
      <w:pPr>
        <w:autoSpaceDE w:val="0"/>
        <w:autoSpaceDN w:val="0"/>
        <w:adjustRightInd w:val="0"/>
        <w:ind w:firstLine="2240" w:firstLineChars="700"/>
        <w:rPr>
          <w:rFonts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0"/>
              </w:numPr>
              <w:autoSpaceDE w:val="0"/>
              <w:autoSpaceDN w:val="0"/>
              <w:adjustRightInd w:val="0"/>
              <w:spacing w:line="360" w:lineRule="auto"/>
              <w:jc w:val="left"/>
              <w:rPr>
                <w:rFonts w:hint="default" w:cs="仿宋" w:asciiTheme="minorEastAsia" w:hAnsiTheme="minorEastAsia"/>
                <w:sz w:val="24"/>
                <w:szCs w:val="24"/>
                <w:lang w:val="en-US"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21</w:t>
            </w:r>
          </w:p>
          <w:p>
            <w:pPr>
              <w:numPr>
                <w:ilvl w:val="0"/>
                <w:numId w:val="0"/>
              </w:num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color w:val="000000"/>
                <w:sz w:val="24"/>
                <w:szCs w:val="24"/>
              </w:rPr>
              <w:t>2023年襄城县烟炕煤改电配套设施建设项目</w:t>
            </w:r>
            <w:r>
              <w:rPr>
                <w:rFonts w:hint="eastAsia" w:cs="仿宋_GB2312" w:asciiTheme="minorEastAsia" w:hAnsiTheme="minorEastAsia"/>
                <w:sz w:val="24"/>
                <w:szCs w:val="24"/>
              </w:rPr>
              <w:t>(不见面开标)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color w:val="000000"/>
                <w:sz w:val="24"/>
                <w:szCs w:val="24"/>
              </w:rPr>
              <w:t>2023年襄城县烟炕煤改电配套设施建设</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hint="eastAsia" w:asciiTheme="minorEastAsia" w:hAnsiTheme="minorEastAsia"/>
                <w:color w:val="000000"/>
                <w:sz w:val="24"/>
                <w:szCs w:val="24"/>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襄城县乡村振兴局（襄城县扶贫开发办公室）</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孙晓可</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13733745980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3"/>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w:t>
            </w:r>
            <w:r>
              <w:rPr>
                <w:rFonts w:hint="eastAsia" w:cs="宋体" w:asciiTheme="minorEastAsia" w:hAnsiTheme="minorEastAsia" w:eastAsiaTheme="minorEastAsia"/>
                <w:b/>
                <w:kern w:val="0"/>
                <w:sz w:val="24"/>
                <w:szCs w:val="24"/>
                <w:lang w:val="en-US" w:eastAsia="zh-CN" w:bidi="ar-SA"/>
              </w:rPr>
              <w:t>946000.00</w:t>
            </w:r>
            <w:r>
              <w:rPr>
                <w:rFonts w:hint="eastAsia" w:cs="宋体" w:asciiTheme="minorEastAsia" w:hAnsiTheme="minorEastAsia" w:eastAsiaTheme="minorEastAsia"/>
                <w:b/>
                <w:kern w:val="0"/>
                <w:sz w:val="24"/>
                <w:szCs w:val="24"/>
                <w:lang w:val="zh-CN" w:eastAsia="zh-CN" w:bidi="ar-SA"/>
              </w:rPr>
              <w:t>元（超出预算金额的响应无效）</w:t>
            </w:r>
            <w:r>
              <w:rPr>
                <w:rFonts w:hint="eastAsia" w:cs="黑体" w:asciiTheme="minorEastAsia" w:hAnsiTheme="minorEastAsia" w:eastAsiaTheme="minorEastAsia"/>
                <w:b/>
                <w:bCs/>
                <w:color w:val="FF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04</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11</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en-US" w:eastAsia="zh-CN"/>
              </w:rPr>
              <w:t>工业类</w:t>
            </w:r>
            <w:r>
              <w:rPr>
                <w:rFonts w:hint="eastAsia" w:ascii="宋体" w:hAnsi="宋体" w:cs="宋体"/>
                <w:bCs/>
                <w:sz w:val="24"/>
                <w:lang w:val="zh-CN" w:eastAsia="zh-CN"/>
              </w:rPr>
              <w:t>。</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2"/>
              <w:ind w:firstLine="480" w:firstLineChars="200"/>
              <w:jc w:val="both"/>
              <w:rPr>
                <w:rFonts w:hAnsi="宋体" w:asciiTheme="minorHAnsi" w:eastAsiaTheme="minorEastAsia"/>
                <w:color w:val="auto"/>
                <w:kern w:val="2"/>
              </w:rPr>
            </w:pPr>
          </w:p>
          <w:p>
            <w:pPr>
              <w:pStyle w:val="32"/>
              <w:ind w:firstLine="480" w:firstLineChars="200"/>
              <w:jc w:val="both"/>
              <w:rPr>
                <w:rFonts w:hAnsi="宋体" w:asciiTheme="minorHAnsi" w:eastAsiaTheme="minorEastAsia"/>
                <w:color w:val="auto"/>
                <w:kern w:val="2"/>
              </w:rPr>
            </w:pPr>
          </w:p>
          <w:p>
            <w:pPr>
              <w:pStyle w:val="3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0"/>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2"/>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6"/>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9"/>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9"/>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ind w:firstLine="120" w:firstLineChars="50"/>
              <w:jc w:val="left"/>
              <w:rPr>
                <w:rFonts w:cs="仿宋_GB2312" w:asciiTheme="minorEastAsia" w:hAnsiTheme="minorEastAsia"/>
                <w:sz w:val="24"/>
                <w:szCs w:val="24"/>
                <w:lang w:val="zh-CN"/>
              </w:rPr>
            </w:pPr>
            <w:r>
              <w:rPr>
                <w:rFonts w:hint="eastAsia" w:asciiTheme="minorEastAsia" w:hAnsiTheme="minorEastAsia"/>
                <w:color w:val="000000"/>
                <w:sz w:val="24"/>
                <w:szCs w:val="24"/>
                <w:lang w:val="en-US" w:eastAsia="zh-CN"/>
              </w:rPr>
              <w:t>投标人须具备电力工程施工总承包三级以上（含三级）资质同时具备电监会颁发的承装（修、试）四级及以上电力设施许可证；具有有效的安全生产许可证。</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4"/>
        <w:ind w:firstLine="0" w:firstLineChars="0"/>
        <w:rPr>
          <w:rFonts w:hAnsi="宋体" w:cs="微软雅黑"/>
          <w:szCs w:val="28"/>
        </w:rPr>
      </w:pPr>
    </w:p>
    <w:p>
      <w:pPr>
        <w:pStyle w:val="24"/>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4"/>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5"/>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4"/>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2"/>
        <w:rPr>
          <w:rFonts w:hAnsi="宋体"/>
          <w:color w:val="FF0000"/>
        </w:rPr>
      </w:pPr>
    </w:p>
    <w:p>
      <w:pPr>
        <w:pStyle w:val="3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2"/>
        <w:ind w:firstLine="480" w:firstLineChars="200"/>
      </w:pPr>
      <w:r>
        <w:rPr>
          <w:rFonts w:hint="eastAsia" w:hAnsi="Times New Roman"/>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u w:val="single"/>
          <w:lang w:val="en-US" w:eastAsia="zh-CN"/>
        </w:rPr>
        <w:t>工业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工业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A85F"/>
    <w:multiLevelType w:val="singleLevel"/>
    <w:tmpl w:val="D75DA85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1F3931"/>
    <w:rsid w:val="053F5432"/>
    <w:rsid w:val="064E7C45"/>
    <w:rsid w:val="0C4C440E"/>
    <w:rsid w:val="0CAE7D79"/>
    <w:rsid w:val="0E907D6A"/>
    <w:rsid w:val="0F492F98"/>
    <w:rsid w:val="100B4F00"/>
    <w:rsid w:val="13781D89"/>
    <w:rsid w:val="137F2F8B"/>
    <w:rsid w:val="14214638"/>
    <w:rsid w:val="149819C8"/>
    <w:rsid w:val="15EE44D7"/>
    <w:rsid w:val="17DC0EEE"/>
    <w:rsid w:val="18F9273C"/>
    <w:rsid w:val="197B011F"/>
    <w:rsid w:val="1BC27E34"/>
    <w:rsid w:val="1C317F37"/>
    <w:rsid w:val="1C527EEE"/>
    <w:rsid w:val="1D404543"/>
    <w:rsid w:val="1D90357B"/>
    <w:rsid w:val="20AD1B4A"/>
    <w:rsid w:val="2188579C"/>
    <w:rsid w:val="21DF17AC"/>
    <w:rsid w:val="2247604F"/>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42E1FE3"/>
    <w:rsid w:val="35306958"/>
    <w:rsid w:val="35C31759"/>
    <w:rsid w:val="378B6320"/>
    <w:rsid w:val="37DD4024"/>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B4F3122"/>
    <w:rsid w:val="4C944857"/>
    <w:rsid w:val="4D005CCE"/>
    <w:rsid w:val="4DA03A94"/>
    <w:rsid w:val="4EDC5ED9"/>
    <w:rsid w:val="4F3F7E05"/>
    <w:rsid w:val="4FCF2633"/>
    <w:rsid w:val="505F0174"/>
    <w:rsid w:val="51140856"/>
    <w:rsid w:val="51352836"/>
    <w:rsid w:val="52BC443F"/>
    <w:rsid w:val="54004FDB"/>
    <w:rsid w:val="544C0545"/>
    <w:rsid w:val="54510569"/>
    <w:rsid w:val="587072C8"/>
    <w:rsid w:val="58A31F4C"/>
    <w:rsid w:val="5CB139A0"/>
    <w:rsid w:val="5D6C5494"/>
    <w:rsid w:val="60482751"/>
    <w:rsid w:val="614E3A65"/>
    <w:rsid w:val="616D038D"/>
    <w:rsid w:val="61AE0FAA"/>
    <w:rsid w:val="6424389E"/>
    <w:rsid w:val="66696190"/>
    <w:rsid w:val="66814E4B"/>
    <w:rsid w:val="67031F33"/>
    <w:rsid w:val="67341FB4"/>
    <w:rsid w:val="69FB4D8B"/>
    <w:rsid w:val="6B0A19B6"/>
    <w:rsid w:val="6BA84BCE"/>
    <w:rsid w:val="6D32159C"/>
    <w:rsid w:val="6D7F628C"/>
    <w:rsid w:val="6E51144F"/>
    <w:rsid w:val="6EAA3499"/>
    <w:rsid w:val="6F0127DB"/>
    <w:rsid w:val="6F9C595C"/>
    <w:rsid w:val="709C702B"/>
    <w:rsid w:val="74110165"/>
    <w:rsid w:val="745B67F0"/>
    <w:rsid w:val="755E1E93"/>
    <w:rsid w:val="75AB4839"/>
    <w:rsid w:val="75BC40AA"/>
    <w:rsid w:val="767C5E46"/>
    <w:rsid w:val="76B625A7"/>
    <w:rsid w:val="770877C5"/>
    <w:rsid w:val="78AF68A0"/>
    <w:rsid w:val="78D763A0"/>
    <w:rsid w:val="792F72FA"/>
    <w:rsid w:val="7B6B58B3"/>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67"/>
    <w:semiHidden/>
    <w:unhideWhenUsed/>
    <w:qFormat/>
    <w:uiPriority w:val="99"/>
    <w:rPr>
      <w:rFonts w:ascii="宋体" w:eastAsia="宋体"/>
      <w:sz w:val="18"/>
      <w:szCs w:val="18"/>
    </w:rPr>
  </w:style>
  <w:style w:type="paragraph" w:styleId="10">
    <w:name w:val="Body Text 3"/>
    <w:basedOn w:val="1"/>
    <w:link w:val="37"/>
    <w:qFormat/>
    <w:uiPriority w:val="0"/>
    <w:rPr>
      <w:rFonts w:ascii="Times New Roman" w:hAnsi="Times New Roman" w:eastAsia="宋体" w:cs="Times New Roman"/>
      <w:color w:val="FF0000"/>
      <w:sz w:val="24"/>
      <w:szCs w:val="24"/>
    </w:rPr>
  </w:style>
  <w:style w:type="paragraph" w:styleId="11">
    <w:name w:val="Body Text"/>
    <w:basedOn w:val="1"/>
    <w:link w:val="38"/>
    <w:unhideWhenUsed/>
    <w:qFormat/>
    <w:uiPriority w:val="99"/>
    <w:pPr>
      <w:spacing w:after="120"/>
    </w:pPr>
  </w:style>
  <w:style w:type="paragraph" w:styleId="12">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39"/>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11"/>
    <w:link w:val="4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1 Char"/>
    <w:basedOn w:val="27"/>
    <w:link w:val="2"/>
    <w:qFormat/>
    <w:uiPriority w:val="0"/>
    <w:rPr>
      <w:rFonts w:ascii="Calibri" w:hAnsi="Calibri" w:eastAsia="宋体" w:cs="Times New Roman"/>
      <w:b/>
      <w:bCs/>
      <w:kern w:val="44"/>
      <w:sz w:val="44"/>
      <w:szCs w:val="44"/>
    </w:rPr>
  </w:style>
  <w:style w:type="character" w:customStyle="1" w:styleId="34">
    <w:name w:val="标题 2 Char"/>
    <w:basedOn w:val="27"/>
    <w:link w:val="3"/>
    <w:qFormat/>
    <w:uiPriority w:val="0"/>
    <w:rPr>
      <w:rFonts w:ascii="Arial" w:hAnsi="Arial" w:eastAsia="黑体" w:cs="Times New Roman"/>
      <w:b/>
      <w:bCs/>
      <w:sz w:val="32"/>
      <w:szCs w:val="32"/>
    </w:rPr>
  </w:style>
  <w:style w:type="character" w:customStyle="1" w:styleId="35">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5"/>
    <w:qFormat/>
    <w:uiPriority w:val="0"/>
    <w:rPr>
      <w:rFonts w:ascii="Arial" w:hAnsi="Arial" w:eastAsia="黑体" w:cs="Times New Roman"/>
      <w:b/>
      <w:bCs/>
      <w:sz w:val="28"/>
      <w:szCs w:val="28"/>
    </w:rPr>
  </w:style>
  <w:style w:type="character" w:customStyle="1" w:styleId="37">
    <w:name w:val="正文文本 3 Char"/>
    <w:basedOn w:val="27"/>
    <w:link w:val="10"/>
    <w:qFormat/>
    <w:uiPriority w:val="0"/>
    <w:rPr>
      <w:rFonts w:ascii="Times New Roman" w:hAnsi="Times New Roman" w:eastAsia="宋体" w:cs="Times New Roman"/>
      <w:color w:val="FF0000"/>
      <w:sz w:val="24"/>
      <w:szCs w:val="24"/>
    </w:rPr>
  </w:style>
  <w:style w:type="character" w:customStyle="1" w:styleId="38">
    <w:name w:val="正文文本 Char"/>
    <w:basedOn w:val="27"/>
    <w:link w:val="11"/>
    <w:qFormat/>
    <w:uiPriority w:val="99"/>
  </w:style>
  <w:style w:type="character" w:customStyle="1" w:styleId="39">
    <w:name w:val="纯文本 Char"/>
    <w:basedOn w:val="27"/>
    <w:link w:val="14"/>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9"/>
    <w:qFormat/>
    <w:uiPriority w:val="99"/>
    <w:rPr>
      <w:sz w:val="18"/>
      <w:szCs w:val="18"/>
    </w:rPr>
  </w:style>
  <w:style w:type="character" w:customStyle="1" w:styleId="42">
    <w:name w:val="页眉 Char"/>
    <w:basedOn w:val="27"/>
    <w:link w:val="20"/>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7"/>
    <w:qFormat/>
    <w:uiPriority w:val="0"/>
  </w:style>
  <w:style w:type="paragraph" w:customStyle="1" w:styleId="5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rPr>
      <w:kern w:val="2"/>
      <w:sz w:val="21"/>
      <w:szCs w:val="22"/>
    </w:rPr>
  </w:style>
  <w:style w:type="character" w:customStyle="1" w:styleId="60">
    <w:name w:val="批注框文本 Char"/>
    <w:basedOn w:val="27"/>
    <w:link w:val="18"/>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7"/>
    <w:link w:val="6"/>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7"/>
    <w:qFormat/>
    <w:uiPriority w:val="0"/>
    <w:rPr>
      <w:rFonts w:hint="eastAsia" w:ascii="宋体" w:hAnsi="宋体" w:eastAsia="宋体" w:cs="宋体"/>
      <w:b/>
      <w:color w:val="000000"/>
      <w:sz w:val="28"/>
      <w:szCs w:val="28"/>
      <w:u w:val="none"/>
    </w:rPr>
  </w:style>
  <w:style w:type="character" w:customStyle="1" w:styleId="66">
    <w:name w:val="font21"/>
    <w:basedOn w:val="27"/>
    <w:qFormat/>
    <w:uiPriority w:val="0"/>
    <w:rPr>
      <w:rFonts w:hint="eastAsia" w:ascii="宋体" w:hAnsi="宋体" w:eastAsia="宋体" w:cs="宋体"/>
      <w:color w:val="000000"/>
      <w:sz w:val="20"/>
      <w:szCs w:val="20"/>
      <w:u w:val="none"/>
    </w:rPr>
  </w:style>
  <w:style w:type="character" w:customStyle="1" w:styleId="67">
    <w:name w:val="文档结构图 Char"/>
    <w:basedOn w:val="27"/>
    <w:link w:val="9"/>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7"/>
    <w:qFormat/>
    <w:uiPriority w:val="0"/>
  </w:style>
  <w:style w:type="character" w:customStyle="1" w:styleId="70">
    <w:name w:val="ca-3"/>
    <w:basedOn w:val="27"/>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29546</Words>
  <Characters>31217</Characters>
  <Lines>276</Lines>
  <Paragraphs>77</Paragraphs>
  <TotalTime>9</TotalTime>
  <ScaleCrop>false</ScaleCrop>
  <LinksUpToDate>false</LinksUpToDate>
  <CharactersWithSpaces>32375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2023-07-31T07:33:00Z</cp:lastPrinted>
  <dcterms:modified xsi:type="dcterms:W3CDTF">2023-07-31T07:38:23Z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1A63440FDCB44A48BBE12E9EDA4AD9AF</vt:lpwstr>
  </property>
</Properties>
</file>