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sz w:val="21"/>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jc w:val="center"/>
        <w:textAlignment w:val="baseline"/>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郑州至南阳高速郑州至许昌段项目新郑境涉及电力、燃气迁改工程</w:t>
      </w:r>
    </w:p>
    <w:p>
      <w:pPr>
        <w:keepNext w:val="0"/>
        <w:keepLines w:val="0"/>
        <w:pageBreakBefore w:val="0"/>
        <w:widowControl/>
        <w:kinsoku w:val="0"/>
        <w:wordWrap/>
        <w:overflowPunct/>
        <w:topLinePunct w:val="0"/>
        <w:autoSpaceDE w:val="0"/>
        <w:autoSpaceDN w:val="0"/>
        <w:bidi w:val="0"/>
        <w:adjustRightInd w:val="0"/>
        <w:snapToGrid/>
        <w:spacing w:line="240" w:lineRule="auto"/>
        <w:ind w:right="-21" w:rightChars="-10"/>
        <w:jc w:val="center"/>
        <w:textAlignment w:val="baseline"/>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（一标段）</w:t>
      </w:r>
    </w:p>
    <w:p>
      <w:pPr>
        <w:keepNext w:val="0"/>
        <w:keepLines w:val="0"/>
        <w:pageBreakBefore w:val="0"/>
        <w:widowControl/>
        <w:kinsoku w:val="0"/>
        <w:wordWrap/>
        <w:overflowPunct/>
        <w:topLinePunct w:val="0"/>
        <w:autoSpaceDE w:val="0"/>
        <w:autoSpaceDN w:val="0"/>
        <w:bidi w:val="0"/>
        <w:adjustRightInd w:val="0"/>
        <w:snapToGrid/>
        <w:spacing w:line="240" w:lineRule="auto"/>
        <w:ind w:right="-21" w:rightChars="-10"/>
        <w:jc w:val="both"/>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jc w:val="center"/>
        <w:textAlignment w:val="baseline"/>
        <w:rPr>
          <w:rFonts w:hint="eastAsia" w:ascii="宋体" w:hAnsi="宋体" w:eastAsia="宋体" w:cs="宋体"/>
          <w:b/>
          <w:bCs/>
          <w:sz w:val="96"/>
          <w:szCs w:val="96"/>
          <w:highlight w:val="none"/>
        </w:rPr>
      </w:pPr>
      <w:r>
        <w:rPr>
          <w:rFonts w:hint="eastAsia" w:ascii="宋体" w:hAnsi="宋体" w:eastAsia="宋体" w:cs="宋体"/>
          <w:b/>
          <w:bCs/>
          <w:sz w:val="96"/>
          <w:szCs w:val="96"/>
          <w:highlight w:val="none"/>
        </w:rPr>
        <w:t>招标文件</w:t>
      </w: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jc w:val="center"/>
        <w:textAlignment w:val="baseline"/>
        <w:rPr>
          <w:rFonts w:hint="eastAsia" w:ascii="宋体" w:hAnsi="宋体" w:eastAsia="宋体" w:cs="宋体"/>
          <w:sz w:val="40"/>
          <w:szCs w:val="40"/>
          <w:highlight w:val="none"/>
          <w:lang w:val="en-US" w:eastAsia="zh-CN"/>
        </w:rPr>
      </w:pPr>
      <w:r>
        <w:rPr>
          <w:rFonts w:hint="eastAsia" w:ascii="宋体" w:hAnsi="宋体" w:eastAsia="宋体" w:cs="宋体"/>
          <w:sz w:val="40"/>
          <w:szCs w:val="40"/>
          <w:highlight w:val="none"/>
        </w:rPr>
        <w:t>招标编号：</w:t>
      </w:r>
      <w:r>
        <w:rPr>
          <w:rFonts w:hint="eastAsia" w:ascii="宋体" w:hAnsi="宋体" w:eastAsia="宋体" w:cs="宋体"/>
          <w:sz w:val="40"/>
          <w:szCs w:val="40"/>
          <w:highlight w:val="none"/>
          <w:lang w:val="en-US" w:eastAsia="zh-CN"/>
        </w:rPr>
        <w:t>新财公开采购-2024-2</w:t>
      </w: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firstLine="1680" w:firstLineChars="525"/>
        <w:textAlignment w:val="baseline"/>
        <w:rPr>
          <w:rFonts w:hint="eastAsia" w:ascii="宋体" w:hAnsi="宋体" w:eastAsia="宋体" w:cs="宋体"/>
          <w:sz w:val="32"/>
          <w:szCs w:val="32"/>
          <w:highlight w:val="none"/>
        </w:rPr>
      </w:pPr>
      <w:r>
        <w:rPr>
          <w:rFonts w:hint="eastAsia" w:ascii="宋体" w:hAnsi="宋体" w:eastAsia="宋体" w:cs="宋体"/>
          <w:sz w:val="32"/>
          <w:szCs w:val="32"/>
          <w:highlight w:val="none"/>
        </w:rPr>
        <w:t>招标人：</w:t>
      </w:r>
      <w:r>
        <w:rPr>
          <w:rFonts w:hint="eastAsia" w:ascii="宋体" w:hAnsi="宋体" w:eastAsia="宋体" w:cs="宋体"/>
          <w:sz w:val="32"/>
          <w:szCs w:val="32"/>
          <w:highlight w:val="none"/>
          <w:lang w:val="en-US" w:eastAsia="zh-CN"/>
        </w:rPr>
        <w:t>新郑市交通运输局</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firstLine="1680" w:firstLineChars="525"/>
        <w:textAlignment w:val="baseline"/>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招标代理：</w:t>
      </w:r>
      <w:r>
        <w:rPr>
          <w:rFonts w:hint="eastAsia" w:ascii="宋体" w:hAnsi="宋体" w:eastAsia="宋体" w:cs="宋体"/>
          <w:sz w:val="32"/>
          <w:szCs w:val="32"/>
          <w:highlight w:val="none"/>
          <w:lang w:val="en-US" w:eastAsia="zh-CN"/>
        </w:rPr>
        <w:t>河南鑫东辰工程管理有限公司</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firstLine="1680" w:firstLineChars="525"/>
        <w:textAlignment w:val="baseline"/>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日期：</w:t>
      </w:r>
      <w:r>
        <w:rPr>
          <w:rFonts w:hint="eastAsia" w:ascii="宋体" w:hAnsi="宋体" w:eastAsia="宋体" w:cs="宋体"/>
          <w:sz w:val="32"/>
          <w:szCs w:val="32"/>
          <w:highlight w:val="none"/>
          <w:lang w:val="en-US" w:eastAsia="zh-CN"/>
        </w:rPr>
        <w:t>二〇二四年一月</w:t>
      </w:r>
    </w:p>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44"/>
          <w:szCs w:val="44"/>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44"/>
          <w:szCs w:val="44"/>
          <w:highlight w:val="none"/>
        </w:rPr>
        <w:sectPr>
          <w:pgSz w:w="11906" w:h="16838"/>
          <w:pgMar w:top="1440" w:right="1134" w:bottom="1440" w:left="1134" w:header="851" w:footer="992" w:gutter="0"/>
          <w:pgNumType w:fmt="numberInDash"/>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目录</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第一章招标公告</w:t>
      </w:r>
      <w:r>
        <w:rPr>
          <w:rFonts w:hint="eastAsia" w:ascii="宋体" w:hAnsi="宋体" w:eastAsia="宋体" w:cs="宋体"/>
          <w:sz w:val="28"/>
          <w:szCs w:val="28"/>
          <w:highlight w:val="none"/>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第二章投标人须知</w:t>
      </w:r>
      <w:r>
        <w:rPr>
          <w:rFonts w:hint="eastAsia" w:ascii="宋体" w:hAnsi="宋体" w:eastAsia="宋体" w:cs="宋体"/>
          <w:sz w:val="28"/>
          <w:szCs w:val="28"/>
          <w:highlight w:val="none"/>
          <w:lang w:val="en-US" w:eastAsia="zh-CN"/>
        </w:rPr>
        <w:t>.................................................10</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投标人须知前附表</w:t>
      </w:r>
      <w:r>
        <w:rPr>
          <w:rFonts w:hint="eastAsia" w:ascii="宋体" w:hAnsi="宋体" w:eastAsia="宋体" w:cs="宋体"/>
          <w:sz w:val="28"/>
          <w:szCs w:val="28"/>
          <w:highlight w:val="none"/>
          <w:lang w:val="en-US" w:eastAsia="zh-CN"/>
        </w:rPr>
        <w:t>.............................................10</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1058" w:firstLineChars="37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1.总则</w:t>
      </w:r>
      <w:r>
        <w:rPr>
          <w:rFonts w:hint="eastAsia" w:ascii="宋体" w:hAnsi="宋体" w:eastAsia="宋体" w:cs="宋体"/>
          <w:sz w:val="28"/>
          <w:szCs w:val="28"/>
          <w:highlight w:val="none"/>
          <w:lang w:val="en-US" w:eastAsia="zh-CN"/>
        </w:rPr>
        <w:t>...................................................16</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1058" w:firstLineChars="37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2.招标文件</w:t>
      </w:r>
      <w:r>
        <w:rPr>
          <w:rFonts w:hint="eastAsia" w:ascii="宋体" w:hAnsi="宋体" w:eastAsia="宋体" w:cs="宋体"/>
          <w:sz w:val="28"/>
          <w:szCs w:val="28"/>
          <w:highlight w:val="none"/>
          <w:lang w:val="en-US" w:eastAsia="zh-CN"/>
        </w:rPr>
        <w:t>...............................................19</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1058" w:firstLineChars="37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3.投标文件</w:t>
      </w:r>
      <w:r>
        <w:rPr>
          <w:rFonts w:hint="eastAsia" w:ascii="宋体" w:hAnsi="宋体" w:eastAsia="宋体" w:cs="宋体"/>
          <w:sz w:val="28"/>
          <w:szCs w:val="28"/>
          <w:highlight w:val="none"/>
          <w:lang w:val="en-US" w:eastAsia="zh-CN"/>
        </w:rPr>
        <w:t>...............................................21</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1058" w:firstLineChars="37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4.投标</w:t>
      </w:r>
      <w:r>
        <w:rPr>
          <w:rFonts w:hint="eastAsia" w:ascii="宋体" w:hAnsi="宋体" w:eastAsia="宋体" w:cs="宋体"/>
          <w:sz w:val="28"/>
          <w:szCs w:val="28"/>
          <w:highlight w:val="none"/>
          <w:lang w:val="en-US" w:eastAsia="zh-CN"/>
        </w:rPr>
        <w:t>...................................................23</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1058" w:firstLineChars="37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5.开标</w:t>
      </w:r>
      <w:r>
        <w:rPr>
          <w:rFonts w:hint="eastAsia" w:ascii="宋体" w:hAnsi="宋体" w:eastAsia="宋体" w:cs="宋体"/>
          <w:sz w:val="28"/>
          <w:szCs w:val="28"/>
          <w:highlight w:val="none"/>
          <w:lang w:val="en-US" w:eastAsia="zh-CN"/>
        </w:rPr>
        <w:t>...................................................25</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1058" w:firstLineChars="37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6.评标</w:t>
      </w:r>
      <w:r>
        <w:rPr>
          <w:rFonts w:hint="eastAsia" w:ascii="宋体" w:hAnsi="宋体" w:eastAsia="宋体" w:cs="宋体"/>
          <w:sz w:val="28"/>
          <w:szCs w:val="28"/>
          <w:highlight w:val="none"/>
          <w:lang w:val="en-US" w:eastAsia="zh-CN"/>
        </w:rPr>
        <w:t>...................................................26</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1058" w:firstLineChars="37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7.合同授予</w:t>
      </w:r>
      <w:r>
        <w:rPr>
          <w:rFonts w:hint="eastAsia" w:ascii="宋体" w:hAnsi="宋体" w:eastAsia="宋体" w:cs="宋体"/>
          <w:sz w:val="28"/>
          <w:szCs w:val="28"/>
          <w:highlight w:val="none"/>
          <w:lang w:val="en-US" w:eastAsia="zh-CN"/>
        </w:rPr>
        <w:t>...............................................27</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1058" w:firstLineChars="37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8.重新招标和不再招标</w:t>
      </w:r>
      <w:r>
        <w:rPr>
          <w:rFonts w:hint="eastAsia" w:ascii="宋体" w:hAnsi="宋体" w:eastAsia="宋体" w:cs="宋体"/>
          <w:sz w:val="28"/>
          <w:szCs w:val="28"/>
          <w:highlight w:val="none"/>
          <w:lang w:val="en-US" w:eastAsia="zh-CN"/>
        </w:rPr>
        <w:t>.....................................28</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1058" w:firstLineChars="37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9.纪律和监督</w:t>
      </w:r>
      <w:r>
        <w:rPr>
          <w:rFonts w:hint="eastAsia" w:ascii="宋体" w:hAnsi="宋体" w:eastAsia="宋体" w:cs="宋体"/>
          <w:sz w:val="28"/>
          <w:szCs w:val="28"/>
          <w:highlight w:val="none"/>
          <w:lang w:val="en-US" w:eastAsia="zh-CN"/>
        </w:rPr>
        <w:t>.............................................28</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1058" w:firstLineChars="37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10.需要补充的其他内容</w:t>
      </w:r>
      <w:r>
        <w:rPr>
          <w:rFonts w:hint="eastAsia" w:ascii="宋体" w:hAnsi="宋体" w:eastAsia="宋体" w:cs="宋体"/>
          <w:sz w:val="28"/>
          <w:szCs w:val="28"/>
          <w:highlight w:val="none"/>
          <w:lang w:val="en-US" w:eastAsia="zh-CN"/>
        </w:rPr>
        <w:t>....................................29</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第三章评标办法</w:t>
      </w:r>
      <w:r>
        <w:rPr>
          <w:rFonts w:hint="eastAsia" w:ascii="宋体" w:hAnsi="宋体" w:eastAsia="宋体" w:cs="宋体"/>
          <w:sz w:val="28"/>
          <w:szCs w:val="28"/>
          <w:highlight w:val="none"/>
          <w:lang w:val="en-US" w:eastAsia="zh-CN"/>
        </w:rPr>
        <w:t>...................................................32</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第四章合同条款及格式</w:t>
      </w:r>
      <w:r>
        <w:rPr>
          <w:rFonts w:hint="eastAsia" w:ascii="宋体" w:hAnsi="宋体" w:eastAsia="宋体" w:cs="宋体"/>
          <w:sz w:val="28"/>
          <w:szCs w:val="28"/>
          <w:highlight w:val="none"/>
          <w:lang w:val="en-US" w:eastAsia="zh-CN"/>
        </w:rPr>
        <w:t>.............................................48</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第五章发包人要求</w:t>
      </w:r>
      <w:r>
        <w:rPr>
          <w:rFonts w:hint="eastAsia" w:ascii="宋体" w:hAnsi="宋体" w:eastAsia="宋体" w:cs="宋体"/>
          <w:sz w:val="28"/>
          <w:szCs w:val="28"/>
          <w:highlight w:val="none"/>
          <w:lang w:val="en-US" w:eastAsia="zh-CN"/>
        </w:rPr>
        <w:t>.................................................80</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第六章技术要求</w:t>
      </w:r>
      <w:r>
        <w:rPr>
          <w:rFonts w:hint="eastAsia" w:ascii="宋体" w:hAnsi="宋体" w:eastAsia="宋体" w:cs="宋体"/>
          <w:sz w:val="28"/>
          <w:szCs w:val="28"/>
          <w:highlight w:val="none"/>
          <w:lang w:val="en-US" w:eastAsia="zh-CN"/>
        </w:rPr>
        <w:t>...................................................82</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第七章投标文件格式</w:t>
      </w:r>
      <w:r>
        <w:rPr>
          <w:rFonts w:hint="eastAsia" w:ascii="宋体" w:hAnsi="宋体" w:eastAsia="宋体" w:cs="宋体"/>
          <w:sz w:val="28"/>
          <w:szCs w:val="28"/>
          <w:highlight w:val="none"/>
          <w:lang w:val="en-US" w:eastAsia="zh-CN"/>
        </w:rPr>
        <w:t>...............................................83</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一、投标函及投标函附录</w:t>
      </w:r>
      <w:r>
        <w:rPr>
          <w:rFonts w:hint="eastAsia" w:ascii="宋体" w:hAnsi="宋体" w:eastAsia="宋体" w:cs="宋体"/>
          <w:sz w:val="28"/>
          <w:szCs w:val="28"/>
          <w:highlight w:val="none"/>
          <w:lang w:val="en-US" w:eastAsia="zh-CN"/>
        </w:rPr>
        <w:t>.......................................85</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二、法定代表人身份证明及授权委托书</w:t>
      </w:r>
      <w:r>
        <w:rPr>
          <w:rFonts w:hint="eastAsia" w:ascii="宋体" w:hAnsi="宋体" w:eastAsia="宋体" w:cs="宋体"/>
          <w:sz w:val="28"/>
          <w:szCs w:val="28"/>
          <w:highlight w:val="none"/>
          <w:lang w:val="en-US" w:eastAsia="zh-CN"/>
        </w:rPr>
        <w:t>...........................87</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三、联合体协议书</w:t>
      </w:r>
      <w:r>
        <w:rPr>
          <w:rFonts w:hint="eastAsia" w:ascii="宋体" w:hAnsi="宋体" w:eastAsia="宋体" w:cs="宋体"/>
          <w:sz w:val="28"/>
          <w:szCs w:val="28"/>
          <w:highlight w:val="none"/>
          <w:lang w:val="en-US" w:eastAsia="zh-CN"/>
        </w:rPr>
        <w:t>.............................................89</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四、投标保证金</w:t>
      </w:r>
      <w:r>
        <w:rPr>
          <w:rFonts w:hint="eastAsia" w:ascii="宋体" w:hAnsi="宋体" w:eastAsia="宋体" w:cs="宋体"/>
          <w:sz w:val="28"/>
          <w:szCs w:val="28"/>
          <w:highlight w:val="none"/>
          <w:lang w:val="en-US" w:eastAsia="zh-CN"/>
        </w:rPr>
        <w:t>...............................................90</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五、项目实施方案（施工组织设计、设计方案）</w:t>
      </w:r>
      <w:r>
        <w:rPr>
          <w:rFonts w:hint="eastAsia" w:ascii="宋体" w:hAnsi="宋体" w:eastAsia="宋体" w:cs="宋体"/>
          <w:sz w:val="28"/>
          <w:szCs w:val="28"/>
          <w:highlight w:val="none"/>
          <w:lang w:val="en-US" w:eastAsia="zh-CN"/>
        </w:rPr>
        <w:t>...................91</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六、项目管理机构</w:t>
      </w:r>
      <w:r>
        <w:rPr>
          <w:rFonts w:hint="eastAsia" w:ascii="宋体" w:hAnsi="宋体" w:eastAsia="宋体" w:cs="宋体"/>
          <w:sz w:val="28"/>
          <w:szCs w:val="28"/>
          <w:highlight w:val="none"/>
          <w:lang w:val="en-US" w:eastAsia="zh-CN"/>
        </w:rPr>
        <w:t>.............................................92</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七、资格审查资料</w:t>
      </w:r>
      <w:r>
        <w:rPr>
          <w:rFonts w:hint="eastAsia" w:ascii="宋体" w:hAnsi="宋体" w:eastAsia="宋体" w:cs="宋体"/>
          <w:sz w:val="28"/>
          <w:szCs w:val="28"/>
          <w:highlight w:val="none"/>
          <w:lang w:val="en-US" w:eastAsia="zh-CN"/>
        </w:rPr>
        <w:t>.............................................93</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八、投标人廉洁自律承诺书</w:t>
      </w:r>
      <w:r>
        <w:rPr>
          <w:rFonts w:hint="eastAsia" w:ascii="宋体" w:hAnsi="宋体" w:eastAsia="宋体" w:cs="宋体"/>
          <w:sz w:val="28"/>
          <w:szCs w:val="28"/>
          <w:highlight w:val="none"/>
          <w:lang w:val="en-US" w:eastAsia="zh-CN"/>
        </w:rPr>
        <w:t>.....................................94</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九、服务承诺</w:t>
      </w:r>
      <w:r>
        <w:rPr>
          <w:rFonts w:hint="eastAsia" w:ascii="宋体" w:hAnsi="宋体" w:eastAsia="宋体" w:cs="宋体"/>
          <w:sz w:val="28"/>
          <w:szCs w:val="28"/>
          <w:highlight w:val="none"/>
          <w:lang w:val="en-US" w:eastAsia="zh-CN"/>
        </w:rPr>
        <w:t>.................................................95</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十、投标一览表</w:t>
      </w:r>
      <w:r>
        <w:rPr>
          <w:rFonts w:hint="eastAsia" w:ascii="宋体" w:hAnsi="宋体" w:eastAsia="宋体" w:cs="宋体"/>
          <w:sz w:val="28"/>
          <w:szCs w:val="28"/>
          <w:highlight w:val="none"/>
          <w:lang w:val="en-US" w:eastAsia="zh-CN"/>
        </w:rPr>
        <w:t>...............................................96</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十一、承诺书</w:t>
      </w:r>
      <w:r>
        <w:rPr>
          <w:rFonts w:hint="eastAsia" w:ascii="宋体" w:hAnsi="宋体" w:eastAsia="宋体" w:cs="宋体"/>
          <w:sz w:val="28"/>
          <w:szCs w:val="28"/>
          <w:highlight w:val="none"/>
          <w:lang w:val="en-US" w:eastAsia="zh-CN"/>
        </w:rPr>
        <w:t>.................................................97</w:t>
      </w:r>
    </w:p>
    <w:p>
      <w:pPr>
        <w:keepNext w:val="0"/>
        <w:keepLines w:val="0"/>
        <w:pageBreakBefore w:val="0"/>
        <w:widowControl/>
        <w:kinsoku w:val="0"/>
        <w:wordWrap/>
        <w:overflowPunct/>
        <w:topLinePunct w:val="0"/>
        <w:autoSpaceDE w:val="0"/>
        <w:autoSpaceDN w:val="0"/>
        <w:bidi w:val="0"/>
        <w:adjustRightInd w:val="0"/>
        <w:snapToGrid/>
        <w:spacing w:line="240" w:lineRule="auto"/>
        <w:ind w:firstLine="560" w:firstLineChars="200"/>
        <w:textAlignment w:val="baseline"/>
        <w:rPr>
          <w:rFonts w:hint="default" w:ascii="宋体" w:hAnsi="宋体" w:eastAsia="宋体" w:cs="宋体"/>
          <w:sz w:val="28"/>
          <w:szCs w:val="28"/>
          <w:highlight w:val="none"/>
          <w:lang w:val="en-US"/>
        </w:rPr>
      </w:pPr>
      <w:r>
        <w:rPr>
          <w:rFonts w:hint="eastAsia" w:ascii="宋体" w:hAnsi="宋体" w:eastAsia="宋体" w:cs="宋体"/>
          <w:sz w:val="28"/>
          <w:szCs w:val="28"/>
          <w:highlight w:val="none"/>
        </w:rPr>
        <w:t>十二、投标人认为有必要的其他资料</w:t>
      </w:r>
      <w:r>
        <w:rPr>
          <w:rFonts w:hint="eastAsia" w:ascii="宋体" w:hAnsi="宋体" w:eastAsia="宋体" w:cs="宋体"/>
          <w:sz w:val="28"/>
          <w:szCs w:val="28"/>
          <w:highlight w:val="none"/>
          <w:lang w:val="en-US" w:eastAsia="zh-CN"/>
        </w:rPr>
        <w:t>.............................103</w:t>
      </w:r>
    </w:p>
    <w:p>
      <w:pPr>
        <w:keepNext w:val="0"/>
        <w:keepLines w:val="0"/>
        <w:pageBreakBefore w:val="0"/>
        <w:widowControl/>
        <w:kinsoku w:val="0"/>
        <w:wordWrap/>
        <w:overflowPunct/>
        <w:topLinePunct w:val="0"/>
        <w:autoSpaceDE w:val="0"/>
        <w:autoSpaceDN w:val="0"/>
        <w:bidi w:val="0"/>
        <w:adjustRightInd w:val="0"/>
        <w:snapToGrid/>
        <w:spacing w:line="240" w:lineRule="auto"/>
        <w:ind w:firstLine="560" w:firstLineChars="200"/>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firstLine="560" w:firstLineChars="200"/>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44"/>
          <w:szCs w:val="44"/>
          <w:highlight w:val="none"/>
        </w:rPr>
        <w:sectPr>
          <w:footerReference r:id="rId5" w:type="default"/>
          <w:pgSz w:w="11906" w:h="16838"/>
          <w:pgMar w:top="1440" w:right="1134" w:bottom="1440" w:left="1134" w:header="851" w:footer="992" w:gutter="0"/>
          <w:pgNumType w:fmt="numberInDash" w:start="1"/>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第一章招标公告</w:t>
      </w:r>
    </w:p>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郑州至南阳高速郑州至许昌段项目新郑境涉及电力、燃气迁改工程招标公告</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一、招标条件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本招标项目郑州至南阳高速郑州至许昌段项目新郑境涉及电力、燃气迁改工程</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郑州至南阳高速郑州至许昌段项目已</w:t>
      </w:r>
      <w:r>
        <w:rPr>
          <w:rFonts w:hint="eastAsia" w:ascii="宋体" w:hAnsi="宋体" w:eastAsia="宋体" w:cs="宋体"/>
          <w:sz w:val="28"/>
          <w:szCs w:val="28"/>
          <w:highlight w:val="none"/>
          <w:lang w:eastAsia="zh-CN"/>
        </w:rPr>
        <w:t>经</w:t>
      </w:r>
      <w:r>
        <w:rPr>
          <w:rFonts w:hint="eastAsia" w:ascii="宋体" w:hAnsi="宋体" w:eastAsia="宋体" w:cs="宋体"/>
          <w:sz w:val="28"/>
          <w:szCs w:val="28"/>
          <w:highlight w:val="none"/>
          <w:lang w:val="en-US" w:eastAsia="zh-CN"/>
        </w:rPr>
        <w:t>豫发改基础（2022）641号</w:t>
      </w:r>
      <w:r>
        <w:rPr>
          <w:rFonts w:hint="eastAsia" w:ascii="宋体" w:hAnsi="宋体" w:eastAsia="宋体" w:cs="宋体"/>
          <w:sz w:val="28"/>
          <w:szCs w:val="28"/>
          <w:highlight w:val="none"/>
        </w:rPr>
        <w:t>文件批准建设，</w:t>
      </w:r>
      <w:r>
        <w:rPr>
          <w:rFonts w:hint="eastAsia" w:ascii="宋体" w:hAnsi="宋体" w:eastAsia="宋体" w:cs="宋体"/>
          <w:sz w:val="28"/>
          <w:szCs w:val="28"/>
          <w:highlight w:val="none"/>
          <w:lang w:eastAsia="zh-CN"/>
        </w:rPr>
        <w:t>目前，项目</w:t>
      </w:r>
      <w:r>
        <w:rPr>
          <w:rFonts w:hint="eastAsia" w:ascii="宋体" w:hAnsi="宋体" w:eastAsia="宋体" w:cs="宋体"/>
          <w:sz w:val="28"/>
          <w:szCs w:val="28"/>
          <w:highlight w:val="none"/>
          <w:lang w:val="en-US" w:eastAsia="zh-CN"/>
        </w:rPr>
        <w:t>已开工建设，现需对影响郑许高速建设的500千伏、220千伏、110千伏、35千伏、10千伏及以下的电力线路和输气管道进行迁改（需要保护的由郑许高速项目公司负责保护），个别地埋线路采取预留备用管道等措施，资金来源为上级专项资金，资金已落实</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郑许高速项目列入概算中涉及电力和输气管线迁改费用约13997.03万元。</w:t>
      </w:r>
      <w:r>
        <w:rPr>
          <w:rFonts w:hint="eastAsia" w:ascii="宋体" w:hAnsi="宋体" w:eastAsia="宋体" w:cs="宋体"/>
          <w:sz w:val="28"/>
          <w:szCs w:val="28"/>
          <w:highlight w:val="none"/>
        </w:rPr>
        <w:t>招标人为新郑市交通运输局，招标代理机构为河南鑫东辰工程管理有限公司，该项目已具备招标条件，现对该项目</w:t>
      </w:r>
      <w:r>
        <w:rPr>
          <w:rFonts w:hint="eastAsia" w:ascii="宋体" w:hAnsi="宋体" w:eastAsia="宋体" w:cs="宋体"/>
          <w:sz w:val="28"/>
          <w:szCs w:val="28"/>
          <w:highlight w:val="none"/>
          <w:lang w:val="en-US" w:eastAsia="zh-CN"/>
        </w:rPr>
        <w:t>进行</w:t>
      </w:r>
      <w:r>
        <w:rPr>
          <w:rFonts w:hint="eastAsia" w:ascii="宋体" w:hAnsi="宋体" w:eastAsia="宋体" w:cs="宋体"/>
          <w:sz w:val="28"/>
          <w:szCs w:val="28"/>
          <w:highlight w:val="none"/>
        </w:rPr>
        <w:t>公开招标。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二、项目概况与招标范围</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2.1项目名称：郑州至南阳高速郑州至许昌段项目新郑境涉及电力、燃气迁改工程</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2.2招标编号：新财公开采购-2024-2</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2.3资金来源：</w:t>
      </w:r>
      <w:r>
        <w:rPr>
          <w:rFonts w:hint="eastAsia" w:ascii="宋体" w:hAnsi="宋体" w:eastAsia="宋体" w:cs="宋体"/>
          <w:sz w:val="28"/>
          <w:szCs w:val="28"/>
          <w:highlight w:val="none"/>
          <w:lang w:val="en-US" w:eastAsia="zh-CN"/>
        </w:rPr>
        <w:t>上级专项资金</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2.4建设地点：</w:t>
      </w:r>
      <w:r>
        <w:rPr>
          <w:rFonts w:hint="eastAsia" w:ascii="宋体" w:hAnsi="宋体" w:eastAsia="宋体" w:cs="宋体"/>
          <w:sz w:val="28"/>
          <w:szCs w:val="28"/>
          <w:highlight w:val="none"/>
          <w:lang w:val="en-US" w:eastAsia="zh-CN"/>
        </w:rPr>
        <w:t>新郑境内</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2.5项目概况：</w:t>
      </w:r>
      <w:r>
        <w:rPr>
          <w:rFonts w:hint="eastAsia" w:ascii="宋体" w:hAnsi="宋体" w:eastAsia="宋体" w:cs="宋体"/>
          <w:sz w:val="28"/>
          <w:szCs w:val="28"/>
          <w:highlight w:val="none"/>
          <w:lang w:val="en-US" w:eastAsia="zh-CN"/>
        </w:rPr>
        <w:t>郑州至南阳高速郑州至许昌段新郑境建设工程（以下称郑许高速），采用双向六车道建设标准，路基宽33.5米，路线全长64.323公里，概算约137.5亿元，其中新郑境长38.311公里，投资约92亿元，设互通式立交7处，其中枢纽型互通2处，服务型互通5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目前，郑许高速项目已开工建设，需对影响郑许高速建设的500千伏、220千伏、110千伏、35千伏、10千伏及以下的电力线路和输气管道进行迁改（需要保护的由郑许高速项目公司负责保护），个别地埋线路采取预留备用管道等措施，郑许高速项目列入概算中涉及电力和输气管线迁改费用约13997.03万元。</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2.6招标范围：</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一标段：EPC施工总承包（包括设计、材料设备采购、施工、竣工验收、移交、备案、保修及缺陷责任期内的缺陷修复）。</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二标段：本工程项目施工及保修阶段全过程监理服务。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2.7标段划分：本项目划分为2个标段</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一标段：郑州至南阳高速郑州至许昌段项目新郑境涉及电力、燃气迁改工程EPC总承包</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二标段：郑州至南阳高速郑州至许昌段项目新郑境涉及电力、燃气迁改工程监理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2.8质量要求：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一标段：</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设计质量标准：符合现行国家、地方及行业相关设计规范合格标准，设计成果文件应通过施工图审查机构等有关部门的审查并审查合格；</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施工质量标准：符合《工程施工质量验收规范》合格标准及国家、行业及地方相关施工验收规范合格标准。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二标段：</w:t>
      </w:r>
      <w:r>
        <w:rPr>
          <w:rFonts w:hint="eastAsia" w:ascii="宋体" w:hAnsi="宋体" w:eastAsia="宋体" w:cs="宋体"/>
          <w:sz w:val="28"/>
          <w:szCs w:val="28"/>
          <w:highlight w:val="none"/>
          <w:lang w:val="en-US" w:eastAsia="zh-CN"/>
        </w:rPr>
        <w:t>合格，</w:t>
      </w:r>
      <w:r>
        <w:rPr>
          <w:rFonts w:hint="eastAsia" w:ascii="宋体" w:hAnsi="宋体" w:eastAsia="宋体" w:cs="宋体"/>
          <w:sz w:val="28"/>
          <w:szCs w:val="28"/>
          <w:highlight w:val="none"/>
        </w:rPr>
        <w:t>满足有关法律、法规、监理规范等要求。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2.9工期：</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一标段：18个月</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二标段：监理服务期限：同施工工期及缺陷责任期（保修期）</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2.10招标方式：公开招标。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2.11定标方法：采用综合评估法确定中标候选人。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2.12评标办法：全流程电子化评标方式。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三、投标人资格要求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一标段：</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3.1投标人须为具有独立承担民事责任能力的法人或其他组织，具有有效的营业执照，并具备以下资质：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3.2资质要求：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1）施工资质：投标人（或联合体牵头人）具备建设行政主管部门颁发的</w:t>
      </w:r>
      <w:r>
        <w:rPr>
          <w:rFonts w:hint="eastAsia" w:ascii="宋体" w:hAnsi="宋体" w:eastAsia="宋体" w:cs="宋体"/>
          <w:sz w:val="28"/>
          <w:szCs w:val="28"/>
          <w:highlight w:val="none"/>
          <w:lang w:val="en-US" w:eastAsia="zh-CN"/>
        </w:rPr>
        <w:t>电力工程</w:t>
      </w:r>
      <w:r>
        <w:rPr>
          <w:rFonts w:hint="eastAsia" w:ascii="宋体" w:hAnsi="宋体" w:eastAsia="宋体" w:cs="宋体"/>
          <w:sz w:val="28"/>
          <w:szCs w:val="28"/>
          <w:highlight w:val="none"/>
        </w:rPr>
        <w:t>施工总承包壹级及以上资质</w:t>
      </w:r>
      <w:r>
        <w:rPr>
          <w:rFonts w:hint="eastAsia" w:ascii="宋体" w:hAnsi="宋体" w:eastAsia="宋体" w:cs="宋体"/>
          <w:sz w:val="28"/>
          <w:szCs w:val="28"/>
          <w:highlight w:val="none"/>
          <w:lang w:val="en-US" w:eastAsia="zh-CN"/>
        </w:rPr>
        <w:t>和市政公用工程</w:t>
      </w:r>
      <w:r>
        <w:rPr>
          <w:rFonts w:hint="eastAsia" w:ascii="宋体" w:hAnsi="宋体" w:eastAsia="宋体" w:cs="宋体"/>
          <w:sz w:val="28"/>
          <w:szCs w:val="28"/>
          <w:highlight w:val="none"/>
        </w:rPr>
        <w:t>施工总承包</w:t>
      </w:r>
      <w:r>
        <w:rPr>
          <w:rFonts w:hint="eastAsia" w:ascii="宋体" w:hAnsi="宋体" w:eastAsia="宋体" w:cs="宋体"/>
          <w:sz w:val="28"/>
          <w:szCs w:val="28"/>
          <w:highlight w:val="none"/>
          <w:lang w:val="en-US" w:eastAsia="zh-CN"/>
        </w:rPr>
        <w:t>贰</w:t>
      </w:r>
      <w:r>
        <w:rPr>
          <w:rFonts w:hint="eastAsia" w:ascii="宋体" w:hAnsi="宋体" w:eastAsia="宋体" w:cs="宋体"/>
          <w:sz w:val="28"/>
          <w:szCs w:val="28"/>
          <w:highlight w:val="none"/>
        </w:rPr>
        <w:t>级及以上资质</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具有有效的安全生产许可证，且在人员、设备、资金等方面具有相应的施工能力；</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2）设计资质：投标人（或联合体成员方）须具有</w:t>
      </w:r>
      <w:r>
        <w:rPr>
          <w:rFonts w:hint="eastAsia" w:ascii="宋体" w:hAnsi="宋体" w:eastAsia="宋体" w:cs="宋体"/>
          <w:sz w:val="28"/>
          <w:szCs w:val="28"/>
          <w:highlight w:val="none"/>
          <w:lang w:val="en-US" w:eastAsia="zh-CN"/>
        </w:rPr>
        <w:t>电力行业（送变电工程）</w:t>
      </w:r>
      <w:r>
        <w:rPr>
          <w:rFonts w:hint="eastAsia" w:ascii="宋体" w:hAnsi="宋体" w:eastAsia="宋体" w:cs="宋体"/>
          <w:sz w:val="28"/>
          <w:szCs w:val="28"/>
          <w:highlight w:val="none"/>
        </w:rPr>
        <w:t>设计</w:t>
      </w:r>
      <w:r>
        <w:rPr>
          <w:rFonts w:hint="eastAsia" w:ascii="宋体" w:hAnsi="宋体" w:eastAsia="宋体" w:cs="宋体"/>
          <w:sz w:val="28"/>
          <w:szCs w:val="28"/>
          <w:highlight w:val="none"/>
          <w:lang w:val="en-US" w:eastAsia="zh-CN"/>
        </w:rPr>
        <w:t>甲</w:t>
      </w:r>
      <w:r>
        <w:rPr>
          <w:rFonts w:hint="eastAsia" w:ascii="宋体" w:hAnsi="宋体" w:eastAsia="宋体" w:cs="宋体"/>
          <w:sz w:val="28"/>
          <w:szCs w:val="28"/>
          <w:highlight w:val="none"/>
        </w:rPr>
        <w:t>级</w:t>
      </w:r>
      <w:r>
        <w:rPr>
          <w:rFonts w:hint="eastAsia" w:ascii="宋体" w:hAnsi="宋体" w:eastAsia="宋体" w:cs="宋体"/>
          <w:sz w:val="28"/>
          <w:szCs w:val="28"/>
          <w:highlight w:val="none"/>
          <w:lang w:val="en-US" w:eastAsia="zh-CN"/>
        </w:rPr>
        <w:t>或工程设计综合资质</w:t>
      </w:r>
      <w:r>
        <w:rPr>
          <w:rFonts w:hint="eastAsia" w:ascii="宋体" w:hAnsi="宋体" w:eastAsia="宋体" w:cs="宋体"/>
          <w:sz w:val="28"/>
          <w:szCs w:val="28"/>
          <w:highlight w:val="none"/>
        </w:rPr>
        <w:t>，并在人员、设备、资金等方面具有相应的设计能力；</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3.3人员要求：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1）投标人（或联合体牵头人）拟派项目经理具备</w:t>
      </w:r>
      <w:r>
        <w:rPr>
          <w:rFonts w:hint="eastAsia" w:ascii="宋体" w:hAnsi="宋体" w:eastAsia="宋体" w:cs="宋体"/>
          <w:sz w:val="28"/>
          <w:szCs w:val="28"/>
          <w:highlight w:val="none"/>
          <w:lang w:val="en-US" w:eastAsia="zh-CN"/>
        </w:rPr>
        <w:t>机电</w:t>
      </w:r>
      <w:r>
        <w:rPr>
          <w:rFonts w:hint="eastAsia" w:ascii="宋体" w:hAnsi="宋体" w:eastAsia="宋体" w:cs="宋体"/>
          <w:sz w:val="28"/>
          <w:szCs w:val="28"/>
          <w:highlight w:val="none"/>
        </w:rPr>
        <w:t>工程专业一级注册建造师证（不含临时），具备有效的安全生产考核合格证书，且未在其他在建项目中担任任何职务（提供无在建承诺书）；还须提供劳动合同及近半年以来在本单位任意连续三个月社保证明材料；</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2）投标人（或联合体成员方）拟派设计项目负责人须具有</w:t>
      </w:r>
      <w:r>
        <w:rPr>
          <w:rFonts w:hint="eastAsia" w:ascii="宋体" w:hAnsi="宋体" w:eastAsia="宋体" w:cs="宋体"/>
          <w:sz w:val="28"/>
          <w:szCs w:val="28"/>
          <w:highlight w:val="none"/>
          <w:lang w:val="en-US" w:eastAsia="zh-CN"/>
        </w:rPr>
        <w:t>电力工程相关</w:t>
      </w:r>
      <w:r>
        <w:rPr>
          <w:rFonts w:hint="eastAsia" w:ascii="宋体" w:hAnsi="宋体" w:eastAsia="宋体" w:cs="宋体"/>
          <w:sz w:val="28"/>
          <w:szCs w:val="28"/>
          <w:highlight w:val="none"/>
        </w:rPr>
        <w:t>专业高级及以上技术职称。</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3.4财务要求：投标人须提供近一年（2022年度）经会计事务所或第三方审计机构审计的财务审计报告，对于成立不足一年的投标单位，提供全部月份财务报表(若为联合体，由施工单位提供）；</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3.5信誉要求：投标人须提供“信用中国”（www.creditchina.gov.cn）网站的“失信被执行人”(跳转至中国执行信息公开网)和“重大税收违法失信主体”查询结果页面截图，若有不良记录，不得参与此次的招标投标活动(若为联合体，联合体成员均需提供）（查询结果截图的查询日期为公告发布之日之后）。</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3.6其他要求：本标段接受联合体投标。联合体投标的，联合体所有成员数量不超过2个，还应满足下列要求：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1）联合体各方必须签订联合体协议书，明确联合体的牵头人，联合体牵头人必须是施工单位，其资质等级应符合资格要求，联合体协议书应明确联合体牵头人及联合体成员单位拟承担的工作和责任；</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联合体各成员应当共同与招标人签订合同，联合体牵头人代表联合体各方成员负责投标和合同实施阶段的主办、协调工作，但联合体其他成员在投标、签约与履行合同过程中，仍负有连带的和各自的法律责任；</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3）联合体各方签订联合体协议书后，不得再以自己的名义单独参与该项目投标，也不得组成新的联合体参与该项目的投标；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4）投标过程中除联合体协议书由各方签字盖章外，投标保证金等费用缴纳、文件签字盖章等内容均由牵头人签署、办理。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5）若联合体投标人共同承担相同设计专业或施工专业任务的，按照资质等级较低的单位确定联合体相应专业的资质等级。</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二标段：</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3.1 投标人须为具有独立承担民事责任能力的法人或其他组织，具有有效的营业执照；</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3.2 资质要求：投标人应具备建设行政主管部门核发的电力工程监理甲级资质和市政公用工程监理甲级资质或工程监理综合资质；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3.3 拟派总监理工程师要求：拟派项目总监应具备国家建设行政主管部门颁发的电力工程专业注册监理师资格证书，须提供劳动合同及近半年以来在本单位任意连续三个月社保证明材料；</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3.4 财务要求：投标人须提供近一年（2022 年度）经会计事务所或第三方审计机构审计的财务审计报告，对于成立不足一年的投标单位，提供全部月份财务报表；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3.5 信誉要求：投标人须提供“信用中国”（www.creditchina.gov.cn）网站的“失信被执行人”(跳转至中国执行信息公开网)和“重大税收违法失信主体”查询结果页面截图，若有不良记录，不得参与此次的招标投标活动（查询结果截图的查询日期为公告发布之日之后）；</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3.6 本标段不接受联合体投标。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四、投标须知</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4.1、本项目采用网上投标方式。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（1）投标单位投标前须在新郑市公共资源交易中心网站注册成为会员，详细内容见中心网站—通知公告--《新郑市公共资源交易中心关于市场主体信息库注册的通知》流程，再进行网上投标。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（2）使用电子评标方式评标时，潜在投标人须同时取得CA密钥（详见http://www.xzggzy.cn【下载专区】-《信安CA数字证书办理指南》）。CA密钥办理联系电话：0371-63385530。</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（3）请各潜在投标人登陆“新郑市公共资源交易中心（http://www.xzggzy.cn）”会员系统进行网上投标（操作方式详见http://www.xzggzy.cn【下载专区】-《投标人操作手册》）。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4.2、本项目采用资格后审方法，审查以投标文件中上传的电子件为准。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五、投标保证金缴纳</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1、本项目投标保证金或投标担保金额：</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一标段：人民币捌</w:t>
      </w:r>
      <w:r>
        <w:rPr>
          <w:rFonts w:hint="eastAsia" w:ascii="宋体" w:hAnsi="宋体" w:eastAsia="宋体" w:cs="宋体"/>
          <w:sz w:val="28"/>
          <w:szCs w:val="28"/>
          <w:highlight w:val="none"/>
          <w:lang w:eastAsia="zh-CN"/>
        </w:rPr>
        <w:t>拾</w:t>
      </w:r>
      <w:r>
        <w:rPr>
          <w:rFonts w:hint="eastAsia" w:ascii="宋体" w:hAnsi="宋体" w:eastAsia="宋体" w:cs="宋体"/>
          <w:sz w:val="28"/>
          <w:szCs w:val="28"/>
          <w:highlight w:val="none"/>
        </w:rPr>
        <w:t>万元（¥：80</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000.00）；</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二标段：人民币贰万元（¥：20000.00）</w:t>
      </w:r>
      <w:r>
        <w:rPr>
          <w:rFonts w:hint="eastAsia" w:ascii="宋体" w:hAnsi="宋体" w:eastAsia="宋体" w:cs="宋体"/>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2、缴纳日期：202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12</w:t>
      </w:r>
      <w:r>
        <w:rPr>
          <w:rFonts w:hint="eastAsia" w:ascii="宋体" w:hAnsi="宋体" w:eastAsia="宋体" w:cs="宋体"/>
          <w:sz w:val="28"/>
          <w:szCs w:val="28"/>
          <w:highlight w:val="none"/>
        </w:rPr>
        <w:t>日至202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日09：30分前。（以到账时间为准）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3、缴纳方式：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①投标保证金：投标单位拟缴纳投标保证金的，从投标单位基本账户以转账形式转入：</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保证金账号信息（任选其一）：</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一标段：</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户名：新郑市公共资源交易中心</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开户行：郑州银行新郑支行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账号：888100020061429</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开户行：中原银行新郑支行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账号：410109010110044701001787</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二标段：</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户名：新郑市公共资源交易中心</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开户行：郑州银行新郑支行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账号：888100020061430</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开户行：中原银行新郑支行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账号：410109010110044701001788</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注：联合体投标的，以牵头人名义缴纳保证金。</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保证金支付流程：按照公告中发布的保证金账号信息进行基本户转账，转账成功后及时在交易中心系统中进行保证金查询，具体操作详见“新郑市公共资源交易中心网站--下载专区《投标人操作手册》”。（注：投标人按所报标段一次性足额支付；支付账号必须与市场主体信息库的名称和银行账号一致。）</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②投标担保:投标单位拟开具电子保函的，请按照电子保函系统操作要求，自主选择保证人。电子保函的相关操作方法请查看新郑市公共资源交易中心网站--办事指南--服务指南《电子保函申请操作手册》。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六、获取招标文件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1、时间：202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12</w:t>
      </w:r>
      <w:r>
        <w:rPr>
          <w:rFonts w:hint="eastAsia" w:ascii="宋体" w:hAnsi="宋体" w:eastAsia="宋体" w:cs="宋体"/>
          <w:sz w:val="28"/>
          <w:szCs w:val="28"/>
          <w:highlight w:val="none"/>
        </w:rPr>
        <w:t>日至202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19</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17:00</w:t>
      </w:r>
      <w:r>
        <w:rPr>
          <w:rFonts w:hint="eastAsia" w:ascii="宋体" w:hAnsi="宋体" w:eastAsia="宋体" w:cs="宋体"/>
          <w:sz w:val="28"/>
          <w:szCs w:val="28"/>
          <w:highlight w:val="none"/>
        </w:rPr>
        <w:t>（北京时间）。</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2、地点：在新郑市公共资源电子交易平台内下载。</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3、方式：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（1）投标企业须完善更新新郑市公共资源交易中心企业信息并取得数字证书（详见新郑市公共资源交易中心网站-通知公告-《关于数字证书(CA)互认功能上线试运行的通知》）。</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（2）登陆新郑市公共资源电子交易平台下载。</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（3）获取招标文件后，登录新郑市公共资源交易中心网站-下载专区--《投标人操作手册》下载最新版本的投标文件制作工具安装包，并使用安装后的最新版本投标文件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制作工具制作电子投标文件。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（4）售价：0元</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七、投标截止时间及地点</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1、时间：202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日09：30分（北京时间）。</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2、地点：在新郑市公共资源电子交易平台中加密上传电子投标文件。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八、开标时间及地点：</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1、时间：202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日09：30分（北京时间）。</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2、地点：新郑市不见面开标大厅。通过PC登录新郑市公共资源交易中心网站，进入不见面开标大厅（详见新郑市公共资源交易中心网站--办事指南--服务指南《新郑市公共资源交易中心不见面开标操作说明》）。</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九、发布公告媒介：</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本公告同时在</w:t>
      </w:r>
      <w:r>
        <w:rPr>
          <w:rFonts w:hint="eastAsia" w:ascii="宋体" w:hAnsi="宋体" w:eastAsia="宋体" w:cs="宋体"/>
          <w:sz w:val="28"/>
          <w:szCs w:val="28"/>
          <w:highlight w:val="none"/>
          <w:lang w:val="en-US" w:eastAsia="zh-CN"/>
        </w:rPr>
        <w:t>《河南省政府采购网》</w:t>
      </w:r>
      <w:r>
        <w:rPr>
          <w:rFonts w:hint="eastAsia" w:ascii="宋体" w:hAnsi="宋体" w:eastAsia="宋体" w:cs="宋体"/>
          <w:sz w:val="28"/>
          <w:szCs w:val="28"/>
          <w:highlight w:val="none"/>
        </w:rPr>
        <w:t>、《新郑市公共资源交易中心》上发布，招标人及招标代理机构对任何转载信息及由此产生的后果均不承担任何责任。</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十、联系方式：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招标人：</w:t>
      </w:r>
      <w:r>
        <w:rPr>
          <w:rFonts w:hint="eastAsia" w:ascii="宋体" w:hAnsi="宋体" w:eastAsia="宋体" w:cs="宋体"/>
          <w:sz w:val="28"/>
          <w:szCs w:val="28"/>
          <w:highlight w:val="none"/>
          <w:lang w:val="en-US" w:eastAsia="zh-CN"/>
        </w:rPr>
        <w:t>新郑市交通运输局</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地址：河南省新郑市繁荣街108号</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lang w:val="en-US" w:eastAsia="zh-CN"/>
        </w:rPr>
        <w:t>姚先生</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电话：</w:t>
      </w:r>
      <w:r>
        <w:rPr>
          <w:rFonts w:hint="eastAsia" w:ascii="宋体" w:hAnsi="宋体" w:eastAsia="宋体" w:cs="宋体"/>
          <w:sz w:val="28"/>
          <w:szCs w:val="28"/>
          <w:highlight w:val="none"/>
          <w:lang w:val="en-US" w:eastAsia="zh-CN"/>
        </w:rPr>
        <w:t>15038125656</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招标代理：</w:t>
      </w:r>
      <w:r>
        <w:rPr>
          <w:rFonts w:hint="eastAsia" w:ascii="宋体" w:hAnsi="宋体" w:eastAsia="宋体" w:cs="宋体"/>
          <w:sz w:val="28"/>
          <w:szCs w:val="28"/>
          <w:highlight w:val="none"/>
          <w:lang w:val="en-US" w:eastAsia="zh-CN"/>
        </w:rPr>
        <w:t>河南鑫东辰工程管理有限公司</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地址：郑州市金水区北三环52号1号楼</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lang w:val="en-US" w:eastAsia="zh-CN"/>
        </w:rPr>
        <w:t>肖先生</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电话：</w:t>
      </w:r>
      <w:r>
        <w:rPr>
          <w:rFonts w:hint="eastAsia" w:ascii="宋体" w:hAnsi="宋体" w:eastAsia="宋体" w:cs="宋体"/>
          <w:sz w:val="28"/>
          <w:szCs w:val="28"/>
          <w:highlight w:val="none"/>
          <w:lang w:val="en-US" w:eastAsia="zh-CN"/>
        </w:rPr>
        <w:t>17516121090</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监督机构：新郑市财政局政府采购监督管理办公室</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地址：新郑市华夏国际 8 楼 801 室</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联系方式：0371-62684176</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12</w:t>
      </w:r>
      <w:r>
        <w:rPr>
          <w:rFonts w:hint="eastAsia" w:ascii="宋体" w:hAnsi="宋体" w:eastAsia="宋体" w:cs="宋体"/>
          <w:sz w:val="28"/>
          <w:szCs w:val="28"/>
          <w:highlight w:val="none"/>
        </w:rPr>
        <w:t>日</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第二章投标人须知</w:t>
      </w:r>
    </w:p>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投标人须知前附表</w:t>
      </w:r>
    </w:p>
    <w:tbl>
      <w:tblPr>
        <w:tblStyle w:val="24"/>
        <w:tblW w:w="99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2325"/>
        <w:gridCol w:w="65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条款号</w:t>
            </w:r>
          </w:p>
        </w:tc>
        <w:tc>
          <w:tcPr>
            <w:tcW w:w="2325"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条款名称</w:t>
            </w:r>
          </w:p>
        </w:tc>
        <w:tc>
          <w:tcPr>
            <w:tcW w:w="6588"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1.1.2</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招标人</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名称</w:t>
            </w:r>
            <w:r>
              <w:rPr>
                <w:rFonts w:hint="eastAsia" w:ascii="宋体" w:hAnsi="宋体" w:eastAsia="宋体" w:cs="宋体"/>
                <w:sz w:val="28"/>
                <w:szCs w:val="28"/>
                <w:highlight w:val="none"/>
              </w:rPr>
              <w:t>：新郑市交通运输局</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地址：河南省新郑市繁荣街108号</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lang w:eastAsia="zh-CN"/>
              </w:rPr>
              <w:t>姚</w:t>
            </w:r>
            <w:r>
              <w:rPr>
                <w:rFonts w:hint="eastAsia" w:ascii="宋体" w:hAnsi="宋体" w:eastAsia="宋体" w:cs="宋体"/>
                <w:sz w:val="28"/>
                <w:szCs w:val="28"/>
                <w:highlight w:val="none"/>
              </w:rPr>
              <w:t>先生</w:t>
            </w:r>
          </w:p>
          <w:p>
            <w:pPr>
              <w:bidi w:val="0"/>
              <w:jc w:val="both"/>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电话：</w:t>
            </w:r>
            <w:r>
              <w:rPr>
                <w:rFonts w:hint="eastAsia" w:ascii="宋体" w:hAnsi="宋体" w:eastAsia="宋体" w:cs="宋体"/>
                <w:sz w:val="28"/>
                <w:szCs w:val="28"/>
                <w:highlight w:val="none"/>
                <w:lang w:val="en-US" w:eastAsia="zh-CN"/>
              </w:rPr>
              <w:t>15038125656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1.1.3</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招标代理机构</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名称</w:t>
            </w:r>
            <w:r>
              <w:rPr>
                <w:rFonts w:hint="eastAsia" w:ascii="宋体" w:hAnsi="宋体" w:eastAsia="宋体" w:cs="宋体"/>
                <w:sz w:val="28"/>
                <w:szCs w:val="28"/>
                <w:highlight w:val="none"/>
              </w:rPr>
              <w:t>：河南鑫东辰工程管理有限公司</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地址：郑州市金水区北三环52号1号楼</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联系人：肖先生</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电话：17516121090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1.1.4</w:t>
            </w:r>
          </w:p>
        </w:tc>
        <w:tc>
          <w:tcPr>
            <w:tcW w:w="2325" w:type="dxa"/>
            <w:vAlign w:val="center"/>
          </w:tcPr>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郑州至南阳高速郑州至许昌段项目新郑境涉及电力、燃气迁改工程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1.1.5</w:t>
            </w:r>
          </w:p>
        </w:tc>
        <w:tc>
          <w:tcPr>
            <w:tcW w:w="2325" w:type="dxa"/>
            <w:vAlign w:val="center"/>
          </w:tcPr>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建设地点</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新郑境内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1.1.6</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标段</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一标段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1.2.1</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资金来源</w:t>
            </w:r>
          </w:p>
        </w:tc>
        <w:tc>
          <w:tcPr>
            <w:tcW w:w="6588" w:type="dxa"/>
            <w:vAlign w:val="center"/>
          </w:tcPr>
          <w:p>
            <w:pPr>
              <w:bidi w:val="0"/>
              <w:jc w:val="both"/>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上级专项资金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1.2.2</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出资比例</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1.2.3</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资金落实情况</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1.3.1</w:t>
            </w:r>
          </w:p>
        </w:tc>
        <w:tc>
          <w:tcPr>
            <w:tcW w:w="2325" w:type="dxa"/>
            <w:vAlign w:val="center"/>
          </w:tcPr>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招标范围</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一标段：EPC施工总承包（包括设计、材料设备采购、施工、竣工验收、移交、备案、保修及缺陷责任期内的缺陷修复）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1.3.2</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计划工期</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18个月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1.3.3</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质量要求</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设计质量标准：符合现行国家、地方及行业相关设计规范合格标准，设计成果文件应通过施工图审查机构等有关部门的审查并审查合格；</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施工质量标准：符合《工程施工质量验收规范》合格标准及国家、行业及地方相关施工验收规范合格标准。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1.3.4</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资格审查方式</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1.4.1</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投标人资格要求</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见招标公告“三、投标人资格要求”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1.4.2</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是否接受联合体投标</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是</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□否</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接受以联合体方式参加投标的，需满足下列要求：</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1）联合体各方必须签订联合体协议书，明确联合体的牵头人，联合体牵头人必须是施工单位，其资质等级应符合资格要求，联合体协议书应明确联合体牵头人及联合体成员单位拟承担的工作和责任；</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2）联合体各成员应当共同与招标人签订合同，联合体牵头人代表联合体各方成员负责投标和合同实施阶段的主办、协调工作，但联合体其他成员在投标、签约与履行合同过程中，仍负有连带的和各自的法律责任；）</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3）联合体各方签订联合体协议书后，不得再以自己的名义单独参与该项目投标，也不得组成新的联合体参与该项目的投标；</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4）投标过程中除联合体协议书由各方签字盖章外，投标保证金等费用缴纳、文件签字盖章等内容均由牵头人签署、办理。</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5）若联合体投标人共同承担相同设计专业或施工专业任务的，按照资质等级较低的单位确定联合体相应专业的资质等级。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1.5</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费用承担和设计成果补偿</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不补偿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1.9</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踏勘现场</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不组织，自行踏勘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1.10.1</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投标预备会</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1.10.2</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投标人提出问题的截止时间</w:t>
            </w:r>
          </w:p>
        </w:tc>
        <w:tc>
          <w:tcPr>
            <w:tcW w:w="6588" w:type="dxa"/>
            <w:vAlign w:val="center"/>
          </w:tcPr>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投标截止时间10日前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1.10.3</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投标截止时间</w:t>
            </w:r>
          </w:p>
        </w:tc>
        <w:tc>
          <w:tcPr>
            <w:tcW w:w="6588" w:type="dxa"/>
            <w:vAlign w:val="center"/>
          </w:tcPr>
          <w:p>
            <w:pPr>
              <w:bidi w:val="0"/>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2024年</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日09：30分（北京时间</w:t>
            </w:r>
            <w:r>
              <w:rPr>
                <w:rFonts w:hint="eastAsia" w:ascii="宋体" w:hAnsi="宋体" w:eastAsia="宋体" w:cs="宋体"/>
                <w:sz w:val="28"/>
                <w:szCs w:val="28"/>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1.11</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分包</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1.12</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偏离</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2.1</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构成招标文件的其他材料</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招标文件的补充、变更、答疑等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2.2.1</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投标人要求澄清招标文件的截止时间</w:t>
            </w:r>
          </w:p>
        </w:tc>
        <w:tc>
          <w:tcPr>
            <w:tcW w:w="6588" w:type="dxa"/>
            <w:vAlign w:val="center"/>
          </w:tcPr>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投标截止时间10日前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2.2.2</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招标人澄清的时间</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提交投标文件截止时间15日前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3.1.1</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构成投标文件的其他材料</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答疑、澄清、补充等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5" w:hRule="atLeast"/>
        </w:trPr>
        <w:tc>
          <w:tcPr>
            <w:tcW w:w="1046" w:type="dxa"/>
            <w:vAlign w:val="center"/>
          </w:tcPr>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3.2.2</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最高投标限价（招标控制价）</w:t>
            </w:r>
          </w:p>
        </w:tc>
        <w:tc>
          <w:tcPr>
            <w:tcW w:w="6588" w:type="dxa"/>
            <w:vAlign w:val="center"/>
          </w:tcPr>
          <w:p>
            <w:pPr>
              <w:bidi w:val="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工程费控制价为：本项目经评审结算后工程费的100%；</w:t>
            </w:r>
          </w:p>
          <w:p>
            <w:pPr>
              <w:bidi w:val="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设计费控制价为：本项目经评审结算后工程设计费的100%。</w:t>
            </w:r>
          </w:p>
          <w:p>
            <w:pPr>
              <w:bidi w:val="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注：工程费最高限价13719.03万元；设计费按新郑市财政局2016年9月29日《工程前期费费率调整方案》计算，设计费最高限价139万元。</w:t>
            </w:r>
          </w:p>
          <w:p>
            <w:pPr>
              <w:bidi w:val="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最终工程竣工决算最高限价为工程费的最高限价×中标人中标优惠率，超出竣工决算最高限价部分和低于竣工决算最高限价部分均不予支付。</w:t>
            </w:r>
          </w:p>
          <w:p>
            <w:pPr>
              <w:bidi w:val="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最终工程竣工决算设计费最高限价为设计费的最高限价×中标人中标优惠率，超出竣工决算最高限价部分和低于竣工决算最高限价部分均不予支付。</w:t>
            </w:r>
          </w:p>
          <w:p>
            <w:pPr>
              <w:pStyle w:val="4"/>
              <w:ind w:left="0" w:leftChars="0" w:firstLine="0" w:firstLineChars="0"/>
              <w:rPr>
                <w:rFonts w:hint="default"/>
                <w:highlight w:val="none"/>
                <w:lang w:val="en-US" w:eastAsia="zh-CN"/>
              </w:rPr>
            </w:pPr>
            <w:r>
              <w:rPr>
                <w:rFonts w:hint="eastAsia" w:hAnsi="宋体" w:eastAsia="宋体" w:cs="宋体"/>
                <w:sz w:val="28"/>
                <w:szCs w:val="28"/>
                <w:highlight w:val="none"/>
                <w:lang w:val="en-US" w:eastAsia="zh-CN"/>
              </w:rPr>
              <w:t>附：</w:t>
            </w:r>
            <w:r>
              <w:rPr>
                <w:rFonts w:hint="eastAsia" w:ascii="宋体" w:hAnsi="宋体" w:eastAsia="宋体" w:cs="宋体"/>
                <w:sz w:val="28"/>
                <w:szCs w:val="28"/>
                <w:highlight w:val="none"/>
                <w:lang w:val="en-US" w:eastAsia="zh-CN"/>
              </w:rPr>
              <w:t>新郑市财政局2016年9月29日《工程前期费费率调整方案》</w:t>
            </w:r>
            <w:r>
              <w:rPr>
                <w:rFonts w:hint="eastAsia" w:hAnsi="宋体" w:eastAsia="宋体" w:cs="宋体"/>
                <w:sz w:val="28"/>
                <w:szCs w:val="28"/>
                <w:highlight w:val="none"/>
                <w:lang w:val="en-US" w:eastAsia="zh-CN"/>
              </w:rPr>
              <w:t>。单位：万元</w:t>
            </w:r>
          </w:p>
          <w:tbl>
            <w:tblPr>
              <w:tblStyle w:val="9"/>
              <w:tblW w:w="6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666"/>
              <w:gridCol w:w="911"/>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63" w:type="dxa"/>
                  <w:vMerge w:val="restart"/>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工程总概算</w:t>
                  </w:r>
                </w:p>
              </w:tc>
              <w:tc>
                <w:tcPr>
                  <w:tcW w:w="666" w:type="dxa"/>
                  <w:vMerge w:val="restart"/>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费率（%）</w:t>
                  </w:r>
                </w:p>
              </w:tc>
              <w:tc>
                <w:tcPr>
                  <w:tcW w:w="4155" w:type="dxa"/>
                  <w:gridSpan w:val="2"/>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算例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Merge w:val="continue"/>
                  <w:vAlign w:val="center"/>
                </w:tcPr>
                <w:p>
                  <w:pPr>
                    <w:pStyle w:val="4"/>
                    <w:widowControl w:val="0"/>
                    <w:jc w:val="center"/>
                    <w:rPr>
                      <w:rFonts w:hint="eastAsia" w:ascii="宋体" w:hAnsi="宋体" w:eastAsia="宋体" w:cs="宋体"/>
                      <w:sz w:val="21"/>
                      <w:szCs w:val="21"/>
                      <w:highlight w:val="none"/>
                      <w:vertAlign w:val="baseline"/>
                      <w:lang w:val="en-US" w:eastAsia="zh-CN"/>
                    </w:rPr>
                  </w:pPr>
                </w:p>
              </w:tc>
              <w:tc>
                <w:tcPr>
                  <w:tcW w:w="666" w:type="dxa"/>
                  <w:vMerge w:val="continue"/>
                  <w:vAlign w:val="center"/>
                </w:tcPr>
                <w:p>
                  <w:pPr>
                    <w:pStyle w:val="4"/>
                    <w:widowControl w:val="0"/>
                    <w:jc w:val="center"/>
                    <w:rPr>
                      <w:rFonts w:hint="eastAsia" w:ascii="宋体" w:hAnsi="宋体" w:eastAsia="宋体" w:cs="宋体"/>
                      <w:sz w:val="21"/>
                      <w:szCs w:val="21"/>
                      <w:highlight w:val="none"/>
                      <w:vertAlign w:val="baseline"/>
                      <w:lang w:val="en-US" w:eastAsia="zh-CN"/>
                    </w:rPr>
                  </w:pPr>
                </w:p>
              </w:tc>
              <w:tc>
                <w:tcPr>
                  <w:tcW w:w="911" w:type="dxa"/>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工程总概算</w:t>
                  </w:r>
                </w:p>
              </w:tc>
              <w:tc>
                <w:tcPr>
                  <w:tcW w:w="3244" w:type="dxa"/>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设计、监理费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1000（含）以下</w:t>
                  </w:r>
                </w:p>
              </w:tc>
              <w:tc>
                <w:tcPr>
                  <w:tcW w:w="666" w:type="dxa"/>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1.5</w:t>
                  </w:r>
                </w:p>
              </w:tc>
              <w:tc>
                <w:tcPr>
                  <w:tcW w:w="911" w:type="dxa"/>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1000</w:t>
                  </w:r>
                </w:p>
              </w:tc>
              <w:tc>
                <w:tcPr>
                  <w:tcW w:w="3244" w:type="dxa"/>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1000</w:t>
                  </w:r>
                  <w:r>
                    <w:rPr>
                      <w:rFonts w:hint="default" w:ascii="Arial" w:hAnsi="Arial" w:eastAsia="宋体" w:cs="Arial"/>
                      <w:sz w:val="21"/>
                      <w:szCs w:val="21"/>
                      <w:highlight w:val="none"/>
                      <w:vertAlign w:val="baseline"/>
                      <w:lang w:val="en-US" w:eastAsia="zh-CN"/>
                    </w:rPr>
                    <w:t>×</w:t>
                  </w:r>
                  <w:r>
                    <w:rPr>
                      <w:rFonts w:hint="eastAsia" w:hAnsi="宋体" w:eastAsia="宋体" w:cs="宋体"/>
                      <w:sz w:val="21"/>
                      <w:szCs w:val="21"/>
                      <w:highlight w:val="none"/>
                      <w:vertAlign w:val="baseline"/>
                      <w:lang w:val="en-US" w:eastAsia="zh-CN"/>
                    </w:rPr>
                    <w:t>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1000（不含）-5000（含）</w:t>
                  </w:r>
                </w:p>
              </w:tc>
              <w:tc>
                <w:tcPr>
                  <w:tcW w:w="666" w:type="dxa"/>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1.2</w:t>
                  </w:r>
                </w:p>
              </w:tc>
              <w:tc>
                <w:tcPr>
                  <w:tcW w:w="911" w:type="dxa"/>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5000</w:t>
                  </w:r>
                </w:p>
              </w:tc>
              <w:tc>
                <w:tcPr>
                  <w:tcW w:w="3244" w:type="dxa"/>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15+（5000-1000）</w:t>
                  </w:r>
                  <w:r>
                    <w:rPr>
                      <w:rFonts w:hint="default" w:ascii="Arial" w:hAnsi="Arial" w:eastAsia="宋体" w:cs="Arial"/>
                      <w:sz w:val="21"/>
                      <w:szCs w:val="21"/>
                      <w:highlight w:val="none"/>
                      <w:vertAlign w:val="baseline"/>
                      <w:lang w:val="en-US" w:eastAsia="zh-CN"/>
                    </w:rPr>
                    <w:t>×</w:t>
                  </w:r>
                  <w:r>
                    <w:rPr>
                      <w:rFonts w:hint="eastAsia" w:ascii="Arial" w:eastAsia="宋体" w:cs="Arial"/>
                      <w:sz w:val="21"/>
                      <w:szCs w:val="21"/>
                      <w:highlight w:val="none"/>
                      <w:vertAlign w:val="baseline"/>
                      <w:lang w:val="en-US" w:eastAsia="zh-CN"/>
                    </w:rPr>
                    <w:t>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5000（不含）-10000（含）</w:t>
                  </w:r>
                </w:p>
              </w:tc>
              <w:tc>
                <w:tcPr>
                  <w:tcW w:w="666" w:type="dxa"/>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w:t>
                  </w:r>
                </w:p>
              </w:tc>
              <w:tc>
                <w:tcPr>
                  <w:tcW w:w="911" w:type="dxa"/>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10000</w:t>
                  </w:r>
                </w:p>
              </w:tc>
              <w:tc>
                <w:tcPr>
                  <w:tcW w:w="3244" w:type="dxa"/>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63+（10000-5000）</w:t>
                  </w:r>
                  <w:r>
                    <w:rPr>
                      <w:rFonts w:hint="default" w:ascii="Arial" w:hAnsi="Arial" w:eastAsia="宋体" w:cs="Arial"/>
                      <w:sz w:val="21"/>
                      <w:szCs w:val="21"/>
                      <w:highlight w:val="none"/>
                      <w:vertAlign w:val="baseline"/>
                      <w:lang w:val="en-US" w:eastAsia="zh-CN"/>
                    </w:rPr>
                    <w:t>×</w:t>
                  </w:r>
                  <w:r>
                    <w:rPr>
                      <w:rFonts w:hint="eastAsia" w:ascii="Arial" w:eastAsia="宋体" w:cs="Arial"/>
                      <w:sz w:val="21"/>
                      <w:szCs w:val="21"/>
                      <w:highlight w:val="none"/>
                      <w:vertAlign w:val="baseline"/>
                      <w:lang w:val="en-US" w:eastAsia="zh-CN"/>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10000（不含）以上</w:t>
                  </w:r>
                </w:p>
              </w:tc>
              <w:tc>
                <w:tcPr>
                  <w:tcW w:w="666" w:type="dxa"/>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0.7</w:t>
                  </w:r>
                </w:p>
              </w:tc>
              <w:tc>
                <w:tcPr>
                  <w:tcW w:w="911" w:type="dxa"/>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50000</w:t>
                  </w:r>
                </w:p>
              </w:tc>
              <w:tc>
                <w:tcPr>
                  <w:tcW w:w="3244" w:type="dxa"/>
                  <w:vAlign w:val="center"/>
                </w:tcPr>
                <w:p>
                  <w:pPr>
                    <w:pStyle w:val="4"/>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113+（50000-10000）</w:t>
                  </w:r>
                  <w:r>
                    <w:rPr>
                      <w:rFonts w:hint="default" w:ascii="Arial" w:hAnsi="Arial" w:eastAsia="宋体" w:cs="Arial"/>
                      <w:sz w:val="21"/>
                      <w:szCs w:val="21"/>
                      <w:highlight w:val="none"/>
                      <w:vertAlign w:val="baseline"/>
                      <w:lang w:val="en-US" w:eastAsia="zh-CN"/>
                    </w:rPr>
                    <w:t>×</w:t>
                  </w:r>
                  <w:r>
                    <w:rPr>
                      <w:rFonts w:hint="eastAsia" w:ascii="Arial" w:eastAsia="宋体" w:cs="Arial"/>
                      <w:sz w:val="21"/>
                      <w:szCs w:val="21"/>
                      <w:highlight w:val="none"/>
                      <w:vertAlign w:val="baseline"/>
                      <w:lang w:val="en-US" w:eastAsia="zh-CN"/>
                    </w:rPr>
                    <w:t>0.7%=393</w:t>
                  </w:r>
                </w:p>
              </w:tc>
            </w:tr>
          </w:tbl>
          <w:p>
            <w:pPr>
              <w:pStyle w:val="4"/>
              <w:ind w:left="0" w:leftChars="0" w:firstLine="0" w:firstLineChars="0"/>
              <w:rPr>
                <w:rFonts w:hint="eastAsia" w:ascii="宋体" w:hAnsi="宋体" w:eastAsia="宋体" w:cs="宋体"/>
                <w:sz w:val="28"/>
                <w:szCs w:val="28"/>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3.2.4</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投标报价的要求</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只能有一个有效报价。</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投标报价不得超过招标控制价，否则评标委员会将否决其投标。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3.3.1</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投标有效期</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投标文件递交截止之日起60日历天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3.4.1</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投标保证金</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1、本项目投标保证金或投标担保金额：</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人民币捌</w:t>
            </w:r>
            <w:r>
              <w:rPr>
                <w:rFonts w:hint="eastAsia" w:ascii="宋体" w:hAnsi="宋体" w:eastAsia="宋体" w:cs="宋体"/>
                <w:sz w:val="28"/>
                <w:szCs w:val="28"/>
                <w:highlight w:val="none"/>
                <w:lang w:eastAsia="zh-CN"/>
              </w:rPr>
              <w:t>拾</w:t>
            </w:r>
            <w:r>
              <w:rPr>
                <w:rFonts w:hint="eastAsia" w:ascii="宋体" w:hAnsi="宋体" w:eastAsia="宋体" w:cs="宋体"/>
                <w:sz w:val="28"/>
                <w:szCs w:val="28"/>
                <w:highlight w:val="none"/>
              </w:rPr>
              <w:t>万元(¥：80</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000.00）；</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2、缴纳日期：2024年</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12</w:t>
            </w:r>
            <w:r>
              <w:rPr>
                <w:rFonts w:hint="eastAsia" w:ascii="宋体" w:hAnsi="宋体" w:eastAsia="宋体" w:cs="宋体"/>
                <w:sz w:val="28"/>
                <w:szCs w:val="28"/>
                <w:highlight w:val="none"/>
              </w:rPr>
              <w:t>日至2024年</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日09：30分前。（以到账时间为准）</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3、缴纳方式：</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①投标保证金：投标单位拟缴纳投标保证金的，从投标单位基本账户以转账形式转入。</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保证金账号信息（任选其一）：</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户名：新郑市公共资源交易中心</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开户行：郑州银行新郑支行</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账号：888100020060937</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开户行：中原银行新郑支行</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账号：410109010110044701001599</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注：联合体投标的，以牵头人名义缴纳保证金。</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保证金支付流程：按照公告中发布的保证金账号信息进行基本户转账，转账成功后及时在交易中心系统中进行保证金查询，具体操作详见“新郑市公共资源交易中心网站--下载专区《投标人操作手册》”。（注：投标人按所报标段一次性足额支付；支付账号必须与市场主体信息库的名称和银行账号一致。）</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②投标担保:投标单位拟开具电子保函的，请按照电子保函系统操作要求，自主选择保证人。电子保函的相关操作方法请查看新郑市公共资源交易中心网站--办事指南--服务指南《电子保函申请操作手册》。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3.5.2</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近年财务状况的年份要求</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投标人须提供近一年（2022年度）经会计事务所或第三方审计机构审计的财务审计报告，对于成立不足一年的投标单位，提供全部月份财务报表(若为联合体，由施工单位提供）；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3.7.3</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签字和盖章要求</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人（或联合体牵头人）在电子投标文件制作完成后生成投标文件时须加盖电子签章/签名。其他要求签字盖章的投标文件格式内容，如无法进行电子签章/签名，投标人可将盖章/签名后的扫描件上传到电子投标文件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3.7.4</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投标文件份数</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加密的电子投标文件壹份（系统内上传）。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4.2</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投标文件的递交</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本项目采用全流程电子招投标方式，投标人只须递交电子投标文件，无须递交纸质版投标文件。</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a、各投标人应在投标截止时间前上传加密的电子投标文件到交易中心系统的指定位置。上传时必须得到电脑“上传成功”的确认回复。请投标人在上传时认真检查上传投标文件是否完整、正确。</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b、投标人因交易中心投标系统问题无法上传电子投标文件时，请及时与招标代理联系。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5.1</w:t>
            </w:r>
          </w:p>
        </w:tc>
        <w:tc>
          <w:tcPr>
            <w:tcW w:w="2325" w:type="dxa"/>
            <w:vAlign w:val="center"/>
          </w:tcPr>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开标时间和地点</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开标时间：同投标截止时间</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开标地点：本项目采用“远程不见面”开标方式，投标人登录远程开标大厅并签到</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"http://www.xzggzy.cn/BidOpening/bidopeninghallaction/hall/l"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http://www.xzggzy.cn/BidOpening/bidopeninghallaction/hall/l</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t>ogin）,选择新郑市公共资源交易平台。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6.1.1</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评标委员会的组建</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评标委员会构成：由5人组成，其中招标人代表1人，经济类专家2人，技术类专家2人。</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评标专家确定方式：从省级评审专家库中，通过随机方式抽取评审专家。</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参与评标的招标人代表由业主委托本单位工作人员担任。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7.1</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是否授权评标委员会确定中标人</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否，推荐的中标候选人数：</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046" w:type="dxa"/>
            <w:vMerge w:val="restart"/>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7.3</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农民工工资保证金</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1、承包人应按规定缴纳中标价的2%作为农民工工资保证金。（现金或保函）</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2、中标人签订合同后应及时办理农民工工资专用账户并向招标人提供账户凭证。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046" w:type="dxa"/>
            <w:vMerge w:val="continue"/>
            <w:vAlign w:val="center"/>
          </w:tcPr>
          <w:p>
            <w:pPr>
              <w:bidi w:val="0"/>
              <w:jc w:val="both"/>
            </w:pPr>
          </w:p>
        </w:tc>
        <w:tc>
          <w:tcPr>
            <w:tcW w:w="2325" w:type="dxa"/>
            <w:vAlign w:val="center"/>
          </w:tcPr>
          <w:p>
            <w:pPr>
              <w:bidi w:val="0"/>
              <w:jc w:val="both"/>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农民工工资保障</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1、农民工工资支付承诺书:投标人在投标文件中必须作出按照国家、省、市相关文件的要求存储农民工工资保证金的承诺;同时还应作出在工程实施中不拖欠农民工工资，保证按时支付的承诺。(格式详见招标文件)</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2、存储时间及方式:请中标单位在收到中标通知书3个工作日内，到新郑市人力资源和社会保障局416房间(新郑市人民西路277号)咨询，咨询电话0371-63206128。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7.4</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履约担保</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履约保证金金额:</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企业信用等级AAA级按照中标金额5%缴纳;</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企业信用等级AA级按照中标金额6%缴纳;</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企业信用等级AA级以下按照中标金额7%缴纳。</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履约保证金形式:现金转账、履约保函或电子履约保函。</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提交履约保证金的时间:签订合同后14个工作日内。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c>
          <w:tcPr>
            <w:tcW w:w="8913" w:type="dxa"/>
            <w:gridSpan w:val="2"/>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10.1</w:t>
            </w:r>
          </w:p>
        </w:tc>
        <w:tc>
          <w:tcPr>
            <w:tcW w:w="2325"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类似项目</w:t>
            </w:r>
          </w:p>
        </w:tc>
        <w:tc>
          <w:tcPr>
            <w:tcW w:w="6588" w:type="dxa"/>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类似业绩定义：/。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10.2</w:t>
            </w:r>
          </w:p>
        </w:tc>
        <w:tc>
          <w:tcPr>
            <w:tcW w:w="8913" w:type="dxa"/>
            <w:gridSpan w:val="2"/>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招标代理服务费：本次招标代理服务费参照《国家发展改革委办公厅关于招标代理服务收费有关问题的通知》（发改办价格[2003]857号）和国家计委关于《招标代理服务收费管理暂行办法》（计价格[2002]1980号）文件中招标代理服务收费标准计取，由中标人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10.3</w:t>
            </w:r>
          </w:p>
        </w:tc>
        <w:tc>
          <w:tcPr>
            <w:tcW w:w="8913" w:type="dxa"/>
            <w:gridSpan w:val="2"/>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1、施工环境协调及施工需办理的相关手续，由投标人负责，费用包含在投标报价内，招标人不再另行支付。</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2、投标人在施工过程中必须符合国家及省市环保、安全、文明施工等相关要求，该方面所产生的一切费用均包含在投标报价内，招标人不再另行支付（另有规定的除外）。</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3、投标总报价为完成招标文件规定的全部工作内容所需的一切费用。包括未列出而完成本项目所必须的材料、人工、工具及相关税费等必须的所有费用。</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4、投标人项目经理、技术负责人等主要管理人员若不能按规定天数到场（具体以合同约定为准），情节严重的，其单位将被列入建设市场主体不良行为记录。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59" w:type="dxa"/>
            <w:gridSpan w:val="3"/>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10.4重新招标的其他情形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p>
        </w:tc>
        <w:tc>
          <w:tcPr>
            <w:tcW w:w="8913" w:type="dxa"/>
            <w:gridSpan w:val="2"/>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59" w:type="dxa"/>
            <w:gridSpan w:val="3"/>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10.5知识产权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p>
        </w:tc>
        <w:tc>
          <w:tcPr>
            <w:tcW w:w="8913" w:type="dxa"/>
            <w:gridSpan w:val="2"/>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构成本招标文件各个组成部分的文件，未经招标人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59" w:type="dxa"/>
            <w:gridSpan w:val="3"/>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10.6同义词语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6" w:type="dxa"/>
            <w:vAlign w:val="center"/>
          </w:tcPr>
          <w:p>
            <w:pPr>
              <w:bidi w:val="0"/>
              <w:jc w:val="both"/>
              <w:rPr>
                <w:rFonts w:hint="eastAsia" w:ascii="宋体" w:hAnsi="宋体" w:eastAsia="宋体" w:cs="宋体"/>
                <w:sz w:val="28"/>
                <w:szCs w:val="28"/>
                <w:highlight w:val="none"/>
              </w:rPr>
            </w:pPr>
          </w:p>
        </w:tc>
        <w:tc>
          <w:tcPr>
            <w:tcW w:w="8913" w:type="dxa"/>
            <w:gridSpan w:val="2"/>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构成招标文件组成部分的“通用合同条款”、“专用合同条款”、“技术要求”和“工程量清单等章节中出现的措辞“发包人”和“承包人”，在招标投标阶段应当分别按“招标人”和“投标人”进行理解。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59" w:type="dxa"/>
            <w:gridSpan w:val="3"/>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10.7解释权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59" w:type="dxa"/>
            <w:gridSpan w:val="3"/>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招标文件其他内容若有与投标人须知前附表要求不一致的，</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以投标人须知前附表为准。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59" w:type="dxa"/>
            <w:gridSpan w:val="3"/>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10.8异议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59" w:type="dxa"/>
            <w:gridSpan w:val="3"/>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投标人或者其他利害关系人对招标文件有异议的，应当在投标截止时间10日前提出。招标人应当自收到异议之日起3日内作出答复:作出答复前，应当暂停招标投标活动。</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投标人对开标有异议的，应当在开标现场提出，招标人应当当场作出答复，并制作记录。</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投标人或者其他利害关系人对依法必须进行招标的项目的评标结果有异议的，应当在中标候选人公示期间提出。招标人应当自收到异议之日起3日内作出答复:作出答复前，应当暂停招标投标活动。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59" w:type="dxa"/>
            <w:gridSpan w:val="3"/>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10.9监督</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本项目的招标投标活动及其相关当事人应当接受有管辖权的行政监督部门依法实施的监督。</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监督机构：新郑市财政局政府采购监督管理办公室</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地址：新郑市华夏国际 8 楼 801 室</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联系方式：0371-62684176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59" w:type="dxa"/>
            <w:gridSpan w:val="3"/>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10.10付款方式</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支付节点和比例详询招标人，以合同签订为准。</w:t>
            </w:r>
          </w:p>
        </w:tc>
      </w:tr>
    </w:tbl>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1.总则</w:t>
      </w:r>
    </w:p>
    <w:p>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1.1项目概况</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1.1.1根据《中华人民共和国招标投标法》、《中华人民共和国招标投标法实施条例》等有关法律、法规和规章的规定，本招标项目已具备招标条件，现对本项目EPC总承包进行招标。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1.1.2本项目招标人：见投标人须知前附表。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1.1.3本项目招标代理机构：见投标人须知前附表。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1.1.4本项目项目名称：见投标人须知前附表。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1.1.5本项目建设地点：见投标人须知前附表。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1.2资金来源和落实情况</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1.2.1本项目资金来源：见投标人须知前附表。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1.2.2本项目出资比例：见投标人须知前附表。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1.2.3本项目资金落实情况：见投标人须知前附表。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1.3招标范围、计划工期和质量要求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1.3.1本项目招标范围：见投标人须知前附表。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1.3.2本项目计划工期：见投标人须知前附表。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1.3.3本项目质量要求：见投标人须知前附表。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1.3.4本项目资格审查方式：见投标人须知前附表。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1.4投标人资格要求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1.4.1投标人应具备承担本项目EPC总承包的资质条件、能力和信誉。</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（1）营业执照：见投标人须知前附表；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（2）资质要求：见投标人须知前附表；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（3）人员要求：见投标人须知前附表；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（4）财务要求：见投标人须知前附表；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（5）信誉要求：见投标人须知前附表；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（6）其他要求：见投标人须知前附表。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1.4.2投标人须知前附表规定接受联合体投标的，除应符合本章第1.4.1项和投标人须知前附表的要求外，还应遵守以下规定：</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（1）联合体各方应按招标文件提供的格式签订联合体协议书，明确联合体牵头人和各方权利义务；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（2）由同一专业的单位组成的联合体，按照资质等级较低的单位确定资质等级；</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（3）联合体各方不得再以自己名义单独或参加其他联合体在同一标段中投标。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1.4.3投标人不得存在下列情形之一：</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（1）为招标人不具有独立法人资格的附属机构（单位）；</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（2）为本项目的监理人；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（3）为本项目的代建人；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（4）为本项目提供招标代理服务的；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（5）与本项目的监理人或代建人或招标代理机构同为一个法定代表人的；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（6）与本项目的监理人或代建人或招标代理机构相互控股或参股的；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（7）与本项目的监理人或代建人或招标代理机构相互任职或工作的；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（8）被责令停业的；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（9）财产被接管或冻结的；</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1.5费用承担</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投标人准备和参加投标活动发生的费用自理。</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1.6保密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参与招标投标活动的各方应对招标文件和投标文件中的商业和技术等秘密保密，违者应对由此造成的后果承担法律责任。</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1.7语言文字</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除专用术语外，与招标投标有关的语言均使用中文。必要时专用术语应附有中文注释。</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1.8计量单位</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所有计量均采用中华人民共和国法定计量单位。</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1.9踏勘现场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1.9.1投标人须知前附表规定组织踏勘现场的，招标人按投标人须知前附表规定的时间、地点组织投标人踏勘项目现场。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1.9.2投标人踏勘现场发生的费用自理。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1.9.3除招标人的原因外，投标人自行负责在踏勘现场中所发生的人员伤亡和财产损失。</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1.9.4招标人在踏勘现场中介绍的工程场地和相关的周边环境情况，供投标人在编制投标文件时参考，招标人不对投标人据此作出的判断和决策负责。</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1.10投标预备会</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1.10.1投标人须知前附表规定召开投标预备会的，招标人按投标人须知前附表规定的时间和地点召开投标预备会，澄清投标人提出的问题。</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1.10.2在投标预备会召开前，投标人应在交易中心平台上提出问题，以便招标人在会议期间澄清。</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1.10.3在投标人须知前附表规定的投标截止时间15天前，招标人将对投标人所提问题的澄清，以电子方式通知所有购买招标文件的投标人。该澄清内容为招标文件的组成部分。</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1.11分包</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人须知前附表规定允许分包的，分包的内容、分包金额、接受分包的第三人资质要求见投标人须知前附表。投标人应在投标文件中明确是否在中标后将中标项目的部分非主体、非关键性工作进行分包。投标人拟分包时，分包人应具备与分包工程的标准和规模相适应的资质和业绩，在人力、设备、资金等方面具有承担分包工程施工的能力。投标人应在投标文件中提供分包协议、分包人的资质证书及营业执照扫描件、人员、设备和业绩资料表、分包的工程项目和工程量。</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1.12偏离</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投标文件不允许偏离招标文件的实质性要求和条件。</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bookmarkStart w:id="0" w:name="bookmark34"/>
      <w:bookmarkEnd w:id="0"/>
      <w:bookmarkStart w:id="1" w:name="bookmark5"/>
      <w:bookmarkEnd w:id="1"/>
      <w:r>
        <w:rPr>
          <w:rFonts w:hint="eastAsia" w:asciiTheme="minorEastAsia" w:hAnsiTheme="minorEastAsia" w:eastAsiaTheme="minorEastAsia" w:cstheme="minorEastAsia"/>
          <w:b/>
          <w:bCs/>
          <w:sz w:val="28"/>
          <w:szCs w:val="28"/>
          <w:highlight w:val="none"/>
        </w:rPr>
        <w:t>2.招标文件</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2.1招标文件的组成</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本招标文件包括：</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（1）招标公告；</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（2）投标人须知；</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（3）评标办法；</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（4）合同条款及格式；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（5）发包人要求；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（6）技术要求；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（7）投标文件格式。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根据本章第1.10款、第2.2款和第2.3款对招标文件所作的澄清、修改，构成招标文件的组成部分。</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2.2招标文件的澄清</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2.2.1投标人应仔细阅读和检查招标文件的全部内容。如发现缺页或附件不全，应及时向招标人提出，以便补齐。如有疑问，应在投标截止时间10天前在新郑市公共资源交易系统上进行提问，要求招标人对招标文件予以澄清。</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2.2.2招标文件的澄清将在投标人须知前附表规定的投标截止时间15天前在新郑市公共资源交易系统“变更公告”或“答疑文件”将澄清内容予以发布，但不指明澄清问题的来源。如果澄清发出的时间距投标截止时间不足15天，相应延长投标截止时间。</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投标人应在投标文件递交截止时间前及时查看澄清内容，因投标人未及时查看而造成的后果自负。</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2.3招标文件的修改</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在投标截止时间15天前，招标人可以修改招标文件。如有修改，应在新郑市公共资源交易系统“变更公告”或“答疑文件”将修改内容予以发布。如果修改的内容可能影响投标文件编制且发出的时间距投标截止时间不足15天，相应延长投标截止时间。</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当招标文件的澄清、修改、补充等在同一内容的表述上不一致时，以最后在新郑市公共资源交易系统发出的文件为准。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投标人应在投标文件递交截止时间前及时查看修改内容，因投标人未及时查看而造成的后果自负。</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bookmarkStart w:id="2" w:name="bookmark35"/>
      <w:bookmarkEnd w:id="2"/>
      <w:bookmarkStart w:id="3" w:name="bookmark6"/>
      <w:bookmarkEnd w:id="3"/>
      <w:r>
        <w:rPr>
          <w:rFonts w:hint="eastAsia" w:asciiTheme="minorEastAsia" w:hAnsiTheme="minorEastAsia" w:eastAsiaTheme="minorEastAsia" w:cstheme="minorEastAsia"/>
          <w:b/>
          <w:bCs/>
          <w:sz w:val="28"/>
          <w:szCs w:val="28"/>
          <w:highlight w:val="none"/>
        </w:rPr>
        <w:t>3.投标文件</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3.1投标文件的组成</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3.1.1投标文件应包括下列内容：</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（1）投标函及投标函附录；</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（2）法定代表人身份证明；</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（3）附有法定代表人身份证明的授权委托书；</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（4）联合体协议书（如有）；</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（5）投标保证金；</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（6）项目实施方案；</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（7）资格审查资料；</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（8）承诺书；</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（9）其他材料。</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3.2投标报价</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3.2.1投标人应充分了解该项目的总体情况以及影响投标报价的其他要素。投标人的投标报价费用应包括但不限于完成本项目的所有工作内容以及所必需的考察和调研费用，此外还应包括政府规定的一切税费、专利及专有技术使用费等一切相关费用等全部费用。投标人应按第七章“投标文件格式”的要求填写投标报价。</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3.2.2招标人设有招标控制价的，投标人的投标报价不得超过招标控制价，招标控制价在投标人须知前附表中载明。</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3.2.3中标单位完工后，合同价最终以竣工结算为准。合同实施过程中的变更、签证仍执行投标所报费率。投标价为签订合同的依据。</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3.2.4用数字表示的数额与用文字表示的数额不一致时，以文字数额为准；如投标函及附录中大写金额与小写金额不一致，以大写金额为准。</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3.3投标有效期</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3.3.1在投标人须知前附表规定的投标有效期内，投标人不得要求撤销或修改其投标文件。否则应承担招标文件和法律规定的责任。</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3.3.2出现特殊情况需要延长投标有效期的，招标人将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3.4投标保证金</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3.4.1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3.4.2投标人不按本章第3.4.1项要求提交投标保证金的，其投标文件作废标处理。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3.4.3招标人与中标人签订合同后5日内，向未中标的投标人和中标人退还投标保证金。</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3.4.4有下列情形之一的，投标保证金将不予退还：</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（1）投标人在规定的投标有效期内撤销或修改其投标文件；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（2）中标人在收到中标通知书后，无正当理由拒签合同协议书或未按招标文件规定提交履约担保；</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（3）发生投标人须知前附表规定的其他可以不予退还投标保证金的情形。</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3.5资格审查资料</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3.5.1应按照投标人须知前附表1.4.1要求对投标企业资质条件、信誉要求、项目经理、设计负责人资格及其他要求提供相关证明材料。</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3.5.2投标人须知前附表规定接受联合体投标的，本章第3.5.1项规定的表格和资料应包括联合体各方相关情况。</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3.6备选投标方案</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3.7投标文件的编制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3.7.1投标文件应按第七章“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3.7.2投标文件应当对招标文件有关工期、投标有效期、质量要求、招标范围等实质性内容作出响应。</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3.7.3签字或盖章要求：见投标人须知前附表。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3.7.4投标文件份数：见投标人须知前附表。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bookmarkStart w:id="4" w:name="bookmark7"/>
      <w:bookmarkEnd w:id="4"/>
      <w:bookmarkStart w:id="5" w:name="bookmark36"/>
      <w:bookmarkEnd w:id="5"/>
      <w:r>
        <w:rPr>
          <w:rFonts w:hint="eastAsia" w:asciiTheme="minorEastAsia" w:hAnsiTheme="minorEastAsia" w:eastAsiaTheme="minorEastAsia" w:cstheme="minorEastAsia"/>
          <w:b/>
          <w:bCs/>
          <w:sz w:val="28"/>
          <w:szCs w:val="28"/>
          <w:highlight w:val="none"/>
        </w:rPr>
        <w:t>4.投标</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4.1投标文件的密封</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4.1.1上传的电子投标文件应使用投标人数字证书认证并加密。</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4.2投标文件的递交</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4.2.1本项目采用全流程电子招投标方式，投标人只须递交电子投标文件，无须递交纸质版投标文件。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4.2.2投标人应在规定的投标截止时间前，通过互联网使用CA数字证书登录“新郑市公共资源交易中心”系统，将加密的投标文件上传，并保存上传成功后系统自动生成的电子签收凭证，递交时间即为电子签收凭证时间。投标人应充分考虑上传文件时的不可预见因素，未在投标截止时间前完成上传的，视为逾期上传，招标人（“新郑市公共资源交易中心”系统）将拒绝接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4.2.3除投标人须知前附表另有规定外，投标人所递交的投标文件不予退还。</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4.2.4在特殊情况下，招标人如果决定延后递交投标文件截止期，至少应在原定的投标截止期前2天，将此决定通过“新郑市公共资源交易中心”系统发出。在此情况下，招标人和投标人的权利和义务相应延后至新的投标截止期。</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4.3投标文件的修改与撤回</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4.3.1在投标截止时间前，投标人可以修改或撤回已递交的投标文件，投标人对加密的投标文件进行撤回的，应在“新郑市公共资源交易中心”系统直接进行撤回操作；投标人对加密的投标文件进行修改的，应在投标截止时间前完成上传。</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4.3.2投标人修改投标文件的，应使用“投标文件制作工具”制作成完整的投标文件，并按照本章规定进行编制、加密和递交。对采用网上递交的加密的投标文件，以投标截止时间前最后完成上传的文件为准。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4.3.3投标人在投标截止时间前，投标人撤回投标文件的，投标人已缴纳的投标保证金将在公示期结束后和未中标的投标人一并退还。</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4.3.4投标人在投标截止时间后，不得修改或撤回其投标，否则其投标保证金将被没收。</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bookmarkStart w:id="6" w:name="bookmark37"/>
      <w:bookmarkEnd w:id="6"/>
      <w:bookmarkStart w:id="7" w:name="bookmark8"/>
      <w:bookmarkEnd w:id="7"/>
      <w:r>
        <w:rPr>
          <w:rFonts w:hint="eastAsia" w:asciiTheme="minorEastAsia" w:hAnsiTheme="minorEastAsia" w:eastAsiaTheme="minorEastAsia" w:cstheme="minorEastAsia"/>
          <w:b/>
          <w:bCs/>
          <w:sz w:val="28"/>
          <w:szCs w:val="28"/>
          <w:highlight w:val="none"/>
        </w:rPr>
        <w:t>5.开标</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5.1开标时间和地点</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本项目采用“远程不见面”开标方式，投标人开标时间前登录远程开标大厅(</w:t>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"http://www.xzggzy.cn/BidOpening/bidopeninghallaction/hall/login"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http://www.xzggzy.cn/BidOpening/bidopeninghallaction/hall/login</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t>),选择新郑市公共资源交易平台。</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5.2开标程序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主持人按下列程序进行开标：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（1）投标截止时间到，公布投标人名单；</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（2）电子投标文件解密；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（3）电子唱标；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（4）开标结束。</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5.3开标时出现下列情况的，招标人将拒绝其开标：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5.3.1电子开标时，因电子交易系统异常无法解密电子投标文件的，应及时通知招标代理公司，并上报系统技术人员解决。</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5.3.2因投标人原因电子投标文件解密失败的，其投标将被拒绝。</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5.3.3投标人不足三家的，不得开标。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5.3.4投标人代表对开标过程和开标记录有疑义，以及认为招标人、招标代理机构相关工作人员有需要回避的情形的，应当场提出询问或者回避申请。招标人、招标代理机构对投标人代表提出的询问或者回避申请应当及时处理。</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5.4开标异议</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投标人对开标有异议的，应当在开标现场提出，招标人当场作出答复。</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bookmarkStart w:id="8" w:name="bookmark9"/>
      <w:bookmarkEnd w:id="8"/>
      <w:bookmarkStart w:id="9" w:name="bookmark38"/>
      <w:bookmarkEnd w:id="9"/>
      <w:r>
        <w:rPr>
          <w:rFonts w:hint="eastAsia" w:asciiTheme="minorEastAsia" w:hAnsiTheme="minorEastAsia" w:eastAsiaTheme="minorEastAsia" w:cstheme="minorEastAsia"/>
          <w:b/>
          <w:bCs/>
          <w:sz w:val="28"/>
          <w:szCs w:val="28"/>
          <w:highlight w:val="none"/>
        </w:rPr>
        <w:t>6.评标</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6.1评标委员会</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6.1.1评标由招标人依法组建的评标委员会负责。评标委员会由业主代表及有关技术、经济等方面的专家组成。评标委员会成员人数以及技术、经济等方面专家的确定方式见投标人须知前附表。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6.1.2评标委员会成员有下列情形之一的，应当回避：</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（1）招标人或投标人的主要负责人的近亲属；</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（2）项目主管部门或者行政监督部门的人员；</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（3）与投标人有经济利益关系，可能影响对投标公正评审的；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（4）曾因在招标、评标以及其他与招标投标有关活动中从事违法行为而受过行政处罚或刑事处罚的。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（5）“信用中国”网站（www.creditchina,gov,cn）记录为失信被执行人的。</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6.2评标原则</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评标活动遵循公平、公正、科学和择优的原则。</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6.3评标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bookmarkStart w:id="10" w:name="bookmark10"/>
      <w:bookmarkEnd w:id="10"/>
      <w:bookmarkStart w:id="11" w:name="bookmark39"/>
      <w:bookmarkEnd w:id="11"/>
      <w:r>
        <w:rPr>
          <w:rFonts w:hint="eastAsia" w:asciiTheme="minorEastAsia" w:hAnsiTheme="minorEastAsia" w:eastAsiaTheme="minorEastAsia" w:cstheme="minorEastAsia"/>
          <w:b/>
          <w:bCs/>
          <w:sz w:val="28"/>
          <w:szCs w:val="28"/>
          <w:highlight w:val="none"/>
        </w:rPr>
        <w:t>7.合同授予</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7.1定标方式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评标委员会推荐2名中标候选人，并标明顺序。招标人依据评标委员会推荐的中标候选人确定中标人。</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7.2中标通知</w:t>
      </w:r>
    </w:p>
    <w:p>
      <w:pPr>
        <w:autoSpaceDE w:val="0"/>
        <w:autoSpaceDN w:val="0"/>
        <w:adjustRightInd w:val="0"/>
        <w:spacing w:line="336" w:lineRule="auto"/>
        <w:ind w:firstLine="719" w:firstLineChars="257"/>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7.2.1 评标结束后，将在网上公布中标结果。</w:t>
      </w:r>
    </w:p>
    <w:p>
      <w:pPr>
        <w:autoSpaceDE w:val="0"/>
        <w:autoSpaceDN w:val="0"/>
        <w:adjustRightInd w:val="0"/>
        <w:spacing w:line="336" w:lineRule="auto"/>
        <w:ind w:firstLine="719" w:firstLineChars="257"/>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7.2.2 评标结束后，评标委员会向招标人呈报评标报告，经审批后，由招标人或招标代理机构签发《中标通知书》。</w:t>
      </w:r>
    </w:p>
    <w:p>
      <w:pPr>
        <w:autoSpaceDE w:val="0"/>
        <w:autoSpaceDN w:val="0"/>
        <w:adjustRightInd w:val="0"/>
        <w:spacing w:line="336" w:lineRule="auto"/>
        <w:ind w:firstLine="719" w:firstLineChars="257"/>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7.2.3 中标人凭《中标通知书》，</w:t>
      </w:r>
      <w:r>
        <w:rPr>
          <w:rFonts w:hint="eastAsia" w:asciiTheme="minorEastAsia" w:hAnsiTheme="minorEastAsia" w:eastAsiaTheme="minorEastAsia" w:cstheme="minorEastAsia"/>
          <w:kern w:val="0"/>
          <w:sz w:val="28"/>
          <w:szCs w:val="28"/>
          <w:u w:val="single"/>
        </w:rPr>
        <w:t>2</w:t>
      </w:r>
      <w:r>
        <w:rPr>
          <w:rFonts w:hint="eastAsia" w:asciiTheme="minorEastAsia" w:hAnsiTheme="minorEastAsia" w:eastAsiaTheme="minorEastAsia" w:cstheme="minorEastAsia"/>
          <w:kern w:val="0"/>
          <w:sz w:val="28"/>
          <w:szCs w:val="28"/>
        </w:rPr>
        <w:t>日内到招标人指定地点办理合同签订手续。</w:t>
      </w:r>
    </w:p>
    <w:p>
      <w:pPr>
        <w:autoSpaceDE w:val="0"/>
        <w:autoSpaceDN w:val="0"/>
        <w:adjustRightInd w:val="0"/>
        <w:spacing w:line="336" w:lineRule="auto"/>
        <w:ind w:firstLine="719" w:firstLineChars="257"/>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7.2.4 如中标人中标后在规定的时间内不按要求交纳履约保证金或违约不按时签订合同，没收其投标保证金。招标人可在侯选中标单位中重新选定中标单位。</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7.3签订合同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7.3.1招标人和中标人应当自中标通知书发出之日起30天内，根据招标文件和中标人的投标文件订立书面合同并由中标人上传交易系统中。中标人无正当理由拒签合同的，招标人取消其中标资格，其投标保证金不予退还；给招标人造成的损失超过投标保证金数额的，中标人还应当对超过部分予以赔偿。</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7.3.2发出中标通知书后，招标人无正当理由拒签合同的，给中标人造成损失的，还应当赔偿损失。</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7.4履约担保</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bookmarkStart w:id="12" w:name="bookmark40"/>
      <w:bookmarkEnd w:id="12"/>
      <w:bookmarkStart w:id="13" w:name="bookmark11"/>
      <w:bookmarkEnd w:id="13"/>
      <w:r>
        <w:rPr>
          <w:rFonts w:hint="eastAsia" w:asciiTheme="minorEastAsia" w:hAnsiTheme="minorEastAsia" w:eastAsiaTheme="minorEastAsia" w:cstheme="minorEastAsia"/>
          <w:b/>
          <w:bCs/>
          <w:sz w:val="28"/>
          <w:szCs w:val="28"/>
          <w:highlight w:val="none"/>
        </w:rPr>
        <w:t>8.重新招标和不再招标</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8.1重新招标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有下列情形之一的，招标人将重新招标：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（1）投标截止时间止，投标人少于3个的；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（2）经评标委员会评审后否决所有投标的；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（3）评标委员会否决不合格投标或者界定为废标后因有效投标不足3个使得投标明显缺乏竞争，评标委员会决定否决全部投标的；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（4）同意延长投标有效期的投标人少于3个的；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（5）中标候选人均未与招标人签订合同的。</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8.2不再招标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重新招标后投标人仍少于3个或者所有投标被否决的，属于必须审批或核准的工程建设项目，经原审批或核准部门批准后不再进行招标。</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bookmarkStart w:id="14" w:name="bookmark41"/>
      <w:bookmarkEnd w:id="14"/>
      <w:bookmarkStart w:id="15" w:name="bookmark12"/>
      <w:bookmarkEnd w:id="15"/>
      <w:r>
        <w:rPr>
          <w:rFonts w:hint="eastAsia" w:asciiTheme="minorEastAsia" w:hAnsiTheme="minorEastAsia" w:eastAsiaTheme="minorEastAsia" w:cstheme="minorEastAsia"/>
          <w:b/>
          <w:bCs/>
          <w:sz w:val="28"/>
          <w:szCs w:val="28"/>
          <w:highlight w:val="none"/>
        </w:rPr>
        <w:t>9.纪律和监督</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9.1对招标人的纪律要求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招标人不得泄漏招标投标活动中应当保密的情况和资料，不得与投标人串通损害国家利益、社会公共利益或者他人合法权益。</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下列行为均属招标人与投标人串通投标：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（1）招标人在开标前开启投标文件，并将投标情况告知其它投标人，或者协助投标人撤换投标文件，更改报价；</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（2）招标人向投标人泄露标底；</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（3）招标人与投标人商定</w:t>
      </w:r>
      <w:bookmarkStart w:id="63" w:name="_GoBack"/>
      <w:bookmarkEnd w:id="63"/>
      <w:r>
        <w:rPr>
          <w:rFonts w:hint="eastAsia" w:asciiTheme="minorEastAsia" w:hAnsiTheme="minorEastAsia" w:eastAsiaTheme="minorEastAsia" w:cstheme="minorEastAsia"/>
          <w:sz w:val="28"/>
          <w:szCs w:val="28"/>
          <w:highlight w:val="none"/>
        </w:rPr>
        <w:t>，投标时压低或抬高标价，中标后再给投标人或招标人额外补偿；</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（4）招标人预先内定中标人；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（5）其它串通投标行为。</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9.2对投标人的纪律要求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9.3对评标委员会成员的纪律要求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9.4对与评标活动有关的工作人员的纪律要求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9.5投诉</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投标人和其他利害关系人认为本次招标活动违反法律、法规和规章规定的，有权向有关行政监督部门投诉。</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Theme="minorEastAsia" w:hAnsiTheme="minorEastAsia" w:eastAsiaTheme="minorEastAsia" w:cstheme="minorEastAsia"/>
          <w:b/>
          <w:bCs/>
          <w:sz w:val="28"/>
          <w:szCs w:val="28"/>
          <w:highlight w:val="none"/>
        </w:rPr>
      </w:pPr>
      <w:bookmarkStart w:id="16" w:name="bookmark42"/>
      <w:bookmarkEnd w:id="16"/>
      <w:bookmarkStart w:id="17" w:name="bookmark13"/>
      <w:bookmarkEnd w:id="17"/>
      <w:r>
        <w:rPr>
          <w:rFonts w:hint="eastAsia" w:asciiTheme="minorEastAsia" w:hAnsiTheme="minorEastAsia" w:eastAsiaTheme="minorEastAsia" w:cstheme="minorEastAsia"/>
          <w:b/>
          <w:bCs/>
          <w:sz w:val="28"/>
          <w:szCs w:val="28"/>
          <w:highlight w:val="none"/>
        </w:rPr>
        <w:t>10.需要补充的其他内容</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pacing w:val="-7"/>
          <w:sz w:val="22"/>
          <w:szCs w:val="22"/>
          <w:highlight w:val="none"/>
        </w:rPr>
      </w:pPr>
      <w:r>
        <w:rPr>
          <w:rFonts w:hint="eastAsia" w:asciiTheme="minorEastAsia" w:hAnsiTheme="minorEastAsia" w:eastAsiaTheme="minorEastAsia" w:cstheme="minorEastAsia"/>
          <w:sz w:val="28"/>
          <w:szCs w:val="28"/>
          <w:highlight w:val="none"/>
        </w:rPr>
        <w:t>需要补充的其他内容：见投标人须知前附表。</w:t>
      </w:r>
    </w:p>
    <w:p>
      <w:pPr>
        <w:spacing w:before="91" w:line="219" w:lineRule="auto"/>
        <w:ind w:left="61"/>
        <w:rPr>
          <w:rFonts w:hint="eastAsia" w:ascii="宋体" w:hAnsi="宋体" w:eastAsia="宋体" w:cs="宋体"/>
          <w:spacing w:val="-4"/>
          <w:sz w:val="28"/>
          <w:szCs w:val="28"/>
          <w:highlight w:val="none"/>
          <w14:textOutline w14:w="5094" w14:cap="flat" w14:cmpd="sng">
            <w14:solidFill>
              <w14:srgbClr w14:val="000000"/>
            </w14:solidFill>
            <w14:prstDash w14:val="solid"/>
            <w14:miter w14:val="0"/>
          </w14:textOutline>
        </w:rPr>
      </w:pPr>
    </w:p>
    <w:p>
      <w:pPr>
        <w:pStyle w:val="2"/>
        <w:rPr>
          <w:rFonts w:hint="eastAsia" w:ascii="宋体" w:hAnsi="宋体" w:eastAsia="宋体" w:cs="宋体"/>
          <w:spacing w:val="-4"/>
          <w:sz w:val="28"/>
          <w:szCs w:val="28"/>
          <w:highlight w:val="none"/>
          <w14:textOutline w14:w="5094" w14:cap="flat" w14:cmpd="sng">
            <w14:solidFill>
              <w14:srgbClr w14:val="000000"/>
            </w14:solidFill>
            <w14:prstDash w14:val="solid"/>
            <w14:miter w14:val="0"/>
          </w14:textOutline>
        </w:rPr>
      </w:pPr>
    </w:p>
    <w:p>
      <w:pPr>
        <w:rPr>
          <w:rFonts w:hint="eastAsia" w:ascii="宋体" w:hAnsi="宋体" w:eastAsia="宋体" w:cs="宋体"/>
          <w:spacing w:val="-4"/>
          <w:sz w:val="28"/>
          <w:szCs w:val="28"/>
          <w:highlight w:val="none"/>
          <w14:textOutline w14:w="5094" w14:cap="flat" w14:cmpd="sng">
            <w14:solidFill>
              <w14:srgbClr w14:val="000000"/>
            </w14:solidFill>
            <w14:prstDash w14:val="solid"/>
            <w14:miter w14:val="0"/>
          </w14:textOutline>
        </w:rPr>
      </w:pPr>
    </w:p>
    <w:p>
      <w:pPr>
        <w:pStyle w:val="2"/>
        <w:rPr>
          <w:rFonts w:hint="eastAsia" w:ascii="宋体" w:hAnsi="宋体" w:eastAsia="宋体" w:cs="宋体"/>
          <w:spacing w:val="-4"/>
          <w:sz w:val="28"/>
          <w:szCs w:val="28"/>
          <w:highlight w:val="none"/>
          <w14:textOutline w14:w="5094" w14:cap="flat" w14:cmpd="sng">
            <w14:solidFill>
              <w14:srgbClr w14:val="000000"/>
            </w14:solidFill>
            <w14:prstDash w14:val="solid"/>
            <w14:miter w14:val="0"/>
          </w14:textOutline>
        </w:rPr>
      </w:pPr>
    </w:p>
    <w:p>
      <w:pPr>
        <w:rPr>
          <w:rFonts w:hint="eastAsia" w:ascii="宋体" w:hAnsi="宋体" w:eastAsia="宋体" w:cs="宋体"/>
          <w:spacing w:val="-4"/>
          <w:sz w:val="28"/>
          <w:szCs w:val="28"/>
          <w:highlight w:val="none"/>
          <w14:textOutline w14:w="5094" w14:cap="flat" w14:cmpd="sng">
            <w14:solidFill>
              <w14:srgbClr w14:val="000000"/>
            </w14:solidFill>
            <w14:prstDash w14:val="solid"/>
            <w14:miter w14:val="0"/>
          </w14:textOutline>
        </w:rPr>
      </w:pPr>
    </w:p>
    <w:p>
      <w:pPr>
        <w:pStyle w:val="2"/>
        <w:rPr>
          <w:rFonts w:hint="eastAsia" w:ascii="宋体" w:hAnsi="宋体" w:eastAsia="宋体" w:cs="宋体"/>
          <w:spacing w:val="-4"/>
          <w:sz w:val="28"/>
          <w:szCs w:val="28"/>
          <w:highlight w:val="none"/>
          <w14:textOutline w14:w="5094" w14:cap="flat" w14:cmpd="sng">
            <w14:solidFill>
              <w14:srgbClr w14:val="000000"/>
            </w14:solidFill>
            <w14:prstDash w14:val="solid"/>
            <w14:miter w14:val="0"/>
          </w14:textOutline>
        </w:rPr>
      </w:pPr>
    </w:p>
    <w:p>
      <w:pPr>
        <w:rPr>
          <w:rFonts w:hint="eastAsia" w:ascii="宋体" w:hAnsi="宋体" w:eastAsia="宋体" w:cs="宋体"/>
          <w:spacing w:val="-4"/>
          <w:sz w:val="28"/>
          <w:szCs w:val="28"/>
          <w:highlight w:val="none"/>
          <w14:textOutline w14:w="5094" w14:cap="flat" w14:cmpd="sng">
            <w14:solidFill>
              <w14:srgbClr w14:val="000000"/>
            </w14:solidFill>
            <w14:prstDash w14:val="solid"/>
            <w14:miter w14:val="0"/>
          </w14:textOutline>
        </w:rPr>
      </w:pPr>
    </w:p>
    <w:p>
      <w:pPr>
        <w:pStyle w:val="2"/>
        <w:rPr>
          <w:rFonts w:hint="eastAsia" w:ascii="宋体" w:hAnsi="宋体" w:eastAsia="宋体" w:cs="宋体"/>
          <w:spacing w:val="-4"/>
          <w:sz w:val="28"/>
          <w:szCs w:val="28"/>
          <w:highlight w:val="none"/>
          <w14:textOutline w14:w="5094" w14:cap="flat" w14:cmpd="sng">
            <w14:solidFill>
              <w14:srgbClr w14:val="000000"/>
            </w14:solidFill>
            <w14:prstDash w14:val="solid"/>
            <w14:miter w14:val="0"/>
          </w14:textOutline>
        </w:rPr>
      </w:pPr>
    </w:p>
    <w:p>
      <w:pPr>
        <w:rPr>
          <w:rFonts w:hint="eastAsia" w:ascii="宋体" w:hAnsi="宋体" w:eastAsia="宋体" w:cs="宋体"/>
          <w:spacing w:val="-4"/>
          <w:sz w:val="28"/>
          <w:szCs w:val="28"/>
          <w:highlight w:val="none"/>
          <w14:textOutline w14:w="5094" w14:cap="flat" w14:cmpd="sng">
            <w14:solidFill>
              <w14:srgbClr w14:val="000000"/>
            </w14:solidFill>
            <w14:prstDash w14:val="solid"/>
            <w14:miter w14:val="0"/>
          </w14:textOutline>
        </w:rPr>
      </w:pPr>
    </w:p>
    <w:p>
      <w:pPr>
        <w:pStyle w:val="2"/>
        <w:rPr>
          <w:rFonts w:hint="eastAsia" w:ascii="宋体" w:hAnsi="宋体" w:eastAsia="宋体" w:cs="宋体"/>
          <w:spacing w:val="-4"/>
          <w:sz w:val="28"/>
          <w:szCs w:val="28"/>
          <w:highlight w:val="none"/>
          <w14:textOutline w14:w="5094" w14:cap="flat" w14:cmpd="sng">
            <w14:solidFill>
              <w14:srgbClr w14:val="000000"/>
            </w14:solidFill>
            <w14:prstDash w14:val="solid"/>
            <w14:miter w14:val="0"/>
          </w14:textOutline>
        </w:rPr>
      </w:pPr>
    </w:p>
    <w:p>
      <w:pPr>
        <w:rPr>
          <w:rFonts w:hint="eastAsia" w:ascii="宋体" w:hAnsi="宋体" w:eastAsia="宋体" w:cs="宋体"/>
          <w:spacing w:val="-4"/>
          <w:sz w:val="28"/>
          <w:szCs w:val="28"/>
          <w:highlight w:val="none"/>
          <w14:textOutline w14:w="5094" w14:cap="flat" w14:cmpd="sng">
            <w14:solidFill>
              <w14:srgbClr w14:val="000000"/>
            </w14:solidFill>
            <w14:prstDash w14:val="solid"/>
            <w14:miter w14:val="0"/>
          </w14:textOutline>
        </w:rPr>
      </w:pPr>
    </w:p>
    <w:p>
      <w:pPr>
        <w:pStyle w:val="2"/>
        <w:rPr>
          <w:rFonts w:hint="eastAsia" w:ascii="宋体" w:hAnsi="宋体" w:eastAsia="宋体" w:cs="宋体"/>
          <w:spacing w:val="-4"/>
          <w:sz w:val="28"/>
          <w:szCs w:val="28"/>
          <w:highlight w:val="none"/>
          <w14:textOutline w14:w="5094" w14:cap="flat" w14:cmpd="sng">
            <w14:solidFill>
              <w14:srgbClr w14:val="000000"/>
            </w14:solidFill>
            <w14:prstDash w14:val="solid"/>
            <w14:miter w14:val="0"/>
          </w14:textOutline>
        </w:rPr>
      </w:pPr>
    </w:p>
    <w:p>
      <w:pPr>
        <w:rPr>
          <w:rFonts w:hint="eastAsia" w:ascii="宋体" w:hAnsi="宋体" w:eastAsia="宋体" w:cs="宋体"/>
          <w:spacing w:val="-4"/>
          <w:sz w:val="28"/>
          <w:szCs w:val="28"/>
          <w:highlight w:val="none"/>
          <w14:textOutline w14:w="5094" w14:cap="flat" w14:cmpd="sng">
            <w14:solidFill>
              <w14:srgbClr w14:val="000000"/>
            </w14:solidFill>
            <w14:prstDash w14:val="solid"/>
            <w14:miter w14:val="0"/>
          </w14:textOutline>
        </w:rPr>
      </w:pPr>
    </w:p>
    <w:p>
      <w:pPr>
        <w:pStyle w:val="2"/>
        <w:rPr>
          <w:rFonts w:hint="eastAsia" w:ascii="宋体" w:hAnsi="宋体" w:eastAsia="宋体" w:cs="宋体"/>
          <w:spacing w:val="-4"/>
          <w:sz w:val="28"/>
          <w:szCs w:val="28"/>
          <w:highlight w:val="none"/>
          <w14:textOutline w14:w="5094" w14:cap="flat" w14:cmpd="sng">
            <w14:solidFill>
              <w14:srgbClr w14:val="000000"/>
            </w14:solidFill>
            <w14:prstDash w14:val="solid"/>
            <w14:miter w14:val="0"/>
          </w14:textOutline>
        </w:rPr>
      </w:pPr>
    </w:p>
    <w:p>
      <w:pPr>
        <w:rPr>
          <w:rFonts w:hint="eastAsia" w:ascii="宋体" w:hAnsi="宋体" w:eastAsia="宋体" w:cs="宋体"/>
          <w:spacing w:val="-4"/>
          <w:sz w:val="28"/>
          <w:szCs w:val="28"/>
          <w:highlight w:val="none"/>
          <w14:textOutline w14:w="5094" w14:cap="flat" w14:cmpd="sng">
            <w14:solidFill>
              <w14:srgbClr w14:val="000000"/>
            </w14:solidFill>
            <w14:prstDash w14:val="solid"/>
            <w14:miter w14:val="0"/>
          </w14:textOutline>
        </w:rPr>
      </w:pPr>
    </w:p>
    <w:p>
      <w:pPr>
        <w:pStyle w:val="2"/>
        <w:rPr>
          <w:rFonts w:hint="eastAsia" w:ascii="宋体" w:hAnsi="宋体" w:eastAsia="宋体" w:cs="宋体"/>
          <w:spacing w:val="-4"/>
          <w:sz w:val="28"/>
          <w:szCs w:val="28"/>
          <w:highlight w:val="none"/>
          <w14:textOutline w14:w="5094" w14:cap="flat" w14:cmpd="sng">
            <w14:solidFill>
              <w14:srgbClr w14:val="000000"/>
            </w14:solidFill>
            <w14:prstDash w14:val="solid"/>
            <w14:miter w14:val="0"/>
          </w14:textOutline>
        </w:rPr>
      </w:pPr>
    </w:p>
    <w:p>
      <w:pPr>
        <w:rPr>
          <w:rFonts w:hint="eastAsia" w:ascii="宋体" w:hAnsi="宋体" w:eastAsia="宋体" w:cs="宋体"/>
          <w:spacing w:val="-4"/>
          <w:sz w:val="28"/>
          <w:szCs w:val="28"/>
          <w:highlight w:val="none"/>
          <w14:textOutline w14:w="5094" w14:cap="flat" w14:cmpd="sng">
            <w14:solidFill>
              <w14:srgbClr w14:val="000000"/>
            </w14:solidFill>
            <w14:prstDash w14:val="solid"/>
            <w14:miter w14:val="0"/>
          </w14:textOutline>
        </w:rPr>
      </w:pPr>
    </w:p>
    <w:p>
      <w:pPr>
        <w:pStyle w:val="2"/>
        <w:rPr>
          <w:rFonts w:hint="eastAsia"/>
        </w:rPr>
      </w:pPr>
    </w:p>
    <w:p>
      <w:pPr>
        <w:spacing w:before="222" w:line="219" w:lineRule="auto"/>
        <w:ind w:left="61"/>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14:textOutline w14:w="5094" w14:cap="flat" w14:cmpd="sng">
            <w14:solidFill>
              <w14:srgbClr w14:val="000000"/>
            </w14:solidFill>
            <w14:prstDash w14:val="solid"/>
            <w14:miter w14:val="0"/>
          </w14:textOutline>
        </w:rPr>
        <w:t>附件</w:t>
      </w:r>
      <w:r>
        <w:rPr>
          <w:rFonts w:hint="eastAsia" w:ascii="宋体" w:hAnsi="宋体" w:eastAsia="宋体" w:cs="宋体"/>
          <w:spacing w:val="0"/>
          <w:position w:val="0"/>
          <w:sz w:val="28"/>
          <w:szCs w:val="28"/>
          <w:highlight w:val="none"/>
          <w:lang w:eastAsia="zh-CN"/>
          <w14:textOutline w14:w="5094" w14:cap="flat" w14:cmpd="sng">
            <w14:solidFill>
              <w14:srgbClr w14:val="000000"/>
            </w14:solidFill>
            <w14:prstDash w14:val="solid"/>
            <w14:miter w14:val="0"/>
          </w14:textOutline>
        </w:rPr>
        <w:t>一</w:t>
      </w:r>
      <w:r>
        <w:rPr>
          <w:rFonts w:hint="eastAsia" w:ascii="宋体" w:hAnsi="宋体" w:eastAsia="宋体" w:cs="宋体"/>
          <w:spacing w:val="0"/>
          <w:position w:val="0"/>
          <w:sz w:val="28"/>
          <w:szCs w:val="28"/>
          <w:highlight w:val="none"/>
          <w14:textOutline w14:w="5094" w14:cap="flat" w14:cmpd="sng">
            <w14:solidFill>
              <w14:srgbClr w14:val="000000"/>
            </w14:solidFill>
            <w14:prstDash w14:val="solid"/>
            <w14:miter w14:val="0"/>
          </w14:textOutline>
        </w:rPr>
        <w:t>：问题澄清通知</w:t>
      </w:r>
    </w:p>
    <w:p>
      <w:pPr>
        <w:spacing w:line="254" w:lineRule="auto"/>
        <w:rPr>
          <w:rFonts w:hint="eastAsia" w:ascii="宋体" w:hAnsi="宋体" w:eastAsia="宋体" w:cs="宋体"/>
          <w:spacing w:val="0"/>
          <w:position w:val="0"/>
          <w:sz w:val="28"/>
          <w:szCs w:val="28"/>
          <w:highlight w:val="none"/>
        </w:rPr>
      </w:pPr>
    </w:p>
    <w:p>
      <w:pPr>
        <w:spacing w:line="255" w:lineRule="auto"/>
        <w:rPr>
          <w:rFonts w:hint="eastAsia" w:ascii="宋体" w:hAnsi="宋体" w:eastAsia="宋体" w:cs="宋体"/>
          <w:spacing w:val="0"/>
          <w:position w:val="0"/>
          <w:sz w:val="28"/>
          <w:szCs w:val="28"/>
          <w:highlight w:val="none"/>
        </w:rPr>
      </w:pPr>
    </w:p>
    <w:p>
      <w:pPr>
        <w:spacing w:before="91" w:line="221" w:lineRule="auto"/>
        <w:ind w:left="3415"/>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问题澄清通知</w:t>
      </w:r>
    </w:p>
    <w:p>
      <w:pPr>
        <w:spacing w:line="344" w:lineRule="auto"/>
        <w:rPr>
          <w:rFonts w:hint="eastAsia" w:ascii="宋体" w:hAnsi="宋体" w:eastAsia="宋体" w:cs="宋体"/>
          <w:spacing w:val="0"/>
          <w:position w:val="0"/>
          <w:sz w:val="28"/>
          <w:szCs w:val="28"/>
          <w:highlight w:val="none"/>
        </w:rPr>
      </w:pPr>
    </w:p>
    <w:p>
      <w:pPr>
        <w:spacing w:before="78" w:line="220" w:lineRule="auto"/>
        <w:ind w:left="6160"/>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w w:val="100"/>
          <w:position w:val="0"/>
          <w:sz w:val="28"/>
          <w:szCs w:val="28"/>
          <w:highlight w:val="none"/>
        </w:rPr>
        <w:t>编号</w:t>
      </w:r>
      <w:r>
        <w:rPr>
          <w:rFonts w:hint="eastAsia" w:ascii="宋体" w:hAnsi="宋体" w:eastAsia="宋体" w:cs="宋体"/>
          <w:spacing w:val="0"/>
          <w:w w:val="97"/>
          <w:position w:val="0"/>
          <w:sz w:val="28"/>
          <w:szCs w:val="28"/>
          <w:highlight w:val="none"/>
        </w:rPr>
        <w:t>：</w:t>
      </w:r>
    </w:p>
    <w:p>
      <w:pPr>
        <w:spacing w:line="435" w:lineRule="auto"/>
        <w:rPr>
          <w:rFonts w:hint="eastAsia" w:ascii="宋体" w:hAnsi="宋体" w:eastAsia="宋体" w:cs="宋体"/>
          <w:spacing w:val="0"/>
          <w:position w:val="0"/>
          <w:sz w:val="28"/>
          <w:szCs w:val="28"/>
          <w:highlight w:val="none"/>
        </w:rPr>
      </w:pPr>
    </w:p>
    <w:p>
      <w:pPr>
        <w:tabs>
          <w:tab w:val="left" w:pos="3268"/>
        </w:tabs>
        <w:spacing w:before="78" w:line="220" w:lineRule="auto"/>
        <w:ind w:left="28"/>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u w:val="single" w:color="auto"/>
        </w:rPr>
        <w:tab/>
      </w:r>
      <w:r>
        <w:rPr>
          <w:rFonts w:hint="eastAsia" w:ascii="宋体" w:hAnsi="宋体" w:eastAsia="宋体" w:cs="宋体"/>
          <w:spacing w:val="0"/>
          <w:position w:val="0"/>
          <w:sz w:val="28"/>
          <w:szCs w:val="28"/>
          <w:highlight w:val="none"/>
        </w:rPr>
        <w:t>（投标人名称）：</w:t>
      </w:r>
    </w:p>
    <w:p>
      <w:pPr>
        <w:tabs>
          <w:tab w:val="left" w:pos="2068"/>
        </w:tabs>
        <w:spacing w:before="180" w:line="359" w:lineRule="auto"/>
        <w:ind w:left="50" w:firstLine="458"/>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u w:val="single" w:color="auto"/>
        </w:rPr>
        <w:tab/>
      </w:r>
      <w:r>
        <w:rPr>
          <w:rFonts w:hint="eastAsia" w:ascii="宋体" w:hAnsi="宋体" w:eastAsia="宋体" w:cs="宋体"/>
          <w:spacing w:val="0"/>
          <w:position w:val="0"/>
          <w:sz w:val="28"/>
          <w:szCs w:val="28"/>
          <w:highlight w:val="none"/>
        </w:rPr>
        <w:t>（项目名称）招标的评标委员会，对你方的投标文件进行了仔细的审查，现需你方于年月日时分前对以下问题予以澄清、</w:t>
      </w:r>
    </w:p>
    <w:p>
      <w:pPr>
        <w:spacing w:line="219" w:lineRule="auto"/>
        <w:ind w:left="41"/>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说明或者补正：</w:t>
      </w:r>
    </w:p>
    <w:p>
      <w:pPr>
        <w:spacing w:before="222" w:line="469" w:lineRule="exact"/>
        <w:ind w:left="535"/>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1、</w:t>
      </w:r>
    </w:p>
    <w:p>
      <w:pPr>
        <w:spacing w:line="181" w:lineRule="auto"/>
        <w:ind w:left="521"/>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2、</w:t>
      </w:r>
    </w:p>
    <w:p>
      <w:pPr>
        <w:spacing w:before="231" w:line="181" w:lineRule="auto"/>
        <w:ind w:left="522"/>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3、</w:t>
      </w:r>
    </w:p>
    <w:p>
      <w:pPr>
        <w:spacing w:line="250" w:lineRule="auto"/>
        <w:rPr>
          <w:rFonts w:hint="eastAsia" w:ascii="宋体" w:hAnsi="宋体" w:eastAsia="宋体" w:cs="宋体"/>
          <w:spacing w:val="0"/>
          <w:position w:val="0"/>
          <w:sz w:val="28"/>
          <w:szCs w:val="28"/>
          <w:highlight w:val="none"/>
        </w:rPr>
      </w:pPr>
    </w:p>
    <w:p>
      <w:pPr>
        <w:spacing w:line="250" w:lineRule="auto"/>
        <w:rPr>
          <w:rFonts w:hint="eastAsia" w:ascii="宋体" w:hAnsi="宋体" w:eastAsia="宋体" w:cs="宋体"/>
          <w:spacing w:val="0"/>
          <w:position w:val="0"/>
          <w:sz w:val="28"/>
          <w:szCs w:val="28"/>
          <w:highlight w:val="none"/>
        </w:rPr>
      </w:pPr>
    </w:p>
    <w:p>
      <w:pPr>
        <w:spacing w:line="251" w:lineRule="auto"/>
        <w:rPr>
          <w:rFonts w:hint="eastAsia" w:ascii="宋体" w:hAnsi="宋体" w:eastAsia="宋体" w:cs="宋体"/>
          <w:spacing w:val="0"/>
          <w:position w:val="0"/>
          <w:sz w:val="28"/>
          <w:szCs w:val="28"/>
          <w:highlight w:val="none"/>
        </w:rPr>
      </w:pPr>
    </w:p>
    <w:p>
      <w:pPr>
        <w:spacing w:line="251" w:lineRule="auto"/>
        <w:rPr>
          <w:rFonts w:hint="eastAsia" w:ascii="宋体" w:hAnsi="宋体" w:eastAsia="宋体" w:cs="宋体"/>
          <w:spacing w:val="0"/>
          <w:position w:val="0"/>
          <w:sz w:val="28"/>
          <w:szCs w:val="28"/>
          <w:highlight w:val="none"/>
        </w:rPr>
      </w:pPr>
    </w:p>
    <w:p>
      <w:pPr>
        <w:spacing w:line="251" w:lineRule="auto"/>
        <w:rPr>
          <w:rFonts w:hint="eastAsia" w:ascii="宋体" w:hAnsi="宋体" w:eastAsia="宋体" w:cs="宋体"/>
          <w:spacing w:val="0"/>
          <w:position w:val="0"/>
          <w:sz w:val="28"/>
          <w:szCs w:val="28"/>
          <w:highlight w:val="none"/>
        </w:rPr>
      </w:pPr>
    </w:p>
    <w:p>
      <w:pPr>
        <w:spacing w:line="251" w:lineRule="auto"/>
        <w:rPr>
          <w:rFonts w:hint="eastAsia" w:ascii="宋体" w:hAnsi="宋体" w:eastAsia="宋体" w:cs="宋体"/>
          <w:spacing w:val="0"/>
          <w:position w:val="0"/>
          <w:sz w:val="28"/>
          <w:szCs w:val="28"/>
          <w:highlight w:val="none"/>
        </w:rPr>
      </w:pPr>
    </w:p>
    <w:p>
      <w:pPr>
        <w:tabs>
          <w:tab w:val="left" w:pos="7110"/>
        </w:tabs>
        <w:spacing w:before="78" w:line="360" w:lineRule="auto"/>
        <w:ind w:left="6510"/>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u w:val="single" w:color="auto"/>
        </w:rPr>
        <w:tab/>
      </w:r>
      <w:r>
        <w:rPr>
          <w:rFonts w:hint="eastAsia" w:ascii="宋体" w:hAnsi="宋体" w:eastAsia="宋体" w:cs="宋体"/>
          <w:spacing w:val="0"/>
          <w:position w:val="0"/>
          <w:sz w:val="28"/>
          <w:szCs w:val="28"/>
          <w:highlight w:val="none"/>
        </w:rPr>
        <w:t>招标委员会</w:t>
      </w:r>
    </w:p>
    <w:p>
      <w:pPr>
        <w:keepNext w:val="0"/>
        <w:keepLines w:val="0"/>
        <w:pageBreakBefore w:val="0"/>
        <w:widowControl/>
        <w:kinsoku w:val="0"/>
        <w:wordWrap/>
        <w:overflowPunct/>
        <w:topLinePunct w:val="0"/>
        <w:autoSpaceDE w:val="0"/>
        <w:autoSpaceDN w:val="0"/>
        <w:bidi w:val="0"/>
        <w:adjustRightInd w:val="0"/>
        <w:snapToGrid/>
        <w:spacing w:line="240" w:lineRule="auto"/>
        <w:jc w:val="right"/>
        <w:textAlignment w:val="baseline"/>
        <w:rPr>
          <w:rFonts w:hint="eastAsia" w:ascii="宋体" w:hAnsi="宋体" w:eastAsia="宋体" w:cs="宋体"/>
          <w:spacing w:val="-9"/>
          <w:sz w:val="28"/>
          <w:szCs w:val="28"/>
          <w:highlight w:val="none"/>
        </w:rPr>
      </w:pPr>
      <w:r>
        <w:rPr>
          <w:rFonts w:hint="eastAsia" w:ascii="宋体" w:hAnsi="宋体" w:eastAsia="宋体" w:cs="宋体"/>
          <w:spacing w:val="0"/>
          <w:sz w:val="28"/>
          <w:szCs w:val="28"/>
          <w:highlight w:val="none"/>
          <w:u w:val="single" w:color="auto"/>
        </w:rPr>
        <w:tab/>
      </w:r>
      <w:r>
        <w:rPr>
          <w:rFonts w:hint="eastAsia" w:ascii="宋体" w:hAnsi="宋体" w:eastAsia="宋体" w:cs="宋体"/>
          <w:spacing w:val="0"/>
          <w:sz w:val="28"/>
          <w:szCs w:val="28"/>
          <w:highlight w:val="none"/>
          <w:u w:val="single" w:color="auto"/>
          <w:lang w:val="en-US" w:eastAsia="zh-CN"/>
        </w:rPr>
        <w:t xml:space="preserve">  </w:t>
      </w:r>
      <w:r>
        <w:rPr>
          <w:rFonts w:hint="eastAsia" w:ascii="宋体" w:hAnsi="宋体" w:eastAsia="宋体" w:cs="宋体"/>
          <w:spacing w:val="0"/>
          <w:sz w:val="28"/>
          <w:szCs w:val="28"/>
          <w:highlight w:val="none"/>
        </w:rPr>
        <w:t>年</w:t>
      </w:r>
      <w:r>
        <w:rPr>
          <w:rFonts w:hint="eastAsia" w:ascii="宋体" w:hAnsi="宋体" w:eastAsia="宋体" w:cs="宋体"/>
          <w:spacing w:val="0"/>
          <w:sz w:val="28"/>
          <w:szCs w:val="28"/>
          <w:highlight w:val="none"/>
          <w:u w:val="single"/>
          <w:lang w:val="en-US" w:eastAsia="zh-CN"/>
        </w:rPr>
        <w:t xml:space="preserve">    </w:t>
      </w:r>
      <w:r>
        <w:rPr>
          <w:rFonts w:hint="eastAsia" w:ascii="宋体" w:hAnsi="宋体" w:eastAsia="宋体" w:cs="宋体"/>
          <w:spacing w:val="0"/>
          <w:sz w:val="28"/>
          <w:szCs w:val="28"/>
          <w:highlight w:val="none"/>
        </w:rPr>
        <w:t>月</w:t>
      </w:r>
      <w:r>
        <w:rPr>
          <w:rFonts w:hint="eastAsia" w:ascii="宋体" w:hAnsi="宋体" w:eastAsia="宋体" w:cs="宋体"/>
          <w:spacing w:val="0"/>
          <w:sz w:val="28"/>
          <w:szCs w:val="28"/>
          <w:highlight w:val="none"/>
          <w:u w:val="single"/>
          <w:lang w:val="en-US" w:eastAsia="zh-CN"/>
        </w:rPr>
        <w:t xml:space="preserve">    </w:t>
      </w:r>
      <w:r>
        <w:rPr>
          <w:rFonts w:hint="eastAsia" w:ascii="宋体" w:hAnsi="宋体" w:eastAsia="宋体" w:cs="宋体"/>
          <w:spacing w:val="0"/>
          <w:sz w:val="28"/>
          <w:szCs w:val="28"/>
          <w:highlight w:val="none"/>
        </w:rPr>
        <w:t>日</w:t>
      </w:r>
    </w:p>
    <w:p>
      <w:pPr>
        <w:spacing w:before="1" w:line="219" w:lineRule="auto"/>
        <w:ind w:left="6520"/>
        <w:rPr>
          <w:rFonts w:hint="eastAsia" w:ascii="宋体" w:hAnsi="宋体" w:eastAsia="宋体" w:cs="宋体"/>
          <w:spacing w:val="0"/>
          <w:position w:val="0"/>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hint="eastAsia" w:ascii="宋体" w:hAnsi="宋体" w:eastAsia="宋体" w:cs="宋体"/>
          <w:spacing w:val="-9"/>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hint="eastAsia" w:ascii="宋体" w:hAnsi="宋体" w:eastAsia="宋体" w:cs="宋体"/>
          <w:spacing w:val="-9"/>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hint="eastAsia" w:ascii="宋体" w:hAnsi="宋体" w:eastAsia="宋体" w:cs="宋体"/>
          <w:spacing w:val="-9"/>
          <w:sz w:val="28"/>
          <w:szCs w:val="28"/>
          <w:highlight w:val="none"/>
        </w:rPr>
      </w:pPr>
    </w:p>
    <w:p>
      <w:pPr>
        <w:pStyle w:val="2"/>
        <w:rPr>
          <w:rFonts w:hint="eastAsia" w:ascii="宋体" w:hAnsi="宋体" w:eastAsia="宋体" w:cs="宋体"/>
          <w:spacing w:val="-9"/>
          <w:sz w:val="28"/>
          <w:szCs w:val="28"/>
          <w:highlight w:val="none"/>
        </w:rPr>
      </w:pPr>
    </w:p>
    <w:p>
      <w:pPr>
        <w:rPr>
          <w:rFonts w:hint="eastAsia" w:ascii="宋体" w:hAnsi="宋体" w:eastAsia="宋体" w:cs="宋体"/>
          <w:spacing w:val="-9"/>
          <w:sz w:val="28"/>
          <w:szCs w:val="28"/>
          <w:highlight w:val="none"/>
        </w:rPr>
      </w:pPr>
    </w:p>
    <w:p>
      <w:pPr>
        <w:pStyle w:val="2"/>
        <w:rPr>
          <w:rFonts w:hint="eastAsia"/>
        </w:rPr>
      </w:pPr>
    </w:p>
    <w:p>
      <w:pPr>
        <w:spacing w:before="222" w:line="219" w:lineRule="auto"/>
        <w:ind w:left="61"/>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14:textOutline w14:w="5094" w14:cap="flat" w14:cmpd="sng">
            <w14:solidFill>
              <w14:srgbClr w14:val="000000"/>
            </w14:solidFill>
            <w14:prstDash w14:val="solid"/>
            <w14:miter w14:val="0"/>
          </w14:textOutline>
        </w:rPr>
        <w:t>附件</w:t>
      </w:r>
      <w:r>
        <w:rPr>
          <w:rFonts w:hint="eastAsia" w:ascii="宋体" w:hAnsi="宋体" w:eastAsia="宋体" w:cs="宋体"/>
          <w:spacing w:val="0"/>
          <w:position w:val="0"/>
          <w:sz w:val="28"/>
          <w:szCs w:val="28"/>
          <w:highlight w:val="none"/>
          <w:lang w:eastAsia="zh-CN"/>
          <w14:textOutline w14:w="5094" w14:cap="flat" w14:cmpd="sng">
            <w14:solidFill>
              <w14:srgbClr w14:val="000000"/>
            </w14:solidFill>
            <w14:prstDash w14:val="solid"/>
            <w14:miter w14:val="0"/>
          </w14:textOutline>
        </w:rPr>
        <w:t>二</w:t>
      </w:r>
      <w:r>
        <w:rPr>
          <w:rFonts w:hint="eastAsia" w:ascii="宋体" w:hAnsi="宋体" w:eastAsia="宋体" w:cs="宋体"/>
          <w:spacing w:val="0"/>
          <w:position w:val="0"/>
          <w:sz w:val="28"/>
          <w:szCs w:val="28"/>
          <w:highlight w:val="none"/>
          <w14:textOutline w14:w="5094" w14:cap="flat" w14:cmpd="sng">
            <w14:solidFill>
              <w14:srgbClr w14:val="000000"/>
            </w14:solidFill>
            <w14:prstDash w14:val="solid"/>
            <w14:miter w14:val="0"/>
          </w14:textOutline>
        </w:rPr>
        <w:t>：问题的澄清</w:t>
      </w:r>
    </w:p>
    <w:p>
      <w:pPr>
        <w:spacing w:line="285" w:lineRule="auto"/>
        <w:rPr>
          <w:rFonts w:hint="eastAsia" w:ascii="宋体" w:hAnsi="宋体" w:eastAsia="宋体" w:cs="宋体"/>
          <w:spacing w:val="0"/>
          <w:position w:val="0"/>
          <w:sz w:val="28"/>
          <w:szCs w:val="28"/>
          <w:highlight w:val="none"/>
        </w:rPr>
      </w:pPr>
    </w:p>
    <w:p>
      <w:pPr>
        <w:spacing w:line="286" w:lineRule="auto"/>
        <w:rPr>
          <w:rFonts w:hint="eastAsia" w:ascii="宋体" w:hAnsi="宋体" w:eastAsia="宋体" w:cs="宋体"/>
          <w:spacing w:val="0"/>
          <w:position w:val="0"/>
          <w:sz w:val="28"/>
          <w:szCs w:val="28"/>
          <w:highlight w:val="none"/>
        </w:rPr>
      </w:pPr>
    </w:p>
    <w:p>
      <w:pPr>
        <w:spacing w:before="91" w:line="220" w:lineRule="auto"/>
        <w:ind w:left="3067"/>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问题的澄清、说明或补正</w:t>
      </w:r>
    </w:p>
    <w:p>
      <w:pPr>
        <w:spacing w:line="364" w:lineRule="auto"/>
        <w:rPr>
          <w:rFonts w:hint="eastAsia" w:ascii="宋体" w:hAnsi="宋体" w:eastAsia="宋体" w:cs="宋体"/>
          <w:spacing w:val="0"/>
          <w:position w:val="0"/>
          <w:sz w:val="28"/>
          <w:szCs w:val="28"/>
          <w:highlight w:val="none"/>
        </w:rPr>
      </w:pPr>
    </w:p>
    <w:p>
      <w:pPr>
        <w:spacing w:before="78" w:line="220" w:lineRule="auto"/>
        <w:ind w:left="6160"/>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w w:val="100"/>
          <w:position w:val="0"/>
          <w:sz w:val="28"/>
          <w:szCs w:val="28"/>
          <w:highlight w:val="none"/>
        </w:rPr>
        <w:t>编号：</w:t>
      </w:r>
    </w:p>
    <w:p>
      <w:pPr>
        <w:spacing w:line="432" w:lineRule="auto"/>
        <w:rPr>
          <w:rFonts w:hint="eastAsia" w:ascii="宋体" w:hAnsi="宋体" w:eastAsia="宋体" w:cs="宋体"/>
          <w:spacing w:val="0"/>
          <w:position w:val="0"/>
          <w:sz w:val="28"/>
          <w:szCs w:val="28"/>
          <w:highlight w:val="none"/>
        </w:rPr>
      </w:pPr>
    </w:p>
    <w:p>
      <w:pPr>
        <w:tabs>
          <w:tab w:val="left" w:pos="1468"/>
        </w:tabs>
        <w:spacing w:before="78" w:line="219" w:lineRule="auto"/>
        <w:ind w:left="28"/>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u w:val="single" w:color="auto"/>
        </w:rPr>
        <w:tab/>
      </w:r>
      <w:r>
        <w:rPr>
          <w:rFonts w:hint="eastAsia" w:ascii="宋体" w:hAnsi="宋体" w:eastAsia="宋体" w:cs="宋体"/>
          <w:spacing w:val="0"/>
          <w:position w:val="0"/>
          <w:sz w:val="28"/>
          <w:szCs w:val="28"/>
          <w:highlight w:val="none"/>
        </w:rPr>
        <w:t>（项目名称）招标评标委员会：</w:t>
      </w:r>
    </w:p>
    <w:p>
      <w:pPr>
        <w:spacing w:before="184" w:line="388" w:lineRule="auto"/>
        <w:ind w:left="545"/>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问题澄清通知（编号：）已收悉，现澄清、说明或者补正如下：</w:t>
      </w:r>
    </w:p>
    <w:p>
      <w:pPr>
        <w:spacing w:before="1" w:line="181" w:lineRule="auto"/>
        <w:ind w:left="535"/>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1.</w:t>
      </w:r>
    </w:p>
    <w:p>
      <w:pPr>
        <w:spacing w:before="234" w:line="181" w:lineRule="auto"/>
        <w:ind w:left="521"/>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2.</w:t>
      </w:r>
    </w:p>
    <w:p>
      <w:pPr>
        <w:spacing w:line="288" w:lineRule="auto"/>
        <w:rPr>
          <w:rFonts w:hint="eastAsia" w:ascii="宋体" w:hAnsi="宋体" w:eastAsia="宋体" w:cs="宋体"/>
          <w:spacing w:val="0"/>
          <w:position w:val="0"/>
          <w:sz w:val="28"/>
          <w:szCs w:val="28"/>
          <w:highlight w:val="none"/>
        </w:rPr>
      </w:pPr>
    </w:p>
    <w:p>
      <w:pPr>
        <w:spacing w:line="288" w:lineRule="auto"/>
        <w:rPr>
          <w:rFonts w:hint="eastAsia" w:ascii="宋体" w:hAnsi="宋体" w:eastAsia="宋体" w:cs="宋体"/>
          <w:spacing w:val="0"/>
          <w:position w:val="0"/>
          <w:sz w:val="28"/>
          <w:szCs w:val="28"/>
          <w:highlight w:val="none"/>
        </w:rPr>
      </w:pPr>
    </w:p>
    <w:p>
      <w:pPr>
        <w:spacing w:before="78" w:line="378" w:lineRule="exact"/>
        <w:ind w:left="533"/>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w:t>
      </w:r>
    </w:p>
    <w:p>
      <w:pPr>
        <w:spacing w:line="280" w:lineRule="auto"/>
        <w:rPr>
          <w:rFonts w:hint="eastAsia" w:ascii="宋体" w:hAnsi="宋体" w:eastAsia="宋体" w:cs="宋体"/>
          <w:spacing w:val="0"/>
          <w:position w:val="0"/>
          <w:sz w:val="28"/>
          <w:szCs w:val="28"/>
          <w:highlight w:val="none"/>
        </w:rPr>
      </w:pPr>
    </w:p>
    <w:p>
      <w:pPr>
        <w:spacing w:line="281" w:lineRule="auto"/>
        <w:rPr>
          <w:rFonts w:hint="eastAsia" w:ascii="宋体" w:hAnsi="宋体" w:eastAsia="宋体" w:cs="宋体"/>
          <w:spacing w:val="0"/>
          <w:position w:val="0"/>
          <w:sz w:val="28"/>
          <w:szCs w:val="28"/>
          <w:highlight w:val="none"/>
        </w:rPr>
      </w:pPr>
    </w:p>
    <w:p>
      <w:pPr>
        <w:spacing w:before="78" w:line="486" w:lineRule="auto"/>
        <w:ind w:left="4431"/>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投标人：（单位电子签章）</w:t>
      </w:r>
    </w:p>
    <w:p>
      <w:pPr>
        <w:spacing w:before="1" w:line="218" w:lineRule="auto"/>
        <w:ind w:left="3080"/>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法定代表人或其委托代理人：（电子签章）</w:t>
      </w:r>
    </w:p>
    <w:p>
      <w:pPr>
        <w:spacing w:line="264" w:lineRule="auto"/>
        <w:rPr>
          <w:rFonts w:hint="eastAsia" w:ascii="宋体" w:hAnsi="宋体" w:eastAsia="宋体" w:cs="宋体"/>
          <w:spacing w:val="0"/>
          <w:position w:val="0"/>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jc w:val="right"/>
        <w:textAlignment w:val="baseline"/>
        <w:rPr>
          <w:rFonts w:hint="eastAsia" w:ascii="宋体" w:hAnsi="宋体" w:eastAsia="宋体" w:cs="宋体"/>
          <w:spacing w:val="-9"/>
          <w:sz w:val="28"/>
          <w:szCs w:val="28"/>
          <w:highlight w:val="none"/>
        </w:rPr>
      </w:pPr>
      <w:r>
        <w:rPr>
          <w:rFonts w:hint="eastAsia" w:ascii="宋体" w:hAnsi="宋体" w:eastAsia="宋体" w:cs="宋体"/>
          <w:spacing w:val="0"/>
          <w:sz w:val="28"/>
          <w:szCs w:val="28"/>
          <w:highlight w:val="none"/>
          <w:u w:val="single" w:color="auto"/>
        </w:rPr>
        <w:tab/>
      </w:r>
      <w:r>
        <w:rPr>
          <w:rFonts w:hint="eastAsia" w:ascii="宋体" w:hAnsi="宋体" w:eastAsia="宋体" w:cs="宋体"/>
          <w:spacing w:val="0"/>
          <w:sz w:val="28"/>
          <w:szCs w:val="28"/>
          <w:highlight w:val="none"/>
          <w:u w:val="single" w:color="auto"/>
          <w:lang w:val="en-US" w:eastAsia="zh-CN"/>
        </w:rPr>
        <w:t xml:space="preserve">  </w:t>
      </w:r>
      <w:r>
        <w:rPr>
          <w:rFonts w:hint="eastAsia" w:ascii="宋体" w:hAnsi="宋体" w:eastAsia="宋体" w:cs="宋体"/>
          <w:spacing w:val="0"/>
          <w:sz w:val="28"/>
          <w:szCs w:val="28"/>
          <w:highlight w:val="none"/>
        </w:rPr>
        <w:t>年</w:t>
      </w:r>
      <w:r>
        <w:rPr>
          <w:rFonts w:hint="eastAsia" w:ascii="宋体" w:hAnsi="宋体" w:eastAsia="宋体" w:cs="宋体"/>
          <w:spacing w:val="0"/>
          <w:sz w:val="28"/>
          <w:szCs w:val="28"/>
          <w:highlight w:val="none"/>
          <w:u w:val="single"/>
          <w:lang w:val="en-US" w:eastAsia="zh-CN"/>
        </w:rPr>
        <w:t xml:space="preserve">    </w:t>
      </w:r>
      <w:r>
        <w:rPr>
          <w:rFonts w:hint="eastAsia" w:ascii="宋体" w:hAnsi="宋体" w:eastAsia="宋体" w:cs="宋体"/>
          <w:spacing w:val="0"/>
          <w:sz w:val="28"/>
          <w:szCs w:val="28"/>
          <w:highlight w:val="none"/>
        </w:rPr>
        <w:t>月</w:t>
      </w:r>
      <w:r>
        <w:rPr>
          <w:rFonts w:hint="eastAsia" w:ascii="宋体" w:hAnsi="宋体" w:eastAsia="宋体" w:cs="宋体"/>
          <w:spacing w:val="0"/>
          <w:sz w:val="28"/>
          <w:szCs w:val="28"/>
          <w:highlight w:val="none"/>
          <w:u w:val="single"/>
          <w:lang w:val="en-US" w:eastAsia="zh-CN"/>
        </w:rPr>
        <w:t xml:space="preserve">    </w:t>
      </w:r>
      <w:r>
        <w:rPr>
          <w:rFonts w:hint="eastAsia" w:ascii="宋体" w:hAnsi="宋体" w:eastAsia="宋体" w:cs="宋体"/>
          <w:spacing w:val="0"/>
          <w:sz w:val="28"/>
          <w:szCs w:val="28"/>
          <w:highlight w:val="none"/>
        </w:rPr>
        <w:t>日</w:t>
      </w:r>
    </w:p>
    <w:p>
      <w:pPr>
        <w:keepNext w:val="0"/>
        <w:keepLines w:val="0"/>
        <w:pageBreakBefore w:val="0"/>
        <w:widowControl/>
        <w:kinsoku w:val="0"/>
        <w:wordWrap/>
        <w:overflowPunct/>
        <w:topLinePunct w:val="0"/>
        <w:autoSpaceDE w:val="0"/>
        <w:autoSpaceDN w:val="0"/>
        <w:bidi w:val="0"/>
        <w:adjustRightInd w:val="0"/>
        <w:snapToGrid/>
        <w:spacing w:line="240" w:lineRule="auto"/>
        <w:jc w:val="right"/>
        <w:textAlignment w:val="baseline"/>
        <w:rPr>
          <w:rFonts w:hint="eastAsia" w:ascii="宋体" w:hAnsi="宋体" w:eastAsia="宋体" w:cs="宋体"/>
          <w:spacing w:val="-26"/>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jc w:val="right"/>
        <w:textAlignment w:val="baseline"/>
        <w:rPr>
          <w:rFonts w:hint="eastAsia" w:ascii="宋体" w:hAnsi="宋体" w:eastAsia="宋体" w:cs="宋体"/>
          <w:spacing w:val="-26"/>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jc w:val="right"/>
        <w:textAlignment w:val="baseline"/>
        <w:rPr>
          <w:rFonts w:hint="eastAsia" w:ascii="宋体" w:hAnsi="宋体" w:eastAsia="宋体" w:cs="宋体"/>
          <w:spacing w:val="-26"/>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jc w:val="right"/>
        <w:textAlignment w:val="baseline"/>
        <w:rPr>
          <w:rFonts w:hint="eastAsia" w:ascii="宋体" w:hAnsi="宋体" w:eastAsia="宋体" w:cs="宋体"/>
          <w:spacing w:val="-26"/>
          <w:sz w:val="24"/>
          <w:szCs w:val="24"/>
          <w:highlight w:val="none"/>
        </w:rPr>
      </w:pPr>
    </w:p>
    <w:p>
      <w:pPr>
        <w:pStyle w:val="4"/>
        <w:rPr>
          <w:rFonts w:hint="eastAsia" w:ascii="宋体" w:hAnsi="宋体" w:eastAsia="宋体" w:cs="宋体"/>
          <w:spacing w:val="-26"/>
          <w:sz w:val="24"/>
          <w:szCs w:val="24"/>
          <w:highlight w:val="none"/>
        </w:rPr>
      </w:pPr>
    </w:p>
    <w:p>
      <w:pPr>
        <w:pStyle w:val="4"/>
        <w:rPr>
          <w:rFonts w:hint="eastAsia" w:ascii="宋体" w:hAnsi="宋体" w:eastAsia="宋体" w:cs="宋体"/>
          <w:spacing w:val="-26"/>
          <w:sz w:val="24"/>
          <w:szCs w:val="24"/>
          <w:highlight w:val="none"/>
        </w:rPr>
      </w:pPr>
    </w:p>
    <w:p>
      <w:pPr>
        <w:pStyle w:val="4"/>
        <w:rPr>
          <w:rFonts w:hint="eastAsia" w:ascii="宋体" w:hAnsi="宋体" w:eastAsia="宋体" w:cs="宋体"/>
          <w:spacing w:val="-26"/>
          <w:sz w:val="24"/>
          <w:szCs w:val="24"/>
          <w:highlight w:val="none"/>
        </w:rPr>
      </w:pPr>
    </w:p>
    <w:p>
      <w:pPr>
        <w:pStyle w:val="4"/>
        <w:rPr>
          <w:rFonts w:hint="eastAsia" w:ascii="宋体" w:hAnsi="宋体" w:eastAsia="宋体" w:cs="宋体"/>
          <w:spacing w:val="-26"/>
          <w:sz w:val="24"/>
          <w:szCs w:val="24"/>
          <w:highlight w:val="none"/>
        </w:rPr>
      </w:pPr>
    </w:p>
    <w:p>
      <w:pPr>
        <w:pStyle w:val="4"/>
        <w:rPr>
          <w:rFonts w:hint="eastAsia" w:ascii="宋体" w:hAnsi="宋体" w:eastAsia="宋体" w:cs="宋体"/>
          <w:spacing w:val="-26"/>
          <w:sz w:val="24"/>
          <w:szCs w:val="24"/>
          <w:highlight w:val="none"/>
        </w:rPr>
      </w:pPr>
    </w:p>
    <w:p>
      <w:pPr>
        <w:pStyle w:val="4"/>
        <w:rPr>
          <w:rFonts w:hint="eastAsia" w:ascii="宋体" w:hAnsi="宋体" w:eastAsia="宋体" w:cs="宋体"/>
          <w:spacing w:val="-26"/>
          <w:sz w:val="24"/>
          <w:szCs w:val="24"/>
          <w:highlight w:val="none"/>
        </w:rPr>
      </w:pPr>
    </w:p>
    <w:p>
      <w:pPr>
        <w:pStyle w:val="4"/>
        <w:rPr>
          <w:rFonts w:hint="eastAsia" w:ascii="宋体" w:hAnsi="宋体" w:eastAsia="宋体" w:cs="宋体"/>
          <w:spacing w:val="-26"/>
          <w:sz w:val="24"/>
          <w:szCs w:val="24"/>
          <w:highlight w:val="none"/>
        </w:rPr>
      </w:pPr>
    </w:p>
    <w:p>
      <w:pPr>
        <w:pStyle w:val="4"/>
        <w:rPr>
          <w:rFonts w:hint="eastAsia" w:ascii="宋体" w:hAnsi="宋体" w:eastAsia="宋体" w:cs="宋体"/>
          <w:spacing w:val="-26"/>
          <w:sz w:val="24"/>
          <w:szCs w:val="24"/>
          <w:highlight w:val="none"/>
        </w:rPr>
      </w:pPr>
    </w:p>
    <w:p>
      <w:pPr>
        <w:bidi w:val="0"/>
        <w:jc w:val="center"/>
        <w:rPr>
          <w:rFonts w:hint="eastAsia" w:ascii="宋体" w:hAnsi="宋体" w:eastAsia="宋体" w:cs="宋体"/>
          <w:b/>
          <w:bCs/>
          <w:sz w:val="44"/>
          <w:szCs w:val="44"/>
          <w:highlight w:val="none"/>
        </w:rPr>
      </w:pPr>
      <w:bookmarkStart w:id="18" w:name="bookmark14"/>
      <w:bookmarkEnd w:id="18"/>
      <w:bookmarkStart w:id="19" w:name="bookmark43"/>
      <w:bookmarkEnd w:id="19"/>
      <w:r>
        <w:rPr>
          <w:rFonts w:hint="eastAsia" w:ascii="宋体" w:hAnsi="宋体" w:eastAsia="宋体" w:cs="宋体"/>
          <w:b/>
          <w:bCs/>
          <w:sz w:val="44"/>
          <w:szCs w:val="44"/>
          <w:highlight w:val="none"/>
        </w:rPr>
        <w:t>第三章评标办法</w:t>
      </w:r>
    </w:p>
    <w:p>
      <w:pPr>
        <w:spacing w:line="224" w:lineRule="auto"/>
        <w:ind w:left="3957"/>
        <w:rPr>
          <w:rFonts w:hint="eastAsia" w:ascii="宋体" w:hAnsi="宋体" w:eastAsia="宋体" w:cs="宋体"/>
          <w:sz w:val="32"/>
          <w:szCs w:val="32"/>
          <w:highlight w:val="none"/>
        </w:rPr>
      </w:pPr>
      <w:r>
        <w:rPr>
          <w:rFonts w:hint="eastAsia" w:ascii="宋体" w:hAnsi="宋体" w:eastAsia="宋体" w:cs="宋体"/>
          <w:spacing w:val="9"/>
          <w:sz w:val="32"/>
          <w:szCs w:val="32"/>
          <w:highlight w:val="none"/>
          <w14:textOutline w14:w="5791" w14:cap="flat" w14:cmpd="sng">
            <w14:solidFill>
              <w14:srgbClr w14:val="000000"/>
            </w14:solidFill>
            <w14:prstDash w14:val="solid"/>
            <w14:miter w14:val="0"/>
          </w14:textOutline>
        </w:rPr>
        <w:t>评标须知前附表</w:t>
      </w:r>
    </w:p>
    <w:p>
      <w:pPr>
        <w:spacing w:line="199" w:lineRule="exact"/>
        <w:rPr>
          <w:rFonts w:hint="eastAsia" w:ascii="宋体" w:hAnsi="宋体" w:eastAsia="宋体" w:cs="宋体"/>
          <w:highlight w:val="none"/>
        </w:rPr>
      </w:pPr>
    </w:p>
    <w:tbl>
      <w:tblPr>
        <w:tblStyle w:val="24"/>
        <w:tblW w:w="95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1125"/>
        <w:gridCol w:w="2136"/>
        <w:gridCol w:w="54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78" w:type="dxa"/>
            <w:gridSpan w:val="2"/>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条款号</w:t>
            </w:r>
          </w:p>
        </w:tc>
        <w:tc>
          <w:tcPr>
            <w:tcW w:w="213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评审因素</w:t>
            </w:r>
          </w:p>
        </w:tc>
        <w:tc>
          <w:tcPr>
            <w:tcW w:w="5439"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853" w:type="dxa"/>
            <w:vMerge w:val="restart"/>
            <w:tcBorders>
              <w:bottom w:val="nil"/>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2.1.1</w:t>
            </w:r>
          </w:p>
        </w:tc>
        <w:tc>
          <w:tcPr>
            <w:tcW w:w="1125" w:type="dxa"/>
            <w:vMerge w:val="restart"/>
            <w:tcBorders>
              <w:bottom w:val="nil"/>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形式评审标准</w:t>
            </w:r>
          </w:p>
        </w:tc>
        <w:tc>
          <w:tcPr>
            <w:tcW w:w="213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投标人名称</w:t>
            </w:r>
          </w:p>
        </w:tc>
        <w:tc>
          <w:tcPr>
            <w:tcW w:w="5439"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与营业执照、资质证书一致（提供独立投标人或联合体各方的证件)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853"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投标文件的签字</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盖章</w:t>
            </w:r>
          </w:p>
        </w:tc>
        <w:tc>
          <w:tcPr>
            <w:tcW w:w="5439"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符合第二章投标人须知前附表第3.7.3款规定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853"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投标文件格式</w:t>
            </w:r>
          </w:p>
        </w:tc>
        <w:tc>
          <w:tcPr>
            <w:tcW w:w="5439"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符合第七章“投标文件格式”的要求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853" w:type="dxa"/>
            <w:vMerge w:val="continue"/>
            <w:tcBorders>
              <w:top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报价唯一（费率）</w:t>
            </w:r>
          </w:p>
        </w:tc>
        <w:tc>
          <w:tcPr>
            <w:tcW w:w="5439"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853" w:type="dxa"/>
            <w:vMerge w:val="restart"/>
            <w:tcBorders>
              <w:bottom w:val="nil"/>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2.1.2</w:t>
            </w:r>
          </w:p>
        </w:tc>
        <w:tc>
          <w:tcPr>
            <w:tcW w:w="1125" w:type="dxa"/>
            <w:vMerge w:val="restart"/>
            <w:tcBorders>
              <w:bottom w:val="nil"/>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资格评审标准</w:t>
            </w:r>
          </w:p>
        </w:tc>
        <w:tc>
          <w:tcPr>
            <w:tcW w:w="2136" w:type="dxa"/>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rPr>
              <w:t>无重大违法记录的书面声明</w:t>
            </w:r>
          </w:p>
        </w:tc>
        <w:tc>
          <w:tcPr>
            <w:tcW w:w="5439" w:type="dxa"/>
            <w:vAlign w:val="center"/>
          </w:tcPr>
          <w:p>
            <w:pPr>
              <w:rPr>
                <w:rFonts w:hint="eastAsia" w:ascii="宋体" w:hAnsi="宋体" w:eastAsia="宋体" w:cs="宋体"/>
                <w:sz w:val="28"/>
                <w:szCs w:val="28"/>
                <w:highlight w:val="none"/>
              </w:rPr>
            </w:pPr>
            <w:r>
              <w:rPr>
                <w:rFonts w:hint="eastAsia" w:ascii="宋体" w:hAnsi="宋体" w:eastAsia="宋体" w:cs="宋体"/>
                <w:b w:val="0"/>
                <w:color w:val="auto"/>
                <w:sz w:val="28"/>
                <w:szCs w:val="28"/>
                <w:lang w:val="en-US" w:eastAsia="zh-CN" w:bidi="ar-SA"/>
              </w:rPr>
              <w:t>符合招标文件要求，格式以系统生成为准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853"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rPr>
              <w:t>无行政或经济关联的书面声明</w:t>
            </w:r>
          </w:p>
        </w:tc>
        <w:tc>
          <w:tcPr>
            <w:tcW w:w="5439" w:type="dxa"/>
            <w:vAlign w:val="center"/>
          </w:tcPr>
          <w:p>
            <w:pPr>
              <w:rPr>
                <w:rFonts w:hint="eastAsia" w:ascii="宋体" w:hAnsi="宋体" w:eastAsia="宋体" w:cs="宋体"/>
                <w:sz w:val="28"/>
                <w:szCs w:val="28"/>
                <w:highlight w:val="none"/>
              </w:rPr>
            </w:pPr>
            <w:r>
              <w:rPr>
                <w:rFonts w:hint="eastAsia" w:ascii="宋体" w:hAnsi="宋体" w:eastAsia="宋体" w:cs="宋体"/>
                <w:b w:val="0"/>
                <w:color w:val="auto"/>
                <w:sz w:val="28"/>
                <w:szCs w:val="28"/>
                <w:lang w:val="en-US" w:eastAsia="zh-CN" w:bidi="ar-SA"/>
              </w:rPr>
              <w:t>符合招标文件要求，格式以系统生成为准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853"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rPr>
              <w:t>无财政部门列入不良行为记录名单的承诺函</w:t>
            </w:r>
          </w:p>
        </w:tc>
        <w:tc>
          <w:tcPr>
            <w:tcW w:w="5439" w:type="dxa"/>
            <w:vAlign w:val="center"/>
          </w:tcPr>
          <w:p>
            <w:pPr>
              <w:rPr>
                <w:rFonts w:hint="eastAsia" w:ascii="宋体" w:hAnsi="宋体" w:eastAsia="宋体" w:cs="宋体"/>
                <w:sz w:val="28"/>
                <w:szCs w:val="28"/>
                <w:highlight w:val="none"/>
              </w:rPr>
            </w:pPr>
            <w:r>
              <w:rPr>
                <w:rFonts w:hint="eastAsia" w:ascii="宋体" w:hAnsi="宋体" w:eastAsia="宋体" w:cs="宋体"/>
                <w:b w:val="0"/>
                <w:color w:val="auto"/>
                <w:sz w:val="28"/>
                <w:szCs w:val="28"/>
                <w:lang w:val="en-US" w:eastAsia="zh-CN" w:bidi="ar-SA"/>
              </w:rPr>
              <w:t>符合招标文件要求，格式以系统生成为准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853"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pStyle w:val="30"/>
              <w:autoSpaceDE/>
              <w:autoSpaceDN/>
              <w:adjustRightInd/>
              <w:spacing w:line="380" w:lineRule="exact"/>
              <w:jc w:val="center"/>
              <w:rPr>
                <w:rFonts w:hint="eastAsia" w:ascii="宋体" w:hAnsi="宋体" w:eastAsia="宋体" w:cs="宋体"/>
                <w:sz w:val="28"/>
                <w:szCs w:val="28"/>
                <w:highlight w:val="none"/>
              </w:rPr>
            </w:pPr>
            <w:r>
              <w:rPr>
                <w:rFonts w:hint="eastAsia" w:ascii="宋体" w:hAnsi="宋体" w:eastAsia="宋体" w:cs="宋体"/>
                <w:color w:val="auto"/>
                <w:sz w:val="28"/>
                <w:szCs w:val="28"/>
              </w:rPr>
              <w:t>法定代表人身份证明或法人授权委托书及被授权委托人身份证</w:t>
            </w:r>
          </w:p>
        </w:tc>
        <w:tc>
          <w:tcPr>
            <w:tcW w:w="5439" w:type="dxa"/>
            <w:vAlign w:val="center"/>
          </w:tcPr>
          <w:p>
            <w:pPr>
              <w:pStyle w:val="30"/>
              <w:autoSpaceDE/>
              <w:autoSpaceDN/>
              <w:adjustRightInd/>
              <w:spacing w:line="380" w:lineRule="exact"/>
              <w:rPr>
                <w:rFonts w:hint="eastAsia" w:ascii="宋体" w:hAnsi="宋体" w:eastAsia="宋体" w:cs="宋体"/>
                <w:sz w:val="28"/>
                <w:szCs w:val="28"/>
                <w:highlight w:val="none"/>
              </w:rPr>
            </w:pPr>
            <w:r>
              <w:rPr>
                <w:rFonts w:hint="eastAsia" w:ascii="宋体" w:hAnsi="宋体" w:eastAsia="宋体" w:cs="宋体"/>
                <w:color w:val="auto"/>
                <w:sz w:val="28"/>
                <w:szCs w:val="28"/>
              </w:rPr>
              <w:t>法定代表人身份证明或法人授权委托书及被授权委托人身份</w:t>
            </w:r>
            <w:r>
              <w:rPr>
                <w:rFonts w:hint="eastAsia" w:ascii="宋体" w:hAnsi="宋体" w:eastAsia="宋体" w:cs="宋体"/>
                <w:color w:val="auto"/>
                <w:sz w:val="28"/>
                <w:szCs w:val="28"/>
                <w:lang w:eastAsia="zh-CN"/>
              </w:rPr>
              <w:t>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853"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rPr>
              <w:t>营业执照</w:t>
            </w:r>
          </w:p>
        </w:tc>
        <w:tc>
          <w:tcPr>
            <w:tcW w:w="5439"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具有有效的营业执照（提供独立投标人的或联合体各方的证件)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853"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pStyle w:val="30"/>
              <w:autoSpaceDE/>
              <w:autoSpaceDN/>
              <w:adjustRightInd/>
              <w:spacing w:line="380" w:lineRule="exact"/>
              <w:jc w:val="center"/>
              <w:rPr>
                <w:rFonts w:hint="eastAsia" w:ascii="宋体" w:hAnsi="宋体" w:eastAsia="宋体" w:cs="宋体"/>
                <w:sz w:val="28"/>
                <w:szCs w:val="28"/>
                <w:highlight w:val="none"/>
              </w:rPr>
            </w:pPr>
            <w:r>
              <w:rPr>
                <w:rFonts w:hint="eastAsia" w:ascii="宋体" w:hAnsi="宋体" w:eastAsia="宋体" w:cs="宋体"/>
                <w:color w:val="auto"/>
                <w:sz w:val="28"/>
                <w:szCs w:val="28"/>
              </w:rPr>
              <w:t>满足政府采购二十二条《资格审查声明函》</w:t>
            </w:r>
          </w:p>
        </w:tc>
        <w:tc>
          <w:tcPr>
            <w:tcW w:w="5439" w:type="dxa"/>
            <w:vAlign w:val="center"/>
          </w:tcPr>
          <w:p>
            <w:pPr>
              <w:pStyle w:val="30"/>
              <w:autoSpaceDE/>
              <w:autoSpaceDN/>
              <w:adjustRightInd/>
              <w:spacing w:line="380" w:lineRule="exact"/>
              <w:rPr>
                <w:rFonts w:hint="eastAsia" w:ascii="宋体" w:hAnsi="宋体" w:eastAsia="宋体" w:cs="宋体"/>
                <w:sz w:val="28"/>
                <w:szCs w:val="28"/>
                <w:highlight w:val="none"/>
              </w:rPr>
            </w:pPr>
            <w:r>
              <w:rPr>
                <w:rFonts w:hint="eastAsia" w:ascii="宋体" w:hAnsi="宋体" w:eastAsia="宋体" w:cs="宋体"/>
                <w:b w:val="0"/>
                <w:color w:val="auto"/>
                <w:sz w:val="28"/>
                <w:szCs w:val="28"/>
                <w:lang w:val="en-US" w:eastAsia="zh-CN" w:bidi="ar-SA"/>
              </w:rPr>
              <w:t>符合招标文件要求，格式以系统生成为准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853"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rPr>
              <w:t>具备履行合同所必需的设备和专业技术能力的证明材料</w:t>
            </w:r>
          </w:p>
        </w:tc>
        <w:tc>
          <w:tcPr>
            <w:tcW w:w="5439" w:type="dxa"/>
            <w:vAlign w:val="center"/>
          </w:tcPr>
          <w:p>
            <w:pPr>
              <w:rPr>
                <w:rFonts w:hint="eastAsia" w:ascii="宋体" w:hAnsi="宋体" w:eastAsia="宋体" w:cs="宋体"/>
                <w:sz w:val="28"/>
                <w:szCs w:val="28"/>
                <w:highlight w:val="none"/>
              </w:rPr>
            </w:pPr>
            <w:r>
              <w:rPr>
                <w:rFonts w:hint="eastAsia" w:ascii="宋体" w:hAnsi="宋体" w:eastAsia="宋体" w:cs="宋体"/>
                <w:b w:val="0"/>
                <w:color w:val="auto"/>
                <w:sz w:val="28"/>
                <w:szCs w:val="28"/>
                <w:lang w:val="en-US" w:eastAsia="zh-CN" w:bidi="ar-SA"/>
              </w:rPr>
              <w:t>符合招标文件要求，格式以系统生成为准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853"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安全生产许可证</w:t>
            </w:r>
          </w:p>
        </w:tc>
        <w:tc>
          <w:tcPr>
            <w:tcW w:w="5439"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具有有效的安全生产许可证（若为联合投标，由联合投标体施工单位提供）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853"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资质要求</w:t>
            </w:r>
          </w:p>
        </w:tc>
        <w:tc>
          <w:tcPr>
            <w:tcW w:w="5439"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符合投标人须知前附表中1.4.1项要求（提供独立投标人的或联合体各方的证件)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853"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财务要求</w:t>
            </w:r>
          </w:p>
        </w:tc>
        <w:tc>
          <w:tcPr>
            <w:tcW w:w="5439"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符合投标人须知前附表中1.4.1项要求（若为联合投标，由联合投标体施工单位提供）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53"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项目经理资格</w:t>
            </w:r>
          </w:p>
        </w:tc>
        <w:tc>
          <w:tcPr>
            <w:tcW w:w="5439"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符合投标人须知前附表中1.4.1项要求（若为联合投标，由联合投标体施工单位提供）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853"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设计项目负责人</w:t>
            </w:r>
          </w:p>
        </w:tc>
        <w:tc>
          <w:tcPr>
            <w:tcW w:w="5439"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符合投标人须知前附表中1.4.1项要求（若为联合投标，由联合投标体设计单位提供）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853"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信誉要求</w:t>
            </w:r>
          </w:p>
        </w:tc>
        <w:tc>
          <w:tcPr>
            <w:tcW w:w="5439"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符合投标人须知前附表中1.4.1项要求（提供独立投标人的或联合体各方的查询结果)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853" w:type="dxa"/>
            <w:vMerge w:val="continue"/>
            <w:tcBorders>
              <w:top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联合体要求（如有）</w:t>
            </w:r>
          </w:p>
        </w:tc>
        <w:tc>
          <w:tcPr>
            <w:tcW w:w="5439"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符合第二章“投标人须知前附表”第1.4.2项规定，联合体投标需提供联合体协议书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853" w:type="dxa"/>
            <w:vMerge w:val="restart"/>
            <w:tcBorders>
              <w:bottom w:val="nil"/>
            </w:tcBorders>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2.1.3</w:t>
            </w:r>
          </w:p>
        </w:tc>
        <w:tc>
          <w:tcPr>
            <w:tcW w:w="1125" w:type="dxa"/>
            <w:vMerge w:val="restart"/>
            <w:tcBorders>
              <w:bottom w:val="nil"/>
            </w:tcBorders>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响应性评审标准</w:t>
            </w:r>
          </w:p>
        </w:tc>
        <w:tc>
          <w:tcPr>
            <w:tcW w:w="213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投标范围</w:t>
            </w:r>
          </w:p>
        </w:tc>
        <w:tc>
          <w:tcPr>
            <w:tcW w:w="5439"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一标段：EPC施工总承包（包括设计、材料设备采购、施工、竣工验收、移交、备案、保修及缺陷责任期内的缺陷修复）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853"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工期</w:t>
            </w:r>
          </w:p>
        </w:tc>
        <w:tc>
          <w:tcPr>
            <w:tcW w:w="5439"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符合或优于第二章“投标人须知前附表”第1.3.2项规定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853"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质量要求</w:t>
            </w:r>
          </w:p>
        </w:tc>
        <w:tc>
          <w:tcPr>
            <w:tcW w:w="5439"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符合第二章“投标人须知前附表”第1.3.3项规定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853"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投标有效期</w:t>
            </w:r>
          </w:p>
        </w:tc>
        <w:tc>
          <w:tcPr>
            <w:tcW w:w="5439"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符合第二章“投标人须知前附表”第3.3.1项规定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853"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bottom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投标保证金</w:t>
            </w:r>
          </w:p>
        </w:tc>
        <w:tc>
          <w:tcPr>
            <w:tcW w:w="5439"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符合第二章“投标人须知前附表”第3.4.1项规定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853" w:type="dxa"/>
            <w:vMerge w:val="continue"/>
            <w:tcBorders>
              <w:top w:val="nil"/>
            </w:tcBorders>
            <w:vAlign w:val="center"/>
          </w:tcPr>
          <w:p>
            <w:pPr>
              <w:bidi w:val="0"/>
              <w:jc w:val="center"/>
              <w:rPr>
                <w:rFonts w:hint="eastAsia" w:ascii="宋体" w:hAnsi="宋体" w:eastAsia="宋体" w:cs="宋体"/>
                <w:sz w:val="28"/>
                <w:szCs w:val="28"/>
                <w:highlight w:val="none"/>
              </w:rPr>
            </w:pPr>
          </w:p>
        </w:tc>
        <w:tc>
          <w:tcPr>
            <w:tcW w:w="1125" w:type="dxa"/>
            <w:vMerge w:val="continue"/>
            <w:tcBorders>
              <w:top w:val="nil"/>
            </w:tcBorders>
            <w:vAlign w:val="center"/>
          </w:tcPr>
          <w:p>
            <w:pPr>
              <w:bidi w:val="0"/>
              <w:jc w:val="center"/>
              <w:rPr>
                <w:rFonts w:hint="eastAsia" w:ascii="宋体" w:hAnsi="宋体" w:eastAsia="宋体" w:cs="宋体"/>
                <w:sz w:val="28"/>
                <w:szCs w:val="28"/>
                <w:highlight w:val="none"/>
              </w:rPr>
            </w:pPr>
          </w:p>
        </w:tc>
        <w:tc>
          <w:tcPr>
            <w:tcW w:w="2136"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投标报价</w:t>
            </w:r>
          </w:p>
        </w:tc>
        <w:tc>
          <w:tcPr>
            <w:tcW w:w="5439"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不超过招标控制价</w:t>
            </w:r>
          </w:p>
        </w:tc>
      </w:tr>
    </w:tbl>
    <w:p>
      <w:pPr>
        <w:bidi w:val="0"/>
        <w:rPr>
          <w:rFonts w:hint="eastAsia" w:ascii="宋体" w:hAnsi="宋体" w:eastAsia="宋体" w:cs="宋体"/>
          <w:sz w:val="28"/>
          <w:szCs w:val="28"/>
          <w:highlight w:val="none"/>
        </w:rPr>
      </w:pPr>
    </w:p>
    <w:tbl>
      <w:tblPr>
        <w:tblStyle w:val="24"/>
        <w:tblW w:w="97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2754"/>
        <w:gridCol w:w="59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029" w:type="dxa"/>
            <w:tcBorders>
              <w:top w:val="single" w:color="000000" w:sz="4"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条款号</w:t>
            </w:r>
          </w:p>
        </w:tc>
        <w:tc>
          <w:tcPr>
            <w:tcW w:w="2754" w:type="dxa"/>
            <w:tcBorders>
              <w:top w:val="single" w:color="000000" w:sz="4"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条款内容</w:t>
            </w:r>
          </w:p>
        </w:tc>
        <w:tc>
          <w:tcPr>
            <w:tcW w:w="5956" w:type="dxa"/>
            <w:tcBorders>
              <w:top w:val="single" w:color="000000" w:sz="4"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1029"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2.2.1</w:t>
            </w:r>
          </w:p>
        </w:tc>
        <w:tc>
          <w:tcPr>
            <w:tcW w:w="2754"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分值构成</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（总分100分）</w:t>
            </w:r>
          </w:p>
        </w:tc>
        <w:tc>
          <w:tcPr>
            <w:tcW w:w="5956"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商务标：45分</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技术标：50分</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综合标：5分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9" w:hRule="atLeast"/>
        </w:trPr>
        <w:tc>
          <w:tcPr>
            <w:tcW w:w="1029"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2.2.2</w:t>
            </w:r>
          </w:p>
        </w:tc>
        <w:tc>
          <w:tcPr>
            <w:tcW w:w="2754"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评标基准价计算方法</w:t>
            </w:r>
          </w:p>
        </w:tc>
        <w:tc>
          <w:tcPr>
            <w:tcW w:w="5956"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评标基准价=A×50%+B×50%</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其中：A为招标控制价；</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B为投标报价（施工投报费率或设计费率）低于（含等于）招标控制价～高于（含等于）95%×招标控制价范围内的各有效投标报价（施工投报费率或设计费率），去掉一个最高和一个最低报价后的算术平均值（符合此条件范围内的有效投标报价不足五家时，以该范围内所有有效报价的算术平均值作为B值）；当有效</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投标报价全部低于95%×招标控制价时，则以95%×A作为B值。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29" w:type="dxa"/>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2.2.3</w:t>
            </w:r>
          </w:p>
        </w:tc>
        <w:tc>
          <w:tcPr>
            <w:tcW w:w="2754"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投标报价的偏差率</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计算公式</w:t>
            </w:r>
          </w:p>
        </w:tc>
        <w:tc>
          <w:tcPr>
            <w:tcW w:w="5956" w:type="dxa"/>
            <w:vAlign w:val="center"/>
          </w:tcPr>
          <w:p>
            <w:pPr>
              <w:bidi w:val="0"/>
              <w:jc w:val="left"/>
              <w:rPr>
                <w:rFonts w:hint="eastAsia" w:ascii="宋体" w:hAnsi="宋体" w:eastAsia="宋体" w:cs="宋体"/>
                <w:sz w:val="28"/>
                <w:szCs w:val="28"/>
                <w:highlight w:val="none"/>
              </w:rPr>
            </w:pP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偏差率＝100%×（投标报价－评标基准价）/评标基准价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29"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条款号</w:t>
            </w:r>
          </w:p>
        </w:tc>
        <w:tc>
          <w:tcPr>
            <w:tcW w:w="2754"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评分因素</w:t>
            </w:r>
          </w:p>
        </w:tc>
        <w:tc>
          <w:tcPr>
            <w:tcW w:w="5956"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1029" w:type="dxa"/>
            <w:vMerge w:val="restart"/>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2.2.4</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商务标</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（45分）</w:t>
            </w:r>
          </w:p>
        </w:tc>
        <w:tc>
          <w:tcPr>
            <w:tcW w:w="2754"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施工团队管理机构</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（3分）</w:t>
            </w:r>
          </w:p>
        </w:tc>
        <w:tc>
          <w:tcPr>
            <w:tcW w:w="5956"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拟配备本项目施工团队人员中施工员、质检（量）员、造价员（造价师）、材料员、资料员齐全的，得3分，否则不得分，提供相关证书及近半年以来在本单位任意连续三个月社保证明材料。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1" w:hRule="atLeast"/>
        </w:trPr>
        <w:tc>
          <w:tcPr>
            <w:tcW w:w="1029" w:type="dxa"/>
            <w:vMerge w:val="continue"/>
            <w:vAlign w:val="center"/>
          </w:tcPr>
          <w:p>
            <w:pPr>
              <w:bidi w:val="0"/>
              <w:jc w:val="center"/>
              <w:rPr>
                <w:rFonts w:hint="eastAsia" w:ascii="宋体" w:hAnsi="宋体" w:eastAsia="宋体" w:cs="宋体"/>
                <w:sz w:val="28"/>
                <w:szCs w:val="28"/>
                <w:highlight w:val="none"/>
              </w:rPr>
            </w:pPr>
          </w:p>
        </w:tc>
        <w:tc>
          <w:tcPr>
            <w:tcW w:w="2754"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设计团队管理机构</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（2分）</w:t>
            </w:r>
          </w:p>
        </w:tc>
        <w:tc>
          <w:tcPr>
            <w:tcW w:w="5956"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建筑、结构、</w:t>
            </w:r>
            <w:r>
              <w:rPr>
                <w:rFonts w:hint="eastAsia" w:ascii="宋体" w:hAnsi="宋体" w:eastAsia="宋体" w:cs="宋体"/>
                <w:sz w:val="28"/>
                <w:szCs w:val="28"/>
                <w:highlight w:val="none"/>
                <w:lang w:val="en-US" w:eastAsia="zh-CN"/>
              </w:rPr>
              <w:t>公用设备</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动力</w:t>
            </w:r>
            <w:r>
              <w:rPr>
                <w:rFonts w:hint="eastAsia" w:ascii="宋体" w:hAnsi="宋体" w:eastAsia="宋体" w:cs="宋体"/>
                <w:sz w:val="28"/>
                <w:szCs w:val="28"/>
                <w:highlight w:val="none"/>
              </w:rPr>
              <w:t>）、电气</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发输变电</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、造价等相关专业负责人，均应具备相应专业中级及以上技术职称或注册证书；各专业均具备的得2分；缺一专业人员扣0.5分，扣完为止。（投标文件中须附证书原件扫描件，否则不得分）。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4" w:hRule="atLeast"/>
        </w:trPr>
        <w:tc>
          <w:tcPr>
            <w:tcW w:w="1029" w:type="dxa"/>
            <w:vMerge w:val="continue"/>
            <w:tcBorders>
              <w:bottom w:val="single" w:color="auto" w:sz="4" w:space="0"/>
            </w:tcBorders>
            <w:vAlign w:val="center"/>
          </w:tcPr>
          <w:p>
            <w:pPr>
              <w:bidi w:val="0"/>
              <w:jc w:val="center"/>
              <w:rPr>
                <w:rFonts w:hint="eastAsia" w:ascii="宋体" w:hAnsi="宋体" w:eastAsia="宋体" w:cs="宋体"/>
                <w:sz w:val="28"/>
                <w:szCs w:val="28"/>
                <w:highlight w:val="none"/>
              </w:rPr>
            </w:pPr>
          </w:p>
        </w:tc>
        <w:tc>
          <w:tcPr>
            <w:tcW w:w="2754" w:type="dxa"/>
            <w:tcBorders>
              <w:bottom w:val="single" w:color="auto" w:sz="4"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投标报价评分标准</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（40分）</w:t>
            </w:r>
          </w:p>
        </w:tc>
        <w:tc>
          <w:tcPr>
            <w:tcW w:w="5956" w:type="dxa"/>
            <w:tcBorders>
              <w:bottom w:val="single" w:color="auto" w:sz="4"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1.工程设计投标报价（满分10分)</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当投标报价与评标基准价相等时，得基本分8分。当投标报价低于评标基准价时：每低1%在基本分8分的基础上加0.5分，最多加2分，当投标报价低于评标基准价5%以上（不含5%），每再低1%在满分10分的基础上扣0.5分，扣完为止。当投标报价高于评标基准价时，每高1%在基本分8分的基础上扣0.5分，扣完为止。（不足1%按线性插值法计算，计算结果按四舍五入法保留至小数点后两位）。</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2.工程费投标报价（满分30分）</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当投标报价与评标基准价相等时，得基本分24分。当投标报价低于评标基准价时：每低1%在基本分24分的基础上加2分，最多加6分，当投标报价低于评标基准价5%以上（不含5%），每再低1%在满分30分的基础上扣2分，扣完为止。当投标报价高于评标基准价时，每高1%在基本分24分的基础上扣1分，扣完为止。（不足1%按线性插值法计算，计算结果按四舍五入法保留至小数点后两位</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029"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2.2.4</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技术标</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（50分）</w:t>
            </w:r>
          </w:p>
        </w:tc>
        <w:tc>
          <w:tcPr>
            <w:tcW w:w="2754"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项目实施施工方案</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（25分）</w:t>
            </w:r>
          </w:p>
        </w:tc>
        <w:tc>
          <w:tcPr>
            <w:tcW w:w="5956"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1.项目总承包大纲的内容是否合理、可行。</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102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28"/>
                <w:highlight w:val="none"/>
              </w:rPr>
            </w:pPr>
          </w:p>
        </w:tc>
        <w:tc>
          <w:tcPr>
            <w:tcW w:w="2754"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28"/>
                <w:highlight w:val="none"/>
              </w:rPr>
            </w:pPr>
          </w:p>
        </w:tc>
        <w:tc>
          <w:tcPr>
            <w:tcW w:w="5956"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2.对本项目总承包的难点、要点和关键部位详细阐明，建设管理服务措施是否具体、详实。</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trPr>
        <w:tc>
          <w:tcPr>
            <w:tcW w:w="102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28"/>
                <w:highlight w:val="none"/>
              </w:rPr>
            </w:pPr>
          </w:p>
        </w:tc>
        <w:tc>
          <w:tcPr>
            <w:tcW w:w="2754"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28"/>
                <w:highlight w:val="none"/>
              </w:rPr>
            </w:pPr>
          </w:p>
        </w:tc>
        <w:tc>
          <w:tcPr>
            <w:tcW w:w="5956"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3.项目施工进度计划安排是否合理，包括材料（设备）供应计划；主要施工机械设备进场计划，能否满足本工程的工期要求。</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02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28"/>
                <w:highlight w:val="none"/>
              </w:rPr>
            </w:pPr>
          </w:p>
        </w:tc>
        <w:tc>
          <w:tcPr>
            <w:tcW w:w="2754"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28"/>
                <w:highlight w:val="none"/>
              </w:rPr>
            </w:pPr>
          </w:p>
        </w:tc>
        <w:tc>
          <w:tcPr>
            <w:tcW w:w="5956"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4.设计与施工相互衔接配合的措施内容是否合理、抓住重点、难点问题，有利于本项目的顺利推进。（</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02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28"/>
                <w:highlight w:val="none"/>
              </w:rPr>
            </w:pPr>
          </w:p>
        </w:tc>
        <w:tc>
          <w:tcPr>
            <w:tcW w:w="2754"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28"/>
                <w:highlight w:val="none"/>
              </w:rPr>
            </w:pPr>
          </w:p>
        </w:tc>
        <w:tc>
          <w:tcPr>
            <w:tcW w:w="5956"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5.工程施工质量、安全文明施工保证措施。</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102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28"/>
                <w:highlight w:val="none"/>
              </w:rPr>
            </w:pPr>
          </w:p>
        </w:tc>
        <w:tc>
          <w:tcPr>
            <w:tcW w:w="2754"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28"/>
                <w:highlight w:val="none"/>
              </w:rPr>
            </w:pPr>
          </w:p>
        </w:tc>
        <w:tc>
          <w:tcPr>
            <w:tcW w:w="5956"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6.是否具有有效可行的节能环保和扬尘治理方案及措。（</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02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28"/>
                <w:highlight w:val="none"/>
              </w:rPr>
            </w:pPr>
          </w:p>
        </w:tc>
        <w:tc>
          <w:tcPr>
            <w:tcW w:w="2754"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8"/>
                <w:szCs w:val="28"/>
                <w:highlight w:val="none"/>
              </w:rPr>
            </w:pPr>
          </w:p>
        </w:tc>
        <w:tc>
          <w:tcPr>
            <w:tcW w:w="5956"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7.紧急情况的处理措施、应急预案以及风险控制措施。（</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1029" w:type="dxa"/>
            <w:vMerge w:val="continue"/>
            <w:tcBorders>
              <w:top w:val="single" w:color="auto" w:sz="4" w:space="0"/>
              <w:left w:val="single" w:color="auto" w:sz="4" w:space="0"/>
            </w:tcBorders>
            <w:vAlign w:val="center"/>
          </w:tcPr>
          <w:p>
            <w:pPr>
              <w:bidi w:val="0"/>
              <w:jc w:val="center"/>
              <w:rPr>
                <w:rFonts w:hint="eastAsia" w:ascii="宋体" w:hAnsi="宋体" w:eastAsia="宋体" w:cs="宋体"/>
                <w:sz w:val="28"/>
                <w:szCs w:val="28"/>
                <w:highlight w:val="none"/>
              </w:rPr>
            </w:pPr>
          </w:p>
        </w:tc>
        <w:tc>
          <w:tcPr>
            <w:tcW w:w="2754" w:type="dxa"/>
            <w:vMerge w:val="continue"/>
            <w:tcBorders>
              <w:top w:val="single" w:color="auto" w:sz="4" w:space="0"/>
            </w:tcBorders>
            <w:vAlign w:val="center"/>
          </w:tcPr>
          <w:p>
            <w:pPr>
              <w:bidi w:val="0"/>
              <w:jc w:val="center"/>
              <w:rPr>
                <w:rFonts w:hint="eastAsia" w:ascii="宋体" w:hAnsi="宋体" w:eastAsia="宋体" w:cs="宋体"/>
                <w:sz w:val="28"/>
                <w:szCs w:val="28"/>
                <w:highlight w:val="none"/>
              </w:rPr>
            </w:pPr>
          </w:p>
        </w:tc>
        <w:tc>
          <w:tcPr>
            <w:tcW w:w="5956" w:type="dxa"/>
            <w:tcBorders>
              <w:top w:val="single" w:color="auto" w:sz="4"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8.与发包人、监理人的配合措施。（</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029" w:type="dxa"/>
            <w:vMerge w:val="continue"/>
            <w:tcBorders>
              <w:left w:val="single" w:color="auto" w:sz="4" w:space="0"/>
            </w:tcBorders>
            <w:vAlign w:val="center"/>
          </w:tcPr>
          <w:p>
            <w:pPr>
              <w:bidi w:val="0"/>
              <w:jc w:val="center"/>
              <w:rPr>
                <w:rFonts w:hint="eastAsia" w:ascii="宋体" w:hAnsi="宋体" w:eastAsia="宋体" w:cs="宋体"/>
                <w:sz w:val="28"/>
                <w:szCs w:val="28"/>
                <w:highlight w:val="none"/>
              </w:rPr>
            </w:pPr>
          </w:p>
        </w:tc>
        <w:tc>
          <w:tcPr>
            <w:tcW w:w="2754" w:type="dxa"/>
            <w:vMerge w:val="restart"/>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项目实施设计方案</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（25分）</w:t>
            </w:r>
          </w:p>
        </w:tc>
        <w:tc>
          <w:tcPr>
            <w:tcW w:w="5956"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1.对招标项目的理解。（</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29" w:type="dxa"/>
            <w:vMerge w:val="continue"/>
            <w:tcBorders>
              <w:left w:val="single" w:color="auto" w:sz="4" w:space="0"/>
            </w:tcBorders>
            <w:vAlign w:val="center"/>
          </w:tcPr>
          <w:p>
            <w:pPr>
              <w:bidi w:val="0"/>
              <w:jc w:val="center"/>
              <w:rPr>
                <w:rFonts w:hint="eastAsia" w:ascii="宋体" w:hAnsi="宋体" w:eastAsia="宋体" w:cs="宋体"/>
                <w:sz w:val="28"/>
                <w:szCs w:val="28"/>
                <w:highlight w:val="none"/>
              </w:rPr>
            </w:pPr>
          </w:p>
        </w:tc>
        <w:tc>
          <w:tcPr>
            <w:tcW w:w="2754" w:type="dxa"/>
            <w:vMerge w:val="continue"/>
            <w:vAlign w:val="center"/>
          </w:tcPr>
          <w:p>
            <w:pPr>
              <w:bidi w:val="0"/>
              <w:jc w:val="center"/>
              <w:rPr>
                <w:rFonts w:hint="eastAsia" w:ascii="宋体" w:hAnsi="宋体" w:eastAsia="宋体" w:cs="宋体"/>
                <w:sz w:val="28"/>
                <w:szCs w:val="28"/>
                <w:highlight w:val="none"/>
              </w:rPr>
            </w:pPr>
          </w:p>
        </w:tc>
        <w:tc>
          <w:tcPr>
            <w:tcW w:w="5956"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2.总体设计思路。（</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029" w:type="dxa"/>
            <w:vMerge w:val="continue"/>
            <w:tcBorders>
              <w:left w:val="single" w:color="auto" w:sz="4" w:space="0"/>
            </w:tcBorders>
            <w:vAlign w:val="center"/>
          </w:tcPr>
          <w:p>
            <w:pPr>
              <w:bidi w:val="0"/>
              <w:jc w:val="center"/>
              <w:rPr>
                <w:rFonts w:hint="eastAsia" w:ascii="宋体" w:hAnsi="宋体" w:eastAsia="宋体" w:cs="宋体"/>
                <w:sz w:val="28"/>
                <w:szCs w:val="28"/>
                <w:highlight w:val="none"/>
              </w:rPr>
            </w:pPr>
          </w:p>
        </w:tc>
        <w:tc>
          <w:tcPr>
            <w:tcW w:w="2754" w:type="dxa"/>
            <w:vMerge w:val="continue"/>
            <w:vAlign w:val="center"/>
          </w:tcPr>
          <w:p>
            <w:pPr>
              <w:bidi w:val="0"/>
              <w:jc w:val="center"/>
              <w:rPr>
                <w:rFonts w:hint="eastAsia" w:ascii="宋体" w:hAnsi="宋体" w:eastAsia="宋体" w:cs="宋体"/>
                <w:sz w:val="28"/>
                <w:szCs w:val="28"/>
                <w:highlight w:val="none"/>
              </w:rPr>
            </w:pPr>
          </w:p>
        </w:tc>
        <w:tc>
          <w:tcPr>
            <w:tcW w:w="5956"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3.工程设计方案。（</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29" w:type="dxa"/>
            <w:vMerge w:val="continue"/>
            <w:tcBorders>
              <w:left w:val="single" w:color="auto" w:sz="4" w:space="0"/>
            </w:tcBorders>
            <w:vAlign w:val="center"/>
          </w:tcPr>
          <w:p>
            <w:pPr>
              <w:bidi w:val="0"/>
              <w:jc w:val="center"/>
              <w:rPr>
                <w:rFonts w:hint="eastAsia" w:ascii="宋体" w:hAnsi="宋体" w:eastAsia="宋体" w:cs="宋体"/>
                <w:sz w:val="28"/>
                <w:szCs w:val="28"/>
                <w:highlight w:val="none"/>
              </w:rPr>
            </w:pPr>
          </w:p>
        </w:tc>
        <w:tc>
          <w:tcPr>
            <w:tcW w:w="2754" w:type="dxa"/>
            <w:vMerge w:val="continue"/>
            <w:vAlign w:val="center"/>
          </w:tcPr>
          <w:p>
            <w:pPr>
              <w:bidi w:val="0"/>
              <w:jc w:val="center"/>
              <w:rPr>
                <w:rFonts w:hint="eastAsia" w:ascii="宋体" w:hAnsi="宋体" w:eastAsia="宋体" w:cs="宋体"/>
                <w:sz w:val="28"/>
                <w:szCs w:val="28"/>
                <w:highlight w:val="none"/>
              </w:rPr>
            </w:pPr>
          </w:p>
        </w:tc>
        <w:tc>
          <w:tcPr>
            <w:tcW w:w="5956"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4.设计周期及进度控制保证措施。（</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29" w:type="dxa"/>
            <w:vMerge w:val="continue"/>
            <w:tcBorders>
              <w:left w:val="single" w:color="auto" w:sz="4" w:space="0"/>
            </w:tcBorders>
            <w:vAlign w:val="center"/>
          </w:tcPr>
          <w:p>
            <w:pPr>
              <w:bidi w:val="0"/>
              <w:jc w:val="center"/>
              <w:rPr>
                <w:rFonts w:hint="eastAsia" w:ascii="宋体" w:hAnsi="宋体" w:eastAsia="宋体" w:cs="宋体"/>
                <w:sz w:val="28"/>
                <w:szCs w:val="28"/>
                <w:highlight w:val="none"/>
              </w:rPr>
            </w:pPr>
          </w:p>
        </w:tc>
        <w:tc>
          <w:tcPr>
            <w:tcW w:w="2754" w:type="dxa"/>
            <w:vMerge w:val="continue"/>
            <w:vAlign w:val="center"/>
          </w:tcPr>
          <w:p>
            <w:pPr>
              <w:bidi w:val="0"/>
              <w:jc w:val="center"/>
              <w:rPr>
                <w:rFonts w:hint="eastAsia" w:ascii="宋体" w:hAnsi="宋体" w:eastAsia="宋体" w:cs="宋体"/>
                <w:sz w:val="28"/>
                <w:szCs w:val="28"/>
                <w:highlight w:val="none"/>
              </w:rPr>
            </w:pPr>
          </w:p>
        </w:tc>
        <w:tc>
          <w:tcPr>
            <w:tcW w:w="5956"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5.工程投资估算及造价控制措施。（</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029" w:type="dxa"/>
            <w:vMerge w:val="continue"/>
            <w:tcBorders>
              <w:left w:val="single" w:color="auto" w:sz="4" w:space="0"/>
            </w:tcBorders>
            <w:vAlign w:val="center"/>
          </w:tcPr>
          <w:p>
            <w:pPr>
              <w:bidi w:val="0"/>
              <w:jc w:val="center"/>
              <w:rPr>
                <w:rFonts w:hint="eastAsia" w:ascii="宋体" w:hAnsi="宋体" w:eastAsia="宋体" w:cs="宋体"/>
                <w:sz w:val="28"/>
                <w:szCs w:val="28"/>
                <w:highlight w:val="none"/>
              </w:rPr>
            </w:pPr>
          </w:p>
        </w:tc>
        <w:tc>
          <w:tcPr>
            <w:tcW w:w="2754" w:type="dxa"/>
            <w:vMerge w:val="continue"/>
            <w:vAlign w:val="center"/>
          </w:tcPr>
          <w:p>
            <w:pPr>
              <w:bidi w:val="0"/>
              <w:jc w:val="center"/>
              <w:rPr>
                <w:rFonts w:hint="eastAsia" w:ascii="宋体" w:hAnsi="宋体" w:eastAsia="宋体" w:cs="宋体"/>
                <w:sz w:val="28"/>
                <w:szCs w:val="28"/>
                <w:highlight w:val="none"/>
              </w:rPr>
            </w:pPr>
          </w:p>
        </w:tc>
        <w:tc>
          <w:tcPr>
            <w:tcW w:w="5956"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6.后续服务的安排及保证措施。（</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5" w:hRule="atLeast"/>
        </w:trPr>
        <w:tc>
          <w:tcPr>
            <w:tcW w:w="1029" w:type="dxa"/>
            <w:vMerge w:val="restart"/>
            <w:tcBorders>
              <w:bottom w:val="nil"/>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2.2.4（3）综合标</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（5分）</w:t>
            </w:r>
          </w:p>
        </w:tc>
        <w:tc>
          <w:tcPr>
            <w:tcW w:w="2754"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优惠条件及服务承诺（3分）</w:t>
            </w:r>
          </w:p>
        </w:tc>
        <w:tc>
          <w:tcPr>
            <w:tcW w:w="5956"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（1）针对招标工程的特点和要求，结合自身的条件和潜力，为招标人排忧解难，加快工程进度和交工后回访服务及承诺不拖欠农民工工资且措施可行等方面（不限于以上内容）的承诺（0-2分）。</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（2）针对本项目特点以及对建设单位提出的设计合理化建议、保证设计工作连续性、及时的承诺、设计阶段的服务承诺、由评委根据服务承诺的具体内容酌情打分（0-1分）。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1" w:hRule="atLeast"/>
        </w:trPr>
        <w:tc>
          <w:tcPr>
            <w:tcW w:w="1029" w:type="dxa"/>
            <w:vMerge w:val="continue"/>
            <w:tcBorders>
              <w:top w:val="nil"/>
            </w:tcBorders>
            <w:vAlign w:val="center"/>
          </w:tcPr>
          <w:p>
            <w:pPr>
              <w:bidi w:val="0"/>
              <w:jc w:val="center"/>
              <w:rPr>
                <w:rFonts w:hint="eastAsia" w:ascii="宋体" w:hAnsi="宋体" w:eastAsia="宋体" w:cs="宋体"/>
                <w:sz w:val="28"/>
                <w:szCs w:val="28"/>
                <w:highlight w:val="none"/>
              </w:rPr>
            </w:pPr>
          </w:p>
        </w:tc>
        <w:tc>
          <w:tcPr>
            <w:tcW w:w="2754" w:type="dxa"/>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质量及工期承诺</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（2分）</w:t>
            </w:r>
          </w:p>
        </w:tc>
        <w:tc>
          <w:tcPr>
            <w:tcW w:w="5956" w:type="dxa"/>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承诺质量、工期达到招标文件要求，并有具体措施酌情打分（0-2分），缺项不得分。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6" w:hRule="atLeast"/>
        </w:trPr>
        <w:tc>
          <w:tcPr>
            <w:tcW w:w="9739" w:type="dxa"/>
            <w:gridSpan w:val="3"/>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备注：评标时电子投标文件中的扫描件必须清晰可见。</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1.技术标得分=技术专家得分汇总后的算术平均值；</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2.商务标得分=商务专家得分汇总后的算术平均值；</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3.综合标得分=招标人代表对投标人综合标的评审得分；</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4.投标人的最终得分=技术标得分+商务标得分+综合标得分；</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5.评标专家按照专业类别仅对自己专业范围内容独立客观评审，不再对自己专业外的内容评审打分；</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6.招标人代表对投标人的综合标进行评审，招标人代表不参与其他部分的评审工作；</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7.计算过程保留三位小数，最终结果保留两位小数；</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8.评标结束后，招标人有权对中标人投标文件中所附资料的真实性进行核实，若发现所提供资料弄虚作假，则取消中标人中标资格，投标人应承担相关法律责任。</w:t>
            </w:r>
          </w:p>
        </w:tc>
      </w:tr>
    </w:tbl>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41" w:firstLineChars="228"/>
        <w:textAlignment w:val="baseline"/>
        <w:rPr>
          <w:rFonts w:hint="eastAsia" w:ascii="宋体" w:hAnsi="宋体" w:eastAsia="宋体" w:cs="宋体"/>
          <w:sz w:val="28"/>
          <w:szCs w:val="28"/>
          <w:highlight w:val="none"/>
        </w:rPr>
      </w:pPr>
      <w:r>
        <w:rPr>
          <w:rFonts w:hint="eastAsia" w:ascii="宋体" w:hAnsi="宋体" w:eastAsia="宋体" w:cs="宋体"/>
          <w:b/>
          <w:bCs/>
          <w:sz w:val="28"/>
          <w:szCs w:val="28"/>
          <w:highlight w:val="none"/>
        </w:rPr>
        <w:t>备注：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（1）涉及相关证书、各类证件均不得伪造、涂改，如发现投标人有弄虚作假或伪造、涂改证件者，将取消其投标资格，并按国家有关规定处理。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（2）所有证件如遇延期办理的应提供相关行政主管部门出具的证明。</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（3）评分分值精确到小数点后2位。</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r>
        <w:rPr>
          <w:rFonts w:hint="eastAsia" w:ascii="宋体" w:hAnsi="宋体" w:eastAsia="宋体" w:cs="宋体"/>
          <w:b/>
          <w:bCs/>
          <w:sz w:val="28"/>
          <w:szCs w:val="28"/>
          <w:highlight w:val="none"/>
        </w:rPr>
        <w:t>1.评标方法</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r>
        <w:rPr>
          <w:rFonts w:hint="eastAsia" w:ascii="宋体" w:hAnsi="宋体" w:eastAsia="宋体" w:cs="宋体"/>
          <w:b/>
          <w:bCs/>
          <w:sz w:val="28"/>
          <w:szCs w:val="28"/>
          <w:highlight w:val="none"/>
        </w:rPr>
        <w:t>2.评审标准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2.1初步评审标准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2.1.1形式评审标准：见评标办法前附表。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2.1.2资格评审标准：见评标办法前附表。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2.1.3响应性评审标准：见评标办法前附表。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2.2分值构成与评分标准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2.2.1分值构成</w:t>
      </w:r>
    </w:p>
    <w:p>
      <w:pPr>
        <w:keepNext w:val="0"/>
        <w:keepLines w:val="0"/>
        <w:pageBreakBefore w:val="0"/>
        <w:widowControl/>
        <w:numPr>
          <w:ilvl w:val="0"/>
          <w:numId w:val="2"/>
        </w:numPr>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商务标：见评标办法前附表；</w:t>
      </w:r>
    </w:p>
    <w:p>
      <w:pPr>
        <w:keepNext w:val="0"/>
        <w:keepLines w:val="0"/>
        <w:pageBreakBefore w:val="0"/>
        <w:widowControl/>
        <w:numPr>
          <w:ilvl w:val="0"/>
          <w:numId w:val="2"/>
        </w:numPr>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技术标：见评标办法前附表；</w:t>
      </w:r>
    </w:p>
    <w:p>
      <w:pPr>
        <w:keepNext w:val="0"/>
        <w:keepLines w:val="0"/>
        <w:pageBreakBefore w:val="0"/>
        <w:widowControl/>
        <w:numPr>
          <w:ilvl w:val="0"/>
          <w:numId w:val="2"/>
        </w:numPr>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综合标：见评标办法前附表；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2.2.2评标基准价计算</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评标基准价计算方法：见评标办法前附表。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2.2.3投标报价的偏差率计算</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投标报价的偏差率计算公式：见评标办法前附表。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2.2.4评分标准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（1）商务标评分标准：见评标办法前附表；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（2）技术标评分标准：见评标办法前附表；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（3）综合标评分标准：见评标办法前附表；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3.评标程序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3.1初步评审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3.1.1评标委员会依据本章第2.1款规定的标准对投标文件进行初步评审。有一项不符合评审标准的，作废标处理。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3.1.2投标人有以下情形之一的，其投标作废标处理：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（1）第二章“投标人须知”第1.4.3项规定的任何一种情形的；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（2）串通投标或弄虚作假或有其他违法行为的；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（3）不按评标委员会要求澄清、说明或补正的。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b w:val="0"/>
          <w:bCs/>
          <w:sz w:val="28"/>
          <w:szCs w:val="28"/>
        </w:rPr>
      </w:pPr>
      <w:r>
        <w:rPr>
          <w:rFonts w:hint="eastAsia" w:ascii="宋体" w:hAnsi="宋体" w:eastAsia="宋体" w:cs="宋体"/>
          <w:b w:val="0"/>
          <w:bCs/>
          <w:sz w:val="28"/>
          <w:szCs w:val="28"/>
          <w:highlight w:val="none"/>
        </w:rPr>
        <w:t>（</w:t>
      </w:r>
      <w:r>
        <w:rPr>
          <w:rFonts w:hint="eastAsia" w:ascii="宋体" w:hAnsi="宋体" w:eastAsia="宋体" w:cs="宋体"/>
          <w:b w:val="0"/>
          <w:bCs/>
          <w:sz w:val="28"/>
          <w:szCs w:val="28"/>
          <w:highlight w:val="none"/>
          <w:lang w:val="en-US" w:eastAsia="zh-CN"/>
        </w:rPr>
        <w:t>4</w:t>
      </w:r>
      <w:r>
        <w:rPr>
          <w:rFonts w:hint="eastAsia" w:ascii="宋体" w:hAnsi="宋体" w:eastAsia="宋体" w:cs="宋体"/>
          <w:b w:val="0"/>
          <w:bCs/>
          <w:sz w:val="28"/>
          <w:szCs w:val="28"/>
          <w:highlight w:val="none"/>
        </w:rPr>
        <w:t>）</w:t>
      </w:r>
      <w:r>
        <w:rPr>
          <w:rFonts w:hint="eastAsia" w:ascii="宋体" w:hAnsi="宋体" w:eastAsia="宋体" w:cs="宋体"/>
          <w:b w:val="0"/>
          <w:bCs/>
          <w:sz w:val="28"/>
          <w:szCs w:val="28"/>
        </w:rPr>
        <w:t>未提交投标人廉洁自律承诺书的；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3.1.3投标报价有算术错误的，评标委员会按以下原则对投标报价进行修正，修正的价格经投标人确认后具有约束力。投标人不接受修正价格的，其投标作废标处理。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（1）投标文件中的大写金额与小写金额不一致的，以大写金额为准；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（2）总价金额与依据单价计算出的结果不一致的，以单价金额为准修正总价，但单价金额小数点有明显错误的除外。</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3.2详细评审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3.2.1评标委员会按本章第2.2款规定的量化因素和分值进行打分，并计算出综合评估得分。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3.2.2评分分值计算保留小数点后两位，小数点后第三位“四舍五入”。</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3.2.3投标人最终得分=A+B+C。</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3.2.4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3.3投标文件的澄清和补正</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3.3.1在评标过程中，评标委员会可以要求投标人对所提交投标文件中不明确的内容进行澄清或说明，或者对细微偏差进行补正。评标委员会不接受投标人主动提出的澄清、说明或补正。</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3.3.2澄清、说明和补正不得改变投标文件的实质性内容（算术性错误修正的除外）。投标人的澄清、说明和补正属于投标文件的组成部分。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3.3.3评标委员会对投标人提交的澄清、说明或补正有疑问的，可以要求投标人进一步澄清、说明或补正，直至满足评标委员会的要求。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3.4评标结果</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3.4.1评标委员会依据本章第2.2条评分标准进行评分，按评标办法前附表的约定计算投标人最终得分，按照得分由高到低的顺序推荐2名中标候选人，并标明推荐顺序。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3.4.2评标委员会完成评标后，应当向招标人提交评标报告。</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附件A:评标详细程序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41" w:firstLineChars="228"/>
        <w:jc w:val="center"/>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评标详细程序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A0.总则</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本附件是本章“评标办法”的组成部分，是对本章第3条所规定的评标程序的进一步细化，评标委员会应当按照本附件所规定的详细程序开展并完成评标工作。</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A1.基本程序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评标活动将按以下五个步骤进行：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（1）评标准备；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（2）初步评审；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（3）详细评审；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（4）澄清、说明或补正；</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（5）推荐中标候选人或者直接确定中标人及提交评标报告。</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A2.评标准备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A2.1评标委员会成员签到</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评标委员会成员到达评标现场时应在签到表上签到以证明其出席。</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A2.2评标委员会的分工</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评标委员会首先推选一名评标委员会主任。评标委员会主任负责评标活动的组织领导工作。</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A2.3熟悉文件资料</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评标委员会主任应组织评标委员会成员认真研究招标文件，了解和熟悉招标目的、招标范围、主要合同条件、技术要求、质量要求和工期要求等，掌握评标标准和方法，熟悉本章及附件中包括的评标表格的使用。未在招标文件中规定的标准和方法不得作为评标的依据。</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A3初步评审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A3.1形式评审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评标委员会根据评标办法前附表中规定的评审因素和评审标准，对投标人的投标文件进行形式评审。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A3.2资格评审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评标委员会根据评标办法前附表中规定的评审因素和评审标准，对投标人的投标文件进行资格评审。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A3.3响应性评审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A3.3.1评标委员会根据评标办法前附表中规定的评审因素和评审标准，对投标人的投标文件进行响应性评审。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A3.3.2投标人投标价格不得超出(不含等于)按照第二章“投标人须知”前附表第3.2.2款载明的招标控制价，凡投标人的投标价格超出招标控制价的，该投标人的投标文件不能通过响应性评审。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A3.4算术错误修正</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评标委员会依据本章中规定的相关原则对投标报价中存在的算术错误进行修正，并根据算术错误修正结果计算评标价。</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A3.5澄清、说明或补正</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在初步评审过程中，评标委员会应当就投标文件中不明确的内容要求投标人进行澄清、说明或者补正。投标人对此予以澄清、说明或者补正。澄清、说明或补正根据本章第3.3款的规定执行。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A4．详细评审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只有通过了初步评审、被判定为合格的投标人方可进入详细评审。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A4.1详细评审的程序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A4.1.1评标委员会按照本章第3．2款中规定的程序进行详细评审：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(1)商务标评审和评分；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(2)技术标评审和评分；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(3)综合标评审和评分；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(4)汇总评分结果。</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A4.2商务标评审和评分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A4.2.1按照评标办法前附表中规定的方法计算“评标基准价”。</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A4.2.2按照评标办法前附表中规定的方法，计算各个已通过了初步评审、技术标评审的投标总报价“偏差率”。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A4.2.3按照评标办法前附表中规定的评分标准，对照投标报价的偏差率，分别对各个投标报价进行评分。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A4.3技术标评审和评分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按照评标办法前附表中规定的分值设定、各项评分因素、评分标准，对技术标进行评审和评分，技术标的得分记录为B。</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A4.4综合标的评审和评分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根据评标办法前附表中规定的分值设定、各项评分因素和相应的评分标准，对其他因素(如果有)进行评审和评分。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A4.5判断投标报价是否低于成本</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根据本章第3.2.4项的规定，由评标委员会认定投标人以低于成本竞标的，其投标作废标处理。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A4.6澄清、说明或补正</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在详细评审过程中，评标委员会应当就投标文件中不明确的内容要求投标人进行澄清、说明或者补正。投标人对此予以澄清、说明或者补正。澄清、说明或补正根据本章第3.3款的规定执行。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A4.7汇总评分结果</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详细评审工作全部结束后，汇总各个评标委员会成员的详细评审评分结果，并按照详细评审最终得分由高至低的次序对投标人进行排序。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A5.推荐中标候选人或者直接确定中标人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A5.1推荐中标候选人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A5.1.1除第二章“投标人须知”前附表第7．1款授权直接确定中标人外，评标委员会在推荐中标候选人时，应遵照以下原则:</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(1)评标委员会按照最终得分由高至低的次序排列，并根据第二章“投标人须知”前附表第7.1款规定的中标候选人数量，将排序在前的投标人推荐为中标候选人。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如果评标委员会根据本章的规定作废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否决全部投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A5.1.2投标截止时间前，递交投标文件的投标人数量少于三个或者所有投标被否决的，招标人应当依法重新招标。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A5.2直接确定中标人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第二章“投标人须知”前附表授权评标委员会直接确定中标人的，评标委员会按照最终得分由高至低的次序排列，并确定排名第一的投标人为中标人。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A5.3编制评标报告</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评标委员会根据本章第3.4.2项的规定向招标人提交评标报告。评标报告应当由全体评标委员会成员签字。</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A6．特殊情况的处置程序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A6.1关于评标活动暂停</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A6.1.1评标委员会应当执行连续评标的原则，按评标办法中规定的程序、内容、方法、标准完成全部评标工作。只有发生不可抗力导致评标工作无法继续时，评标活动方可暂停。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A6.1.2发生评标暂停情况时，评标委员会应当封存全部投标文件和评标记录，待不可抗力的影响结束且具备继续评标的条件时，由原评标委员会继续评标。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A6.2关于评标中途更换评委</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A6.2.1除非发生下列情况之一，评标委员会成员不得在评标中途更换：</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(1)因不可抗拒的客观原因，不能到场或需在评标中途退出评标活动。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(2)根据法律法规规定，某个或某几个评标委员会成员需要回避。</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A6.2.2退出评标的评标委员会成员，其已完成的评标行为无效。由招标人根据本招标文件规定的评标委员会成员产生方式另行确定替代者进行评标。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A6.3记名投票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在任何评标环节中，需评标委员会就某项定性的评审结论做出表决的，由评标委员会全体成员按照少数服从多数的原则，以记名投票方式表决。</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A7.补充条款</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附件B：废标条件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41" w:firstLineChars="228"/>
        <w:jc w:val="center"/>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废标条件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B0.总则</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B1．废标条件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B1.1有第二章“投标人须知”正文部分第1.4.3项规定的任何一种情形的：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（1）为招标人不具有独立法人资格的附属机构（单位）；</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（2）为本项目前期准备提供设计或咨询服务的，但设计施工总承包的除外；</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（3）为本项目的监理人；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（4）为本项目的代建人；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（5）为本项目提供招标代理服务的；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（6）与本项目的监理人或代建人或招标代理机构同为一个法定代表人的；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（7）与本项目的监理人或代建人或招标代理机构相互控股或参股的；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（8）与本项目的监理人或代建人或招标代理机构相互任职或工作的；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（9）被责令停业的；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（10）财产被接管或冻结的；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B1.2有串通投标或弄虚作假或有其他违法行为的。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B1.3不按评标委员会要求澄清、说明或补正的。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B1.4在形式评审、资格评审、响应性评审中，评标委员会认定投标人的投标不符合评标办法前附表中规定的任何一项评审标准的。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B1.5未按招标文件规定编制各项报价的。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B1.6投标报价有算术错误的，评标委员会按以下原则对投标报价进行修正，修正的价格经投标人确认后具有约束力。投标人不接受修正价格的，其投标作废标处理。（1）投标文件中的大写金额与小写金额不一致的，以大写金额为准；（2）总价金额与依据单价计算出的结果不一致的，以单价金额为准修正总价，但单价金额小数点有明显错误的除外。</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B1.7变更工程量清单内容的。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B1.8投标报价高于招标控制价或评标委员会认定投标人以低于成本报价竞标的。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B1.9不同投标人使用同一台计算机编制投标文件的。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widowControl/>
        <w:suppressLineNumbers w:val="0"/>
        <w:jc w:val="center"/>
        <w:rPr>
          <w:sz w:val="44"/>
          <w:szCs w:val="44"/>
          <w:highlight w:val="none"/>
        </w:rPr>
      </w:pPr>
      <w:r>
        <w:rPr>
          <w:rFonts w:hint="eastAsia" w:ascii="宋体" w:hAnsi="宋体" w:eastAsia="宋体" w:cs="宋体"/>
          <w:b/>
          <w:bCs/>
          <w:snapToGrid w:val="0"/>
          <w:color w:val="000000"/>
          <w:kern w:val="0"/>
          <w:sz w:val="44"/>
          <w:szCs w:val="44"/>
          <w:highlight w:val="none"/>
          <w:lang w:val="en-US" w:eastAsia="zh-CN" w:bidi="ar"/>
        </w:rPr>
        <w:t>第四章 合同条款及格式</w:t>
      </w:r>
    </w:p>
    <w:p>
      <w:pPr>
        <w:keepNext w:val="0"/>
        <w:keepLines w:val="0"/>
        <w:widowControl/>
        <w:suppressLineNumbers w:val="0"/>
        <w:jc w:val="left"/>
        <w:rPr>
          <w:rFonts w:hint="eastAsia" w:ascii="宋体" w:hAnsi="宋体" w:eastAsia="宋体" w:cs="宋体"/>
          <w:snapToGrid w:val="0"/>
          <w:color w:val="000000"/>
          <w:kern w:val="0"/>
          <w:sz w:val="24"/>
          <w:szCs w:val="24"/>
          <w:highlight w:val="none"/>
          <w:lang w:val="en-US" w:eastAsia="zh-CN" w:bidi="ar"/>
        </w:rPr>
      </w:pPr>
    </w:p>
    <w:p>
      <w:pPr>
        <w:keepNext w:val="0"/>
        <w:keepLines w:val="0"/>
        <w:widowControl/>
        <w:suppressLineNumbers w:val="0"/>
        <w:jc w:val="center"/>
        <w:rPr>
          <w:rFonts w:hint="eastAsia" w:ascii="宋体" w:hAnsi="宋体" w:eastAsia="宋体" w:cs="宋体"/>
          <w:snapToGrid w:val="0"/>
          <w:color w:val="000000"/>
          <w:kern w:val="0"/>
          <w:sz w:val="24"/>
          <w:szCs w:val="24"/>
          <w:highlight w:val="none"/>
          <w:lang w:val="en-US" w:eastAsia="zh-CN" w:bidi="ar"/>
        </w:rPr>
      </w:pPr>
    </w:p>
    <w:p>
      <w:pPr>
        <w:keepNext w:val="0"/>
        <w:keepLines w:val="0"/>
        <w:widowControl/>
        <w:suppressLineNumbers w:val="0"/>
        <w:spacing w:line="240" w:lineRule="auto"/>
        <w:jc w:val="both"/>
        <w:rPr>
          <w:highlight w:val="none"/>
        </w:rPr>
      </w:pPr>
    </w:p>
    <w:p>
      <w:pPr>
        <w:wordWrap/>
        <w:topLinePunct w:val="0"/>
        <w:ind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GF-2020-0216</w:t>
      </w:r>
    </w:p>
    <w:p>
      <w:pPr>
        <w:wordWrap/>
        <w:topLinePunct w:val="0"/>
        <w:rPr>
          <w:highlight w:val="none"/>
        </w:rPr>
      </w:pPr>
    </w:p>
    <w:p>
      <w:pPr>
        <w:wordWrap/>
        <w:topLinePunct w:val="0"/>
        <w:rPr>
          <w:highlight w:val="none"/>
        </w:rPr>
      </w:pPr>
    </w:p>
    <w:p>
      <w:pPr>
        <w:wordWrap/>
        <w:topLinePunct w:val="0"/>
        <w:rPr>
          <w:highlight w:val="none"/>
        </w:rPr>
      </w:pPr>
    </w:p>
    <w:p>
      <w:pPr>
        <w:wordWrap/>
        <w:topLinePunct w:val="0"/>
        <w:rPr>
          <w:highlight w:val="none"/>
        </w:rPr>
      </w:pPr>
    </w:p>
    <w:p>
      <w:pPr>
        <w:wordWrap/>
        <w:topLinePunct w:val="0"/>
        <w:rPr>
          <w:highlight w:val="none"/>
        </w:rPr>
      </w:pPr>
    </w:p>
    <w:p>
      <w:pPr>
        <w:pStyle w:val="25"/>
        <w:rPr>
          <w:rFonts w:hint="eastAsia" w:ascii="宋体" w:hAnsi="宋体" w:eastAsia="宋体" w:cs="宋体"/>
          <w:b w:val="0"/>
          <w:bCs/>
          <w:sz w:val="52"/>
          <w:szCs w:val="52"/>
          <w:highlight w:val="none"/>
        </w:rPr>
      </w:pPr>
      <w:r>
        <w:rPr>
          <w:rFonts w:hint="eastAsia" w:ascii="宋体" w:hAnsi="宋体" w:eastAsia="宋体" w:cs="宋体"/>
          <w:b w:val="0"/>
          <w:bCs/>
          <w:sz w:val="72"/>
          <w:szCs w:val="72"/>
          <w:highlight w:val="none"/>
        </w:rPr>
        <w:t>建设项目工程总承包合同</w:t>
      </w:r>
    </w:p>
    <w:p>
      <w:pPr>
        <w:pStyle w:val="25"/>
        <w:rPr>
          <w:rFonts w:hint="eastAsia" w:ascii="宋体" w:hAnsi="宋体" w:eastAsia="宋体" w:cs="宋体"/>
          <w:b w:val="0"/>
          <w:bCs/>
          <w:sz w:val="52"/>
          <w:szCs w:val="52"/>
          <w:highlight w:val="none"/>
        </w:rPr>
      </w:pPr>
      <w:r>
        <w:rPr>
          <w:rFonts w:hint="eastAsia" w:ascii="宋体" w:hAnsi="宋体" w:eastAsia="宋体" w:cs="宋体"/>
          <w:b w:val="0"/>
          <w:bCs/>
          <w:sz w:val="52"/>
          <w:szCs w:val="52"/>
          <w:highlight w:val="none"/>
        </w:rPr>
        <w:t>（示范文本）</w:t>
      </w:r>
    </w:p>
    <w:p>
      <w:pPr>
        <w:pStyle w:val="25"/>
        <w:rPr>
          <w:rFonts w:ascii="华文中宋" w:hAnsi="华文中宋" w:eastAsia="华文中宋"/>
          <w:sz w:val="40"/>
          <w:szCs w:val="40"/>
          <w:highlight w:val="none"/>
        </w:rPr>
      </w:pPr>
    </w:p>
    <w:p>
      <w:pPr>
        <w:pStyle w:val="25"/>
        <w:rPr>
          <w:rFonts w:ascii="华文中宋" w:hAnsi="华文中宋" w:eastAsia="华文中宋"/>
          <w:sz w:val="40"/>
          <w:szCs w:val="40"/>
          <w:highlight w:val="none"/>
        </w:rPr>
      </w:pPr>
    </w:p>
    <w:p>
      <w:pPr>
        <w:rPr>
          <w:highlight w:val="none"/>
        </w:rPr>
      </w:pPr>
    </w:p>
    <w:p>
      <w:pPr>
        <w:pStyle w:val="25"/>
        <w:rPr>
          <w:rFonts w:ascii="华文中宋" w:hAnsi="华文中宋" w:eastAsia="华文中宋"/>
          <w:sz w:val="40"/>
          <w:szCs w:val="40"/>
          <w:highlight w:val="none"/>
        </w:rPr>
      </w:pPr>
    </w:p>
    <w:p>
      <w:pPr>
        <w:rPr>
          <w:highlight w:val="none"/>
        </w:rPr>
      </w:pPr>
    </w:p>
    <w:p>
      <w:pPr>
        <w:wordWrap/>
        <w:topLinePunct w:val="0"/>
        <w:ind w:right="2182" w:rightChars="1039" w:firstLine="0" w:firstLineChars="0"/>
        <w:jc w:val="distribute"/>
        <w:rPr>
          <w:rFonts w:hint="eastAsia"/>
          <w:b/>
          <w:bCs/>
          <w:sz w:val="32"/>
          <w:szCs w:val="32"/>
          <w:highlight w:val="none"/>
        </w:rPr>
      </w:pPr>
    </w:p>
    <w:p>
      <w:pPr>
        <w:tabs>
          <w:tab w:val="left" w:pos="7560"/>
        </w:tabs>
        <w:wordWrap/>
        <w:topLinePunct w:val="0"/>
        <w:ind w:right="176" w:rightChars="84" w:firstLine="0" w:firstLineChars="0"/>
        <w:jc w:val="center"/>
        <w:rPr>
          <w:b/>
          <w:bCs/>
          <w:sz w:val="32"/>
          <w:szCs w:val="32"/>
          <w:highlight w:val="none"/>
        </w:rPr>
      </w:pPr>
      <w:r>
        <w:rPr>
          <w:rFonts w:hint="eastAsia"/>
          <w:b/>
          <w:bCs/>
          <w:sz w:val="32"/>
          <w:szCs w:val="32"/>
          <w:highlight w:val="none"/>
        </w:rPr>
        <w:t>中华人民共和国</w:t>
      </w:r>
      <w:r>
        <w:rPr>
          <w:b/>
          <w:bCs/>
          <w:sz w:val="32"/>
          <w:szCs w:val="32"/>
          <w:highlight w:val="none"/>
        </w:rPr>
        <w:t>住房</w:t>
      </w:r>
      <w:r>
        <w:rPr>
          <w:rFonts w:hint="eastAsia"/>
          <w:b/>
          <w:bCs/>
          <w:sz w:val="32"/>
          <w:szCs w:val="32"/>
          <w:highlight w:val="none"/>
        </w:rPr>
        <w:t>和</w:t>
      </w:r>
      <w:r>
        <w:rPr>
          <w:b/>
          <w:bCs/>
          <w:sz w:val="32"/>
          <w:szCs w:val="32"/>
          <w:highlight w:val="none"/>
        </w:rPr>
        <w:t>城乡建设部</w:t>
      </w:r>
    </w:p>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b/>
          <w:color w:val="000000"/>
          <w:sz w:val="32"/>
          <w:szCs w:val="28"/>
          <w:highlight w:val="none"/>
        </w:rPr>
      </w:pPr>
      <w:r>
        <w:rPr>
          <w:b/>
          <w:bCs/>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4884420</wp:posOffset>
                </wp:positionH>
                <wp:positionV relativeFrom="paragraph">
                  <wp:posOffset>116205</wp:posOffset>
                </wp:positionV>
                <wp:extent cx="754380" cy="354965"/>
                <wp:effectExtent l="0" t="0" r="7620" b="10795"/>
                <wp:wrapNone/>
                <wp:docPr id="9" name="文本框 9"/>
                <wp:cNvGraphicFramePr/>
                <a:graphic xmlns:a="http://schemas.openxmlformats.org/drawingml/2006/main">
                  <a:graphicData uri="http://schemas.microsoft.com/office/word/2010/wordprocessingShape">
                    <wps:wsp>
                      <wps:cNvSpPr txBox="1"/>
                      <wps:spPr>
                        <a:xfrm>
                          <a:off x="0" y="0"/>
                          <a:ext cx="754380" cy="354965"/>
                        </a:xfrm>
                        <a:prstGeom prst="rect">
                          <a:avLst/>
                        </a:prstGeom>
                        <a:solidFill>
                          <a:srgbClr val="FFFFFF"/>
                        </a:solidFill>
                        <a:ln>
                          <a:noFill/>
                        </a:ln>
                      </wps:spPr>
                      <wps:txbx>
                        <w:txbxContent>
                          <w:p>
                            <w:pPr>
                              <w:wordWrap/>
                              <w:topLinePunct w:val="0"/>
                              <w:spacing w:after="0" w:afterLines="0" w:line="240" w:lineRule="auto"/>
                              <w:ind w:firstLine="0" w:firstLineChars="0"/>
                              <w:jc w:val="center"/>
                              <w:rPr>
                                <w:b/>
                                <w:bCs/>
                                <w:sz w:val="32"/>
                                <w:szCs w:val="32"/>
                              </w:rPr>
                            </w:pPr>
                            <w:r>
                              <w:rPr>
                                <w:rFonts w:hint="eastAsia"/>
                                <w:b/>
                                <w:bCs/>
                                <w:sz w:val="32"/>
                                <w:szCs w:val="32"/>
                              </w:rPr>
                              <w:t>制定</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84.6pt;margin-top:9.15pt;height:27.95pt;width:59.4pt;z-index:251659264;mso-width-relative:page;mso-height-relative:margin;mso-height-percent:200;" fillcolor="#FFFFFF" filled="t" stroked="f" coordsize="21600,21600" o:gfxdata="UEsDBAoAAAAAAIdO4kAAAAAAAAAAAAAAAAAEAAAAZHJzL1BLAwQUAAAACACHTuJA9fBidtcAAAAJ&#10;AQAADwAAAGRycy9kb3ducmV2LnhtbE2PwU7DMBBE70j8g7VI3KjTAMWEOBWi4sIBiYLUHt3YiSPs&#10;dWS7afh7lhM9ruZp9k29nr1jk4lpCChhuSiAGWyDHrCX8PX5eiOApaxQKxfQSPgxCdbN5UWtKh1O&#10;+GGmbe4ZlWCqlASb81hxnlprvEqLMBqkrAvRq0xn7LmO6kTl3vGyKFbcqwHpg1WjebGm/d4evYSd&#10;t4PexPd9p920eeue78c5jlJeXy2LJ2DZzPkfhj99UoeGnA7hiDoxJ+Fh9VgSSoG4BUaAEILGHSi5&#10;K4E3NT9f0PwCUEsDBBQAAAAIAIdO4kBblNAFzAEAAJADAAAOAAAAZHJzL2Uyb0RvYy54bWytU8GO&#10;0zAQvSPxD5bvNO3udtlGTVdAVS4IkBY+wHWcxJLtsTxum/4A/AEnLtz5rn7Hjp1sF5bLHsjBsWee&#10;n+e9sZe3vTVsrwJqcBWfTaacKSeh1q6t+Ncvm1c3nGEUrhYGnKr4USG/Xb18sTz4Ul1AB6ZWgRGJ&#10;w/LgK97F6MuiQNkpK3ACXjlKNhCsiLQMbVEHcSB2a4qL6fS6OECofQCpECm6HpJ8ZAzPIYSm0VKt&#10;Qe6scnFgDcqISJKw0x75KlfbNErGT02DKjJTcVIa80iH0HybxmK1FGUbhO+0HEsQzynhiSYrtKND&#10;z1RrEQXbBf0PldUyAEITJxJsMQjJjpCK2fSJN3ed8CprIavRn03H/0crP+4/B6brii84c8JSw08/&#10;vp9+/j79+sYWyZ6Dx5JQd55wsX8LPV2ahzhSMKnum2DTn/QwypO5x7O5qo9MUvD1/OryhjKSUpfz&#10;q8X1PLEUj5t9wPhegWVpUvFAvcuWiv0HjAP0AZLOQjC63mhj8iK023cmsL2gPm/yN7L/BTMugR2k&#10;bQNjihRJ4iAlzWK/7UfdW6iPJHvng247qmmWC0L/ZheJIxeVdgywkYgalWWNlyrdhD/XGfX4kFb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fBidtcAAAAJAQAADwAAAAAAAAABACAAAAAiAAAAZHJz&#10;L2Rvd25yZXYueG1sUEsBAhQAFAAAAAgAh07iQFuU0AXMAQAAkAMAAA4AAAAAAAAAAQAgAAAAJgEA&#10;AGRycy9lMm9Eb2MueG1sUEsFBgAAAAAGAAYAWQEAAGQFAAAAAA==&#10;">
                <v:fill on="t" focussize="0,0"/>
                <v:stroke on="f"/>
                <v:imagedata o:title=""/>
                <o:lock v:ext="edit" aspectratio="f"/>
                <v:textbox style="mso-fit-shape-to-text:t;">
                  <w:txbxContent>
                    <w:p>
                      <w:pPr>
                        <w:wordWrap/>
                        <w:topLinePunct w:val="0"/>
                        <w:spacing w:after="0" w:afterLines="0" w:line="240" w:lineRule="auto"/>
                        <w:ind w:firstLine="0" w:firstLineChars="0"/>
                        <w:jc w:val="center"/>
                        <w:rPr>
                          <w:b/>
                          <w:bCs/>
                          <w:sz w:val="32"/>
                          <w:szCs w:val="32"/>
                        </w:rPr>
                      </w:pPr>
                      <w:r>
                        <w:rPr>
                          <w:rFonts w:hint="eastAsia"/>
                          <w:b/>
                          <w:bCs/>
                          <w:sz w:val="32"/>
                          <w:szCs w:val="32"/>
                        </w:rPr>
                        <w:t>制定</w:t>
                      </w:r>
                    </w:p>
                  </w:txbxContent>
                </v:textbox>
              </v:shape>
            </w:pict>
          </mc:Fallback>
        </mc:AlternateContent>
      </w:r>
    </w:p>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sz w:val="28"/>
          <w:szCs w:val="28"/>
          <w:highlight w:val="none"/>
        </w:rPr>
      </w:pPr>
      <w:r>
        <w:rPr>
          <w:rFonts w:hint="eastAsia"/>
          <w:b/>
          <w:color w:val="000000"/>
          <w:spacing w:val="96"/>
          <w:sz w:val="32"/>
          <w:szCs w:val="28"/>
          <w:highlight w:val="none"/>
        </w:rPr>
        <w:t>国家</w:t>
      </w:r>
      <w:r>
        <w:rPr>
          <w:rFonts w:hint="eastAsia"/>
          <w:b/>
          <w:bCs/>
          <w:spacing w:val="96"/>
          <w:sz w:val="32"/>
          <w:szCs w:val="32"/>
          <w:highlight w:val="none"/>
        </w:rPr>
        <w:t>市场监</w:t>
      </w:r>
      <w:r>
        <w:rPr>
          <w:rFonts w:hint="eastAsia"/>
          <w:b/>
          <w:color w:val="000000"/>
          <w:spacing w:val="96"/>
          <w:sz w:val="32"/>
          <w:szCs w:val="28"/>
          <w:highlight w:val="none"/>
        </w:rPr>
        <w:t>督</w:t>
      </w:r>
      <w:r>
        <w:rPr>
          <w:rFonts w:hint="eastAsia"/>
          <w:b/>
          <w:bCs/>
          <w:spacing w:val="96"/>
          <w:sz w:val="32"/>
          <w:szCs w:val="32"/>
          <w:highlight w:val="none"/>
        </w:rPr>
        <w:t>管理</w:t>
      </w:r>
      <w:r>
        <w:rPr>
          <w:b/>
          <w:bCs/>
          <w:spacing w:val="96"/>
          <w:sz w:val="32"/>
          <w:szCs w:val="32"/>
          <w:highlight w:val="none"/>
        </w:rPr>
        <w:t>总局</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pStyle w:val="26"/>
        <w:keepNext w:val="0"/>
        <w:keepLines w:val="0"/>
        <w:widowControl/>
        <w:adjustRightInd w:val="0"/>
        <w:snapToGrid w:val="0"/>
        <w:spacing w:before="0" w:after="50" w:line="360" w:lineRule="auto"/>
        <w:rPr>
          <w:rFonts w:ascii="华文中宋" w:hAnsi="华文中宋" w:eastAsia="华文中宋"/>
          <w:sz w:val="44"/>
          <w:szCs w:val="52"/>
          <w:highlight w:val="none"/>
        </w:rPr>
      </w:pPr>
      <w:r>
        <w:rPr>
          <w:rFonts w:hint="eastAsia" w:ascii="华文中宋" w:hAnsi="华文中宋" w:eastAsia="华文中宋"/>
          <w:sz w:val="44"/>
          <w:szCs w:val="52"/>
          <w:highlight w:val="none"/>
        </w:rPr>
        <w:t>第一部分</w:t>
      </w:r>
      <w:r>
        <w:rPr>
          <w:rFonts w:ascii="华文中宋" w:hAnsi="华文中宋" w:eastAsia="华文中宋"/>
          <w:sz w:val="44"/>
          <w:szCs w:val="52"/>
          <w:highlight w:val="none"/>
        </w:rPr>
        <w:t xml:space="preserve"> </w:t>
      </w:r>
      <w:r>
        <w:rPr>
          <w:rFonts w:hint="eastAsia" w:ascii="华文中宋" w:hAnsi="华文中宋" w:eastAsia="华文中宋"/>
          <w:sz w:val="44"/>
          <w:szCs w:val="52"/>
          <w:highlight w:val="none"/>
        </w:rPr>
        <w:t>合同协议书</w:t>
      </w:r>
    </w:p>
    <w:p>
      <w:pPr>
        <w:wordWrap/>
        <w:topLinePunct w:val="0"/>
        <w:ind w:firstLine="600"/>
        <w:rPr>
          <w:rFonts w:ascii="仿宋_GB2312" w:eastAsia="仿宋_GB2312"/>
          <w:sz w:val="30"/>
          <w:szCs w:val="30"/>
          <w:highlight w:val="none"/>
          <w:u w:val="single"/>
        </w:rPr>
      </w:pPr>
      <w:r>
        <w:rPr>
          <w:rFonts w:hint="eastAsia" w:ascii="仿宋_GB2312" w:eastAsia="仿宋_GB2312"/>
          <w:sz w:val="30"/>
          <w:szCs w:val="30"/>
          <w:highlight w:val="none"/>
        </w:rPr>
        <w:t>发包人（全称）：</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新郑市交通运输局</w:t>
      </w:r>
      <w:r>
        <w:rPr>
          <w:rFonts w:ascii="仿宋_GB2312" w:eastAsia="仿宋_GB2312"/>
          <w:sz w:val="30"/>
          <w:szCs w:val="30"/>
          <w:highlight w:val="none"/>
          <w:u w:val="single"/>
        </w:rPr>
        <w:t xml:space="preserve"> </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承包人（全称）：</w:t>
      </w:r>
      <w:r>
        <w:rPr>
          <w:rFonts w:ascii="仿宋_GB2312" w:eastAsia="仿宋_GB2312"/>
          <w:sz w:val="30"/>
          <w:szCs w:val="30"/>
          <w:highlight w:val="none"/>
          <w:u w:val="single"/>
        </w:rPr>
        <w:t xml:space="preserve">                                    </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根据《中华人民共和国民法典》、《中华人民共和国建筑法》及有关法律规定，遵循平等、自愿、公平和诚实信用的原则，双方就</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郑州至南阳高速郑州至许昌段项目新郑境涉及电力、燃气迁改工程</w:t>
      </w:r>
      <w:r>
        <w:rPr>
          <w:rFonts w:ascii="仿宋_GB2312" w:eastAsia="仿宋_GB2312"/>
          <w:sz w:val="30"/>
          <w:szCs w:val="30"/>
          <w:highlight w:val="none"/>
          <w:u w:val="single"/>
        </w:rPr>
        <w:t xml:space="preserve"> </w:t>
      </w:r>
      <w:r>
        <w:rPr>
          <w:rFonts w:hint="eastAsia" w:ascii="仿宋_GB2312" w:eastAsia="仿宋_GB2312"/>
          <w:sz w:val="30"/>
          <w:szCs w:val="30"/>
          <w:highlight w:val="none"/>
        </w:rPr>
        <w:t>项目的工程总承包及有关事项协商一致，共同达成如下协议：</w:t>
      </w:r>
    </w:p>
    <w:p>
      <w:pPr>
        <w:pStyle w:val="27"/>
        <w:numPr>
          <w:ilvl w:val="0"/>
          <w:numId w:val="0"/>
        </w:numPr>
        <w:wordWrap/>
        <w:topLinePunct w:val="0"/>
        <w:rPr>
          <w:rFonts w:ascii="黑体" w:hAnsi="黑体" w:eastAsia="黑体"/>
          <w:b w:val="0"/>
          <w:bCs/>
          <w:sz w:val="30"/>
          <w:szCs w:val="30"/>
          <w:highlight w:val="none"/>
        </w:rPr>
      </w:pPr>
      <w:bookmarkStart w:id="20" w:name="_Toc54862165"/>
      <w:r>
        <w:rPr>
          <w:rFonts w:hint="eastAsia" w:ascii="黑体" w:hAnsi="黑体" w:eastAsia="黑体"/>
          <w:b w:val="0"/>
          <w:bCs/>
          <w:sz w:val="30"/>
          <w:szCs w:val="30"/>
          <w:highlight w:val="none"/>
        </w:rPr>
        <w:t>一、工程概况</w:t>
      </w:r>
      <w:bookmarkEnd w:id="20"/>
    </w:p>
    <w:p>
      <w:pPr>
        <w:ind w:firstLine="600"/>
        <w:rPr>
          <w:rFonts w:ascii="仿宋_GB2312" w:eastAsia="仿宋_GB2312"/>
          <w:sz w:val="30"/>
          <w:szCs w:val="30"/>
          <w:highlight w:val="none"/>
        </w:rPr>
      </w:pPr>
      <w:r>
        <w:rPr>
          <w:rFonts w:hint="eastAsia" w:ascii="仿宋_GB2312" w:eastAsia="仿宋_GB2312"/>
          <w:sz w:val="30"/>
          <w:szCs w:val="30"/>
          <w:highlight w:val="none"/>
        </w:rPr>
        <w:t>1. 工程名称：</w:t>
      </w:r>
      <w:r>
        <w:rPr>
          <w:rFonts w:hint="eastAsia" w:ascii="仿宋_GB2312" w:eastAsia="仿宋_GB2312"/>
          <w:sz w:val="30"/>
          <w:szCs w:val="30"/>
          <w:highlight w:val="none"/>
          <w:u w:val="single"/>
        </w:rPr>
        <w:t>郑州至南阳高速郑州至许昌段项目新郑境涉及电力、燃气迁改工程</w:t>
      </w:r>
      <w:r>
        <w:rPr>
          <w:rFonts w:hint="eastAsia" w:ascii="仿宋_GB2312" w:eastAsia="仿宋_GB2312"/>
          <w:sz w:val="30"/>
          <w:szCs w:val="30"/>
          <w:highlight w:val="none"/>
        </w:rPr>
        <w:t>。</w:t>
      </w:r>
    </w:p>
    <w:p>
      <w:pPr>
        <w:ind w:firstLine="600"/>
        <w:rPr>
          <w:rFonts w:ascii="仿宋_GB2312" w:eastAsia="仿宋_GB2312"/>
          <w:sz w:val="30"/>
          <w:szCs w:val="30"/>
          <w:highlight w:val="none"/>
        </w:rPr>
      </w:pPr>
      <w:r>
        <w:rPr>
          <w:rFonts w:hint="eastAsia" w:ascii="仿宋_GB2312" w:eastAsia="仿宋_GB2312"/>
          <w:sz w:val="30"/>
          <w:szCs w:val="30"/>
          <w:highlight w:val="none"/>
        </w:rPr>
        <w:t>2. 工程地点：</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新郑市境内</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ind w:firstLine="600"/>
        <w:rPr>
          <w:rFonts w:ascii="仿宋_GB2312" w:eastAsia="仿宋_GB2312"/>
          <w:sz w:val="30"/>
          <w:szCs w:val="30"/>
          <w:highlight w:val="none"/>
        </w:rPr>
      </w:pPr>
      <w:r>
        <w:rPr>
          <w:rFonts w:hint="eastAsia" w:ascii="仿宋_GB2312" w:eastAsia="仿宋_GB2312"/>
          <w:sz w:val="30"/>
          <w:szCs w:val="30"/>
          <w:highlight w:val="none"/>
        </w:rPr>
        <w:t>3. 工程审批、核准或备案文号：</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ind w:firstLine="600"/>
        <w:rPr>
          <w:rFonts w:ascii="仿宋_GB2312" w:eastAsia="仿宋_GB2312"/>
          <w:sz w:val="30"/>
          <w:szCs w:val="30"/>
          <w:highlight w:val="none"/>
        </w:rPr>
      </w:pPr>
      <w:r>
        <w:rPr>
          <w:rFonts w:hint="eastAsia" w:ascii="仿宋_GB2312" w:eastAsia="仿宋_GB2312"/>
          <w:sz w:val="30"/>
          <w:szCs w:val="30"/>
          <w:highlight w:val="none"/>
        </w:rPr>
        <w:t>4. 资金来源：</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上级专项资金</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ind w:firstLine="600"/>
        <w:rPr>
          <w:rFonts w:ascii="仿宋_GB2312" w:eastAsia="仿宋_GB2312"/>
          <w:sz w:val="30"/>
          <w:szCs w:val="30"/>
          <w:highlight w:val="none"/>
        </w:rPr>
      </w:pPr>
      <w:r>
        <w:rPr>
          <w:rFonts w:hint="eastAsia" w:ascii="仿宋_GB2312" w:eastAsia="仿宋_GB2312"/>
          <w:sz w:val="30"/>
          <w:szCs w:val="30"/>
          <w:highlight w:val="none"/>
        </w:rPr>
        <w:t>5. 工程内容及规模：</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ind w:firstLine="600"/>
        <w:rPr>
          <w:rFonts w:ascii="仿宋_GB2312" w:eastAsia="仿宋_GB2312"/>
          <w:sz w:val="30"/>
          <w:szCs w:val="30"/>
          <w:highlight w:val="none"/>
        </w:rPr>
      </w:pPr>
      <w:r>
        <w:rPr>
          <w:rFonts w:hint="eastAsia" w:ascii="仿宋_GB2312" w:eastAsia="仿宋_GB2312"/>
          <w:sz w:val="30"/>
          <w:szCs w:val="30"/>
          <w:highlight w:val="none"/>
        </w:rPr>
        <w:t>6. 工程承包范围：</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EPC施工总承包（包括设计、材料设备采购、施工、竣工验收、移交、备案、保修及缺陷责任期内的缺陷修复）</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pStyle w:val="27"/>
        <w:numPr>
          <w:ilvl w:val="0"/>
          <w:numId w:val="0"/>
        </w:numPr>
        <w:wordWrap/>
        <w:topLinePunct w:val="0"/>
        <w:rPr>
          <w:rFonts w:ascii="黑体" w:hAnsi="黑体" w:eastAsia="黑体"/>
          <w:b w:val="0"/>
          <w:bCs/>
          <w:sz w:val="30"/>
          <w:szCs w:val="30"/>
          <w:highlight w:val="none"/>
        </w:rPr>
      </w:pPr>
      <w:bookmarkStart w:id="21" w:name="_Toc54862166"/>
      <w:r>
        <w:rPr>
          <w:rFonts w:hint="eastAsia" w:ascii="黑体" w:hAnsi="黑体" w:eastAsia="黑体"/>
          <w:b w:val="0"/>
          <w:bCs/>
          <w:sz w:val="30"/>
          <w:szCs w:val="30"/>
          <w:highlight w:val="none"/>
        </w:rPr>
        <w:t>二、合同工期</w:t>
      </w:r>
      <w:bookmarkEnd w:id="21"/>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计划开始工作日期：</w:t>
      </w:r>
      <w:r>
        <w:rPr>
          <w:rFonts w:ascii="仿宋_GB2312" w:eastAsia="仿宋_GB2312"/>
          <w:sz w:val="30"/>
          <w:szCs w:val="30"/>
          <w:highlight w:val="none"/>
          <w:u w:val="single"/>
        </w:rPr>
        <w:t xml:space="preserve">         </w:t>
      </w:r>
      <w:r>
        <w:rPr>
          <w:rFonts w:hint="eastAsia" w:ascii="仿宋_GB2312" w:eastAsia="仿宋_GB2312"/>
          <w:sz w:val="30"/>
          <w:szCs w:val="30"/>
          <w:highlight w:val="none"/>
        </w:rPr>
        <w:t>年</w:t>
      </w:r>
      <w:r>
        <w:rPr>
          <w:rFonts w:ascii="仿宋_GB2312" w:eastAsia="仿宋_GB2312"/>
          <w:sz w:val="30"/>
          <w:szCs w:val="30"/>
          <w:highlight w:val="none"/>
          <w:u w:val="single"/>
        </w:rPr>
        <w:t xml:space="preserve">     </w:t>
      </w:r>
      <w:r>
        <w:rPr>
          <w:rFonts w:hint="eastAsia" w:ascii="仿宋_GB2312" w:eastAsia="仿宋_GB2312"/>
          <w:sz w:val="30"/>
          <w:szCs w:val="30"/>
          <w:highlight w:val="none"/>
        </w:rPr>
        <w:t>月</w:t>
      </w:r>
      <w:r>
        <w:rPr>
          <w:rFonts w:ascii="仿宋_GB2312" w:eastAsia="仿宋_GB2312"/>
          <w:sz w:val="30"/>
          <w:szCs w:val="30"/>
          <w:highlight w:val="none"/>
          <w:u w:val="single"/>
        </w:rPr>
        <w:t xml:space="preserve">     </w:t>
      </w:r>
      <w:r>
        <w:rPr>
          <w:rFonts w:hint="eastAsia" w:ascii="仿宋_GB2312" w:eastAsia="仿宋_GB2312"/>
          <w:sz w:val="30"/>
          <w:szCs w:val="30"/>
          <w:highlight w:val="none"/>
        </w:rPr>
        <w:t>日。</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计划开始现场施工日期：</w:t>
      </w:r>
      <w:r>
        <w:rPr>
          <w:rFonts w:ascii="仿宋_GB2312" w:eastAsia="仿宋_GB2312"/>
          <w:sz w:val="30"/>
          <w:szCs w:val="30"/>
          <w:highlight w:val="none"/>
          <w:u w:val="single"/>
        </w:rPr>
        <w:t xml:space="preserve">         </w:t>
      </w:r>
      <w:r>
        <w:rPr>
          <w:rFonts w:hint="eastAsia" w:ascii="仿宋_GB2312" w:eastAsia="仿宋_GB2312"/>
          <w:sz w:val="30"/>
          <w:szCs w:val="30"/>
          <w:highlight w:val="none"/>
        </w:rPr>
        <w:t>年</w:t>
      </w:r>
      <w:r>
        <w:rPr>
          <w:rFonts w:ascii="仿宋_GB2312" w:eastAsia="仿宋_GB2312"/>
          <w:sz w:val="30"/>
          <w:szCs w:val="30"/>
          <w:highlight w:val="none"/>
          <w:u w:val="single"/>
        </w:rPr>
        <w:t xml:space="preserve">     </w:t>
      </w:r>
      <w:r>
        <w:rPr>
          <w:rFonts w:hint="eastAsia" w:ascii="仿宋_GB2312" w:eastAsia="仿宋_GB2312"/>
          <w:sz w:val="30"/>
          <w:szCs w:val="30"/>
          <w:highlight w:val="none"/>
        </w:rPr>
        <w:t>月</w:t>
      </w:r>
      <w:r>
        <w:rPr>
          <w:rFonts w:ascii="仿宋_GB2312" w:eastAsia="仿宋_GB2312"/>
          <w:sz w:val="30"/>
          <w:szCs w:val="30"/>
          <w:highlight w:val="none"/>
          <w:u w:val="single"/>
        </w:rPr>
        <w:t xml:space="preserve">     </w:t>
      </w:r>
      <w:r>
        <w:rPr>
          <w:rFonts w:hint="eastAsia" w:ascii="仿宋_GB2312" w:eastAsia="仿宋_GB2312"/>
          <w:sz w:val="30"/>
          <w:szCs w:val="30"/>
          <w:highlight w:val="none"/>
        </w:rPr>
        <w:t>日。</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计划竣工日期：</w:t>
      </w:r>
      <w:r>
        <w:rPr>
          <w:rFonts w:ascii="仿宋_GB2312" w:eastAsia="仿宋_GB2312"/>
          <w:sz w:val="30"/>
          <w:szCs w:val="30"/>
          <w:highlight w:val="none"/>
          <w:u w:val="single"/>
        </w:rPr>
        <w:t xml:space="preserve">         </w:t>
      </w:r>
      <w:r>
        <w:rPr>
          <w:rFonts w:hint="eastAsia" w:ascii="仿宋_GB2312" w:eastAsia="仿宋_GB2312"/>
          <w:sz w:val="30"/>
          <w:szCs w:val="30"/>
          <w:highlight w:val="none"/>
        </w:rPr>
        <w:t>年</w:t>
      </w:r>
      <w:r>
        <w:rPr>
          <w:rFonts w:ascii="仿宋_GB2312" w:eastAsia="仿宋_GB2312"/>
          <w:sz w:val="30"/>
          <w:szCs w:val="30"/>
          <w:highlight w:val="none"/>
          <w:u w:val="single"/>
        </w:rPr>
        <w:t xml:space="preserve">     </w:t>
      </w:r>
      <w:r>
        <w:rPr>
          <w:rFonts w:hint="eastAsia" w:ascii="仿宋_GB2312" w:eastAsia="仿宋_GB2312"/>
          <w:sz w:val="30"/>
          <w:szCs w:val="30"/>
          <w:highlight w:val="none"/>
        </w:rPr>
        <w:t>月</w:t>
      </w:r>
      <w:r>
        <w:rPr>
          <w:rFonts w:ascii="仿宋_GB2312" w:eastAsia="仿宋_GB2312"/>
          <w:sz w:val="30"/>
          <w:szCs w:val="30"/>
          <w:highlight w:val="none"/>
          <w:u w:val="single"/>
        </w:rPr>
        <w:t xml:space="preserve">     </w:t>
      </w:r>
      <w:r>
        <w:rPr>
          <w:rFonts w:hint="eastAsia" w:ascii="仿宋_GB2312" w:eastAsia="仿宋_GB2312"/>
          <w:sz w:val="30"/>
          <w:szCs w:val="30"/>
          <w:highlight w:val="none"/>
        </w:rPr>
        <w:t>日。</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工期总日历天数：</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18个月</w:t>
      </w:r>
      <w:r>
        <w:rPr>
          <w:rFonts w:ascii="仿宋_GB2312" w:eastAsia="仿宋_GB2312"/>
          <w:sz w:val="30"/>
          <w:szCs w:val="30"/>
          <w:highlight w:val="none"/>
          <w:u w:val="single"/>
        </w:rPr>
        <w:t xml:space="preserve"> </w:t>
      </w:r>
      <w:r>
        <w:rPr>
          <w:rFonts w:hint="eastAsia" w:ascii="仿宋_GB2312" w:eastAsia="仿宋_GB2312"/>
          <w:sz w:val="30"/>
          <w:szCs w:val="30"/>
          <w:highlight w:val="none"/>
        </w:rPr>
        <w:t>，工期总日历天数与根据前述计划日期计算的工期天数不一致的，以工期总日历天数为准。</w:t>
      </w:r>
    </w:p>
    <w:p>
      <w:pPr>
        <w:pStyle w:val="27"/>
        <w:numPr>
          <w:ilvl w:val="0"/>
          <w:numId w:val="0"/>
        </w:numPr>
        <w:wordWrap/>
        <w:topLinePunct w:val="0"/>
        <w:rPr>
          <w:rFonts w:ascii="黑体" w:hAnsi="黑体" w:eastAsia="黑体"/>
          <w:b w:val="0"/>
          <w:bCs/>
          <w:sz w:val="30"/>
          <w:szCs w:val="30"/>
          <w:highlight w:val="none"/>
        </w:rPr>
      </w:pPr>
      <w:bookmarkStart w:id="22" w:name="_Toc54862167"/>
      <w:r>
        <w:rPr>
          <w:rFonts w:hint="eastAsia" w:ascii="黑体" w:hAnsi="黑体" w:eastAsia="黑体"/>
          <w:b w:val="0"/>
          <w:bCs/>
          <w:sz w:val="30"/>
          <w:szCs w:val="30"/>
          <w:highlight w:val="none"/>
        </w:rPr>
        <w:t>三、质量标准</w:t>
      </w:r>
      <w:bookmarkEnd w:id="22"/>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rPr>
        <w:t>工程质量标准：</w:t>
      </w:r>
      <w:r>
        <w:rPr>
          <w:rFonts w:hint="eastAsia" w:ascii="仿宋_GB2312" w:eastAsia="仿宋_GB2312"/>
          <w:sz w:val="30"/>
          <w:szCs w:val="30"/>
          <w:highlight w:val="none"/>
          <w:u w:val="single"/>
        </w:rPr>
        <w:t xml:space="preserve"> </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设计质量标准：符合现行国家、地方及行业相关设计规范合格标准，设计成果文件应通过施工图审查机构等有关部门的审查并审查合格；</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u w:val="single"/>
        </w:rPr>
        <w:t>施工质量标准：符合《工程施工质量验收规范》合格标准及国家、行业及地方相关施工验收规范合格标准</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pStyle w:val="27"/>
        <w:numPr>
          <w:ilvl w:val="0"/>
          <w:numId w:val="0"/>
        </w:numPr>
        <w:wordWrap/>
        <w:topLinePunct w:val="0"/>
        <w:rPr>
          <w:rFonts w:ascii="黑体" w:hAnsi="黑体" w:eastAsia="黑体"/>
          <w:b w:val="0"/>
          <w:bCs/>
          <w:sz w:val="30"/>
          <w:szCs w:val="30"/>
          <w:highlight w:val="none"/>
        </w:rPr>
      </w:pPr>
      <w:bookmarkStart w:id="23" w:name="_Toc54862168"/>
      <w:r>
        <w:rPr>
          <w:rFonts w:hint="eastAsia" w:ascii="黑体" w:hAnsi="黑体" w:eastAsia="黑体"/>
          <w:b w:val="0"/>
          <w:bCs/>
          <w:sz w:val="30"/>
          <w:szCs w:val="30"/>
          <w:highlight w:val="none"/>
        </w:rPr>
        <w:t>四、签约合同价与合同价格形式</w:t>
      </w:r>
      <w:bookmarkEnd w:id="23"/>
    </w:p>
    <w:p>
      <w:pPr>
        <w:ind w:firstLine="600"/>
        <w:rPr>
          <w:rFonts w:ascii="仿宋_GB2312" w:eastAsia="仿宋_GB2312"/>
          <w:sz w:val="30"/>
          <w:szCs w:val="30"/>
          <w:highlight w:val="none"/>
        </w:rPr>
      </w:pPr>
      <w:r>
        <w:rPr>
          <w:rFonts w:hint="eastAsia" w:ascii="仿宋_GB2312" w:eastAsia="仿宋_GB2312"/>
          <w:sz w:val="30"/>
          <w:szCs w:val="30"/>
          <w:highlight w:val="none"/>
        </w:rPr>
        <w:t>1. 签约合同价（含税）为：</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 xml:space="preserve">人民币（大写) </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元）。</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 xml:space="preserve">具体构成详见价格清单。其中： </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（1） 设计费（含税）：</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 xml:space="preserve">人民币（大写) </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元）；适用税率：</w:t>
      </w:r>
      <w:r>
        <w:rPr>
          <w:rFonts w:ascii="仿宋_GB2312" w:eastAsia="仿宋_GB2312"/>
          <w:sz w:val="30"/>
          <w:szCs w:val="30"/>
          <w:highlight w:val="none"/>
          <w:u w:val="single"/>
        </w:rPr>
        <w:t xml:space="preserve">    </w:t>
      </w:r>
      <w:r>
        <w:rPr>
          <w:rFonts w:hint="eastAsia" w:ascii="仿宋_GB2312" w:eastAsia="仿宋_GB2312"/>
          <w:sz w:val="30"/>
          <w:szCs w:val="30"/>
          <w:highlight w:val="none"/>
        </w:rPr>
        <w:t>%，税金为人民币（大写)</w:t>
      </w:r>
      <w:r>
        <w:rPr>
          <w:rFonts w:hint="eastAsia" w:ascii="仿宋_GB2312" w:eastAsia="仿宋_GB2312"/>
          <w:sz w:val="30"/>
          <w:szCs w:val="30"/>
          <w:highlight w:val="none"/>
          <w:u w:val="single"/>
        </w:rPr>
        <w:t xml:space="preserve"> </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 xml:space="preserve">元）； </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（2） 设备购置费（含税）：</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 xml:space="preserve">人民币（大写) </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元）；适用税率：</w:t>
      </w:r>
      <w:r>
        <w:rPr>
          <w:rFonts w:ascii="仿宋_GB2312" w:eastAsia="仿宋_GB2312"/>
          <w:sz w:val="30"/>
          <w:szCs w:val="30"/>
          <w:highlight w:val="none"/>
          <w:u w:val="single"/>
        </w:rPr>
        <w:t xml:space="preserve">   </w:t>
      </w:r>
      <w:r>
        <w:rPr>
          <w:rFonts w:hint="eastAsia" w:ascii="仿宋_GB2312" w:eastAsia="仿宋_GB2312"/>
          <w:sz w:val="30"/>
          <w:szCs w:val="30"/>
          <w:highlight w:val="none"/>
        </w:rPr>
        <w:t>%，税金为人民币（大写)</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 xml:space="preserve">元）； </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（3） 建筑安装工程费（含税）：</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人民币（大写)</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元）；适用税率：</w:t>
      </w:r>
      <w:r>
        <w:rPr>
          <w:rFonts w:ascii="仿宋_GB2312" w:eastAsia="仿宋_GB2312"/>
          <w:sz w:val="30"/>
          <w:szCs w:val="30"/>
          <w:highlight w:val="none"/>
          <w:u w:val="single"/>
        </w:rPr>
        <w:t xml:space="preserve">   </w:t>
      </w:r>
      <w:r>
        <w:rPr>
          <w:rFonts w:hint="eastAsia" w:ascii="仿宋_GB2312" w:eastAsia="仿宋_GB2312"/>
          <w:sz w:val="30"/>
          <w:szCs w:val="30"/>
          <w:highlight w:val="none"/>
        </w:rPr>
        <w:t>%，税金为人民币（大写)</w:t>
      </w:r>
      <w:r>
        <w:rPr>
          <w:rFonts w:hint="eastAsia" w:ascii="仿宋_GB2312" w:eastAsia="仿宋_GB2312"/>
          <w:sz w:val="30"/>
          <w:szCs w:val="30"/>
          <w:highlight w:val="none"/>
          <w:u w:val="single"/>
        </w:rPr>
        <w:t xml:space="preserve"> </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 xml:space="preserve">元）； </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4</w:t>
      </w:r>
      <w:r>
        <w:rPr>
          <w:rFonts w:hint="eastAsia" w:ascii="仿宋_GB2312" w:eastAsia="仿宋_GB2312"/>
          <w:sz w:val="30"/>
          <w:szCs w:val="30"/>
          <w:highlight w:val="none"/>
        </w:rPr>
        <w:t>） 暂估价（含税）：</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人民币（大写)</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元）。</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5</w:t>
      </w:r>
      <w:r>
        <w:rPr>
          <w:rFonts w:hint="eastAsia" w:ascii="仿宋_GB2312" w:eastAsia="仿宋_GB2312"/>
          <w:sz w:val="30"/>
          <w:szCs w:val="30"/>
          <w:highlight w:val="none"/>
        </w:rPr>
        <w:t>） 暂列金额（含税）：</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人民币（大写)</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元）。</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6）</w:t>
      </w:r>
      <w:r>
        <w:rPr>
          <w:rFonts w:hint="eastAsia" w:ascii="仿宋_GB2312" w:eastAsia="仿宋_GB2312"/>
          <w:sz w:val="30"/>
          <w:szCs w:val="30"/>
          <w:highlight w:val="none"/>
        </w:rPr>
        <w:t xml:space="preserve"> </w:t>
      </w:r>
      <w:r>
        <w:rPr>
          <w:rFonts w:ascii="仿宋_GB2312" w:eastAsia="仿宋_GB2312"/>
          <w:sz w:val="30"/>
          <w:szCs w:val="30"/>
          <w:highlight w:val="none"/>
        </w:rPr>
        <w:t>双方约定的其他费用</w:t>
      </w:r>
      <w:r>
        <w:rPr>
          <w:rFonts w:hint="eastAsia" w:ascii="仿宋_GB2312" w:eastAsia="仿宋_GB2312"/>
          <w:sz w:val="30"/>
          <w:szCs w:val="30"/>
          <w:highlight w:val="none"/>
        </w:rPr>
        <w:t>（含税）</w:t>
      </w:r>
      <w:r>
        <w:rPr>
          <w:rFonts w:ascii="仿宋_GB2312" w:eastAsia="仿宋_GB2312"/>
          <w:sz w:val="30"/>
          <w:szCs w:val="30"/>
          <w:highlight w:val="none"/>
        </w:rPr>
        <w:t>：</w:t>
      </w:r>
    </w:p>
    <w:p>
      <w:pPr>
        <w:wordWrap/>
        <w:topLinePunct w:val="0"/>
        <w:ind w:firstLine="600"/>
        <w:jc w:val="left"/>
        <w:rPr>
          <w:rFonts w:ascii="仿宋_GB2312" w:eastAsia="仿宋_GB2312"/>
          <w:sz w:val="30"/>
          <w:szCs w:val="30"/>
          <w:highlight w:val="none"/>
        </w:rPr>
      </w:pPr>
      <w:r>
        <w:rPr>
          <w:rFonts w:hint="eastAsia" w:ascii="仿宋_GB2312" w:eastAsia="仿宋_GB2312"/>
          <w:sz w:val="30"/>
          <w:szCs w:val="30"/>
          <w:highlight w:val="none"/>
        </w:rPr>
        <w:t>人民币（大写</w:t>
      </w:r>
      <w:r>
        <w:rPr>
          <w:rFonts w:ascii="仿宋_GB2312" w:eastAsia="仿宋_GB2312"/>
          <w:sz w:val="30"/>
          <w:szCs w:val="30"/>
          <w:highlight w:val="none"/>
        </w:rPr>
        <w:t>)</w:t>
      </w:r>
      <w:r>
        <w:rPr>
          <w:rFonts w:hint="eastAsia" w:ascii="仿宋_GB2312" w:eastAsia="仿宋_GB2312"/>
          <w:sz w:val="30"/>
          <w:szCs w:val="30"/>
          <w:highlight w:val="none"/>
          <w:u w:val="single"/>
        </w:rPr>
        <w:t xml:space="preserve">                </w:t>
      </w:r>
      <w:r>
        <w:rPr>
          <w:rFonts w:ascii="仿宋_GB2312" w:eastAsia="仿宋_GB2312"/>
          <w:sz w:val="30"/>
          <w:szCs w:val="30"/>
          <w:highlight w:val="none"/>
        </w:rPr>
        <w:t>（¥</w:t>
      </w:r>
      <w:r>
        <w:rPr>
          <w:rFonts w:hint="eastAsia" w:ascii="仿宋_GB2312" w:eastAsia="仿宋_GB2312"/>
          <w:sz w:val="30"/>
          <w:szCs w:val="30"/>
          <w:highlight w:val="none"/>
          <w:u w:val="single"/>
        </w:rPr>
        <w:t xml:space="preserve">          </w:t>
      </w:r>
      <w:r>
        <w:rPr>
          <w:rFonts w:ascii="仿宋_GB2312" w:eastAsia="仿宋_GB2312"/>
          <w:sz w:val="30"/>
          <w:szCs w:val="30"/>
          <w:highlight w:val="none"/>
        </w:rPr>
        <w:t>元）；适用税率：</w:t>
      </w:r>
      <w:r>
        <w:rPr>
          <w:rFonts w:hint="eastAsia" w:ascii="仿宋_GB2312" w:eastAsia="仿宋_GB2312"/>
          <w:sz w:val="30"/>
          <w:szCs w:val="30"/>
          <w:highlight w:val="none"/>
          <w:u w:val="single"/>
        </w:rPr>
        <w:t xml:space="preserve">         </w:t>
      </w:r>
      <w:r>
        <w:rPr>
          <w:rFonts w:ascii="仿宋_GB2312" w:eastAsia="仿宋_GB2312"/>
          <w:sz w:val="30"/>
          <w:szCs w:val="30"/>
          <w:highlight w:val="none"/>
        </w:rPr>
        <w:t>%，税金为人民币（大写)</w:t>
      </w:r>
      <w:r>
        <w:rPr>
          <w:rFonts w:hint="eastAsia" w:ascii="仿宋_GB2312" w:eastAsia="仿宋_GB2312"/>
          <w:sz w:val="30"/>
          <w:szCs w:val="30"/>
          <w:highlight w:val="none"/>
          <w:u w:val="single"/>
        </w:rPr>
        <w:t xml:space="preserve">                 </w:t>
      </w:r>
      <w:r>
        <w:rPr>
          <w:rFonts w:ascii="仿宋_GB2312" w:eastAsia="仿宋_GB2312"/>
          <w:sz w:val="30"/>
          <w:szCs w:val="30"/>
          <w:highlight w:val="none"/>
        </w:rPr>
        <w:t>（¥</w:t>
      </w:r>
      <w:r>
        <w:rPr>
          <w:rFonts w:hint="eastAsia" w:ascii="仿宋_GB2312" w:eastAsia="仿宋_GB2312"/>
          <w:sz w:val="30"/>
          <w:szCs w:val="30"/>
          <w:highlight w:val="none"/>
          <w:u w:val="single"/>
        </w:rPr>
        <w:t xml:space="preserve">            </w:t>
      </w:r>
      <w:r>
        <w:rPr>
          <w:rFonts w:ascii="仿宋_GB2312" w:eastAsia="仿宋_GB2312"/>
          <w:sz w:val="30"/>
          <w:szCs w:val="30"/>
          <w:highlight w:val="none"/>
        </w:rPr>
        <w:t>元）。</w:t>
      </w:r>
    </w:p>
    <w:p>
      <w:pPr>
        <w:ind w:firstLine="600"/>
        <w:rPr>
          <w:rFonts w:ascii="仿宋_GB2312" w:eastAsia="仿宋_GB2312"/>
          <w:sz w:val="30"/>
          <w:szCs w:val="30"/>
          <w:highlight w:val="none"/>
        </w:rPr>
      </w:pPr>
      <w:r>
        <w:rPr>
          <w:rFonts w:hint="eastAsia" w:ascii="仿宋_GB2312" w:eastAsia="仿宋_GB2312"/>
          <w:sz w:val="30"/>
          <w:szCs w:val="30"/>
          <w:highlight w:val="none"/>
        </w:rPr>
        <w:t>2. 合同价格形式：</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合同价格形式为总价合同，除根据合同约定的在工程实施过程中需进行增减的款项外，合同价格不予调整，但合同当事人另有约定的除外。</w:t>
      </w:r>
    </w:p>
    <w:p>
      <w:pPr>
        <w:kinsoku w:val="0"/>
        <w:wordWrap/>
        <w:topLinePunct w:val="0"/>
        <w:ind w:left="263" w:leftChars="125" w:firstLine="300" w:firstLineChars="100"/>
        <w:jc w:val="left"/>
        <w:rPr>
          <w:rFonts w:ascii="仿宋_GB2312" w:eastAsia="仿宋_GB2312"/>
          <w:sz w:val="30"/>
          <w:szCs w:val="30"/>
          <w:highlight w:val="none"/>
        </w:rPr>
      </w:pPr>
      <w:r>
        <w:rPr>
          <w:rFonts w:hint="eastAsia" w:ascii="仿宋_GB2312" w:eastAsia="仿宋_GB2312"/>
          <w:sz w:val="30"/>
          <w:szCs w:val="30"/>
          <w:highlight w:val="none"/>
        </w:rPr>
        <w:t>合同当事人对合同价格形式的其他约定：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rPr>
        <w:t>。</w:t>
      </w:r>
    </w:p>
    <w:p>
      <w:pPr>
        <w:pStyle w:val="27"/>
        <w:numPr>
          <w:ilvl w:val="0"/>
          <w:numId w:val="0"/>
        </w:numPr>
        <w:wordWrap/>
        <w:topLinePunct w:val="0"/>
        <w:rPr>
          <w:rFonts w:ascii="黑体" w:hAnsi="黑体" w:eastAsia="黑体"/>
          <w:b w:val="0"/>
          <w:bCs/>
          <w:sz w:val="30"/>
          <w:szCs w:val="30"/>
          <w:highlight w:val="none"/>
        </w:rPr>
      </w:pPr>
      <w:bookmarkStart w:id="24" w:name="_Toc54862169"/>
      <w:r>
        <w:rPr>
          <w:rFonts w:hint="eastAsia" w:ascii="黑体" w:hAnsi="黑体" w:eastAsia="黑体"/>
          <w:b w:val="0"/>
          <w:bCs/>
          <w:sz w:val="30"/>
          <w:szCs w:val="30"/>
          <w:highlight w:val="none"/>
        </w:rPr>
        <w:t>五、工程总承包项目经理</w:t>
      </w:r>
      <w:bookmarkEnd w:id="24"/>
    </w:p>
    <w:p>
      <w:pPr>
        <w:wordWrap/>
        <w:topLinePunct w:val="0"/>
        <w:ind w:firstLine="600"/>
        <w:rPr>
          <w:rFonts w:hint="eastAsia" w:ascii="仿宋_GB2312" w:eastAsia="仿宋_GB2312"/>
          <w:sz w:val="30"/>
          <w:szCs w:val="30"/>
          <w:highlight w:val="none"/>
        </w:rPr>
      </w:pPr>
      <w:r>
        <w:rPr>
          <w:rFonts w:hint="eastAsia" w:ascii="仿宋_GB2312" w:eastAsia="仿宋_GB2312"/>
          <w:sz w:val="30"/>
          <w:szCs w:val="30"/>
          <w:highlight w:val="none"/>
        </w:rPr>
        <w:t>工程总承包项目经理：</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hint="default" w:ascii="仿宋_GB2312" w:eastAsia="仿宋_GB2312"/>
          <w:sz w:val="30"/>
          <w:szCs w:val="30"/>
          <w:highlight w:val="none"/>
          <w:u w:val="single"/>
          <w:lang w:val="en-US" w:eastAsia="zh-CN"/>
        </w:rPr>
      </w:pPr>
      <w:r>
        <w:rPr>
          <w:rFonts w:hint="eastAsia" w:ascii="仿宋_GB2312" w:eastAsia="仿宋_GB2312"/>
          <w:sz w:val="30"/>
          <w:szCs w:val="30"/>
          <w:highlight w:val="none"/>
          <w:lang w:val="en-US" w:eastAsia="zh-CN"/>
        </w:rPr>
        <w:t>设计负责人：</w:t>
      </w:r>
      <w:r>
        <w:rPr>
          <w:rFonts w:hint="eastAsia" w:ascii="仿宋_GB2312" w:eastAsia="仿宋_GB2312"/>
          <w:sz w:val="30"/>
          <w:szCs w:val="30"/>
          <w:highlight w:val="none"/>
          <w:u w:val="single"/>
          <w:lang w:val="en-US" w:eastAsia="zh-CN"/>
        </w:rPr>
        <w:t xml:space="preserve">                                    </w:t>
      </w:r>
    </w:p>
    <w:p>
      <w:pPr>
        <w:wordWrap/>
        <w:topLinePunct w:val="0"/>
        <w:ind w:firstLine="600"/>
        <w:rPr>
          <w:rFonts w:hint="default" w:ascii="仿宋_GB2312" w:eastAsia="仿宋_GB2312"/>
          <w:sz w:val="30"/>
          <w:szCs w:val="30"/>
          <w:highlight w:val="none"/>
          <w:u w:val="single"/>
          <w:lang w:val="en-US" w:eastAsia="zh-CN"/>
        </w:rPr>
      </w:pPr>
      <w:r>
        <w:rPr>
          <w:rFonts w:hint="eastAsia" w:ascii="仿宋_GB2312" w:eastAsia="仿宋_GB2312"/>
          <w:sz w:val="30"/>
          <w:szCs w:val="30"/>
          <w:highlight w:val="none"/>
          <w:lang w:val="en-US" w:eastAsia="zh-CN"/>
        </w:rPr>
        <w:t>施工技术负责人：</w:t>
      </w:r>
      <w:r>
        <w:rPr>
          <w:rFonts w:hint="eastAsia" w:ascii="仿宋_GB2312" w:eastAsia="仿宋_GB2312"/>
          <w:sz w:val="30"/>
          <w:szCs w:val="30"/>
          <w:highlight w:val="none"/>
          <w:u w:val="single"/>
          <w:lang w:val="en-US" w:eastAsia="zh-CN"/>
        </w:rPr>
        <w:t xml:space="preserve">                                </w:t>
      </w:r>
    </w:p>
    <w:p>
      <w:pPr>
        <w:pStyle w:val="27"/>
        <w:numPr>
          <w:ilvl w:val="0"/>
          <w:numId w:val="0"/>
        </w:numPr>
        <w:wordWrap/>
        <w:topLinePunct w:val="0"/>
        <w:rPr>
          <w:rFonts w:ascii="黑体" w:hAnsi="黑体" w:eastAsia="黑体"/>
          <w:b w:val="0"/>
          <w:bCs/>
          <w:sz w:val="30"/>
          <w:szCs w:val="30"/>
          <w:highlight w:val="none"/>
        </w:rPr>
      </w:pPr>
      <w:bookmarkStart w:id="25" w:name="_Toc54862170"/>
      <w:r>
        <w:rPr>
          <w:rFonts w:hint="eastAsia" w:ascii="黑体" w:hAnsi="黑体" w:eastAsia="黑体"/>
          <w:b w:val="0"/>
          <w:bCs/>
          <w:sz w:val="30"/>
          <w:szCs w:val="30"/>
          <w:highlight w:val="none"/>
        </w:rPr>
        <w:t>六、合同文件构成</w:t>
      </w:r>
      <w:bookmarkEnd w:id="25"/>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 xml:space="preserve">本协议书与下列文件一起构成合同文件： </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（1） 中标通知书（如果有）；</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（2） 投标函及投标函附录（如果有）；</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（3） 专用合同条件及《发包人要求》等附件；</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（4） 通用合同条件；</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5</w:t>
      </w:r>
      <w:r>
        <w:rPr>
          <w:rFonts w:hint="eastAsia" w:ascii="仿宋_GB2312" w:eastAsia="仿宋_GB2312"/>
          <w:sz w:val="30"/>
          <w:szCs w:val="30"/>
          <w:highlight w:val="none"/>
        </w:rPr>
        <w:t xml:space="preserve">） 承包人建议书； </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6</w:t>
      </w:r>
      <w:r>
        <w:rPr>
          <w:rFonts w:hint="eastAsia" w:ascii="仿宋_GB2312" w:eastAsia="仿宋_GB2312"/>
          <w:sz w:val="30"/>
          <w:szCs w:val="30"/>
          <w:highlight w:val="none"/>
        </w:rPr>
        <w:t>） 价格清单；</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7</w:t>
      </w:r>
      <w:r>
        <w:rPr>
          <w:rFonts w:hint="eastAsia" w:ascii="仿宋_GB2312" w:eastAsia="仿宋_GB2312"/>
          <w:sz w:val="30"/>
          <w:szCs w:val="30"/>
          <w:highlight w:val="none"/>
        </w:rPr>
        <w:t>） 双方约定的其他合同文件。</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上述各项合同文件包括双方就该项合同文件所作出的补充和修改，属于同一类内容的合同文件应以最新签署的为准。专用合同条件及其附件须经合同当事人签字或盖章。</w:t>
      </w:r>
    </w:p>
    <w:p>
      <w:pPr>
        <w:pStyle w:val="27"/>
        <w:numPr>
          <w:ilvl w:val="0"/>
          <w:numId w:val="0"/>
        </w:numPr>
        <w:wordWrap/>
        <w:topLinePunct w:val="0"/>
        <w:rPr>
          <w:rFonts w:ascii="黑体" w:hAnsi="黑体" w:eastAsia="黑体"/>
          <w:b w:val="0"/>
          <w:bCs/>
          <w:sz w:val="30"/>
          <w:szCs w:val="30"/>
          <w:highlight w:val="none"/>
        </w:rPr>
      </w:pPr>
      <w:bookmarkStart w:id="26" w:name="_Toc54862171"/>
      <w:r>
        <w:rPr>
          <w:rFonts w:hint="eastAsia" w:ascii="黑体" w:hAnsi="黑体" w:eastAsia="黑体"/>
          <w:b w:val="0"/>
          <w:bCs/>
          <w:sz w:val="30"/>
          <w:szCs w:val="30"/>
          <w:highlight w:val="none"/>
        </w:rPr>
        <w:t>七、承诺</w:t>
      </w:r>
      <w:bookmarkEnd w:id="26"/>
    </w:p>
    <w:p>
      <w:pPr>
        <w:ind w:firstLine="600"/>
        <w:rPr>
          <w:rFonts w:ascii="仿宋_GB2312" w:eastAsia="仿宋_GB2312"/>
          <w:sz w:val="30"/>
          <w:szCs w:val="30"/>
          <w:highlight w:val="none"/>
        </w:rPr>
      </w:pPr>
      <w:r>
        <w:rPr>
          <w:rFonts w:hint="eastAsia" w:ascii="仿宋_GB2312" w:eastAsia="仿宋_GB2312"/>
          <w:sz w:val="30"/>
          <w:szCs w:val="30"/>
          <w:highlight w:val="none"/>
        </w:rPr>
        <w:t>1. 发包人承诺按照法律规定履行项目审批手续、筹集工程建设资金并按照合同约定的期限和方式支付合同价款。</w:t>
      </w:r>
    </w:p>
    <w:p>
      <w:pPr>
        <w:ind w:firstLine="600"/>
        <w:rPr>
          <w:rFonts w:ascii="仿宋_GB2312" w:eastAsia="仿宋_GB2312"/>
          <w:sz w:val="30"/>
          <w:szCs w:val="30"/>
          <w:highlight w:val="none"/>
        </w:rPr>
      </w:pPr>
      <w:r>
        <w:rPr>
          <w:rFonts w:hint="eastAsia" w:ascii="仿宋_GB2312" w:eastAsia="仿宋_GB2312"/>
          <w:sz w:val="30"/>
          <w:szCs w:val="30"/>
          <w:highlight w:val="none"/>
        </w:rPr>
        <w:t>2. 承包人承诺按照法律规定及合同约定组织完成工程的设计、采购和施工等工作，确保工程质量和安全，不进行转包及违法分包，并在缺陷责任期及保修期内承担相应的工程维修责任。</w:t>
      </w:r>
    </w:p>
    <w:p>
      <w:pPr>
        <w:pStyle w:val="27"/>
        <w:numPr>
          <w:ilvl w:val="0"/>
          <w:numId w:val="0"/>
        </w:numPr>
        <w:wordWrap/>
        <w:topLinePunct w:val="0"/>
        <w:rPr>
          <w:rFonts w:ascii="黑体" w:hAnsi="黑体" w:eastAsia="黑体"/>
          <w:b w:val="0"/>
          <w:bCs/>
          <w:sz w:val="30"/>
          <w:szCs w:val="30"/>
          <w:highlight w:val="none"/>
        </w:rPr>
      </w:pPr>
      <w:bookmarkStart w:id="27" w:name="_Toc54862172"/>
      <w:r>
        <w:rPr>
          <w:rFonts w:hint="eastAsia" w:ascii="黑体" w:hAnsi="黑体" w:eastAsia="黑体"/>
          <w:b w:val="0"/>
          <w:bCs/>
          <w:sz w:val="30"/>
          <w:szCs w:val="30"/>
          <w:highlight w:val="none"/>
        </w:rPr>
        <w:t>八、订立时间</w:t>
      </w:r>
      <w:bookmarkEnd w:id="27"/>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本合同于</w:t>
      </w:r>
      <w:r>
        <w:rPr>
          <w:rFonts w:ascii="仿宋_GB2312" w:eastAsia="仿宋_GB2312"/>
          <w:sz w:val="30"/>
          <w:szCs w:val="30"/>
          <w:highlight w:val="none"/>
          <w:u w:val="single"/>
        </w:rPr>
        <w:t xml:space="preserve">        </w:t>
      </w:r>
      <w:r>
        <w:rPr>
          <w:rFonts w:hint="eastAsia" w:ascii="仿宋_GB2312" w:eastAsia="仿宋_GB2312"/>
          <w:sz w:val="30"/>
          <w:szCs w:val="30"/>
          <w:highlight w:val="none"/>
        </w:rPr>
        <w:t>年</w:t>
      </w:r>
      <w:r>
        <w:rPr>
          <w:rFonts w:ascii="仿宋_GB2312" w:eastAsia="仿宋_GB2312"/>
          <w:sz w:val="30"/>
          <w:szCs w:val="30"/>
          <w:highlight w:val="none"/>
          <w:u w:val="single"/>
        </w:rPr>
        <w:t xml:space="preserve">     </w:t>
      </w:r>
      <w:r>
        <w:rPr>
          <w:rFonts w:hint="eastAsia" w:ascii="仿宋_GB2312" w:eastAsia="仿宋_GB2312"/>
          <w:sz w:val="30"/>
          <w:szCs w:val="30"/>
          <w:highlight w:val="none"/>
        </w:rPr>
        <w:t>月</w:t>
      </w:r>
      <w:r>
        <w:rPr>
          <w:rFonts w:ascii="仿宋_GB2312" w:eastAsia="仿宋_GB2312"/>
          <w:sz w:val="30"/>
          <w:szCs w:val="30"/>
          <w:highlight w:val="none"/>
          <w:u w:val="single"/>
        </w:rPr>
        <w:t xml:space="preserve">     </w:t>
      </w:r>
      <w:r>
        <w:rPr>
          <w:rFonts w:hint="eastAsia" w:ascii="仿宋_GB2312" w:eastAsia="仿宋_GB2312"/>
          <w:sz w:val="30"/>
          <w:szCs w:val="30"/>
          <w:highlight w:val="none"/>
        </w:rPr>
        <w:t>日订立。</w:t>
      </w:r>
    </w:p>
    <w:p>
      <w:pPr>
        <w:pStyle w:val="27"/>
        <w:numPr>
          <w:ilvl w:val="0"/>
          <w:numId w:val="0"/>
        </w:numPr>
        <w:wordWrap/>
        <w:topLinePunct w:val="0"/>
        <w:rPr>
          <w:rFonts w:ascii="黑体" w:hAnsi="黑体" w:eastAsia="黑体"/>
          <w:b w:val="0"/>
          <w:bCs/>
          <w:sz w:val="30"/>
          <w:szCs w:val="30"/>
          <w:highlight w:val="none"/>
        </w:rPr>
      </w:pPr>
      <w:bookmarkStart w:id="28" w:name="_Toc54862173"/>
      <w:r>
        <w:rPr>
          <w:rFonts w:hint="eastAsia" w:ascii="黑体" w:hAnsi="黑体" w:eastAsia="黑体"/>
          <w:b w:val="0"/>
          <w:bCs/>
          <w:sz w:val="30"/>
          <w:szCs w:val="30"/>
          <w:highlight w:val="none"/>
        </w:rPr>
        <w:t>九、订立地点</w:t>
      </w:r>
      <w:bookmarkEnd w:id="28"/>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本合同在</w:t>
      </w:r>
      <w:r>
        <w:rPr>
          <w:rFonts w:ascii="仿宋_GB2312" w:eastAsia="仿宋_GB2312"/>
          <w:sz w:val="30"/>
          <w:szCs w:val="30"/>
          <w:highlight w:val="none"/>
          <w:u w:val="single"/>
        </w:rPr>
        <w:t xml:space="preserve">                        </w:t>
      </w:r>
      <w:r>
        <w:rPr>
          <w:rFonts w:hint="eastAsia" w:ascii="仿宋_GB2312" w:eastAsia="仿宋_GB2312"/>
          <w:sz w:val="30"/>
          <w:szCs w:val="30"/>
          <w:highlight w:val="none"/>
        </w:rPr>
        <w:t>订立。</w:t>
      </w:r>
    </w:p>
    <w:p>
      <w:pPr>
        <w:pStyle w:val="27"/>
        <w:numPr>
          <w:ilvl w:val="0"/>
          <w:numId w:val="0"/>
        </w:numPr>
        <w:wordWrap/>
        <w:topLinePunct w:val="0"/>
        <w:rPr>
          <w:rFonts w:ascii="黑体" w:hAnsi="黑体" w:eastAsia="黑体"/>
          <w:b w:val="0"/>
          <w:bCs/>
          <w:sz w:val="30"/>
          <w:szCs w:val="30"/>
          <w:highlight w:val="none"/>
        </w:rPr>
      </w:pPr>
      <w:bookmarkStart w:id="29" w:name="_Toc54862174"/>
      <w:r>
        <w:rPr>
          <w:rFonts w:hint="eastAsia" w:ascii="黑体" w:hAnsi="黑体" w:eastAsia="黑体"/>
          <w:b w:val="0"/>
          <w:bCs/>
          <w:sz w:val="30"/>
          <w:szCs w:val="30"/>
          <w:highlight w:val="none"/>
        </w:rPr>
        <w:t>十、合同生效</w:t>
      </w:r>
      <w:bookmarkEnd w:id="29"/>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本合同经双方签字或盖章后成立，并自</w:t>
      </w:r>
      <w:r>
        <w:rPr>
          <w:rFonts w:ascii="仿宋_GB2312" w:eastAsia="仿宋_GB2312"/>
          <w:sz w:val="30"/>
          <w:szCs w:val="30"/>
          <w:highlight w:val="none"/>
          <w:u w:val="single"/>
        </w:rPr>
        <w:t xml:space="preserve">            </w:t>
      </w:r>
      <w:r>
        <w:rPr>
          <w:rFonts w:hint="eastAsia" w:ascii="仿宋_GB2312" w:eastAsia="仿宋_GB2312"/>
          <w:sz w:val="30"/>
          <w:szCs w:val="30"/>
          <w:highlight w:val="none"/>
        </w:rPr>
        <w:t>生效。</w:t>
      </w:r>
    </w:p>
    <w:p>
      <w:pPr>
        <w:pStyle w:val="27"/>
        <w:numPr>
          <w:ilvl w:val="0"/>
          <w:numId w:val="0"/>
        </w:numPr>
        <w:wordWrap/>
        <w:topLinePunct w:val="0"/>
        <w:rPr>
          <w:rFonts w:ascii="黑体" w:hAnsi="黑体" w:eastAsia="黑体"/>
          <w:b w:val="0"/>
          <w:bCs/>
          <w:sz w:val="30"/>
          <w:szCs w:val="30"/>
          <w:highlight w:val="none"/>
        </w:rPr>
      </w:pPr>
      <w:bookmarkStart w:id="30" w:name="_Toc54862175"/>
      <w:r>
        <w:rPr>
          <w:rFonts w:hint="eastAsia" w:ascii="黑体" w:hAnsi="黑体" w:eastAsia="黑体"/>
          <w:b w:val="0"/>
          <w:bCs/>
          <w:sz w:val="30"/>
          <w:szCs w:val="30"/>
          <w:highlight w:val="none"/>
        </w:rPr>
        <w:t>十一、合同份数</w:t>
      </w:r>
      <w:bookmarkEnd w:id="30"/>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本合同一式</w:t>
      </w:r>
      <w:r>
        <w:rPr>
          <w:rFonts w:ascii="仿宋_GB2312" w:eastAsia="仿宋_GB2312"/>
          <w:sz w:val="30"/>
          <w:szCs w:val="30"/>
          <w:highlight w:val="none"/>
          <w:u w:val="single"/>
        </w:rPr>
        <w:t xml:space="preserve">    </w:t>
      </w:r>
      <w:r>
        <w:rPr>
          <w:rFonts w:hint="eastAsia" w:ascii="仿宋_GB2312" w:eastAsia="仿宋_GB2312"/>
          <w:sz w:val="30"/>
          <w:szCs w:val="30"/>
          <w:highlight w:val="none"/>
        </w:rPr>
        <w:t>份，均具有同等法律效力，发包人执</w:t>
      </w:r>
      <w:r>
        <w:rPr>
          <w:rFonts w:ascii="仿宋_GB2312" w:eastAsia="仿宋_GB2312"/>
          <w:sz w:val="30"/>
          <w:szCs w:val="30"/>
          <w:highlight w:val="none"/>
          <w:u w:val="single"/>
        </w:rPr>
        <w:t xml:space="preserve">    </w:t>
      </w:r>
      <w:r>
        <w:rPr>
          <w:rFonts w:hint="eastAsia" w:ascii="仿宋_GB2312" w:eastAsia="仿宋_GB2312"/>
          <w:sz w:val="30"/>
          <w:szCs w:val="30"/>
          <w:highlight w:val="none"/>
        </w:rPr>
        <w:t>份，承包人执</w:t>
      </w:r>
      <w:r>
        <w:rPr>
          <w:rFonts w:ascii="仿宋_GB2312" w:eastAsia="仿宋_GB2312"/>
          <w:sz w:val="30"/>
          <w:szCs w:val="30"/>
          <w:highlight w:val="none"/>
          <w:u w:val="single"/>
        </w:rPr>
        <w:t xml:space="preserve">    </w:t>
      </w:r>
      <w:r>
        <w:rPr>
          <w:rFonts w:hint="eastAsia" w:ascii="仿宋_GB2312" w:eastAsia="仿宋_GB2312"/>
          <w:sz w:val="30"/>
          <w:szCs w:val="30"/>
          <w:highlight w:val="none"/>
        </w:rPr>
        <w:t>份。</w:t>
      </w:r>
    </w:p>
    <w:p>
      <w:pPr>
        <w:wordWrap/>
        <w:topLinePunct w:val="0"/>
        <w:ind w:firstLine="600"/>
        <w:rPr>
          <w:rFonts w:ascii="仿宋_GB2312" w:eastAsia="仿宋_GB2312"/>
          <w:sz w:val="30"/>
          <w:szCs w:val="30"/>
          <w:highlight w:val="none"/>
        </w:rPr>
      </w:pPr>
    </w:p>
    <w:p>
      <w:pPr>
        <w:wordWrap/>
        <w:topLinePunct w:val="0"/>
        <w:ind w:firstLine="600"/>
        <w:rPr>
          <w:rFonts w:ascii="仿宋_GB2312" w:eastAsia="仿宋_GB2312"/>
          <w:sz w:val="30"/>
          <w:szCs w:val="30"/>
          <w:highlight w:val="none"/>
        </w:rPr>
      </w:pPr>
    </w:p>
    <w:tbl>
      <w:tblPr>
        <w:tblStyle w:val="8"/>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noWrap w:val="0"/>
            <w:vAlign w:val="top"/>
          </w:tcPr>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发包人：（公章）</w:t>
            </w:r>
          </w:p>
          <w:p>
            <w:pPr>
              <w:pStyle w:val="28"/>
              <w:framePr w:hSpace="0" w:wrap="auto" w:vAnchor="margin" w:hAnchor="text" w:yAlign="inline"/>
              <w:spacing w:after="50" w:line="360" w:lineRule="auto"/>
              <w:rPr>
                <w:rFonts w:ascii="仿宋_GB2312" w:hAnsi="宋体" w:eastAsia="仿宋_GB2312"/>
                <w:sz w:val="30"/>
                <w:szCs w:val="30"/>
                <w:highlight w:val="none"/>
              </w:rPr>
            </w:pPr>
          </w:p>
          <w:p>
            <w:pPr>
              <w:pStyle w:val="28"/>
              <w:framePr w:hSpace="0" w:wrap="auto" w:vAnchor="margin" w:hAnchor="text" w:yAlign="inline"/>
              <w:spacing w:after="50" w:line="360" w:lineRule="auto"/>
              <w:rPr>
                <w:rFonts w:ascii="仿宋_GB2312" w:hAnsi="宋体" w:eastAsia="仿宋_GB2312"/>
                <w:sz w:val="30"/>
                <w:szCs w:val="30"/>
                <w:highlight w:val="none"/>
              </w:rPr>
            </w:pPr>
          </w:p>
        </w:tc>
        <w:tc>
          <w:tcPr>
            <w:tcW w:w="4565" w:type="dxa"/>
            <w:noWrap w:val="0"/>
            <w:vAlign w:val="top"/>
          </w:tcPr>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承包人：（公章）</w:t>
            </w:r>
          </w:p>
          <w:p>
            <w:pPr>
              <w:pStyle w:val="28"/>
              <w:framePr w:hSpace="0" w:wrap="auto" w:vAnchor="margin" w:hAnchor="text" w:yAlign="inline"/>
              <w:spacing w:after="50" w:line="360" w:lineRule="auto"/>
              <w:rPr>
                <w:rFonts w:ascii="仿宋_GB2312" w:hAnsi="宋体" w:eastAsia="仿宋_GB2312"/>
                <w:sz w:val="30"/>
                <w:szCs w:val="30"/>
                <w:highlight w:val="none"/>
              </w:rPr>
            </w:pPr>
          </w:p>
          <w:p>
            <w:pPr>
              <w:pStyle w:val="28"/>
              <w:framePr w:hSpace="0" w:wrap="auto" w:vAnchor="margin" w:hAnchor="text" w:yAlign="inline"/>
              <w:spacing w:after="50" w:line="360" w:lineRule="auto"/>
              <w:rPr>
                <w:rFonts w:ascii="仿宋_GB2312" w:hAnsi="宋体" w:eastAsia="仿宋_GB2312"/>
                <w:sz w:val="30"/>
                <w:szCs w:val="30"/>
                <w:highlight w:val="none"/>
              </w:rPr>
            </w:pPr>
          </w:p>
        </w:tc>
      </w:tr>
      <w:tr>
        <w:tblPrEx>
          <w:tblCellMar>
            <w:top w:w="0" w:type="dxa"/>
            <w:left w:w="108" w:type="dxa"/>
            <w:bottom w:w="0" w:type="dxa"/>
            <w:right w:w="108" w:type="dxa"/>
          </w:tblCellMar>
        </w:tblPrEx>
        <w:tc>
          <w:tcPr>
            <w:tcW w:w="4507" w:type="dxa"/>
            <w:noWrap w:val="0"/>
            <w:vAlign w:val="top"/>
          </w:tcPr>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法定代表人或其委托代理人：</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（签字）</w:t>
            </w:r>
          </w:p>
          <w:p>
            <w:pPr>
              <w:pStyle w:val="28"/>
              <w:framePr w:hSpace="0" w:wrap="auto" w:vAnchor="margin" w:hAnchor="text" w:yAlign="inline"/>
              <w:spacing w:after="50" w:line="360" w:lineRule="auto"/>
              <w:rPr>
                <w:rFonts w:ascii="仿宋_GB2312" w:hAnsi="宋体" w:eastAsia="仿宋_GB2312"/>
                <w:sz w:val="30"/>
                <w:szCs w:val="30"/>
                <w:highlight w:val="none"/>
              </w:rPr>
            </w:pPr>
          </w:p>
        </w:tc>
        <w:tc>
          <w:tcPr>
            <w:tcW w:w="4565" w:type="dxa"/>
            <w:noWrap w:val="0"/>
            <w:vAlign w:val="top"/>
          </w:tcPr>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法定代表人或其委托代理人：</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（签字）</w:t>
            </w:r>
          </w:p>
          <w:p>
            <w:pPr>
              <w:pStyle w:val="28"/>
              <w:framePr w:hSpace="0" w:wrap="auto" w:vAnchor="margin" w:hAnchor="text" w:yAlign="inline"/>
              <w:spacing w:after="50" w:line="360" w:lineRule="auto"/>
              <w:rPr>
                <w:rFonts w:ascii="仿宋_GB2312" w:hAnsi="宋体" w:eastAsia="仿宋_GB2312"/>
                <w:sz w:val="30"/>
                <w:szCs w:val="30"/>
                <w:highlight w:val="none"/>
              </w:rPr>
            </w:pPr>
          </w:p>
        </w:tc>
      </w:tr>
      <w:tr>
        <w:tblPrEx>
          <w:tblCellMar>
            <w:top w:w="0" w:type="dxa"/>
            <w:left w:w="108" w:type="dxa"/>
            <w:bottom w:w="0" w:type="dxa"/>
            <w:right w:w="108" w:type="dxa"/>
          </w:tblCellMar>
        </w:tblPrEx>
        <w:tc>
          <w:tcPr>
            <w:tcW w:w="4507" w:type="dxa"/>
            <w:noWrap w:val="0"/>
            <w:vAlign w:val="top"/>
          </w:tcPr>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统一社会信用代码：</w:t>
            </w:r>
            <w:r>
              <w:rPr>
                <w:rFonts w:ascii="仿宋_GB2312" w:hAnsi="宋体" w:eastAsia="仿宋_GB2312"/>
                <w:kern w:val="0"/>
                <w:sz w:val="30"/>
                <w:szCs w:val="30"/>
                <w:highlight w:val="none"/>
                <w:u w:val="single"/>
              </w:rPr>
              <w:t xml:space="preserve">            </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地址：</w:t>
            </w:r>
            <w:r>
              <w:rPr>
                <w:rFonts w:ascii="仿宋_GB2312" w:hAnsi="宋体" w:eastAsia="仿宋_GB2312"/>
                <w:kern w:val="0"/>
                <w:sz w:val="30"/>
                <w:szCs w:val="30"/>
                <w:highlight w:val="none"/>
                <w:u w:val="single"/>
              </w:rPr>
              <w:t xml:space="preserve">                       </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邮政编码：</w:t>
            </w:r>
            <w:r>
              <w:rPr>
                <w:rFonts w:ascii="仿宋_GB2312" w:hAnsi="宋体" w:eastAsia="仿宋_GB2312"/>
                <w:kern w:val="0"/>
                <w:sz w:val="30"/>
                <w:szCs w:val="30"/>
                <w:highlight w:val="none"/>
                <w:u w:val="single"/>
              </w:rPr>
              <w:t xml:space="preserve">                      </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法定代表人：</w:t>
            </w:r>
            <w:r>
              <w:rPr>
                <w:rFonts w:ascii="仿宋_GB2312" w:hAnsi="宋体" w:eastAsia="仿宋_GB2312"/>
                <w:kern w:val="0"/>
                <w:sz w:val="30"/>
                <w:szCs w:val="30"/>
                <w:highlight w:val="none"/>
                <w:u w:val="single"/>
              </w:rPr>
              <w:t xml:space="preserve">                 </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委托代理人：</w:t>
            </w:r>
            <w:r>
              <w:rPr>
                <w:rFonts w:ascii="仿宋_GB2312" w:hAnsi="宋体" w:eastAsia="仿宋_GB2312"/>
                <w:kern w:val="0"/>
                <w:sz w:val="30"/>
                <w:szCs w:val="30"/>
                <w:highlight w:val="none"/>
                <w:u w:val="single"/>
              </w:rPr>
              <w:t xml:space="preserve">                 </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电话：</w:t>
            </w:r>
            <w:r>
              <w:rPr>
                <w:rFonts w:ascii="仿宋_GB2312" w:hAnsi="宋体" w:eastAsia="仿宋_GB2312"/>
                <w:kern w:val="0"/>
                <w:sz w:val="30"/>
                <w:szCs w:val="30"/>
                <w:highlight w:val="none"/>
                <w:u w:val="single"/>
              </w:rPr>
              <w:t xml:space="preserve">                       </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 xml:space="preserve">传真： </w:t>
            </w:r>
            <w:r>
              <w:rPr>
                <w:rFonts w:ascii="仿宋_GB2312" w:hAnsi="宋体" w:eastAsia="仿宋_GB2312"/>
                <w:kern w:val="0"/>
                <w:sz w:val="30"/>
                <w:szCs w:val="30"/>
                <w:highlight w:val="none"/>
                <w:u w:val="single"/>
              </w:rPr>
              <w:t xml:space="preserve">                      </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电子信箱：</w:t>
            </w:r>
            <w:r>
              <w:rPr>
                <w:rFonts w:ascii="仿宋_GB2312" w:hAnsi="宋体" w:eastAsia="仿宋_GB2312"/>
                <w:kern w:val="0"/>
                <w:sz w:val="30"/>
                <w:szCs w:val="30"/>
                <w:highlight w:val="none"/>
                <w:u w:val="single"/>
              </w:rPr>
              <w:t xml:space="preserve">                    </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开户银行：</w:t>
            </w:r>
            <w:r>
              <w:rPr>
                <w:rFonts w:ascii="仿宋_GB2312" w:hAnsi="宋体" w:eastAsia="仿宋_GB2312"/>
                <w:kern w:val="0"/>
                <w:sz w:val="30"/>
                <w:szCs w:val="30"/>
                <w:highlight w:val="none"/>
                <w:u w:val="single"/>
              </w:rPr>
              <w:t xml:space="preserve">                   </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账号：</w:t>
            </w:r>
            <w:r>
              <w:rPr>
                <w:rFonts w:ascii="仿宋_GB2312" w:hAnsi="宋体" w:eastAsia="仿宋_GB2312"/>
                <w:kern w:val="0"/>
                <w:sz w:val="30"/>
                <w:szCs w:val="30"/>
                <w:highlight w:val="none"/>
                <w:u w:val="single"/>
              </w:rPr>
              <w:t xml:space="preserve">                       </w:t>
            </w:r>
          </w:p>
        </w:tc>
        <w:tc>
          <w:tcPr>
            <w:tcW w:w="4565" w:type="dxa"/>
            <w:noWrap w:val="0"/>
            <w:vAlign w:val="top"/>
          </w:tcPr>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统一社会信用代码：</w:t>
            </w:r>
            <w:r>
              <w:rPr>
                <w:rFonts w:ascii="仿宋_GB2312" w:hAnsi="宋体" w:eastAsia="仿宋_GB2312"/>
                <w:kern w:val="0"/>
                <w:sz w:val="30"/>
                <w:szCs w:val="30"/>
                <w:highlight w:val="none"/>
                <w:u w:val="single"/>
              </w:rPr>
              <w:t xml:space="preserve">            </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地址：</w:t>
            </w:r>
            <w:r>
              <w:rPr>
                <w:rFonts w:ascii="仿宋_GB2312" w:hAnsi="宋体" w:eastAsia="仿宋_GB2312"/>
                <w:kern w:val="0"/>
                <w:sz w:val="30"/>
                <w:szCs w:val="30"/>
                <w:highlight w:val="none"/>
                <w:u w:val="single"/>
              </w:rPr>
              <w:t xml:space="preserve">                        </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邮政编码：</w:t>
            </w:r>
            <w:r>
              <w:rPr>
                <w:rFonts w:ascii="仿宋_GB2312" w:hAnsi="宋体" w:eastAsia="仿宋_GB2312"/>
                <w:kern w:val="0"/>
                <w:sz w:val="30"/>
                <w:szCs w:val="30"/>
                <w:highlight w:val="none"/>
                <w:u w:val="single"/>
              </w:rPr>
              <w:t xml:space="preserve">                      </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法定代表人：</w:t>
            </w:r>
            <w:r>
              <w:rPr>
                <w:rFonts w:ascii="仿宋_GB2312" w:hAnsi="宋体" w:eastAsia="仿宋_GB2312"/>
                <w:kern w:val="0"/>
                <w:sz w:val="30"/>
                <w:szCs w:val="30"/>
                <w:highlight w:val="none"/>
                <w:u w:val="single"/>
              </w:rPr>
              <w:t xml:space="preserve">                  </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委托代理人：</w:t>
            </w:r>
            <w:r>
              <w:rPr>
                <w:rFonts w:ascii="仿宋_GB2312" w:hAnsi="宋体" w:eastAsia="仿宋_GB2312"/>
                <w:kern w:val="0"/>
                <w:sz w:val="30"/>
                <w:szCs w:val="30"/>
                <w:highlight w:val="none"/>
                <w:u w:val="single"/>
              </w:rPr>
              <w:t xml:space="preserve">                 </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电话：</w:t>
            </w:r>
            <w:r>
              <w:rPr>
                <w:rFonts w:ascii="仿宋_GB2312" w:hAnsi="宋体" w:eastAsia="仿宋_GB2312"/>
                <w:kern w:val="0"/>
                <w:sz w:val="30"/>
                <w:szCs w:val="30"/>
                <w:highlight w:val="none"/>
                <w:u w:val="single"/>
              </w:rPr>
              <w:t xml:space="preserve">                       </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传真：</w:t>
            </w:r>
            <w:r>
              <w:rPr>
                <w:rFonts w:ascii="仿宋_GB2312" w:hAnsi="宋体" w:eastAsia="仿宋_GB2312"/>
                <w:kern w:val="0"/>
                <w:sz w:val="30"/>
                <w:szCs w:val="30"/>
                <w:highlight w:val="none"/>
                <w:u w:val="single"/>
              </w:rPr>
              <w:t xml:space="preserve">                       </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电子信箱：</w:t>
            </w:r>
            <w:r>
              <w:rPr>
                <w:rFonts w:ascii="仿宋_GB2312" w:hAnsi="宋体" w:eastAsia="仿宋_GB2312"/>
                <w:kern w:val="0"/>
                <w:sz w:val="30"/>
                <w:szCs w:val="30"/>
                <w:highlight w:val="none"/>
                <w:u w:val="single"/>
              </w:rPr>
              <w:t xml:space="preserve">                   </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开户银行：</w:t>
            </w:r>
            <w:r>
              <w:rPr>
                <w:rFonts w:ascii="仿宋_GB2312" w:hAnsi="宋体" w:eastAsia="仿宋_GB2312"/>
                <w:kern w:val="0"/>
                <w:sz w:val="30"/>
                <w:szCs w:val="30"/>
                <w:highlight w:val="none"/>
                <w:u w:val="single"/>
              </w:rPr>
              <w:t xml:space="preserve">                   </w:t>
            </w:r>
          </w:p>
          <w:p>
            <w:pPr>
              <w:pStyle w:val="28"/>
              <w:framePr w:hSpace="0" w:wrap="auto" w:vAnchor="margin" w:hAnchor="text" w:yAlign="inline"/>
              <w:spacing w:after="50" w:line="360" w:lineRule="auto"/>
              <w:rPr>
                <w:rFonts w:ascii="仿宋_GB2312" w:hAnsi="宋体" w:eastAsia="仿宋_GB2312"/>
                <w:sz w:val="30"/>
                <w:szCs w:val="30"/>
                <w:highlight w:val="none"/>
              </w:rPr>
            </w:pPr>
            <w:r>
              <w:rPr>
                <w:rFonts w:hint="eastAsia" w:ascii="仿宋_GB2312" w:hAnsi="宋体" w:eastAsia="仿宋_GB2312"/>
                <w:sz w:val="30"/>
                <w:szCs w:val="30"/>
                <w:highlight w:val="none"/>
              </w:rPr>
              <w:t>账号：</w:t>
            </w:r>
            <w:r>
              <w:rPr>
                <w:rFonts w:ascii="仿宋_GB2312" w:hAnsi="宋体" w:eastAsia="仿宋_GB2312"/>
                <w:sz w:val="30"/>
                <w:szCs w:val="30"/>
                <w:highlight w:val="none"/>
                <w:u w:val="single"/>
              </w:rPr>
              <w:t xml:space="preserve">                       </w:t>
            </w:r>
          </w:p>
        </w:tc>
      </w:tr>
    </w:tbl>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pStyle w:val="26"/>
        <w:keepNext w:val="0"/>
        <w:keepLines w:val="0"/>
        <w:widowControl/>
        <w:adjustRightInd w:val="0"/>
        <w:snapToGrid w:val="0"/>
        <w:spacing w:before="0" w:after="50" w:line="360" w:lineRule="auto"/>
        <w:rPr>
          <w:rFonts w:hint="eastAsia" w:ascii="华文中宋" w:hAnsi="华文中宋" w:eastAsia="华文中宋"/>
          <w:sz w:val="44"/>
          <w:szCs w:val="52"/>
          <w:highlight w:val="none"/>
        </w:rPr>
      </w:pPr>
      <w:bookmarkStart w:id="31" w:name="_Toc54862176"/>
    </w:p>
    <w:p>
      <w:pPr>
        <w:pStyle w:val="26"/>
        <w:keepNext w:val="0"/>
        <w:keepLines w:val="0"/>
        <w:widowControl/>
        <w:adjustRightInd w:val="0"/>
        <w:snapToGrid w:val="0"/>
        <w:spacing w:before="0" w:after="50" w:line="360" w:lineRule="auto"/>
        <w:rPr>
          <w:rFonts w:hint="eastAsia" w:ascii="华文中宋" w:hAnsi="华文中宋" w:eastAsia="华文中宋"/>
          <w:sz w:val="44"/>
          <w:szCs w:val="52"/>
          <w:highlight w:val="none"/>
        </w:rPr>
      </w:pPr>
    </w:p>
    <w:p>
      <w:pPr>
        <w:pStyle w:val="26"/>
        <w:keepNext w:val="0"/>
        <w:keepLines w:val="0"/>
        <w:widowControl/>
        <w:adjustRightInd w:val="0"/>
        <w:snapToGrid w:val="0"/>
        <w:spacing w:before="0" w:after="50" w:line="360" w:lineRule="auto"/>
        <w:rPr>
          <w:rFonts w:hint="eastAsia" w:ascii="华文中宋" w:hAnsi="华文中宋" w:eastAsia="华文中宋"/>
          <w:sz w:val="44"/>
          <w:szCs w:val="52"/>
          <w:highlight w:val="none"/>
        </w:rPr>
      </w:pPr>
    </w:p>
    <w:p>
      <w:pPr>
        <w:pStyle w:val="26"/>
        <w:keepNext w:val="0"/>
        <w:keepLines w:val="0"/>
        <w:widowControl/>
        <w:adjustRightInd w:val="0"/>
        <w:snapToGrid w:val="0"/>
        <w:spacing w:before="0" w:after="50" w:line="360" w:lineRule="auto"/>
        <w:rPr>
          <w:rFonts w:hint="eastAsia" w:ascii="华文中宋" w:hAnsi="华文中宋" w:eastAsia="华文中宋"/>
          <w:sz w:val="44"/>
          <w:szCs w:val="52"/>
          <w:highlight w:val="none"/>
        </w:rPr>
      </w:pPr>
    </w:p>
    <w:p>
      <w:pPr>
        <w:pStyle w:val="26"/>
        <w:keepNext w:val="0"/>
        <w:keepLines w:val="0"/>
        <w:widowControl/>
        <w:adjustRightInd w:val="0"/>
        <w:snapToGrid w:val="0"/>
        <w:spacing w:before="0" w:after="50" w:line="360" w:lineRule="auto"/>
        <w:rPr>
          <w:rFonts w:hint="eastAsia" w:ascii="华文中宋" w:hAnsi="华文中宋" w:eastAsia="华文中宋"/>
          <w:sz w:val="44"/>
          <w:szCs w:val="52"/>
          <w:highlight w:val="none"/>
        </w:rPr>
      </w:pPr>
    </w:p>
    <w:p>
      <w:pPr>
        <w:pStyle w:val="26"/>
        <w:keepNext w:val="0"/>
        <w:keepLines w:val="0"/>
        <w:widowControl/>
        <w:adjustRightInd w:val="0"/>
        <w:snapToGrid w:val="0"/>
        <w:spacing w:before="0" w:after="50" w:line="360" w:lineRule="auto"/>
        <w:rPr>
          <w:rFonts w:hint="eastAsia" w:ascii="华文中宋" w:hAnsi="华文中宋" w:eastAsia="华文中宋"/>
          <w:sz w:val="44"/>
          <w:szCs w:val="52"/>
          <w:highlight w:val="none"/>
        </w:rPr>
      </w:pPr>
    </w:p>
    <w:p>
      <w:pPr>
        <w:pStyle w:val="26"/>
        <w:keepNext w:val="0"/>
        <w:keepLines w:val="0"/>
        <w:widowControl/>
        <w:adjustRightInd w:val="0"/>
        <w:snapToGrid w:val="0"/>
        <w:spacing w:before="0" w:after="50" w:line="360" w:lineRule="auto"/>
        <w:rPr>
          <w:rFonts w:ascii="华文中宋" w:hAnsi="华文中宋" w:eastAsia="华文中宋"/>
          <w:sz w:val="44"/>
          <w:szCs w:val="52"/>
          <w:highlight w:val="none"/>
        </w:rPr>
      </w:pPr>
      <w:r>
        <w:rPr>
          <w:rFonts w:hint="eastAsia" w:ascii="华文中宋" w:hAnsi="华文中宋" w:eastAsia="华文中宋"/>
          <w:sz w:val="44"/>
          <w:szCs w:val="52"/>
          <w:highlight w:val="none"/>
        </w:rPr>
        <w:t>第二部分</w:t>
      </w:r>
      <w:r>
        <w:rPr>
          <w:rFonts w:ascii="华文中宋" w:hAnsi="华文中宋" w:eastAsia="华文中宋"/>
          <w:sz w:val="44"/>
          <w:szCs w:val="52"/>
          <w:highlight w:val="none"/>
        </w:rPr>
        <w:t xml:space="preserve"> </w:t>
      </w:r>
      <w:r>
        <w:rPr>
          <w:rFonts w:hint="eastAsia" w:ascii="华文中宋" w:hAnsi="华文中宋" w:eastAsia="华文中宋"/>
          <w:sz w:val="44"/>
          <w:szCs w:val="52"/>
          <w:highlight w:val="none"/>
        </w:rPr>
        <w:t>通用合同条件</w:t>
      </w:r>
      <w:bookmarkEnd w:id="31"/>
    </w:p>
    <w:p>
      <w:pPr>
        <w:wordWrap/>
        <w:topLinePunct w:val="0"/>
        <w:ind w:left="0" w:leftChars="0" w:firstLine="0" w:firstLineChars="0"/>
        <w:jc w:val="center"/>
        <w:rPr>
          <w:rFonts w:hint="eastAsia"/>
          <w:sz w:val="32"/>
          <w:szCs w:val="32"/>
          <w:highlight w:val="none"/>
          <w:lang w:val="en-US" w:eastAsia="zh-CN"/>
        </w:rPr>
      </w:pPr>
    </w:p>
    <w:p>
      <w:pPr>
        <w:wordWrap/>
        <w:topLinePunct w:val="0"/>
        <w:ind w:left="0" w:leftChars="0" w:firstLine="0" w:firstLineChars="0"/>
        <w:jc w:val="center"/>
        <w:rPr>
          <w:rFonts w:hint="eastAsia"/>
          <w:sz w:val="32"/>
          <w:szCs w:val="3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sz w:val="28"/>
          <w:szCs w:val="28"/>
          <w:highlight w:val="none"/>
        </w:rPr>
      </w:pPr>
      <w:r>
        <w:rPr>
          <w:rFonts w:hint="eastAsia"/>
          <w:sz w:val="32"/>
          <w:szCs w:val="32"/>
          <w:highlight w:val="none"/>
          <w:lang w:val="en-US" w:eastAsia="zh-CN"/>
        </w:rPr>
        <w:t>通用合同条件参考 GF-2020-0216 版本合同的通用合同条件</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pStyle w:val="26"/>
        <w:keepNext w:val="0"/>
        <w:keepLines w:val="0"/>
        <w:widowControl/>
        <w:adjustRightInd w:val="0"/>
        <w:snapToGrid w:val="0"/>
        <w:spacing w:before="0" w:after="50" w:line="360" w:lineRule="auto"/>
        <w:rPr>
          <w:rFonts w:hint="eastAsia" w:ascii="华文中宋" w:hAnsi="华文中宋" w:eastAsia="华文中宋"/>
          <w:sz w:val="44"/>
          <w:szCs w:val="52"/>
          <w:highlight w:val="none"/>
        </w:rPr>
      </w:pPr>
    </w:p>
    <w:p>
      <w:pPr>
        <w:pStyle w:val="26"/>
        <w:keepNext w:val="0"/>
        <w:keepLines w:val="0"/>
        <w:widowControl/>
        <w:adjustRightInd w:val="0"/>
        <w:snapToGrid w:val="0"/>
        <w:spacing w:before="0" w:after="50" w:line="360" w:lineRule="auto"/>
        <w:rPr>
          <w:rFonts w:hint="eastAsia" w:ascii="华文中宋" w:hAnsi="华文中宋" w:eastAsia="华文中宋"/>
          <w:sz w:val="44"/>
          <w:szCs w:val="52"/>
          <w:highlight w:val="none"/>
        </w:rPr>
      </w:pPr>
    </w:p>
    <w:p>
      <w:pPr>
        <w:pStyle w:val="26"/>
        <w:keepNext w:val="0"/>
        <w:keepLines w:val="0"/>
        <w:widowControl/>
        <w:adjustRightInd w:val="0"/>
        <w:snapToGrid w:val="0"/>
        <w:spacing w:before="0" w:after="50" w:line="360" w:lineRule="auto"/>
        <w:rPr>
          <w:rFonts w:hint="eastAsia" w:ascii="华文中宋" w:hAnsi="华文中宋" w:eastAsia="华文中宋"/>
          <w:sz w:val="44"/>
          <w:szCs w:val="52"/>
          <w:highlight w:val="none"/>
        </w:rPr>
      </w:pPr>
    </w:p>
    <w:p>
      <w:pPr>
        <w:pStyle w:val="26"/>
        <w:keepNext w:val="0"/>
        <w:keepLines w:val="0"/>
        <w:widowControl/>
        <w:adjustRightInd w:val="0"/>
        <w:snapToGrid w:val="0"/>
        <w:spacing w:before="0" w:after="50" w:line="360" w:lineRule="auto"/>
        <w:rPr>
          <w:rFonts w:hint="eastAsia" w:ascii="华文中宋" w:hAnsi="华文中宋" w:eastAsia="华文中宋"/>
          <w:sz w:val="44"/>
          <w:szCs w:val="52"/>
          <w:highlight w:val="none"/>
        </w:rPr>
      </w:pPr>
    </w:p>
    <w:p>
      <w:pPr>
        <w:pStyle w:val="26"/>
        <w:keepNext w:val="0"/>
        <w:keepLines w:val="0"/>
        <w:widowControl/>
        <w:adjustRightInd w:val="0"/>
        <w:snapToGrid w:val="0"/>
        <w:spacing w:before="0" w:after="50" w:line="360" w:lineRule="auto"/>
        <w:rPr>
          <w:rFonts w:hint="eastAsia" w:ascii="华文中宋" w:hAnsi="华文中宋" w:eastAsia="华文中宋"/>
          <w:sz w:val="44"/>
          <w:szCs w:val="52"/>
          <w:highlight w:val="none"/>
        </w:rPr>
      </w:pPr>
    </w:p>
    <w:p>
      <w:pPr>
        <w:pStyle w:val="26"/>
        <w:keepNext w:val="0"/>
        <w:keepLines w:val="0"/>
        <w:widowControl/>
        <w:adjustRightInd w:val="0"/>
        <w:snapToGrid w:val="0"/>
        <w:spacing w:before="0" w:after="50" w:line="360" w:lineRule="auto"/>
        <w:rPr>
          <w:rFonts w:hint="eastAsia" w:ascii="华文中宋" w:hAnsi="华文中宋" w:eastAsia="华文中宋"/>
          <w:sz w:val="44"/>
          <w:szCs w:val="52"/>
          <w:highlight w:val="none"/>
        </w:rPr>
      </w:pPr>
    </w:p>
    <w:p>
      <w:pPr>
        <w:pStyle w:val="26"/>
        <w:keepNext w:val="0"/>
        <w:keepLines w:val="0"/>
        <w:widowControl/>
        <w:adjustRightInd w:val="0"/>
        <w:snapToGrid w:val="0"/>
        <w:spacing w:before="0" w:after="50" w:line="360" w:lineRule="auto"/>
        <w:rPr>
          <w:rFonts w:hint="eastAsia" w:ascii="华文中宋" w:hAnsi="华文中宋" w:eastAsia="华文中宋"/>
          <w:sz w:val="44"/>
          <w:szCs w:val="52"/>
          <w:highlight w:val="none"/>
        </w:rPr>
      </w:pPr>
    </w:p>
    <w:p>
      <w:pPr>
        <w:pStyle w:val="26"/>
        <w:keepNext w:val="0"/>
        <w:keepLines w:val="0"/>
        <w:widowControl/>
        <w:adjustRightInd w:val="0"/>
        <w:snapToGrid w:val="0"/>
        <w:spacing w:before="0" w:after="50" w:line="360" w:lineRule="auto"/>
        <w:rPr>
          <w:rFonts w:hint="eastAsia" w:ascii="华文中宋" w:hAnsi="华文中宋" w:eastAsia="华文中宋"/>
          <w:sz w:val="44"/>
          <w:szCs w:val="52"/>
          <w:highlight w:val="none"/>
        </w:rPr>
      </w:pPr>
    </w:p>
    <w:p>
      <w:pPr>
        <w:pStyle w:val="26"/>
        <w:keepNext w:val="0"/>
        <w:keepLines w:val="0"/>
        <w:widowControl/>
        <w:adjustRightInd w:val="0"/>
        <w:snapToGrid w:val="0"/>
        <w:spacing w:before="0" w:after="50" w:line="360" w:lineRule="auto"/>
        <w:rPr>
          <w:rFonts w:hint="eastAsia" w:ascii="华文中宋" w:hAnsi="华文中宋" w:eastAsia="华文中宋"/>
          <w:sz w:val="44"/>
          <w:szCs w:val="52"/>
          <w:highlight w:val="none"/>
        </w:rPr>
      </w:pPr>
    </w:p>
    <w:p>
      <w:pPr>
        <w:pStyle w:val="26"/>
        <w:keepNext w:val="0"/>
        <w:keepLines w:val="0"/>
        <w:widowControl/>
        <w:adjustRightInd w:val="0"/>
        <w:snapToGrid w:val="0"/>
        <w:spacing w:before="0" w:after="50" w:line="360" w:lineRule="auto"/>
        <w:rPr>
          <w:rFonts w:ascii="华文中宋" w:hAnsi="华文中宋" w:eastAsia="华文中宋"/>
          <w:sz w:val="44"/>
          <w:szCs w:val="52"/>
          <w:highlight w:val="none"/>
        </w:rPr>
      </w:pPr>
      <w:r>
        <w:rPr>
          <w:rFonts w:hint="eastAsia" w:ascii="华文中宋" w:hAnsi="华文中宋" w:eastAsia="华文中宋"/>
          <w:sz w:val="44"/>
          <w:szCs w:val="52"/>
          <w:highlight w:val="none"/>
        </w:rPr>
        <w:t>第三部分</w:t>
      </w:r>
      <w:r>
        <w:rPr>
          <w:rFonts w:ascii="华文中宋" w:hAnsi="华文中宋" w:eastAsia="华文中宋"/>
          <w:sz w:val="44"/>
          <w:szCs w:val="52"/>
          <w:highlight w:val="none"/>
        </w:rPr>
        <w:t xml:space="preserve"> </w:t>
      </w:r>
      <w:r>
        <w:rPr>
          <w:rFonts w:hint="eastAsia" w:ascii="华文中宋" w:hAnsi="华文中宋" w:eastAsia="华文中宋"/>
          <w:sz w:val="44"/>
          <w:szCs w:val="52"/>
          <w:highlight w:val="none"/>
        </w:rPr>
        <w:t>专用合同条件</w:t>
      </w:r>
    </w:p>
    <w:p>
      <w:pPr>
        <w:pStyle w:val="29"/>
        <w:rPr>
          <w:rFonts w:ascii="黑体" w:hAnsi="黑体" w:eastAsia="黑体"/>
          <w:b w:val="0"/>
          <w:bCs/>
          <w:sz w:val="32"/>
          <w:szCs w:val="21"/>
          <w:highlight w:val="none"/>
        </w:rPr>
      </w:pPr>
      <w:bookmarkStart w:id="32" w:name="_Toc54862332"/>
      <w:r>
        <w:rPr>
          <w:rFonts w:hint="eastAsia" w:ascii="黑体" w:hAnsi="黑体" w:eastAsia="黑体"/>
          <w:b w:val="0"/>
          <w:bCs/>
          <w:sz w:val="32"/>
          <w:szCs w:val="21"/>
          <w:highlight w:val="none"/>
        </w:rPr>
        <w:t>第</w:t>
      </w:r>
      <w:r>
        <w:rPr>
          <w:rFonts w:ascii="黑体" w:hAnsi="黑体" w:eastAsia="黑体"/>
          <w:b w:val="0"/>
          <w:bCs/>
          <w:sz w:val="32"/>
          <w:szCs w:val="21"/>
          <w:highlight w:val="none"/>
        </w:rPr>
        <w:t>1条</w:t>
      </w:r>
      <w:r>
        <w:rPr>
          <w:rFonts w:hint="eastAsia" w:ascii="黑体" w:hAnsi="黑体" w:eastAsia="黑体"/>
          <w:b w:val="0"/>
          <w:bCs/>
          <w:sz w:val="32"/>
          <w:szCs w:val="21"/>
          <w:highlight w:val="none"/>
        </w:rPr>
        <w:t xml:space="preserve"> 一般约定</w:t>
      </w:r>
      <w:bookmarkEnd w:id="32"/>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1.1 </w:t>
      </w:r>
      <w:r>
        <w:rPr>
          <w:rFonts w:hint="eastAsia" w:ascii="黑体" w:hAnsi="黑体" w:eastAsia="黑体"/>
          <w:sz w:val="30"/>
          <w:szCs w:val="30"/>
          <w:highlight w:val="none"/>
        </w:rPr>
        <w:t>词语定义和解释</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1.1.1 </w:t>
      </w:r>
      <w:r>
        <w:rPr>
          <w:rFonts w:hint="eastAsia" w:ascii="仿宋_GB2312" w:eastAsia="仿宋_GB2312"/>
          <w:sz w:val="30"/>
          <w:szCs w:val="30"/>
          <w:highlight w:val="none"/>
        </w:rPr>
        <w:t>合同</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1.1.1.10 </w:t>
      </w:r>
      <w:r>
        <w:rPr>
          <w:rFonts w:hint="eastAsia" w:ascii="仿宋_GB2312" w:eastAsia="仿宋_GB2312"/>
          <w:sz w:val="30"/>
          <w:szCs w:val="30"/>
          <w:highlight w:val="none"/>
        </w:rPr>
        <w:t>其他合同文件：</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1.1.3 </w:t>
      </w:r>
      <w:r>
        <w:rPr>
          <w:rFonts w:hint="eastAsia" w:ascii="仿宋_GB2312" w:eastAsia="仿宋_GB2312"/>
          <w:sz w:val="30"/>
          <w:szCs w:val="30"/>
          <w:highlight w:val="none"/>
        </w:rPr>
        <w:t>工程和设备</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1.1.3.5 </w:t>
      </w:r>
      <w:r>
        <w:rPr>
          <w:rFonts w:hint="eastAsia" w:ascii="仿宋_GB2312" w:eastAsia="仿宋_GB2312"/>
          <w:sz w:val="30"/>
          <w:szCs w:val="30"/>
          <w:highlight w:val="none"/>
        </w:rPr>
        <w:t>单位/区段工程的范围：</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图纸范围内全部内容</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1.1.3.9 </w:t>
      </w:r>
      <w:r>
        <w:rPr>
          <w:rFonts w:hint="eastAsia" w:ascii="仿宋_GB2312" w:eastAsia="仿宋_GB2312"/>
          <w:sz w:val="30"/>
          <w:szCs w:val="30"/>
          <w:highlight w:val="none"/>
        </w:rPr>
        <w:t>作为施工场所组成部分的其他场所包括：</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发包人、监理人、承包人的现场办公场所</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1.1.3.10 </w:t>
      </w:r>
      <w:r>
        <w:rPr>
          <w:rFonts w:hint="eastAsia" w:ascii="仿宋_GB2312" w:eastAsia="仿宋_GB2312"/>
          <w:sz w:val="30"/>
          <w:szCs w:val="30"/>
          <w:highlight w:val="none"/>
        </w:rPr>
        <w:t>永久占地包括：</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规划红线范围内的地域</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1.1.3.11 </w:t>
      </w:r>
      <w:r>
        <w:rPr>
          <w:rFonts w:hint="eastAsia" w:ascii="仿宋_GB2312" w:eastAsia="仿宋_GB2312"/>
          <w:sz w:val="30"/>
          <w:szCs w:val="30"/>
          <w:highlight w:val="none"/>
        </w:rPr>
        <w:t>临时占地包括：</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发承包双方现场确认、移交</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1.2 </w:t>
      </w:r>
      <w:r>
        <w:rPr>
          <w:rFonts w:hint="eastAsia" w:ascii="黑体" w:hAnsi="黑体" w:eastAsia="黑体"/>
          <w:sz w:val="30"/>
          <w:szCs w:val="30"/>
          <w:highlight w:val="none"/>
        </w:rPr>
        <w:t>语言文字</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本合同除使用汉语外，还使用</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语言。</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1.3 </w:t>
      </w:r>
      <w:r>
        <w:rPr>
          <w:rFonts w:hint="eastAsia" w:ascii="黑体" w:hAnsi="黑体" w:eastAsia="黑体"/>
          <w:sz w:val="30"/>
          <w:szCs w:val="30"/>
          <w:highlight w:val="none"/>
        </w:rPr>
        <w:t>法律</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适用于合同的其他规范性文件：</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工程相关的国家、地方标准、规范</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1.4 </w:t>
      </w:r>
      <w:r>
        <w:rPr>
          <w:rFonts w:hint="eastAsia" w:ascii="黑体" w:hAnsi="黑体" w:eastAsia="黑体"/>
          <w:sz w:val="30"/>
          <w:szCs w:val="30"/>
          <w:highlight w:val="none"/>
        </w:rPr>
        <w:t>标准和规范</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1.4.1 </w:t>
      </w:r>
      <w:r>
        <w:rPr>
          <w:rFonts w:hint="eastAsia" w:ascii="仿宋_GB2312" w:eastAsia="仿宋_GB2312"/>
          <w:sz w:val="30"/>
          <w:szCs w:val="30"/>
          <w:highlight w:val="none"/>
        </w:rPr>
        <w:t>适用于本合同的标准、规范（名称）包括：</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国家省市现行的设计、材料、施工及验收规范、技术规程及质量检验评定标准等</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1.4.2 </w:t>
      </w:r>
      <w:r>
        <w:rPr>
          <w:rFonts w:hint="eastAsia" w:ascii="仿宋_GB2312" w:eastAsia="仿宋_GB2312"/>
          <w:sz w:val="30"/>
          <w:szCs w:val="30"/>
          <w:highlight w:val="none"/>
        </w:rPr>
        <w:t>发包人提供的国外标准、规范的名称：</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；发包人提供的国外标准、规范的份数：</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；发包人提供的国外标准、规范的时间：</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1.4.3 </w:t>
      </w:r>
      <w:r>
        <w:rPr>
          <w:rFonts w:hint="eastAsia" w:ascii="仿宋_GB2312" w:eastAsia="仿宋_GB2312"/>
          <w:sz w:val="30"/>
          <w:szCs w:val="30"/>
          <w:highlight w:val="none"/>
        </w:rPr>
        <w:t>没有成文规范、标准规定的约定：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承包人提出实施方法经监理、发包人认可后执行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1.4.4 </w:t>
      </w:r>
      <w:r>
        <w:rPr>
          <w:rFonts w:hint="eastAsia" w:ascii="仿宋_GB2312" w:eastAsia="仿宋_GB2312"/>
          <w:sz w:val="30"/>
          <w:szCs w:val="30"/>
          <w:highlight w:val="none"/>
        </w:rPr>
        <w:t>发包人对于工程的技术标准、功能要求：</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1.5 </w:t>
      </w:r>
      <w:r>
        <w:rPr>
          <w:rFonts w:hint="eastAsia" w:ascii="黑体" w:hAnsi="黑体" w:eastAsia="黑体"/>
          <w:sz w:val="30"/>
          <w:szCs w:val="30"/>
          <w:highlight w:val="none"/>
        </w:rPr>
        <w:t>合同文件的优先顺序</w:t>
      </w:r>
    </w:p>
    <w:p>
      <w:pPr>
        <w:wordWrap/>
        <w:topLinePunct w:val="0"/>
        <w:ind w:firstLine="600"/>
        <w:rPr>
          <w:rFonts w:hint="eastAsia" w:ascii="仿宋_GB2312" w:eastAsia="仿宋_GB2312"/>
          <w:sz w:val="30"/>
          <w:szCs w:val="30"/>
          <w:highlight w:val="none"/>
        </w:rPr>
      </w:pPr>
      <w:r>
        <w:rPr>
          <w:rFonts w:hint="eastAsia" w:ascii="仿宋_GB2312" w:eastAsia="仿宋_GB2312"/>
          <w:sz w:val="30"/>
          <w:szCs w:val="30"/>
          <w:highlight w:val="none"/>
        </w:rPr>
        <w:t>合同文件组成及优先顺序为：</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hint="eastAsia" w:ascii="仿宋_GB2312" w:eastAsia="仿宋_GB2312"/>
          <w:sz w:val="30"/>
          <w:szCs w:val="30"/>
          <w:highlight w:val="none"/>
        </w:rPr>
      </w:pPr>
      <w:r>
        <w:rPr>
          <w:rFonts w:hint="eastAsia" w:ascii="仿宋_GB2312" w:eastAsia="仿宋_GB2312"/>
          <w:sz w:val="30"/>
          <w:szCs w:val="30"/>
          <w:highlight w:val="none"/>
        </w:rPr>
        <w:t>（1）就该项合同文件所做出的补充协议；</w:t>
      </w:r>
    </w:p>
    <w:p>
      <w:pPr>
        <w:wordWrap/>
        <w:topLinePunct w:val="0"/>
        <w:ind w:firstLine="600"/>
        <w:rPr>
          <w:rFonts w:hint="eastAsia" w:ascii="仿宋_GB2312" w:eastAsia="仿宋_GB2312"/>
          <w:sz w:val="30"/>
          <w:szCs w:val="30"/>
          <w:highlight w:val="none"/>
        </w:rPr>
      </w:pPr>
      <w:r>
        <w:rPr>
          <w:rFonts w:hint="eastAsia" w:ascii="仿宋_GB2312" w:eastAsia="仿宋_GB2312"/>
          <w:sz w:val="30"/>
          <w:szCs w:val="30"/>
          <w:highlight w:val="none"/>
        </w:rPr>
        <w:t>（2）本合同协议书；</w:t>
      </w:r>
    </w:p>
    <w:p>
      <w:pPr>
        <w:wordWrap/>
        <w:topLinePunct w:val="0"/>
        <w:ind w:firstLine="600"/>
        <w:rPr>
          <w:rFonts w:hint="eastAsia" w:ascii="仿宋_GB2312" w:eastAsia="仿宋_GB2312"/>
          <w:sz w:val="30"/>
          <w:szCs w:val="30"/>
          <w:highlight w:val="none"/>
        </w:rPr>
      </w:pPr>
      <w:r>
        <w:rPr>
          <w:rFonts w:hint="eastAsia" w:ascii="仿宋_GB2312" w:eastAsia="仿宋_GB2312"/>
          <w:sz w:val="30"/>
          <w:szCs w:val="30"/>
          <w:highlight w:val="none"/>
        </w:rPr>
        <w:t>（3）中标通知书；</w:t>
      </w:r>
    </w:p>
    <w:p>
      <w:pPr>
        <w:wordWrap/>
        <w:topLinePunct w:val="0"/>
        <w:ind w:firstLine="600"/>
        <w:rPr>
          <w:rFonts w:hint="eastAsia" w:ascii="仿宋_GB2312" w:eastAsia="仿宋_GB2312"/>
          <w:sz w:val="30"/>
          <w:szCs w:val="30"/>
          <w:highlight w:val="none"/>
        </w:rPr>
      </w:pPr>
      <w:r>
        <w:rPr>
          <w:rFonts w:hint="eastAsia" w:ascii="仿宋_GB2312" w:eastAsia="仿宋_GB2312"/>
          <w:sz w:val="30"/>
          <w:szCs w:val="30"/>
          <w:highlight w:val="none"/>
        </w:rPr>
        <w:t>（4）投标函及其附录；</w:t>
      </w:r>
    </w:p>
    <w:p>
      <w:pPr>
        <w:wordWrap/>
        <w:topLinePunct w:val="0"/>
        <w:ind w:firstLine="600"/>
        <w:rPr>
          <w:rFonts w:hint="eastAsia" w:ascii="仿宋_GB2312" w:eastAsia="仿宋_GB2312"/>
          <w:sz w:val="30"/>
          <w:szCs w:val="30"/>
          <w:highlight w:val="none"/>
        </w:rPr>
      </w:pPr>
      <w:r>
        <w:rPr>
          <w:rFonts w:hint="eastAsia" w:ascii="仿宋_GB2312" w:eastAsia="仿宋_GB2312"/>
          <w:sz w:val="30"/>
          <w:szCs w:val="30"/>
          <w:highlight w:val="none"/>
        </w:rPr>
        <w:t>（5）专用合同条款及其附件；</w:t>
      </w:r>
    </w:p>
    <w:p>
      <w:pPr>
        <w:wordWrap/>
        <w:topLinePunct w:val="0"/>
        <w:ind w:firstLine="600"/>
        <w:rPr>
          <w:rFonts w:hint="eastAsia" w:ascii="仿宋_GB2312" w:eastAsia="仿宋_GB2312"/>
          <w:sz w:val="30"/>
          <w:szCs w:val="30"/>
          <w:highlight w:val="none"/>
        </w:rPr>
      </w:pPr>
      <w:r>
        <w:rPr>
          <w:rFonts w:hint="eastAsia" w:ascii="仿宋_GB2312" w:eastAsia="仿宋_GB2312"/>
          <w:sz w:val="30"/>
          <w:szCs w:val="30"/>
          <w:highlight w:val="none"/>
        </w:rPr>
        <w:t>（6）通用合同条款；</w:t>
      </w:r>
    </w:p>
    <w:p>
      <w:pPr>
        <w:wordWrap/>
        <w:topLinePunct w:val="0"/>
        <w:ind w:firstLine="600"/>
        <w:rPr>
          <w:rFonts w:hint="eastAsia" w:ascii="仿宋_GB2312" w:eastAsia="仿宋_GB2312"/>
          <w:sz w:val="30"/>
          <w:szCs w:val="30"/>
          <w:highlight w:val="none"/>
        </w:rPr>
      </w:pPr>
      <w:r>
        <w:rPr>
          <w:rFonts w:hint="eastAsia" w:ascii="仿宋_GB2312" w:eastAsia="仿宋_GB2312"/>
          <w:sz w:val="30"/>
          <w:szCs w:val="30"/>
          <w:highlight w:val="none"/>
        </w:rPr>
        <w:t>（7）技术标准、要求；</w:t>
      </w:r>
    </w:p>
    <w:p>
      <w:pPr>
        <w:wordWrap/>
        <w:topLinePunct w:val="0"/>
        <w:ind w:firstLine="600"/>
        <w:rPr>
          <w:rFonts w:hint="eastAsia" w:ascii="仿宋_GB2312" w:eastAsia="仿宋_GB2312"/>
          <w:sz w:val="30"/>
          <w:szCs w:val="30"/>
          <w:highlight w:val="none"/>
        </w:rPr>
      </w:pPr>
      <w:r>
        <w:rPr>
          <w:rFonts w:hint="eastAsia" w:ascii="仿宋_GB2312" w:eastAsia="仿宋_GB2312"/>
          <w:sz w:val="30"/>
          <w:szCs w:val="30"/>
          <w:highlight w:val="none"/>
        </w:rPr>
        <w:t>（8）在合同订立及履行过程中双方有关工程的签证、变更，双方往来文件等形成的与合同有关的文件。</w:t>
      </w:r>
    </w:p>
    <w:p>
      <w:pPr>
        <w:wordWrap/>
        <w:topLinePunct w:val="0"/>
        <w:ind w:firstLine="600"/>
        <w:rPr>
          <w:rFonts w:hint="eastAsia" w:ascii="仿宋_GB2312" w:eastAsia="仿宋_GB2312"/>
          <w:sz w:val="30"/>
          <w:szCs w:val="30"/>
          <w:highlight w:val="none"/>
        </w:rPr>
      </w:pPr>
      <w:r>
        <w:rPr>
          <w:rFonts w:hint="eastAsia" w:ascii="仿宋_GB2312" w:eastAsia="仿宋_GB2312"/>
          <w:sz w:val="30"/>
          <w:szCs w:val="30"/>
          <w:highlight w:val="none"/>
        </w:rPr>
        <w:t>（9）图纸；</w:t>
      </w:r>
    </w:p>
    <w:p>
      <w:pPr>
        <w:wordWrap/>
        <w:topLinePunct w:val="0"/>
        <w:ind w:firstLine="600"/>
        <w:rPr>
          <w:rFonts w:hint="eastAsia" w:ascii="仿宋_GB2312" w:eastAsia="仿宋_GB2312"/>
          <w:sz w:val="30"/>
          <w:szCs w:val="30"/>
          <w:highlight w:val="none"/>
        </w:rPr>
      </w:pPr>
      <w:r>
        <w:rPr>
          <w:rFonts w:hint="eastAsia" w:ascii="仿宋_GB2312" w:eastAsia="仿宋_GB2312"/>
          <w:sz w:val="30"/>
          <w:szCs w:val="30"/>
          <w:highlight w:val="none"/>
        </w:rPr>
        <w:t>（10）已标价工程量清单或预算书；</w:t>
      </w:r>
    </w:p>
    <w:p>
      <w:pPr>
        <w:wordWrap/>
        <w:topLinePunct w:val="0"/>
        <w:ind w:firstLine="600"/>
        <w:rPr>
          <w:rFonts w:hint="eastAsia" w:ascii="仿宋_GB2312" w:eastAsia="仿宋_GB2312"/>
          <w:sz w:val="30"/>
          <w:szCs w:val="30"/>
          <w:highlight w:val="none"/>
        </w:rPr>
      </w:pPr>
      <w:r>
        <w:rPr>
          <w:rFonts w:hint="eastAsia" w:ascii="仿宋_GB2312" w:eastAsia="仿宋_GB2312"/>
          <w:sz w:val="30"/>
          <w:szCs w:val="30"/>
          <w:highlight w:val="none"/>
        </w:rPr>
        <w:t>以上文件如有不清或互相矛盾之处，以上面所列顺序在前的为准，同一顺序号的则以时间在后的为准。</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1.6 </w:t>
      </w:r>
      <w:r>
        <w:rPr>
          <w:rFonts w:hint="eastAsia" w:ascii="黑体" w:hAnsi="黑体" w:eastAsia="黑体"/>
          <w:sz w:val="30"/>
          <w:szCs w:val="30"/>
          <w:highlight w:val="none"/>
        </w:rPr>
        <w:t>文件的提供和照管</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1.6.1 </w:t>
      </w:r>
      <w:r>
        <w:rPr>
          <w:rFonts w:hint="eastAsia" w:ascii="仿宋_GB2312" w:eastAsia="仿宋_GB2312"/>
          <w:sz w:val="30"/>
          <w:szCs w:val="30"/>
          <w:highlight w:val="none"/>
        </w:rPr>
        <w:t>发包人文件的提供</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发包人文件的提供期限、名称、数量和形式：</w:t>
      </w:r>
      <w:r>
        <w:rPr>
          <w:rFonts w:hint="eastAsia" w:ascii="仿宋_GB2312" w:eastAsia="仿宋_GB2312"/>
          <w:sz w:val="30"/>
          <w:szCs w:val="30"/>
          <w:highlight w:val="none"/>
          <w:u w:val="single"/>
        </w:rPr>
        <w:t>项目建议书、立项批复及规划图</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1.6.2 </w:t>
      </w:r>
      <w:r>
        <w:rPr>
          <w:rFonts w:hint="eastAsia" w:ascii="仿宋_GB2312" w:eastAsia="仿宋_GB2312"/>
          <w:sz w:val="30"/>
          <w:szCs w:val="30"/>
          <w:highlight w:val="none"/>
        </w:rPr>
        <w:t>承包人文件的提供</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承包人文件的内容、提供期限、名称、数量和形式：</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执行通用条款</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1.6.4 </w:t>
      </w:r>
      <w:r>
        <w:rPr>
          <w:rFonts w:hint="eastAsia" w:ascii="仿宋_GB2312" w:eastAsia="仿宋_GB2312"/>
          <w:sz w:val="30"/>
          <w:szCs w:val="30"/>
          <w:highlight w:val="none"/>
        </w:rPr>
        <w:t>文件的照管</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关于现场文件准备的约定：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执行通用条款</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1.7 </w:t>
      </w:r>
      <w:r>
        <w:rPr>
          <w:rFonts w:hint="eastAsia" w:ascii="黑体" w:hAnsi="黑体" w:eastAsia="黑体"/>
          <w:sz w:val="30"/>
          <w:szCs w:val="30"/>
          <w:highlight w:val="none"/>
        </w:rPr>
        <w:t>联络</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1.7.2 </w:t>
      </w:r>
      <w:r>
        <w:rPr>
          <w:rFonts w:hint="eastAsia" w:ascii="仿宋_GB2312" w:eastAsia="仿宋_GB2312"/>
          <w:sz w:val="30"/>
          <w:szCs w:val="30"/>
          <w:highlight w:val="none"/>
        </w:rPr>
        <w:t>发包人指定的送达方式（包括电子传输方式）：</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直接送达</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发包人的送达地址：</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发包人办公室</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 xml:space="preserve">承包人指定的送达方式（包括电子传输方式）： </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直接送达</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承包人的送达地址：</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发包人办公室</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1.10 </w:t>
      </w:r>
      <w:r>
        <w:rPr>
          <w:rFonts w:hint="eastAsia" w:ascii="黑体" w:hAnsi="黑体" w:eastAsia="黑体"/>
          <w:sz w:val="30"/>
          <w:szCs w:val="30"/>
          <w:highlight w:val="none"/>
        </w:rPr>
        <w:t>知识产权</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1.10.1 </w:t>
      </w:r>
      <w:r>
        <w:rPr>
          <w:rFonts w:hint="eastAsia" w:ascii="仿宋_GB2312" w:eastAsia="仿宋_GB2312"/>
          <w:sz w:val="30"/>
          <w:szCs w:val="30"/>
          <w:highlight w:val="none"/>
        </w:rPr>
        <w:t>由发包人（或以发包人名义）编制的《发包人要求》和其他文件的著作权归属：</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发包人</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1.10.2 </w:t>
      </w:r>
      <w:r>
        <w:rPr>
          <w:rFonts w:hint="eastAsia" w:ascii="仿宋_GB2312" w:eastAsia="仿宋_GB2312"/>
          <w:sz w:val="30"/>
          <w:szCs w:val="30"/>
          <w:highlight w:val="none"/>
        </w:rPr>
        <w:t>由承包人（或以承包人名义）为实施工程所编制的文件、承包人完成的设计工作成果和建造完成的建筑物的知识产权归属：</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承包人</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1.10.4 </w:t>
      </w:r>
      <w:r>
        <w:rPr>
          <w:rFonts w:hint="eastAsia" w:ascii="仿宋_GB2312" w:eastAsia="仿宋_GB2312"/>
          <w:sz w:val="30"/>
          <w:szCs w:val="30"/>
          <w:highlight w:val="none"/>
        </w:rPr>
        <w:t>承包人在投标文件中采用的专利、专有技术、技术秘密的使用费的承担方式</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由承包人承担</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1.11 </w:t>
      </w:r>
      <w:r>
        <w:rPr>
          <w:rFonts w:hint="eastAsia" w:ascii="黑体" w:hAnsi="黑体" w:eastAsia="黑体"/>
          <w:sz w:val="30"/>
          <w:szCs w:val="30"/>
          <w:highlight w:val="none"/>
        </w:rPr>
        <w:t>保密</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双方订立的商业保密协议（名称）：</w:t>
      </w:r>
      <w:r>
        <w:rPr>
          <w:rFonts w:ascii="仿宋_GB2312" w:eastAsia="仿宋_GB2312"/>
          <w:sz w:val="30"/>
          <w:szCs w:val="30"/>
          <w:highlight w:val="none"/>
          <w:u w:val="single"/>
        </w:rPr>
        <w:t xml:space="preserve">              </w:t>
      </w:r>
      <w:r>
        <w:rPr>
          <w:rFonts w:hint="eastAsia" w:ascii="仿宋_GB2312" w:eastAsia="仿宋_GB2312"/>
          <w:sz w:val="30"/>
          <w:szCs w:val="30"/>
          <w:highlight w:val="none"/>
        </w:rPr>
        <w:t>，作为本合同附件。</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双方订立的技术保密协议（名称）：</w:t>
      </w:r>
      <w:r>
        <w:rPr>
          <w:rFonts w:ascii="仿宋_GB2312" w:eastAsia="仿宋_GB2312"/>
          <w:sz w:val="30"/>
          <w:szCs w:val="30"/>
          <w:highlight w:val="none"/>
          <w:u w:val="single"/>
        </w:rPr>
        <w:t xml:space="preserve">             </w:t>
      </w:r>
      <w:r>
        <w:rPr>
          <w:rFonts w:hint="eastAsia" w:ascii="仿宋_GB2312" w:eastAsia="仿宋_GB2312"/>
          <w:sz w:val="30"/>
          <w:szCs w:val="30"/>
          <w:highlight w:val="none"/>
        </w:rPr>
        <w:t>，作为本合同附件。</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1.13 </w:t>
      </w:r>
      <w:r>
        <w:rPr>
          <w:rFonts w:hint="eastAsia" w:ascii="黑体" w:hAnsi="黑体" w:eastAsia="黑体"/>
          <w:sz w:val="30"/>
          <w:szCs w:val="30"/>
          <w:highlight w:val="none"/>
        </w:rPr>
        <w:t>责任限制</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承包人对发包人赔偿责任的最高限额为</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合同额的 30%</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1.14 </w:t>
      </w:r>
      <w:r>
        <w:rPr>
          <w:rFonts w:hint="eastAsia" w:ascii="黑体" w:hAnsi="黑体" w:eastAsia="黑体"/>
          <w:sz w:val="30"/>
          <w:szCs w:val="30"/>
          <w:highlight w:val="none"/>
        </w:rPr>
        <w:t>建筑信息模型技术的应用</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关于建筑信息模型技术的开发、使用、存储、传输、交付及费用约定如下：</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包含在合同总价中</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pStyle w:val="29"/>
        <w:rPr>
          <w:rFonts w:ascii="黑体" w:hAnsi="黑体" w:eastAsia="黑体"/>
          <w:b w:val="0"/>
          <w:bCs/>
          <w:sz w:val="32"/>
          <w:szCs w:val="21"/>
          <w:highlight w:val="none"/>
        </w:rPr>
      </w:pPr>
      <w:bookmarkStart w:id="33" w:name="_Toc54862333"/>
      <w:r>
        <w:rPr>
          <w:rFonts w:hint="eastAsia" w:ascii="黑体" w:hAnsi="黑体" w:eastAsia="黑体"/>
          <w:b w:val="0"/>
          <w:bCs/>
          <w:sz w:val="32"/>
          <w:szCs w:val="21"/>
          <w:highlight w:val="none"/>
        </w:rPr>
        <w:t>第</w:t>
      </w:r>
      <w:r>
        <w:rPr>
          <w:rFonts w:ascii="黑体" w:hAnsi="黑体" w:eastAsia="黑体"/>
          <w:b w:val="0"/>
          <w:bCs/>
          <w:sz w:val="32"/>
          <w:szCs w:val="21"/>
          <w:highlight w:val="none"/>
        </w:rPr>
        <w:t>2条</w:t>
      </w:r>
      <w:r>
        <w:rPr>
          <w:rFonts w:hint="eastAsia" w:ascii="黑体" w:hAnsi="黑体" w:eastAsia="黑体"/>
          <w:b w:val="0"/>
          <w:bCs/>
          <w:sz w:val="32"/>
          <w:szCs w:val="21"/>
          <w:highlight w:val="none"/>
        </w:rPr>
        <w:t xml:space="preserve"> 发包人</w:t>
      </w:r>
      <w:bookmarkEnd w:id="33"/>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2.2 </w:t>
      </w:r>
      <w:r>
        <w:rPr>
          <w:rFonts w:hint="eastAsia" w:ascii="黑体" w:hAnsi="黑体" w:eastAsia="黑体"/>
          <w:sz w:val="30"/>
          <w:szCs w:val="30"/>
          <w:highlight w:val="none"/>
        </w:rPr>
        <w:t>提供施工现场和工作条件</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2.2.1 </w:t>
      </w:r>
      <w:r>
        <w:rPr>
          <w:rFonts w:hint="eastAsia" w:ascii="仿宋_GB2312" w:eastAsia="仿宋_GB2312"/>
          <w:sz w:val="30"/>
          <w:szCs w:val="30"/>
          <w:highlight w:val="none"/>
        </w:rPr>
        <w:t>提供施工现场</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关于发包人提供施工现场的范围和期限：</w:t>
      </w:r>
      <w:r>
        <w:rPr>
          <w:rFonts w:hint="eastAsia" w:ascii="仿宋_GB2312" w:eastAsia="仿宋_GB2312"/>
          <w:sz w:val="30"/>
          <w:szCs w:val="30"/>
          <w:highlight w:val="none"/>
          <w:u w:val="single"/>
        </w:rPr>
        <w:t>工程规划用地红线范围内；在签订合同 7 天内发包人向承包人提供施工现场，经双方签字确认后起</w:t>
      </w:r>
      <w:r>
        <w:rPr>
          <w:rFonts w:hint="eastAsia" w:ascii="仿宋_GB2312" w:eastAsia="仿宋_GB2312"/>
          <w:sz w:val="30"/>
          <w:szCs w:val="30"/>
          <w:highlight w:val="none"/>
          <w:u w:val="single"/>
          <w:lang w:val="en-US" w:eastAsia="zh-CN"/>
        </w:rPr>
        <w:t>算</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2.2.2 </w:t>
      </w:r>
      <w:r>
        <w:rPr>
          <w:rFonts w:hint="eastAsia" w:ascii="仿宋_GB2312" w:eastAsia="仿宋_GB2312"/>
          <w:sz w:val="30"/>
          <w:szCs w:val="30"/>
          <w:highlight w:val="none"/>
        </w:rPr>
        <w:t>提供工作条件</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关于发包人应负责提供的工作条件包括：</w:t>
      </w:r>
      <w:r>
        <w:rPr>
          <w:rFonts w:hint="eastAsia" w:ascii="仿宋_GB2312" w:eastAsia="仿宋_GB2312"/>
          <w:sz w:val="30"/>
          <w:szCs w:val="30"/>
          <w:highlight w:val="none"/>
          <w:u w:val="single"/>
        </w:rPr>
        <w:t>法律、法规规定由发包人办理的手续办理完毕</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2.3 </w:t>
      </w:r>
      <w:r>
        <w:rPr>
          <w:rFonts w:hint="eastAsia" w:ascii="黑体" w:hAnsi="黑体" w:eastAsia="黑体"/>
          <w:sz w:val="30"/>
          <w:szCs w:val="30"/>
          <w:highlight w:val="none"/>
        </w:rPr>
        <w:t>提供基础资料</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关于发包人应提供的基础资料的范围和期限：</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开工前七天</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2.5 </w:t>
      </w:r>
      <w:r>
        <w:rPr>
          <w:rFonts w:hint="eastAsia" w:ascii="黑体" w:hAnsi="黑体" w:eastAsia="黑体"/>
          <w:sz w:val="30"/>
          <w:szCs w:val="30"/>
          <w:highlight w:val="none"/>
        </w:rPr>
        <w:t>支付合同价款</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2.5.2 </w:t>
      </w:r>
      <w:r>
        <w:rPr>
          <w:rFonts w:hint="eastAsia" w:ascii="仿宋_GB2312" w:eastAsia="仿宋_GB2312"/>
          <w:sz w:val="30"/>
          <w:szCs w:val="30"/>
          <w:highlight w:val="none"/>
        </w:rPr>
        <w:t>发包人提供资金来源证明及资金安排的期限要求：</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2.5.3 </w:t>
      </w:r>
      <w:r>
        <w:rPr>
          <w:rFonts w:hint="eastAsia" w:ascii="仿宋_GB2312" w:eastAsia="仿宋_GB2312"/>
          <w:sz w:val="30"/>
          <w:szCs w:val="30"/>
          <w:highlight w:val="none"/>
        </w:rPr>
        <w:t>发包人提供支付担保的形式、期限、金额（或比例）：</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2.7 </w:t>
      </w:r>
      <w:r>
        <w:rPr>
          <w:rFonts w:hint="eastAsia" w:ascii="黑体" w:hAnsi="黑体" w:eastAsia="黑体"/>
          <w:sz w:val="30"/>
          <w:szCs w:val="30"/>
          <w:highlight w:val="none"/>
        </w:rPr>
        <w:t>其他义务</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发包人应履行的其他义务：</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pStyle w:val="29"/>
        <w:rPr>
          <w:rFonts w:ascii="黑体" w:hAnsi="黑体" w:eastAsia="黑体"/>
          <w:b w:val="0"/>
          <w:bCs/>
          <w:sz w:val="32"/>
          <w:szCs w:val="21"/>
          <w:highlight w:val="none"/>
        </w:rPr>
      </w:pPr>
      <w:bookmarkStart w:id="34" w:name="_Toc54862334"/>
      <w:r>
        <w:rPr>
          <w:rFonts w:hint="eastAsia" w:ascii="黑体" w:hAnsi="黑体" w:eastAsia="黑体"/>
          <w:b w:val="0"/>
          <w:bCs/>
          <w:sz w:val="32"/>
          <w:szCs w:val="21"/>
          <w:highlight w:val="none"/>
        </w:rPr>
        <w:t>第</w:t>
      </w:r>
      <w:r>
        <w:rPr>
          <w:rFonts w:ascii="黑体" w:hAnsi="黑体" w:eastAsia="黑体"/>
          <w:b w:val="0"/>
          <w:bCs/>
          <w:sz w:val="32"/>
          <w:szCs w:val="21"/>
          <w:highlight w:val="none"/>
        </w:rPr>
        <w:t>3条</w:t>
      </w:r>
      <w:r>
        <w:rPr>
          <w:rFonts w:hint="eastAsia" w:ascii="黑体" w:hAnsi="黑体" w:eastAsia="黑体"/>
          <w:b w:val="0"/>
          <w:bCs/>
          <w:sz w:val="32"/>
          <w:szCs w:val="21"/>
          <w:highlight w:val="none"/>
        </w:rPr>
        <w:t xml:space="preserve"> 发包人的管理</w:t>
      </w:r>
      <w:bookmarkEnd w:id="34"/>
    </w:p>
    <w:p>
      <w:pPr>
        <w:wordWrap/>
        <w:topLinePunct w:val="0"/>
        <w:ind w:firstLine="640"/>
        <w:rPr>
          <w:rFonts w:ascii="黑体" w:hAnsi="黑体" w:eastAsia="黑体"/>
          <w:sz w:val="32"/>
          <w:szCs w:val="32"/>
          <w:highlight w:val="none"/>
        </w:rPr>
      </w:pPr>
      <w:r>
        <w:rPr>
          <w:rFonts w:ascii="黑体" w:hAnsi="黑体" w:eastAsia="黑体"/>
          <w:sz w:val="32"/>
          <w:szCs w:val="32"/>
          <w:highlight w:val="none"/>
        </w:rPr>
        <w:t xml:space="preserve">3.1 </w:t>
      </w:r>
      <w:r>
        <w:rPr>
          <w:rFonts w:hint="eastAsia" w:ascii="黑体" w:hAnsi="黑体" w:eastAsia="黑体"/>
          <w:sz w:val="32"/>
          <w:szCs w:val="32"/>
          <w:highlight w:val="none"/>
        </w:rPr>
        <w:t>发包人代表</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发包人代表的姓名：</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发包人代表的身份证号：</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发包人代表的职务：</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发包人代表的联系电话：</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发包人代表的电子邮箱：</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发包人代表的通信地址：</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发包人对发包人代表的授权范围如下：</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发包人代表的职责：</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40"/>
        <w:rPr>
          <w:rFonts w:ascii="黑体" w:hAnsi="黑体" w:eastAsia="黑体"/>
          <w:sz w:val="32"/>
          <w:szCs w:val="32"/>
          <w:highlight w:val="none"/>
        </w:rPr>
      </w:pPr>
      <w:r>
        <w:rPr>
          <w:rFonts w:ascii="黑体" w:hAnsi="黑体" w:eastAsia="黑体"/>
          <w:sz w:val="32"/>
          <w:szCs w:val="32"/>
          <w:highlight w:val="none"/>
        </w:rPr>
        <w:t xml:space="preserve">3.2 </w:t>
      </w:r>
      <w:r>
        <w:rPr>
          <w:rFonts w:hint="eastAsia" w:ascii="黑体" w:hAnsi="黑体" w:eastAsia="黑体"/>
          <w:sz w:val="32"/>
          <w:szCs w:val="32"/>
          <w:highlight w:val="none"/>
        </w:rPr>
        <w:t>发包人人员</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发包人人员姓名：</w:t>
      </w:r>
      <w:r>
        <w:rPr>
          <w:rFonts w:ascii="仿宋_GB2312" w:eastAsia="仿宋_GB2312"/>
          <w:sz w:val="30"/>
          <w:szCs w:val="30"/>
          <w:highlight w:val="none"/>
          <w:u w:val="single"/>
        </w:rPr>
        <w:t xml:space="preserve">                                   </w:t>
      </w:r>
      <w:r>
        <w:rPr>
          <w:rFonts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发包人人员职务：</w:t>
      </w:r>
      <w:r>
        <w:rPr>
          <w:rFonts w:ascii="仿宋_GB2312" w:eastAsia="仿宋_GB2312"/>
          <w:sz w:val="30"/>
          <w:szCs w:val="30"/>
          <w:highlight w:val="none"/>
          <w:u w:val="single"/>
        </w:rPr>
        <w:t xml:space="preserve">                                  </w:t>
      </w:r>
      <w:r>
        <w:rPr>
          <w:rFonts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发包人人员职责：</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40"/>
        <w:rPr>
          <w:rFonts w:ascii="黑体" w:hAnsi="黑体" w:eastAsia="黑体"/>
          <w:sz w:val="32"/>
          <w:szCs w:val="32"/>
          <w:highlight w:val="none"/>
        </w:rPr>
      </w:pPr>
      <w:r>
        <w:rPr>
          <w:rFonts w:ascii="黑体" w:hAnsi="黑体" w:eastAsia="黑体"/>
          <w:sz w:val="32"/>
          <w:szCs w:val="32"/>
          <w:highlight w:val="none"/>
        </w:rPr>
        <w:t xml:space="preserve">3.3 </w:t>
      </w:r>
      <w:r>
        <w:rPr>
          <w:rFonts w:hint="eastAsia" w:ascii="黑体" w:hAnsi="黑体" w:eastAsia="黑体"/>
          <w:sz w:val="32"/>
          <w:szCs w:val="32"/>
          <w:highlight w:val="none"/>
        </w:rPr>
        <w:t>工程师</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3</w:t>
      </w:r>
      <w:r>
        <w:rPr>
          <w:rFonts w:ascii="仿宋_GB2312" w:eastAsia="仿宋_GB2312"/>
          <w:sz w:val="30"/>
          <w:szCs w:val="30"/>
          <w:highlight w:val="none"/>
        </w:rPr>
        <w:t xml:space="preserve">.3.1 </w:t>
      </w:r>
      <w:r>
        <w:rPr>
          <w:rFonts w:hint="eastAsia" w:ascii="仿宋_GB2312" w:eastAsia="仿宋_GB2312"/>
          <w:sz w:val="30"/>
          <w:szCs w:val="30"/>
          <w:highlight w:val="none"/>
        </w:rPr>
        <w:t>工程师名称</w:t>
      </w:r>
      <w:r>
        <w:rPr>
          <w:rFonts w:ascii="仿宋_GB2312" w:eastAsia="仿宋_GB2312"/>
          <w:sz w:val="30"/>
          <w:szCs w:val="30"/>
          <w:highlight w:val="none"/>
        </w:rPr>
        <w:t>：</w:t>
      </w:r>
      <w:r>
        <w:rPr>
          <w:rFonts w:ascii="仿宋_GB2312" w:eastAsia="仿宋_GB2312"/>
          <w:sz w:val="30"/>
          <w:szCs w:val="30"/>
          <w:highlight w:val="none"/>
          <w:u w:val="single"/>
        </w:rPr>
        <w:t xml:space="preserve">                          </w:t>
      </w:r>
      <w:r>
        <w:rPr>
          <w:rFonts w:ascii="仿宋_GB2312" w:eastAsia="仿宋_GB2312"/>
          <w:sz w:val="30"/>
          <w:szCs w:val="30"/>
          <w:highlight w:val="none"/>
        </w:rPr>
        <w:t>；</w:t>
      </w:r>
      <w:r>
        <w:rPr>
          <w:rFonts w:hint="eastAsia" w:ascii="仿宋_GB2312" w:eastAsia="仿宋_GB2312"/>
          <w:sz w:val="30"/>
          <w:szCs w:val="30"/>
          <w:highlight w:val="none"/>
        </w:rPr>
        <w:t>工程师监督管理</w:t>
      </w:r>
      <w:r>
        <w:rPr>
          <w:rFonts w:ascii="仿宋_GB2312" w:eastAsia="仿宋_GB2312"/>
          <w:sz w:val="30"/>
          <w:szCs w:val="30"/>
          <w:highlight w:val="none"/>
        </w:rPr>
        <w:t>范围</w:t>
      </w:r>
      <w:r>
        <w:rPr>
          <w:rFonts w:hint="eastAsia" w:ascii="仿宋_GB2312" w:eastAsia="仿宋_GB2312"/>
          <w:sz w:val="30"/>
          <w:szCs w:val="30"/>
          <w:highlight w:val="none"/>
        </w:rPr>
        <w:t>、内容</w:t>
      </w:r>
      <w:r>
        <w:rPr>
          <w:rFonts w:ascii="仿宋_GB2312" w:eastAsia="仿宋_GB2312"/>
          <w:sz w:val="30"/>
          <w:szCs w:val="30"/>
          <w:highlight w:val="none"/>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；工程师</w:t>
      </w:r>
      <w:r>
        <w:rPr>
          <w:rFonts w:ascii="仿宋_GB2312" w:eastAsia="仿宋_GB2312"/>
          <w:sz w:val="30"/>
          <w:szCs w:val="30"/>
          <w:highlight w:val="none"/>
        </w:rPr>
        <w:t>权限：</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40"/>
        <w:rPr>
          <w:rFonts w:ascii="黑体" w:hAnsi="黑体" w:eastAsia="黑体"/>
          <w:sz w:val="32"/>
          <w:szCs w:val="32"/>
          <w:highlight w:val="none"/>
        </w:rPr>
      </w:pPr>
      <w:r>
        <w:rPr>
          <w:rFonts w:ascii="黑体" w:hAnsi="黑体" w:eastAsia="黑体"/>
          <w:sz w:val="32"/>
          <w:szCs w:val="32"/>
          <w:highlight w:val="none"/>
        </w:rPr>
        <w:t xml:space="preserve">3.6 </w:t>
      </w:r>
      <w:r>
        <w:rPr>
          <w:rFonts w:hint="eastAsia" w:ascii="黑体" w:hAnsi="黑体" w:eastAsia="黑体"/>
          <w:sz w:val="32"/>
          <w:szCs w:val="32"/>
          <w:highlight w:val="none"/>
        </w:rPr>
        <w:t>商定或确定</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3</w:t>
      </w:r>
      <w:r>
        <w:rPr>
          <w:rFonts w:ascii="仿宋_GB2312" w:eastAsia="仿宋_GB2312"/>
          <w:sz w:val="30"/>
          <w:szCs w:val="30"/>
          <w:highlight w:val="none"/>
        </w:rPr>
        <w:t>.6.2 关于</w:t>
      </w:r>
      <w:r>
        <w:rPr>
          <w:rFonts w:hint="eastAsia" w:ascii="仿宋_GB2312" w:eastAsia="仿宋_GB2312"/>
          <w:sz w:val="30"/>
          <w:szCs w:val="30"/>
          <w:highlight w:val="none"/>
        </w:rPr>
        <w:t>商定</w:t>
      </w:r>
      <w:r>
        <w:rPr>
          <w:rFonts w:ascii="仿宋_GB2312" w:eastAsia="仿宋_GB2312"/>
          <w:sz w:val="30"/>
          <w:szCs w:val="30"/>
          <w:highlight w:val="none"/>
        </w:rPr>
        <w:t>时间限制的具体约定：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3.6.3 关于</w:t>
      </w:r>
      <w:r>
        <w:rPr>
          <w:rFonts w:hint="eastAsia" w:ascii="仿宋_GB2312" w:eastAsia="仿宋_GB2312"/>
          <w:sz w:val="30"/>
          <w:szCs w:val="30"/>
          <w:highlight w:val="none"/>
        </w:rPr>
        <w:t>商定或确定</w:t>
      </w:r>
      <w:r>
        <w:rPr>
          <w:rFonts w:ascii="仿宋_GB2312" w:eastAsia="仿宋_GB2312"/>
          <w:sz w:val="30"/>
          <w:szCs w:val="30"/>
          <w:highlight w:val="none"/>
        </w:rPr>
        <w:t>效力的具体约定：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r>
        <w:rPr>
          <w:rFonts w:ascii="仿宋_GB2312" w:eastAsia="仿宋_GB2312"/>
          <w:sz w:val="30"/>
          <w:szCs w:val="30"/>
          <w:highlight w:val="none"/>
        </w:rPr>
        <w:t>关于对</w:t>
      </w:r>
      <w:r>
        <w:rPr>
          <w:rFonts w:hint="eastAsia" w:ascii="仿宋_GB2312" w:eastAsia="仿宋_GB2312"/>
          <w:sz w:val="30"/>
          <w:szCs w:val="30"/>
          <w:highlight w:val="none"/>
        </w:rPr>
        <w:t>工程师的确定提出异议</w:t>
      </w:r>
      <w:r>
        <w:rPr>
          <w:rFonts w:ascii="仿宋_GB2312" w:eastAsia="仿宋_GB2312"/>
          <w:sz w:val="30"/>
          <w:szCs w:val="30"/>
          <w:highlight w:val="none"/>
        </w:rPr>
        <w:t>的具体约定：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40"/>
        <w:rPr>
          <w:rFonts w:ascii="黑体" w:hAnsi="黑体" w:eastAsia="黑体"/>
          <w:sz w:val="32"/>
          <w:szCs w:val="32"/>
          <w:highlight w:val="none"/>
        </w:rPr>
      </w:pPr>
      <w:r>
        <w:rPr>
          <w:rFonts w:ascii="黑体" w:hAnsi="黑体" w:eastAsia="黑体"/>
          <w:sz w:val="32"/>
          <w:szCs w:val="32"/>
          <w:highlight w:val="none"/>
        </w:rPr>
        <w:t xml:space="preserve">3.7 </w:t>
      </w:r>
      <w:r>
        <w:rPr>
          <w:rFonts w:hint="eastAsia" w:ascii="黑体" w:hAnsi="黑体" w:eastAsia="黑体"/>
          <w:sz w:val="32"/>
          <w:szCs w:val="32"/>
          <w:highlight w:val="none"/>
        </w:rPr>
        <w:t>会议</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3</w:t>
      </w:r>
      <w:r>
        <w:rPr>
          <w:rFonts w:ascii="仿宋_GB2312" w:eastAsia="仿宋_GB2312"/>
          <w:sz w:val="30"/>
          <w:szCs w:val="30"/>
          <w:highlight w:val="none"/>
        </w:rPr>
        <w:t>.7.1 关于召开会议</w:t>
      </w:r>
      <w:r>
        <w:rPr>
          <w:rFonts w:hint="eastAsia" w:ascii="仿宋_GB2312" w:eastAsia="仿宋_GB2312"/>
          <w:sz w:val="30"/>
          <w:szCs w:val="30"/>
          <w:highlight w:val="none"/>
        </w:rPr>
        <w:t>的具体约定：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3</w:t>
      </w:r>
      <w:r>
        <w:rPr>
          <w:rFonts w:ascii="仿宋_GB2312" w:eastAsia="仿宋_GB2312"/>
          <w:sz w:val="30"/>
          <w:szCs w:val="30"/>
          <w:highlight w:val="none"/>
        </w:rPr>
        <w:t xml:space="preserve">.7.2 </w:t>
      </w:r>
      <w:r>
        <w:rPr>
          <w:rFonts w:hint="eastAsia" w:ascii="仿宋_GB2312" w:eastAsia="仿宋_GB2312"/>
          <w:sz w:val="30"/>
          <w:szCs w:val="30"/>
          <w:highlight w:val="none"/>
        </w:rPr>
        <w:t>关于保存和提供会议纪要</w:t>
      </w:r>
      <w:r>
        <w:rPr>
          <w:rFonts w:ascii="仿宋_GB2312" w:eastAsia="仿宋_GB2312"/>
          <w:sz w:val="30"/>
          <w:szCs w:val="30"/>
          <w:highlight w:val="none"/>
        </w:rPr>
        <w:t>的具体约定：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pStyle w:val="29"/>
        <w:rPr>
          <w:rFonts w:ascii="黑体" w:hAnsi="黑体" w:eastAsia="黑体"/>
          <w:b w:val="0"/>
          <w:bCs/>
          <w:sz w:val="32"/>
          <w:szCs w:val="21"/>
          <w:highlight w:val="none"/>
        </w:rPr>
      </w:pPr>
      <w:bookmarkStart w:id="35" w:name="_Toc54862335"/>
      <w:r>
        <w:rPr>
          <w:rFonts w:hint="eastAsia" w:ascii="黑体" w:hAnsi="黑体" w:eastAsia="黑体"/>
          <w:b w:val="0"/>
          <w:bCs/>
          <w:sz w:val="32"/>
          <w:szCs w:val="21"/>
          <w:highlight w:val="none"/>
        </w:rPr>
        <w:t>第</w:t>
      </w:r>
      <w:r>
        <w:rPr>
          <w:rFonts w:ascii="黑体" w:hAnsi="黑体" w:eastAsia="黑体"/>
          <w:b w:val="0"/>
          <w:bCs/>
          <w:sz w:val="32"/>
          <w:szCs w:val="21"/>
          <w:highlight w:val="none"/>
        </w:rPr>
        <w:t>4条</w:t>
      </w:r>
      <w:r>
        <w:rPr>
          <w:rFonts w:hint="eastAsia" w:ascii="黑体" w:hAnsi="黑体" w:eastAsia="黑体"/>
          <w:b w:val="0"/>
          <w:bCs/>
          <w:sz w:val="32"/>
          <w:szCs w:val="21"/>
          <w:highlight w:val="none"/>
        </w:rPr>
        <w:t xml:space="preserve"> 承包人</w:t>
      </w:r>
      <w:bookmarkEnd w:id="35"/>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4.1 </w:t>
      </w:r>
      <w:r>
        <w:rPr>
          <w:rFonts w:hint="eastAsia" w:ascii="黑体" w:hAnsi="黑体" w:eastAsia="黑体"/>
          <w:sz w:val="30"/>
          <w:szCs w:val="30"/>
          <w:highlight w:val="none"/>
        </w:rPr>
        <w:t>承包人的一般义务</w:t>
      </w:r>
    </w:p>
    <w:p>
      <w:pPr>
        <w:wordWrap/>
        <w:topLinePunct w:val="0"/>
        <w:ind w:firstLine="600"/>
        <w:rPr>
          <w:rFonts w:ascii="仿宋_GB2312" w:eastAsia="仿宋_GB2312"/>
          <w:sz w:val="30"/>
          <w:szCs w:val="30"/>
          <w:highlight w:val="none"/>
          <w:u w:val="single"/>
        </w:rPr>
      </w:pPr>
      <w:r>
        <w:rPr>
          <w:rFonts w:hint="eastAsia" w:ascii="仿宋_GB2312" w:eastAsia="仿宋_GB2312"/>
          <w:sz w:val="30"/>
          <w:szCs w:val="30"/>
          <w:highlight w:val="none"/>
          <w:lang w:val="en-US" w:eastAsia="zh-CN"/>
        </w:rPr>
        <w:t>4.1.1</w:t>
      </w:r>
      <w:r>
        <w:rPr>
          <w:rFonts w:hint="eastAsia" w:ascii="仿宋_GB2312" w:eastAsia="仿宋_GB2312"/>
          <w:sz w:val="30"/>
          <w:szCs w:val="30"/>
          <w:highlight w:val="none"/>
        </w:rPr>
        <w:t>承包人应履行的其他义务：</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（1）完成工程承包范围内的各项工作。</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2）承包人应按照相关要求及时、足额缴纳农民工工资保证金，提供农民工专用账户等费用；制定切实可行的扬尘、噪声污染等防治措施，严格控制施工期间的扬尘、噪声等污染，如果因此造成行政处罚，则承包人除向相关部门足额缴纳罚金，承担一切后果外；安全文明施工应按相关规定执行，达到河南省安全文明工地标准，设专人负责打扫和维护工地周边道路的卫生并安排保安协助交警维持周边道路交通。</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（3）保证施工和人员的安全</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承担施工安全保卫工作及非夜间施工照明的责任和要求：采取有效措施，设专职安全保卫人员，确保施工安全。杜绝人身伤亡及设备事故，如有发生，损失由承包人承担。</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（4）避免施工对公众与他人的利益造成损害</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1）需承包人办理的有关施工场地交通、环卫和施工噪音管理等手续： 按郑州市有关规定办理，重要地段、路口承包人应保证道路畅通。</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2）施工场清洁卫生的要求：达到文明施工标准化工地要求，施工场地随时清洁，文明施工，做到工完场清。</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3）完成工程承包范围内的各项工作。</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（5）工程的维护和照管已完成工程成品保护的特殊要求及费用承担：已完工未交付</w:t>
      </w:r>
      <w:r>
        <w:rPr>
          <w:rFonts w:hint="eastAsia" w:ascii="仿宋_GB2312" w:eastAsia="仿宋_GB2312"/>
          <w:sz w:val="30"/>
          <w:szCs w:val="30"/>
          <w:highlight w:val="none"/>
          <w:u w:val="single"/>
          <w:lang w:eastAsia="zh-CN"/>
        </w:rPr>
        <w:t>产权单位</w:t>
      </w:r>
      <w:r>
        <w:rPr>
          <w:rFonts w:hint="eastAsia" w:ascii="仿宋_GB2312" w:eastAsia="仿宋_GB2312"/>
          <w:sz w:val="30"/>
          <w:szCs w:val="30"/>
          <w:highlight w:val="none"/>
          <w:u w:val="single"/>
        </w:rPr>
        <w:t>之前，负责做好工程的成品保护工作（包括发包人要求承包人采取特殊措施保护的工程部位），保护期间发生损坏，由承包方予以修复。</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4.1.2 承包人应履行的其他义务：</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（1）向发包人提供的办公和生活房间及设施的要求：免费向发包人和监理提供办公和生活用房。</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（2）承包人在投标书中所承诺的全部设备和检测仪器必需按时到位。投标文件中拟投入现场的机械设备必须满足要求，并保证及时到位。</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（3）负责竣工资料的整理并完成向档案馆的归档工作，达到工程完工、竣工资料同步完成。</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（4）承包人对原有道路及地下管线和邻近构筑物（含文物保护建筑）、古树名木如有损坏产生的费用由承包人承担。</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（5）承包人必须保证负责消防验收手续的办理，负责消防系统的验收通过，发证。</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6）由承包人完成的施工图纸设计等工作内容除满足国家规范及相关文件的要求外，还应满足规划、国土、建设、环保等各部门的要求。发包人对承包人提供的施工图纸进行优化设计，经发包人与承包人同意并达成统一意见后签字确认，并最终通过审图机构审核，并按审核通过的施工图纸进行施工。同时配合发包人办理建设用地规划许可证、国有土地使用权证、建设工程规划许可证、施工许可证等一切与本项目相关的手续。</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u w:val="single"/>
        </w:rPr>
        <w:t>经合同双方商定，承包人应提交的报表类别、名称、内容、报告期、提交的时间和份数：设计文件、施工进度计划、完成工程量及投资报表、已购材料清单、材料进场计划、劳动力和用款计划、存在问题等文件报表；每周末前向发包人和监理人提供详细的本周上述文件报表事项完成情况和下周事项计划安排；每月底前向发包人和监理人提供详细的本月上述文件报表事项完成情况和次月事项计划安排。 发包人</w:t>
      </w:r>
      <w:r>
        <w:rPr>
          <w:rFonts w:hint="eastAsia" w:ascii="仿宋_GB2312" w:eastAsia="仿宋_GB2312"/>
          <w:sz w:val="30"/>
          <w:szCs w:val="30"/>
          <w:highlight w:val="none"/>
          <w:u w:val="single"/>
          <w:lang w:eastAsia="zh-CN"/>
        </w:rPr>
        <w:t>、行业主管部门</w:t>
      </w:r>
      <w:r>
        <w:rPr>
          <w:rFonts w:hint="eastAsia" w:ascii="仿宋_GB2312" w:eastAsia="仿宋_GB2312"/>
          <w:sz w:val="30"/>
          <w:szCs w:val="30"/>
          <w:highlight w:val="none"/>
          <w:u w:val="single"/>
        </w:rPr>
        <w:t>和监理人将对确认的上述文件报表事项完成情况进行检查、核实、监督，如不符时承包人应按发包人</w:t>
      </w:r>
      <w:r>
        <w:rPr>
          <w:rFonts w:hint="eastAsia" w:ascii="仿宋_GB2312" w:eastAsia="仿宋_GB2312"/>
          <w:sz w:val="30"/>
          <w:szCs w:val="30"/>
          <w:highlight w:val="none"/>
          <w:u w:val="single"/>
          <w:lang w:eastAsia="zh-CN"/>
        </w:rPr>
        <w:t>、行业主管部门</w:t>
      </w:r>
      <w:r>
        <w:rPr>
          <w:rFonts w:hint="eastAsia" w:ascii="仿宋_GB2312" w:eastAsia="仿宋_GB2312"/>
          <w:sz w:val="30"/>
          <w:szCs w:val="30"/>
          <w:highlight w:val="none"/>
          <w:u w:val="single"/>
        </w:rPr>
        <w:t>和监理人的要求提出改进措施，经发包人和监理人书面确认后执行。改进设计、施工措施等承包人不得就改进措施提出追加价款。</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4.2 </w:t>
      </w:r>
      <w:r>
        <w:rPr>
          <w:rFonts w:hint="eastAsia" w:ascii="黑体" w:hAnsi="黑体" w:eastAsia="黑体"/>
          <w:sz w:val="30"/>
          <w:szCs w:val="30"/>
          <w:highlight w:val="none"/>
        </w:rPr>
        <w:t>履约担保</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承包人是否提供履约担保：</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是</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履约担保的方式、金额及期限:</w:t>
      </w:r>
      <w:r>
        <w:rPr>
          <w:rFonts w:hint="eastAsia" w:ascii="仿宋_GB2312" w:eastAsia="仿宋_GB2312"/>
          <w:sz w:val="30"/>
          <w:szCs w:val="30"/>
          <w:highlight w:val="none"/>
          <w:u w:val="single"/>
        </w:rPr>
        <w:t>保函</w:t>
      </w:r>
      <w:r>
        <w:rPr>
          <w:rFonts w:hint="eastAsia" w:ascii="仿宋_GB2312" w:eastAsia="仿宋_GB2312"/>
          <w:sz w:val="30"/>
          <w:szCs w:val="30"/>
          <w:highlight w:val="none"/>
          <w:u w:val="single"/>
          <w:lang w:eastAsia="zh-CN"/>
        </w:rPr>
        <w:t>或者现金</w:t>
      </w:r>
      <w:r>
        <w:rPr>
          <w:rFonts w:hint="eastAsia" w:ascii="仿宋_GB2312" w:eastAsia="仿宋_GB2312"/>
          <w:sz w:val="30"/>
          <w:szCs w:val="30"/>
          <w:highlight w:val="none"/>
          <w:u w:val="single"/>
        </w:rPr>
        <w:t>方式提交，中标价的5%</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4.3 </w:t>
      </w:r>
      <w:r>
        <w:rPr>
          <w:rFonts w:hint="eastAsia" w:ascii="黑体" w:hAnsi="黑体" w:eastAsia="黑体"/>
          <w:sz w:val="30"/>
          <w:szCs w:val="30"/>
          <w:highlight w:val="none"/>
        </w:rPr>
        <w:t>工程总承包项目经理</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4.3.1 </w:t>
      </w:r>
      <w:r>
        <w:rPr>
          <w:rFonts w:hint="eastAsia" w:ascii="仿宋_GB2312" w:eastAsia="仿宋_GB2312"/>
          <w:sz w:val="30"/>
          <w:szCs w:val="30"/>
          <w:highlight w:val="none"/>
        </w:rPr>
        <w:t>工程总承包项目经理姓名：</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执业资格或职称类型：</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 xml:space="preserve">   </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执业资格证或职称证号码：</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联系电话：</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电子邮箱：</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通信地址：</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承包人未提交劳动合同，以及没有为工程总承包项目经理缴纳社会保险证明的违约责任：</w:t>
      </w:r>
      <w:r>
        <w:rPr>
          <w:rFonts w:hint="eastAsia" w:ascii="仿宋_GB2312" w:eastAsia="仿宋_GB2312"/>
          <w:sz w:val="30"/>
          <w:szCs w:val="30"/>
          <w:highlight w:val="none"/>
          <w:u w:val="single"/>
        </w:rPr>
        <w:t>支付违约金 10 万元</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4.3.2 </w:t>
      </w:r>
      <w:r>
        <w:rPr>
          <w:rFonts w:hint="eastAsia" w:ascii="仿宋_GB2312" w:eastAsia="仿宋_GB2312"/>
          <w:sz w:val="30"/>
          <w:szCs w:val="30"/>
          <w:highlight w:val="none"/>
        </w:rPr>
        <w:t>工程总承包项目经理每月在现场的时间要求：</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不得少于</w:t>
      </w:r>
      <w:r>
        <w:rPr>
          <w:rFonts w:hint="eastAsia" w:ascii="仿宋_GB2312" w:eastAsia="仿宋_GB2312"/>
          <w:sz w:val="30"/>
          <w:szCs w:val="30"/>
          <w:highlight w:val="none"/>
          <w:u w:val="single"/>
          <w:lang w:val="en-US" w:eastAsia="zh-CN"/>
        </w:rPr>
        <w:t>22</w:t>
      </w:r>
      <w:r>
        <w:rPr>
          <w:rFonts w:hint="eastAsia" w:ascii="仿宋_GB2312" w:eastAsia="仿宋_GB2312"/>
          <w:sz w:val="30"/>
          <w:szCs w:val="30"/>
          <w:highlight w:val="none"/>
          <w:u w:val="single"/>
        </w:rPr>
        <w:t>天且每天不少于 8 小时</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工程总承包项目经理未经批准擅自离开施工现场的违约责任：</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项目经理（技术负责人）每月在现场时间不少于 22 天，每擅自离场≤3 天的，承包人应承担违约金 1 万元；每月擅自离场＞3 天的，发包人有权要求承包人更换项目经理（技术负责人）并支付违约金 10 万元</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4.3.3 </w:t>
      </w:r>
      <w:r>
        <w:rPr>
          <w:rFonts w:hint="eastAsia" w:ascii="仿宋_GB2312" w:eastAsia="仿宋_GB2312"/>
          <w:sz w:val="30"/>
          <w:szCs w:val="30"/>
          <w:highlight w:val="none"/>
        </w:rPr>
        <w:t>承包人对工程总承包项目经理的授权范围:</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代表公司对所承担的项目工程全面负责，履行工程合同中承诺的各项条款</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4.3.4 </w:t>
      </w:r>
      <w:r>
        <w:rPr>
          <w:rFonts w:hint="eastAsia" w:ascii="仿宋_GB2312" w:eastAsia="仿宋_GB2312"/>
          <w:sz w:val="30"/>
          <w:szCs w:val="30"/>
          <w:highlight w:val="none"/>
        </w:rPr>
        <w:t>承包人</w:t>
      </w:r>
      <w:r>
        <w:rPr>
          <w:rFonts w:ascii="仿宋_GB2312" w:eastAsia="仿宋_GB2312"/>
          <w:sz w:val="30"/>
          <w:szCs w:val="30"/>
          <w:highlight w:val="none"/>
        </w:rPr>
        <w:t>擅自更换工程总承包项目经理的违约</w:t>
      </w:r>
      <w:r>
        <w:rPr>
          <w:rFonts w:hint="eastAsia" w:ascii="仿宋_GB2312" w:eastAsia="仿宋_GB2312"/>
          <w:sz w:val="30"/>
          <w:szCs w:val="30"/>
          <w:highlight w:val="none"/>
        </w:rPr>
        <w:t>责任：</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承包人擅自更换项目经理（技术负责人），或经监理人通知更换项目经理（技术负责人）而无正当理由拒绝更换的，每发生一人次，承包人除限期纠正外，还应向发包人支付违约金</w:t>
      </w:r>
      <w:r>
        <w:rPr>
          <w:rFonts w:hint="eastAsia" w:ascii="仿宋_GB2312" w:eastAsia="仿宋_GB2312"/>
          <w:sz w:val="30"/>
          <w:szCs w:val="30"/>
          <w:highlight w:val="none"/>
          <w:u w:val="single"/>
          <w:lang w:val="en-US" w:eastAsia="zh-CN"/>
        </w:rPr>
        <w:t>20</w:t>
      </w:r>
      <w:r>
        <w:rPr>
          <w:rFonts w:hint="eastAsia" w:ascii="仿宋_GB2312" w:eastAsia="仿宋_GB2312"/>
          <w:sz w:val="30"/>
          <w:szCs w:val="30"/>
          <w:highlight w:val="none"/>
          <w:u w:val="single"/>
        </w:rPr>
        <w:t>万元</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4.3.5 承包人无正当理由拒绝更换工程总承包项目经理的违约责任</w:t>
      </w:r>
      <w:r>
        <w:rPr>
          <w:rFonts w:hint="eastAsia" w:ascii="仿宋_GB2312" w:eastAsia="仿宋_GB2312"/>
          <w:sz w:val="30"/>
          <w:szCs w:val="30"/>
          <w:highlight w:val="none"/>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如因特殊原因乙方需更换项目经理或其他有关负责人需要提前通知监理及甲方，经监理和甲方同意后方可更换并支付违约金</w:t>
      </w:r>
      <w:r>
        <w:rPr>
          <w:rFonts w:hint="eastAsia" w:ascii="仿宋_GB2312" w:eastAsia="仿宋_GB2312"/>
          <w:sz w:val="30"/>
          <w:szCs w:val="30"/>
          <w:highlight w:val="none"/>
          <w:u w:val="single"/>
          <w:lang w:val="en-US" w:eastAsia="zh-CN"/>
        </w:rPr>
        <w:t>20</w:t>
      </w:r>
      <w:r>
        <w:rPr>
          <w:rFonts w:hint="eastAsia" w:ascii="仿宋_GB2312" w:eastAsia="仿宋_GB2312"/>
          <w:sz w:val="30"/>
          <w:szCs w:val="30"/>
          <w:highlight w:val="none"/>
          <w:u w:val="single"/>
        </w:rPr>
        <w:t>万元每人次</w:t>
      </w:r>
      <w:r>
        <w:rPr>
          <w:rFonts w:ascii="仿宋_GB2312" w:eastAsia="仿宋_GB2312"/>
          <w:sz w:val="30"/>
          <w:szCs w:val="30"/>
          <w:highlight w:val="none"/>
          <w:u w:val="single"/>
        </w:rPr>
        <w:t xml:space="preserve"> </w:t>
      </w:r>
      <w:r>
        <w:rPr>
          <w:rFonts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4.4 </w:t>
      </w:r>
      <w:r>
        <w:rPr>
          <w:rFonts w:hint="eastAsia" w:ascii="黑体" w:hAnsi="黑体" w:eastAsia="黑体"/>
          <w:sz w:val="30"/>
          <w:szCs w:val="30"/>
          <w:highlight w:val="none"/>
        </w:rPr>
        <w:t>承包人人员</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4.4.1 </w:t>
      </w:r>
      <w:r>
        <w:rPr>
          <w:rFonts w:hint="eastAsia" w:ascii="仿宋_GB2312" w:eastAsia="仿宋_GB2312"/>
          <w:sz w:val="30"/>
          <w:szCs w:val="30"/>
          <w:highlight w:val="none"/>
        </w:rPr>
        <w:t>人员安排</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承包人</w:t>
      </w:r>
      <w:r>
        <w:rPr>
          <w:rFonts w:hint="eastAsia" w:ascii="仿宋_GB2312" w:eastAsia="仿宋_GB2312"/>
          <w:sz w:val="30"/>
          <w:szCs w:val="30"/>
          <w:highlight w:val="none"/>
        </w:rPr>
        <w:t>提交</w:t>
      </w:r>
      <w:r>
        <w:rPr>
          <w:rFonts w:ascii="仿宋_GB2312" w:eastAsia="仿宋_GB2312"/>
          <w:sz w:val="30"/>
          <w:szCs w:val="30"/>
          <w:highlight w:val="none"/>
        </w:rPr>
        <w:t>项目管理机构及施工现场人员安排的报告</w:t>
      </w:r>
      <w:r>
        <w:rPr>
          <w:rFonts w:hint="eastAsia" w:ascii="仿宋_GB2312" w:eastAsia="仿宋_GB2312"/>
          <w:sz w:val="30"/>
          <w:szCs w:val="30"/>
          <w:highlight w:val="none"/>
        </w:rPr>
        <w:t>的期限：</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承包人提交关键人员信息及注册执业资格等证明其具备担任关键人员能力的相关文件的期限：</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4.4.2 </w:t>
      </w:r>
      <w:r>
        <w:rPr>
          <w:rFonts w:hint="eastAsia" w:ascii="仿宋_GB2312" w:eastAsia="仿宋_GB2312"/>
          <w:sz w:val="30"/>
          <w:szCs w:val="30"/>
          <w:highlight w:val="none"/>
        </w:rPr>
        <w:t>关键人员更换</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承包人擅自更换</w:t>
      </w:r>
      <w:r>
        <w:rPr>
          <w:rFonts w:hint="eastAsia" w:ascii="仿宋_GB2312" w:eastAsia="仿宋_GB2312"/>
          <w:sz w:val="30"/>
          <w:szCs w:val="30"/>
          <w:highlight w:val="none"/>
        </w:rPr>
        <w:t>关键人员</w:t>
      </w:r>
      <w:r>
        <w:rPr>
          <w:rFonts w:ascii="仿宋_GB2312" w:eastAsia="仿宋_GB2312"/>
          <w:sz w:val="30"/>
          <w:szCs w:val="30"/>
          <w:highlight w:val="none"/>
        </w:rPr>
        <w:t>的违约责任：</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承包人无正当理由拒绝撤换</w:t>
      </w:r>
      <w:r>
        <w:rPr>
          <w:rFonts w:hint="eastAsia" w:ascii="仿宋_GB2312" w:eastAsia="仿宋_GB2312"/>
          <w:sz w:val="30"/>
          <w:szCs w:val="30"/>
          <w:highlight w:val="none"/>
        </w:rPr>
        <w:t>关键人员</w:t>
      </w:r>
      <w:r>
        <w:rPr>
          <w:rFonts w:ascii="仿宋_GB2312" w:eastAsia="仿宋_GB2312"/>
          <w:sz w:val="30"/>
          <w:szCs w:val="30"/>
          <w:highlight w:val="none"/>
        </w:rPr>
        <w:t>的违约责任：</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4.4.3 </w:t>
      </w:r>
      <w:r>
        <w:rPr>
          <w:rFonts w:hint="eastAsia" w:ascii="仿宋_GB2312" w:eastAsia="仿宋_GB2312"/>
          <w:sz w:val="30"/>
          <w:szCs w:val="30"/>
          <w:highlight w:val="none"/>
        </w:rPr>
        <w:t>现场管理关键人员在岗要求</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承包人</w:t>
      </w:r>
      <w:r>
        <w:rPr>
          <w:rFonts w:hint="eastAsia" w:ascii="仿宋_GB2312" w:eastAsia="仿宋_GB2312"/>
          <w:sz w:val="30"/>
          <w:szCs w:val="30"/>
          <w:highlight w:val="none"/>
        </w:rPr>
        <w:t>现场管理关键</w:t>
      </w:r>
      <w:r>
        <w:rPr>
          <w:rFonts w:ascii="仿宋_GB2312" w:eastAsia="仿宋_GB2312"/>
          <w:sz w:val="30"/>
          <w:szCs w:val="30"/>
          <w:highlight w:val="none"/>
        </w:rPr>
        <w:t>人员离开施工现场的批准要求</w:t>
      </w:r>
      <w:r>
        <w:rPr>
          <w:rFonts w:hint="eastAsia" w:ascii="仿宋_GB2312" w:eastAsia="仿宋_GB2312"/>
          <w:sz w:val="30"/>
          <w:szCs w:val="30"/>
          <w:highlight w:val="none"/>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承包人现场管理关键人员擅自离开施工现场的违约责任：</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4.5 </w:t>
      </w:r>
      <w:r>
        <w:rPr>
          <w:rFonts w:hint="eastAsia" w:ascii="黑体" w:hAnsi="黑体" w:eastAsia="黑体"/>
          <w:sz w:val="30"/>
          <w:szCs w:val="30"/>
          <w:highlight w:val="none"/>
        </w:rPr>
        <w:t>分包</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4.5.1 </w:t>
      </w:r>
      <w:r>
        <w:rPr>
          <w:rFonts w:hint="eastAsia" w:ascii="仿宋_GB2312" w:eastAsia="仿宋_GB2312"/>
          <w:sz w:val="30"/>
          <w:szCs w:val="30"/>
          <w:highlight w:val="none"/>
        </w:rPr>
        <w:t>一般约定</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禁止分包的工程包括：</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 xml:space="preserve">       。</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4.5.2 </w:t>
      </w:r>
      <w:r>
        <w:rPr>
          <w:rFonts w:hint="eastAsia" w:ascii="仿宋_GB2312" w:eastAsia="仿宋_GB2312"/>
          <w:sz w:val="30"/>
          <w:szCs w:val="30"/>
          <w:highlight w:val="none"/>
        </w:rPr>
        <w:t>分包的确定</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允许分包的工程包括：</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 xml:space="preserve">     </w:t>
      </w:r>
      <w:r>
        <w:rPr>
          <w:rFonts w:ascii="仿宋_GB2312" w:eastAsia="仿宋_GB2312"/>
          <w:sz w:val="30"/>
          <w:szCs w:val="30"/>
          <w:highlight w:val="none"/>
          <w:u w:val="single"/>
        </w:rPr>
        <w:t xml:space="preserve">  </w:t>
      </w:r>
      <w:r>
        <w:rPr>
          <w:rFonts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其他关于分包的约定：</w:t>
      </w:r>
      <w:r>
        <w:rPr>
          <w:rFonts w:ascii="仿宋_GB2312" w:eastAsia="仿宋_GB2312"/>
          <w:sz w:val="30"/>
          <w:szCs w:val="30"/>
          <w:highlight w:val="none"/>
          <w:u w:val="single"/>
        </w:rPr>
        <w:t xml:space="preserve">        </w:t>
      </w:r>
      <w:r>
        <w:rPr>
          <w:rFonts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4.5.5 </w:t>
      </w:r>
      <w:r>
        <w:rPr>
          <w:rFonts w:hint="eastAsia" w:ascii="仿宋_GB2312" w:eastAsia="仿宋_GB2312"/>
          <w:sz w:val="30"/>
          <w:szCs w:val="30"/>
          <w:highlight w:val="none"/>
        </w:rPr>
        <w:t>分包合同价款支付</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关于分包合同价款支付的约定：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 xml:space="preserve">   </w:t>
      </w:r>
      <w:r>
        <w:rPr>
          <w:rFonts w:ascii="仿宋_GB2312" w:eastAsia="仿宋_GB2312"/>
          <w:sz w:val="30"/>
          <w:szCs w:val="30"/>
          <w:highlight w:val="none"/>
          <w:u w:val="single"/>
        </w:rPr>
        <w:t xml:space="preserve"> </w:t>
      </w:r>
      <w:r>
        <w:rPr>
          <w:rFonts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4.6 </w:t>
      </w:r>
      <w:r>
        <w:rPr>
          <w:rFonts w:hint="eastAsia" w:ascii="黑体" w:hAnsi="黑体" w:eastAsia="黑体"/>
          <w:sz w:val="30"/>
          <w:szCs w:val="30"/>
          <w:highlight w:val="none"/>
        </w:rPr>
        <w:t>联合体</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4</w:t>
      </w:r>
      <w:r>
        <w:rPr>
          <w:rFonts w:ascii="仿宋_GB2312" w:eastAsia="仿宋_GB2312"/>
          <w:sz w:val="30"/>
          <w:szCs w:val="30"/>
          <w:highlight w:val="none"/>
        </w:rPr>
        <w:t xml:space="preserve">.6.2 </w:t>
      </w:r>
      <w:r>
        <w:rPr>
          <w:rFonts w:hint="eastAsia" w:ascii="仿宋_GB2312" w:eastAsia="仿宋_GB2312"/>
          <w:sz w:val="30"/>
          <w:szCs w:val="30"/>
          <w:highlight w:val="none"/>
        </w:rPr>
        <w:t>联合体各成员的分工、费用收取、发票开具等事项：</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4.7 </w:t>
      </w:r>
      <w:r>
        <w:rPr>
          <w:rFonts w:hint="eastAsia" w:ascii="黑体" w:hAnsi="黑体" w:eastAsia="黑体"/>
          <w:sz w:val="30"/>
          <w:szCs w:val="30"/>
          <w:highlight w:val="none"/>
        </w:rPr>
        <w:t>承包人现场查勘</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4</w:t>
      </w:r>
      <w:r>
        <w:rPr>
          <w:rFonts w:ascii="仿宋_GB2312" w:eastAsia="仿宋_GB2312"/>
          <w:sz w:val="30"/>
          <w:szCs w:val="30"/>
          <w:highlight w:val="none"/>
        </w:rPr>
        <w:t xml:space="preserve">.7.1 </w:t>
      </w:r>
      <w:r>
        <w:rPr>
          <w:rFonts w:hint="eastAsia" w:ascii="仿宋_GB2312" w:eastAsia="仿宋_GB2312"/>
          <w:sz w:val="30"/>
          <w:szCs w:val="30"/>
          <w:highlight w:val="none"/>
        </w:rPr>
        <w:t>双方当事人对现场查勘的责任承担的约定：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执行通用条款</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4.8 </w:t>
      </w:r>
      <w:r>
        <w:rPr>
          <w:rFonts w:hint="eastAsia" w:ascii="黑体" w:hAnsi="黑体" w:eastAsia="黑体"/>
          <w:sz w:val="30"/>
          <w:szCs w:val="30"/>
          <w:highlight w:val="none"/>
        </w:rPr>
        <w:t>不可预见的困难</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不可预见的困难包括：</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执行通用条款</w:t>
      </w:r>
      <w:r>
        <w:rPr>
          <w:rFonts w:ascii="仿宋_GB2312" w:eastAsia="仿宋_GB2312"/>
          <w:sz w:val="30"/>
          <w:szCs w:val="30"/>
          <w:highlight w:val="none"/>
          <w:u w:val="single"/>
        </w:rPr>
        <w:t xml:space="preserve">    </w:t>
      </w:r>
      <w:r>
        <w:rPr>
          <w:rFonts w:ascii="仿宋_GB2312" w:eastAsia="仿宋_GB2312"/>
          <w:sz w:val="30"/>
          <w:szCs w:val="30"/>
          <w:highlight w:val="none"/>
        </w:rPr>
        <w:t>。</w:t>
      </w:r>
    </w:p>
    <w:p>
      <w:pPr>
        <w:pStyle w:val="29"/>
        <w:rPr>
          <w:rFonts w:ascii="黑体" w:hAnsi="黑体" w:eastAsia="黑体"/>
          <w:b w:val="0"/>
          <w:bCs/>
          <w:sz w:val="32"/>
          <w:szCs w:val="21"/>
          <w:highlight w:val="none"/>
        </w:rPr>
      </w:pPr>
      <w:bookmarkStart w:id="36" w:name="_Toc54862336"/>
      <w:r>
        <w:rPr>
          <w:rFonts w:hint="eastAsia" w:ascii="黑体" w:hAnsi="黑体" w:eastAsia="黑体"/>
          <w:b w:val="0"/>
          <w:bCs/>
          <w:sz w:val="32"/>
          <w:szCs w:val="21"/>
          <w:highlight w:val="none"/>
        </w:rPr>
        <w:t>第</w:t>
      </w:r>
      <w:r>
        <w:rPr>
          <w:rFonts w:ascii="黑体" w:hAnsi="黑体" w:eastAsia="黑体"/>
          <w:b w:val="0"/>
          <w:bCs/>
          <w:sz w:val="32"/>
          <w:szCs w:val="21"/>
          <w:highlight w:val="none"/>
        </w:rPr>
        <w:t>5条</w:t>
      </w:r>
      <w:r>
        <w:rPr>
          <w:rFonts w:hint="eastAsia" w:ascii="黑体" w:hAnsi="黑体" w:eastAsia="黑体"/>
          <w:b w:val="0"/>
          <w:bCs/>
          <w:sz w:val="32"/>
          <w:szCs w:val="21"/>
          <w:highlight w:val="none"/>
        </w:rPr>
        <w:t xml:space="preserve"> 设计</w:t>
      </w:r>
      <w:bookmarkEnd w:id="36"/>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5.2 </w:t>
      </w:r>
      <w:r>
        <w:rPr>
          <w:rFonts w:hint="eastAsia" w:ascii="黑体" w:hAnsi="黑体" w:eastAsia="黑体"/>
          <w:sz w:val="30"/>
          <w:szCs w:val="30"/>
          <w:highlight w:val="none"/>
        </w:rPr>
        <w:t>承包人文件审查</w:t>
      </w:r>
    </w:p>
    <w:p>
      <w:pPr>
        <w:wordWrap/>
        <w:topLinePunct w:val="0"/>
        <w:ind w:firstLine="600"/>
        <w:rPr>
          <w:rFonts w:hint="eastAsia" w:ascii="仿宋_GB2312" w:eastAsia="仿宋_GB2312"/>
          <w:sz w:val="30"/>
          <w:szCs w:val="30"/>
          <w:highlight w:val="none"/>
        </w:rPr>
      </w:pPr>
      <w:r>
        <w:rPr>
          <w:rFonts w:hint="eastAsia" w:ascii="仿宋_GB2312" w:eastAsia="仿宋_GB2312"/>
          <w:sz w:val="30"/>
          <w:szCs w:val="30"/>
          <w:highlight w:val="none"/>
        </w:rPr>
        <w:t>原文删除，更改为：</w:t>
      </w:r>
    </w:p>
    <w:p>
      <w:pPr>
        <w:wordWrap/>
        <w:topLinePunct w:val="0"/>
        <w:ind w:firstLine="600"/>
        <w:rPr>
          <w:rFonts w:hint="eastAsia" w:ascii="仿宋_GB2312" w:eastAsia="仿宋_GB2312"/>
          <w:sz w:val="30"/>
          <w:szCs w:val="30"/>
          <w:highlight w:val="none"/>
        </w:rPr>
      </w:pPr>
      <w:r>
        <w:rPr>
          <w:rFonts w:hint="eastAsia" w:ascii="仿宋_GB2312" w:eastAsia="仿宋_GB2312"/>
          <w:sz w:val="30"/>
          <w:szCs w:val="30"/>
          <w:highlight w:val="none"/>
        </w:rPr>
        <w:t>如政府主管部门认为承包人设计方案存在缺陷而需对设计文件进行修改或补充的;或因承包人原因导致政府主管部门未审批通过的，相关费用应由承包人自行承担，竣工日期不予延长。</w:t>
      </w:r>
    </w:p>
    <w:p>
      <w:pPr>
        <w:wordWrap/>
        <w:topLinePunct w:val="0"/>
        <w:ind w:firstLine="600"/>
        <w:rPr>
          <w:rFonts w:hint="eastAsia" w:ascii="仿宋_GB2312" w:eastAsia="仿宋_GB2312"/>
          <w:sz w:val="30"/>
          <w:szCs w:val="30"/>
          <w:highlight w:val="none"/>
        </w:rPr>
      </w:pPr>
      <w:r>
        <w:rPr>
          <w:rFonts w:hint="eastAsia" w:ascii="仿宋_GB2312" w:eastAsia="仿宋_GB2312"/>
          <w:sz w:val="30"/>
          <w:szCs w:val="30"/>
          <w:highlight w:val="none"/>
        </w:rPr>
        <w:t>发包人有权在本款约定的各设计审查阶段之前，对相关设计阶段的设计文件和资料提出建议、审查和确认，发包人的任何合理建议、审查和确认，并不能减轻或免除承包人的任何合同责任和合同义务。</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设计审查会发生的费用、政府主管部门委托咨询审查单位的设计文件审查费用以及承包人修改或完善设计文件发生的费用，均由承包人承担。</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5.3 </w:t>
      </w:r>
      <w:r>
        <w:rPr>
          <w:rFonts w:hint="eastAsia" w:ascii="黑体" w:hAnsi="黑体" w:eastAsia="黑体"/>
          <w:sz w:val="30"/>
          <w:szCs w:val="30"/>
          <w:highlight w:val="none"/>
        </w:rPr>
        <w:t>培训</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培训的时长为</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，承包人应为培训提供的人员、设施和其它必要条件为</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5.4 </w:t>
      </w:r>
      <w:r>
        <w:rPr>
          <w:rFonts w:hint="eastAsia" w:ascii="黑体" w:hAnsi="黑体" w:eastAsia="黑体"/>
          <w:sz w:val="30"/>
          <w:szCs w:val="30"/>
          <w:highlight w:val="none"/>
        </w:rPr>
        <w:t>竣工文件</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5.4.1 </w:t>
      </w:r>
      <w:r>
        <w:rPr>
          <w:rFonts w:hint="eastAsia" w:ascii="仿宋_GB2312" w:eastAsia="仿宋_GB2312"/>
          <w:sz w:val="30"/>
          <w:szCs w:val="30"/>
          <w:highlight w:val="none"/>
        </w:rPr>
        <w:t>竣工文件的形式、提供的份数、技术标准以及其它相关要求：</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按照当地档案馆的相关规定提交</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5</w:t>
      </w:r>
      <w:r>
        <w:rPr>
          <w:rFonts w:ascii="仿宋_GB2312" w:eastAsia="仿宋_GB2312"/>
          <w:sz w:val="30"/>
          <w:szCs w:val="30"/>
          <w:highlight w:val="none"/>
        </w:rPr>
        <w:t xml:space="preserve">.4.3 </w:t>
      </w:r>
      <w:r>
        <w:rPr>
          <w:rFonts w:hint="eastAsia" w:ascii="仿宋_GB2312" w:eastAsia="仿宋_GB2312"/>
          <w:sz w:val="30"/>
          <w:szCs w:val="30"/>
          <w:highlight w:val="none"/>
        </w:rPr>
        <w:t>关于竣工文件的其他约定：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竣工资料 6 份、竣工图纸 6 份</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5.5 </w:t>
      </w:r>
      <w:r>
        <w:rPr>
          <w:rFonts w:hint="eastAsia" w:ascii="黑体" w:hAnsi="黑体" w:eastAsia="黑体"/>
          <w:sz w:val="30"/>
          <w:szCs w:val="30"/>
          <w:highlight w:val="none"/>
        </w:rPr>
        <w:t>操作和维修手册</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5.5.3 </w:t>
      </w:r>
      <w:r>
        <w:rPr>
          <w:rFonts w:hint="eastAsia" w:ascii="仿宋_GB2312" w:eastAsia="仿宋_GB2312"/>
          <w:sz w:val="30"/>
          <w:szCs w:val="30"/>
          <w:highlight w:val="none"/>
        </w:rPr>
        <w:t>对最终操作和维修手册的约定：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执行通用条款</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pStyle w:val="29"/>
        <w:rPr>
          <w:rFonts w:ascii="黑体" w:hAnsi="黑体" w:eastAsia="黑体"/>
          <w:b w:val="0"/>
          <w:bCs/>
          <w:sz w:val="32"/>
          <w:szCs w:val="21"/>
          <w:highlight w:val="none"/>
        </w:rPr>
      </w:pPr>
      <w:bookmarkStart w:id="37" w:name="_Toc54862337"/>
      <w:r>
        <w:rPr>
          <w:rFonts w:hint="eastAsia" w:ascii="黑体" w:hAnsi="黑体" w:eastAsia="黑体"/>
          <w:b w:val="0"/>
          <w:bCs/>
          <w:sz w:val="32"/>
          <w:szCs w:val="21"/>
          <w:highlight w:val="none"/>
        </w:rPr>
        <w:t>第</w:t>
      </w:r>
      <w:r>
        <w:rPr>
          <w:rFonts w:ascii="黑体" w:hAnsi="黑体" w:eastAsia="黑体"/>
          <w:b w:val="0"/>
          <w:bCs/>
          <w:sz w:val="32"/>
          <w:szCs w:val="21"/>
          <w:highlight w:val="none"/>
        </w:rPr>
        <w:t>6条</w:t>
      </w:r>
      <w:r>
        <w:rPr>
          <w:rFonts w:hint="eastAsia" w:ascii="黑体" w:hAnsi="黑体" w:eastAsia="黑体"/>
          <w:b w:val="0"/>
          <w:bCs/>
          <w:sz w:val="32"/>
          <w:szCs w:val="21"/>
          <w:highlight w:val="none"/>
        </w:rPr>
        <w:t xml:space="preserve"> 材料、工程设备</w:t>
      </w:r>
      <w:bookmarkEnd w:id="37"/>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6.1 </w:t>
      </w:r>
      <w:r>
        <w:rPr>
          <w:rFonts w:hint="eastAsia" w:ascii="黑体" w:hAnsi="黑体" w:eastAsia="黑体"/>
          <w:sz w:val="30"/>
          <w:szCs w:val="30"/>
          <w:highlight w:val="none"/>
        </w:rPr>
        <w:t>实施方法</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双方当事人约定的实施方法、设备、设施和材料：</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执行通用条款</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6.2 </w:t>
      </w:r>
      <w:r>
        <w:rPr>
          <w:rFonts w:hint="eastAsia" w:ascii="黑体" w:hAnsi="黑体" w:eastAsia="黑体"/>
          <w:sz w:val="30"/>
          <w:szCs w:val="30"/>
          <w:highlight w:val="none"/>
        </w:rPr>
        <w:t>材料和工程设备</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6.2.1 </w:t>
      </w:r>
      <w:r>
        <w:rPr>
          <w:rFonts w:hint="eastAsia" w:ascii="仿宋_GB2312" w:eastAsia="仿宋_GB2312"/>
          <w:sz w:val="30"/>
          <w:szCs w:val="30"/>
          <w:highlight w:val="none"/>
        </w:rPr>
        <w:t>发包人提供的材料和工程设备</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发包人提供的材料和工程设备验收后，由</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负责接收、运输和保管。</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6.2.2 </w:t>
      </w:r>
      <w:r>
        <w:rPr>
          <w:rFonts w:hint="eastAsia" w:ascii="仿宋_GB2312" w:eastAsia="仿宋_GB2312"/>
          <w:sz w:val="30"/>
          <w:szCs w:val="30"/>
          <w:highlight w:val="none"/>
        </w:rPr>
        <w:t>承包人提供的材料和工程设备</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材料和工程设备的类别、估算数量：</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见清单</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竣工后试验的生产性材料的类别或（和）清单：</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符合竣工验收和竣工结算</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6.2.3 </w:t>
      </w:r>
      <w:r>
        <w:rPr>
          <w:rFonts w:hint="eastAsia" w:ascii="仿宋_GB2312" w:eastAsia="仿宋_GB2312"/>
          <w:sz w:val="30"/>
          <w:szCs w:val="30"/>
          <w:highlight w:val="none"/>
        </w:rPr>
        <w:t>材料和工程设备的保管</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发包人供应的材料和工程设备的保管费用由</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承包人</w:t>
      </w:r>
      <w:r>
        <w:rPr>
          <w:rFonts w:ascii="仿宋_GB2312" w:eastAsia="仿宋_GB2312"/>
          <w:sz w:val="30"/>
          <w:szCs w:val="30"/>
          <w:highlight w:val="none"/>
          <w:u w:val="single"/>
        </w:rPr>
        <w:t xml:space="preserve">  </w:t>
      </w:r>
      <w:r>
        <w:rPr>
          <w:rFonts w:hint="eastAsia" w:ascii="仿宋_GB2312" w:eastAsia="仿宋_GB2312"/>
          <w:sz w:val="30"/>
          <w:szCs w:val="30"/>
          <w:highlight w:val="none"/>
        </w:rPr>
        <w:t>承担。</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承包人提交保管、维护方案的时间：</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发包人提供的库房、堆场、设施和设备：</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6.3 </w:t>
      </w:r>
      <w:r>
        <w:rPr>
          <w:rFonts w:hint="eastAsia" w:ascii="黑体" w:hAnsi="黑体" w:eastAsia="黑体"/>
          <w:sz w:val="30"/>
          <w:szCs w:val="30"/>
          <w:highlight w:val="none"/>
        </w:rPr>
        <w:t>样品</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6</w:t>
      </w:r>
      <w:r>
        <w:rPr>
          <w:rFonts w:ascii="仿宋_GB2312" w:eastAsia="仿宋_GB2312"/>
          <w:sz w:val="30"/>
          <w:szCs w:val="30"/>
          <w:highlight w:val="none"/>
        </w:rPr>
        <w:t xml:space="preserve">.3.1 </w:t>
      </w:r>
      <w:r>
        <w:rPr>
          <w:rFonts w:hint="eastAsia" w:ascii="仿宋_GB2312" w:eastAsia="仿宋_GB2312"/>
          <w:sz w:val="30"/>
          <w:szCs w:val="30"/>
          <w:highlight w:val="none"/>
        </w:rPr>
        <w:t>样品的报送与封存</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需要承包人报送样品的材料或工程设备</w:t>
      </w:r>
      <w:r>
        <w:rPr>
          <w:rFonts w:hint="eastAsia" w:ascii="仿宋_GB2312" w:eastAsia="仿宋_GB2312"/>
          <w:sz w:val="30"/>
          <w:szCs w:val="30"/>
          <w:highlight w:val="none"/>
        </w:rPr>
        <w:t>，样品种类、名称、规格、数量：</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执行通用条款</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6.4 </w:t>
      </w:r>
      <w:r>
        <w:rPr>
          <w:rFonts w:hint="eastAsia" w:ascii="黑体" w:hAnsi="黑体" w:eastAsia="黑体"/>
          <w:sz w:val="30"/>
          <w:szCs w:val="30"/>
          <w:highlight w:val="none"/>
        </w:rPr>
        <w:t>质量检查</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6.4.1 </w:t>
      </w:r>
      <w:r>
        <w:rPr>
          <w:rFonts w:hint="eastAsia" w:ascii="仿宋_GB2312" w:eastAsia="仿宋_GB2312"/>
          <w:sz w:val="30"/>
          <w:szCs w:val="30"/>
          <w:highlight w:val="none"/>
        </w:rPr>
        <w:t>工程质量要求</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工程质量的特殊标准或要求：</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6.4.2 </w:t>
      </w:r>
      <w:r>
        <w:rPr>
          <w:rFonts w:hint="eastAsia" w:ascii="仿宋_GB2312" w:eastAsia="仿宋_GB2312"/>
          <w:sz w:val="30"/>
          <w:szCs w:val="30"/>
          <w:highlight w:val="none"/>
        </w:rPr>
        <w:t>质量检查</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除通用合同条件已列明的质量检查的地点外，发包人有权进行质量检查的其他地点：</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6.4.3 </w:t>
      </w:r>
      <w:r>
        <w:rPr>
          <w:rFonts w:hint="eastAsia" w:ascii="仿宋_GB2312" w:eastAsia="仿宋_GB2312"/>
          <w:sz w:val="30"/>
          <w:szCs w:val="30"/>
          <w:highlight w:val="none"/>
        </w:rPr>
        <w:t>隐蔽工程检查</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关于隐蔽工程和中间验收的特别约定：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执行通用条款</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6.5 </w:t>
      </w:r>
      <w:r>
        <w:rPr>
          <w:rFonts w:hint="eastAsia" w:ascii="黑体" w:hAnsi="黑体" w:eastAsia="黑体"/>
          <w:sz w:val="30"/>
          <w:szCs w:val="30"/>
          <w:highlight w:val="none"/>
        </w:rPr>
        <w:t>由承包人试验和检验</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6</w:t>
      </w:r>
      <w:r>
        <w:rPr>
          <w:rFonts w:ascii="仿宋_GB2312" w:eastAsia="仿宋_GB2312"/>
          <w:sz w:val="30"/>
          <w:szCs w:val="30"/>
          <w:highlight w:val="none"/>
        </w:rPr>
        <w:t xml:space="preserve">.5.1 </w:t>
      </w:r>
      <w:r>
        <w:rPr>
          <w:rFonts w:hint="eastAsia" w:ascii="仿宋_GB2312" w:eastAsia="仿宋_GB2312"/>
          <w:sz w:val="30"/>
          <w:szCs w:val="30"/>
          <w:highlight w:val="none"/>
        </w:rPr>
        <w:t>试验设备与试验人员</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试验的内容、时间和地点：</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执行通用条款</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试验所需要的试验设备、取样装置、试验场所和试验条件：</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执行通用条款</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u w:val="single"/>
        </w:rPr>
      </w:pPr>
      <w:r>
        <w:rPr>
          <w:rFonts w:hint="eastAsia" w:ascii="仿宋_GB2312" w:eastAsia="仿宋_GB2312"/>
          <w:sz w:val="30"/>
          <w:szCs w:val="30"/>
          <w:highlight w:val="none"/>
        </w:rPr>
        <w:t>试验和检验费用的计价原则：</w:t>
      </w:r>
      <w:r>
        <w:rPr>
          <w:rFonts w:hint="eastAsia" w:ascii="仿宋_GB2312" w:eastAsia="仿宋_GB2312"/>
          <w:sz w:val="30"/>
          <w:szCs w:val="30"/>
          <w:highlight w:val="none"/>
          <w:u w:val="single"/>
        </w:rPr>
        <w:t xml:space="preserve"> 依据《建筑安装工程费用项目构成》建标（2013）44 号文的规定，对建筑以及材料、构件和建筑安装物进行一般鉴定、检查所发生的费 用已包含在合同价款中，不另行计价</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pStyle w:val="29"/>
        <w:rPr>
          <w:rFonts w:ascii="黑体" w:hAnsi="黑体" w:eastAsia="黑体"/>
          <w:sz w:val="32"/>
          <w:szCs w:val="21"/>
          <w:highlight w:val="none"/>
        </w:rPr>
      </w:pPr>
      <w:bookmarkStart w:id="38" w:name="_Toc54862338"/>
      <w:r>
        <w:rPr>
          <w:rFonts w:hint="eastAsia" w:ascii="黑体" w:hAnsi="黑体" w:eastAsia="黑体"/>
          <w:sz w:val="32"/>
          <w:szCs w:val="21"/>
          <w:highlight w:val="none"/>
        </w:rPr>
        <w:t>第</w:t>
      </w:r>
      <w:r>
        <w:rPr>
          <w:rFonts w:ascii="黑体" w:hAnsi="黑体" w:eastAsia="黑体"/>
          <w:sz w:val="32"/>
          <w:szCs w:val="21"/>
          <w:highlight w:val="none"/>
        </w:rPr>
        <w:t>7条</w:t>
      </w:r>
      <w:r>
        <w:rPr>
          <w:rFonts w:hint="eastAsia" w:ascii="黑体" w:hAnsi="黑体" w:eastAsia="黑体"/>
          <w:sz w:val="32"/>
          <w:szCs w:val="21"/>
          <w:highlight w:val="none"/>
        </w:rPr>
        <w:t xml:space="preserve"> 施工</w:t>
      </w:r>
      <w:bookmarkEnd w:id="38"/>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7.1 </w:t>
      </w:r>
      <w:r>
        <w:rPr>
          <w:rFonts w:hint="eastAsia" w:ascii="黑体" w:hAnsi="黑体" w:eastAsia="黑体"/>
          <w:sz w:val="30"/>
          <w:szCs w:val="30"/>
          <w:highlight w:val="none"/>
        </w:rPr>
        <w:t>交通运输</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7.1.1 </w:t>
      </w:r>
      <w:r>
        <w:rPr>
          <w:rFonts w:hint="eastAsia" w:ascii="仿宋_GB2312" w:eastAsia="仿宋_GB2312"/>
          <w:sz w:val="30"/>
          <w:szCs w:val="30"/>
          <w:highlight w:val="none"/>
        </w:rPr>
        <w:t>出入现场的权利</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关于出入现场的权利的约定：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承包人负责办理修建场内外道路、桥梁以及其他基础设施的手续，并承担相关手续费用和建设费用</w:t>
      </w:r>
      <w:r>
        <w:rPr>
          <w:rFonts w:ascii="仿宋_GB2312" w:eastAsia="仿宋_GB2312"/>
          <w:sz w:val="30"/>
          <w:szCs w:val="30"/>
          <w:highlight w:val="none"/>
          <w:u w:val="single"/>
        </w:rPr>
        <w:t xml:space="preserve"> </w:t>
      </w:r>
      <w:r>
        <w:rPr>
          <w:rFonts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7.1.2 </w:t>
      </w:r>
      <w:r>
        <w:rPr>
          <w:rFonts w:hint="eastAsia" w:ascii="仿宋_GB2312" w:eastAsia="仿宋_GB2312"/>
          <w:sz w:val="30"/>
          <w:szCs w:val="30"/>
          <w:highlight w:val="none"/>
        </w:rPr>
        <w:t>场外交通</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关于场外交通的特别约定：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场外交通设施无法满足工程施工需要的，承包人负责完善并承担相关费用</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7.1.3 </w:t>
      </w:r>
      <w:r>
        <w:rPr>
          <w:rFonts w:hint="eastAsia" w:ascii="仿宋_GB2312" w:eastAsia="仿宋_GB2312"/>
          <w:sz w:val="30"/>
          <w:szCs w:val="30"/>
          <w:highlight w:val="none"/>
        </w:rPr>
        <w:t>场内交通</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关于场内交通的特别约定：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执行通用条款</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关于场内交通与场外交通边界的约定：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建筑红线以内属于场内交通，建筑红线以外属于场外交通</w:t>
      </w:r>
      <w:r>
        <w:rPr>
          <w:rFonts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7.1.4 </w:t>
      </w:r>
      <w:r>
        <w:rPr>
          <w:rFonts w:hint="eastAsia" w:ascii="仿宋_GB2312" w:eastAsia="仿宋_GB2312"/>
          <w:sz w:val="30"/>
          <w:szCs w:val="30"/>
          <w:highlight w:val="none"/>
        </w:rPr>
        <w:t>超大件和超重件的运输</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运输超大件或超重件所需的道路和桥梁临时加固改造费用和其他有关费用由</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承包人</w:t>
      </w:r>
      <w:r>
        <w:rPr>
          <w:rFonts w:ascii="仿宋_GB2312" w:eastAsia="仿宋_GB2312"/>
          <w:sz w:val="30"/>
          <w:szCs w:val="30"/>
          <w:highlight w:val="none"/>
          <w:u w:val="single"/>
        </w:rPr>
        <w:t xml:space="preserve"> </w:t>
      </w:r>
      <w:r>
        <w:rPr>
          <w:rFonts w:ascii="仿宋_GB2312" w:eastAsia="仿宋_GB2312"/>
          <w:sz w:val="30"/>
          <w:szCs w:val="30"/>
          <w:highlight w:val="none"/>
        </w:rPr>
        <w:t>承担。</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7.2 </w:t>
      </w:r>
      <w:r>
        <w:rPr>
          <w:rFonts w:hint="eastAsia" w:ascii="黑体" w:hAnsi="黑体" w:eastAsia="黑体"/>
          <w:sz w:val="30"/>
          <w:szCs w:val="30"/>
          <w:highlight w:val="none"/>
        </w:rPr>
        <w:t>施工设备和临时设施</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7.2.1 </w:t>
      </w:r>
      <w:r>
        <w:rPr>
          <w:rFonts w:hint="eastAsia" w:ascii="仿宋_GB2312" w:eastAsia="仿宋_GB2312"/>
          <w:sz w:val="30"/>
          <w:szCs w:val="30"/>
          <w:highlight w:val="none"/>
        </w:rPr>
        <w:t>承包人提供的施工设备和临时设施</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临时设施的费用和临时占地手续和费用承担的特别约定：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费用由承包人承担</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7.2.2 </w:t>
      </w:r>
      <w:r>
        <w:rPr>
          <w:rFonts w:hint="eastAsia" w:ascii="仿宋_GB2312" w:eastAsia="仿宋_GB2312"/>
          <w:sz w:val="30"/>
          <w:szCs w:val="30"/>
          <w:highlight w:val="none"/>
        </w:rPr>
        <w:t>发包人提供的施工设备和临时设施</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发包人提供的施工设备或临时设施范围：</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7.3 </w:t>
      </w:r>
      <w:r>
        <w:rPr>
          <w:rFonts w:hint="eastAsia" w:ascii="黑体" w:hAnsi="黑体" w:eastAsia="黑体"/>
          <w:sz w:val="30"/>
          <w:szCs w:val="30"/>
          <w:highlight w:val="none"/>
        </w:rPr>
        <w:t>现场合作</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关于现场合作费用的特别约定：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由承包人承担</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7.4 </w:t>
      </w:r>
      <w:r>
        <w:rPr>
          <w:rFonts w:hint="eastAsia" w:ascii="黑体" w:hAnsi="黑体" w:eastAsia="黑体"/>
          <w:sz w:val="30"/>
          <w:szCs w:val="30"/>
          <w:highlight w:val="none"/>
        </w:rPr>
        <w:t>测量放线</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7</w:t>
      </w:r>
      <w:r>
        <w:rPr>
          <w:rFonts w:ascii="仿宋_GB2312" w:eastAsia="仿宋_GB2312"/>
          <w:sz w:val="30"/>
          <w:szCs w:val="30"/>
          <w:highlight w:val="none"/>
        </w:rPr>
        <w:t xml:space="preserve">.4.1 </w:t>
      </w:r>
      <w:r>
        <w:rPr>
          <w:rFonts w:hint="eastAsia" w:ascii="仿宋_GB2312" w:eastAsia="仿宋_GB2312"/>
          <w:sz w:val="30"/>
          <w:szCs w:val="30"/>
          <w:highlight w:val="none"/>
        </w:rPr>
        <w:t>关于测量放线的特别约定的技术规范：</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。施工控制网资料的告知期限：</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开工前7天</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7.5 </w:t>
      </w:r>
      <w:r>
        <w:rPr>
          <w:rFonts w:hint="eastAsia" w:ascii="黑体" w:hAnsi="黑体" w:eastAsia="黑体"/>
          <w:sz w:val="30"/>
          <w:szCs w:val="30"/>
          <w:highlight w:val="none"/>
        </w:rPr>
        <w:t>现场劳动用工</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7</w:t>
      </w:r>
      <w:r>
        <w:rPr>
          <w:rFonts w:ascii="仿宋_GB2312" w:eastAsia="仿宋_GB2312"/>
          <w:sz w:val="30"/>
          <w:szCs w:val="30"/>
          <w:highlight w:val="none"/>
        </w:rPr>
        <w:t xml:space="preserve">.5.2 </w:t>
      </w:r>
      <w:r>
        <w:rPr>
          <w:rFonts w:hint="eastAsia" w:ascii="仿宋_GB2312" w:eastAsia="仿宋_GB2312"/>
          <w:sz w:val="30"/>
          <w:szCs w:val="30"/>
          <w:highlight w:val="none"/>
        </w:rPr>
        <w:t>合同当事人对建筑工人工资清偿事宜和违约责任的约定：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由承包人承担</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7.6 </w:t>
      </w:r>
      <w:r>
        <w:rPr>
          <w:rFonts w:hint="eastAsia" w:ascii="黑体" w:hAnsi="黑体" w:eastAsia="黑体"/>
          <w:sz w:val="30"/>
          <w:szCs w:val="30"/>
          <w:highlight w:val="none"/>
        </w:rPr>
        <w:t>安全文明施工</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7.6.1 </w:t>
      </w:r>
      <w:r>
        <w:rPr>
          <w:rFonts w:hint="eastAsia" w:ascii="仿宋_GB2312" w:eastAsia="仿宋_GB2312"/>
          <w:sz w:val="30"/>
          <w:szCs w:val="30"/>
          <w:highlight w:val="none"/>
        </w:rPr>
        <w:t>安全生产要求</w:t>
      </w:r>
    </w:p>
    <w:p>
      <w:pPr>
        <w:wordWrap/>
        <w:topLinePunct w:val="0"/>
        <w:ind w:left="124" w:leftChars="59" w:firstLine="600"/>
        <w:rPr>
          <w:rFonts w:ascii="仿宋_GB2312" w:eastAsia="仿宋_GB2312"/>
          <w:sz w:val="30"/>
          <w:szCs w:val="30"/>
          <w:highlight w:val="none"/>
        </w:rPr>
      </w:pPr>
      <w:r>
        <w:rPr>
          <w:rFonts w:hint="eastAsia" w:ascii="仿宋_GB2312" w:eastAsia="仿宋_GB2312"/>
          <w:sz w:val="30"/>
          <w:szCs w:val="30"/>
          <w:highlight w:val="none"/>
        </w:rPr>
        <w:t>合同当事人对安全施工的要求：</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承包人负责现场安全文明统一管理，现场临设及场地由承包人统一规划，现场出入口及其标志等由承包人设置</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7.6.3 </w:t>
      </w:r>
      <w:r>
        <w:rPr>
          <w:rFonts w:hint="eastAsia" w:ascii="仿宋_GB2312" w:eastAsia="仿宋_GB2312"/>
          <w:sz w:val="30"/>
          <w:szCs w:val="30"/>
          <w:highlight w:val="none"/>
        </w:rPr>
        <w:t>文明施工</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合同当事人对文明施工的要求：</w:t>
      </w:r>
      <w:r>
        <w:rPr>
          <w:rFonts w:hint="eastAsia" w:ascii="仿宋_GB2312" w:eastAsia="仿宋_GB2312"/>
          <w:sz w:val="30"/>
          <w:szCs w:val="30"/>
          <w:highlight w:val="none"/>
          <w:u w:val="single"/>
        </w:rPr>
        <w:t>承包人负责现场统一安全文明施工管理，应遵守 国家及省市的安全文明施工要求，并遵守河南省住房和城乡建设厅关于发布河南省工 程建设标准《城市房屋建筑和市政基础设施工程及道路扬尘污染防治标准(试行)》的 通知、郑州市扬尘治理相关法规及标准文件，所需费用含在签约合同价内。杜绝因管理不力而造成上级相关部门对项目的通报批评和罚款，否则承包人负全责并承担因此造成的所有罚款，增加的费用自理，工期不予顺延，且发包人视情况对承包人处以 50 万元至 100 万元的罚款</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7.9 </w:t>
      </w:r>
      <w:r>
        <w:rPr>
          <w:rFonts w:hint="eastAsia" w:ascii="黑体" w:hAnsi="黑体" w:eastAsia="黑体"/>
          <w:sz w:val="30"/>
          <w:szCs w:val="30"/>
          <w:highlight w:val="none"/>
        </w:rPr>
        <w:t>临时性公用设施</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关于临时性公用设施的特别约定：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7.10 </w:t>
      </w:r>
      <w:r>
        <w:rPr>
          <w:rFonts w:hint="eastAsia" w:ascii="黑体" w:hAnsi="黑体" w:eastAsia="黑体"/>
          <w:sz w:val="30"/>
          <w:szCs w:val="30"/>
          <w:highlight w:val="none"/>
        </w:rPr>
        <w:t>现场安保</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承包人现场安保义务的特别约定：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ascii="仿宋_GB2312" w:eastAsia="仿宋_GB2312"/>
          <w:sz w:val="30"/>
          <w:szCs w:val="30"/>
          <w:highlight w:val="none"/>
          <w:u w:val="single"/>
        </w:rPr>
        <w:t xml:space="preserve">  </w:t>
      </w:r>
      <w:r>
        <w:rPr>
          <w:rFonts w:ascii="仿宋_GB2312" w:eastAsia="仿宋_GB2312"/>
          <w:sz w:val="30"/>
          <w:szCs w:val="30"/>
          <w:highlight w:val="none"/>
        </w:rPr>
        <w:t>。</w:t>
      </w:r>
    </w:p>
    <w:p>
      <w:pPr>
        <w:pStyle w:val="29"/>
        <w:rPr>
          <w:rFonts w:ascii="黑体" w:hAnsi="黑体" w:eastAsia="黑体"/>
          <w:b w:val="0"/>
          <w:bCs/>
          <w:sz w:val="32"/>
          <w:szCs w:val="21"/>
          <w:highlight w:val="none"/>
        </w:rPr>
      </w:pPr>
      <w:bookmarkStart w:id="39" w:name="_Toc54862339"/>
      <w:r>
        <w:rPr>
          <w:rFonts w:hint="eastAsia" w:ascii="黑体" w:hAnsi="黑体" w:eastAsia="黑体"/>
          <w:b w:val="0"/>
          <w:bCs/>
          <w:sz w:val="32"/>
          <w:szCs w:val="21"/>
          <w:highlight w:val="none"/>
        </w:rPr>
        <w:t>第</w:t>
      </w:r>
      <w:r>
        <w:rPr>
          <w:rFonts w:ascii="黑体" w:hAnsi="黑体" w:eastAsia="黑体"/>
          <w:b w:val="0"/>
          <w:bCs/>
          <w:sz w:val="32"/>
          <w:szCs w:val="21"/>
          <w:highlight w:val="none"/>
        </w:rPr>
        <w:t>8条</w:t>
      </w:r>
      <w:r>
        <w:rPr>
          <w:rFonts w:hint="eastAsia" w:ascii="黑体" w:hAnsi="黑体" w:eastAsia="黑体"/>
          <w:b w:val="0"/>
          <w:bCs/>
          <w:sz w:val="32"/>
          <w:szCs w:val="21"/>
          <w:highlight w:val="none"/>
        </w:rPr>
        <w:t xml:space="preserve"> 工期和进度</w:t>
      </w:r>
      <w:bookmarkEnd w:id="39"/>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8.1 </w:t>
      </w:r>
      <w:r>
        <w:rPr>
          <w:rFonts w:hint="eastAsia" w:ascii="黑体" w:hAnsi="黑体" w:eastAsia="黑体"/>
          <w:sz w:val="30"/>
          <w:szCs w:val="30"/>
          <w:highlight w:val="none"/>
        </w:rPr>
        <w:t>开始工作</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8.1.1 </w:t>
      </w:r>
      <w:r>
        <w:rPr>
          <w:rFonts w:hint="eastAsia" w:ascii="仿宋_GB2312" w:eastAsia="仿宋_GB2312"/>
          <w:sz w:val="30"/>
          <w:szCs w:val="30"/>
          <w:highlight w:val="none"/>
        </w:rPr>
        <w:t>开始准备工作：</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合同签订后，发包人组织开始准备工作会通知开始准备工作时间</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8.1.2 </w:t>
      </w:r>
      <w:r>
        <w:rPr>
          <w:rFonts w:hint="eastAsia" w:ascii="仿宋_GB2312" w:eastAsia="仿宋_GB2312"/>
          <w:sz w:val="30"/>
          <w:szCs w:val="30"/>
          <w:highlight w:val="none"/>
        </w:rPr>
        <w:t>发包人可在计划开始工作之日起</w:t>
      </w:r>
      <w:r>
        <w:rPr>
          <w:rFonts w:ascii="仿宋_GB2312" w:eastAsia="仿宋_GB2312"/>
          <w:sz w:val="30"/>
          <w:szCs w:val="30"/>
          <w:highlight w:val="none"/>
        </w:rPr>
        <w:t>84</w:t>
      </w:r>
      <w:r>
        <w:rPr>
          <w:rFonts w:hint="eastAsia" w:ascii="仿宋_GB2312" w:eastAsia="仿宋_GB2312"/>
          <w:sz w:val="30"/>
          <w:szCs w:val="30"/>
          <w:highlight w:val="none"/>
        </w:rPr>
        <w:t>日后发出开始工作通知的特殊情形：</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8.2 </w:t>
      </w:r>
      <w:r>
        <w:rPr>
          <w:rFonts w:hint="eastAsia" w:ascii="黑体" w:hAnsi="黑体" w:eastAsia="黑体"/>
          <w:sz w:val="30"/>
          <w:szCs w:val="30"/>
          <w:highlight w:val="none"/>
        </w:rPr>
        <w:t>竣工日期</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竣工日期的约定：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自发包人以书面通知开工之日起至验收交付合格</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8.3 </w:t>
      </w:r>
      <w:r>
        <w:rPr>
          <w:rFonts w:hint="eastAsia" w:ascii="黑体" w:hAnsi="黑体" w:eastAsia="黑体"/>
          <w:sz w:val="30"/>
          <w:szCs w:val="30"/>
          <w:highlight w:val="none"/>
        </w:rPr>
        <w:t>项目实施计划</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8.3.1 </w:t>
      </w:r>
      <w:r>
        <w:rPr>
          <w:rFonts w:hint="eastAsia" w:ascii="仿宋_GB2312" w:eastAsia="仿宋_GB2312"/>
          <w:sz w:val="30"/>
          <w:szCs w:val="30"/>
          <w:highlight w:val="none"/>
        </w:rPr>
        <w:t>项目实施计划的内容</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项目实施计划的内容：</w:t>
      </w:r>
      <w:r>
        <w:rPr>
          <w:rFonts w:hint="eastAsia" w:ascii="仿宋_GB2312" w:eastAsia="仿宋_GB2312"/>
          <w:sz w:val="30"/>
          <w:szCs w:val="30"/>
          <w:highlight w:val="none"/>
          <w:u w:val="single"/>
        </w:rPr>
        <w:t xml:space="preserve"> </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8.3.2 </w:t>
      </w:r>
      <w:r>
        <w:rPr>
          <w:rFonts w:hint="eastAsia" w:ascii="仿宋_GB2312" w:eastAsia="仿宋_GB2312"/>
          <w:sz w:val="30"/>
          <w:szCs w:val="30"/>
          <w:highlight w:val="none"/>
        </w:rPr>
        <w:t>项目实施计划的提交和修改</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项目实施计划的提交及修改期限：</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8.4 </w:t>
      </w:r>
      <w:r>
        <w:rPr>
          <w:rFonts w:hint="eastAsia" w:ascii="黑体" w:hAnsi="黑体" w:eastAsia="黑体"/>
          <w:sz w:val="30"/>
          <w:szCs w:val="30"/>
          <w:highlight w:val="none"/>
        </w:rPr>
        <w:t>项目进度计划</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8.4.1 </w:t>
      </w:r>
      <w:r>
        <w:rPr>
          <w:rFonts w:hint="eastAsia" w:ascii="仿宋_GB2312" w:eastAsia="仿宋_GB2312"/>
          <w:sz w:val="30"/>
          <w:szCs w:val="30"/>
          <w:highlight w:val="none"/>
        </w:rPr>
        <w:t>工程师在收到进度计划后确认或提出修改意见的期限：</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8.4.2 </w:t>
      </w:r>
      <w:r>
        <w:rPr>
          <w:rFonts w:hint="eastAsia" w:ascii="仿宋_GB2312" w:eastAsia="仿宋_GB2312"/>
          <w:sz w:val="30"/>
          <w:szCs w:val="30"/>
          <w:highlight w:val="none"/>
        </w:rPr>
        <w:t>进度计划的具体要求：</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关键路径及关键路径变化的确定原则：</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承包人提交项目进度计划的份数和时间：</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8.4.3 </w:t>
      </w:r>
      <w:r>
        <w:rPr>
          <w:rFonts w:hint="eastAsia" w:ascii="仿宋_GB2312" w:eastAsia="仿宋_GB2312"/>
          <w:sz w:val="30"/>
          <w:szCs w:val="30"/>
          <w:highlight w:val="none"/>
        </w:rPr>
        <w:t>进度计划的修订</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承包人提交修订</w:t>
      </w:r>
      <w:r>
        <w:rPr>
          <w:rFonts w:ascii="仿宋_GB2312" w:eastAsia="仿宋_GB2312"/>
          <w:sz w:val="30"/>
          <w:szCs w:val="30"/>
          <w:highlight w:val="none"/>
        </w:rPr>
        <w:t>项目进度计划</w:t>
      </w:r>
      <w:r>
        <w:rPr>
          <w:rFonts w:hint="eastAsia" w:ascii="仿宋_GB2312" w:eastAsia="仿宋_GB2312"/>
          <w:sz w:val="30"/>
          <w:szCs w:val="30"/>
          <w:highlight w:val="none"/>
        </w:rPr>
        <w:t>申请报告的期限：</w:t>
      </w:r>
      <w:r>
        <w:rPr>
          <w:rFonts w:hint="eastAsia" w:ascii="仿宋_GB2312" w:eastAsia="仿宋_GB2312"/>
          <w:sz w:val="30"/>
          <w:szCs w:val="30"/>
          <w:highlight w:val="none"/>
          <w:u w:val="single"/>
        </w:rPr>
        <w:t>按发包人要求</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发包人批复修订</w:t>
      </w:r>
      <w:r>
        <w:rPr>
          <w:rFonts w:ascii="仿宋_GB2312" w:eastAsia="仿宋_GB2312"/>
          <w:sz w:val="30"/>
          <w:szCs w:val="30"/>
          <w:highlight w:val="none"/>
        </w:rPr>
        <w:t>项目进度计划</w:t>
      </w:r>
      <w:r>
        <w:rPr>
          <w:rFonts w:hint="eastAsia" w:ascii="仿宋_GB2312" w:eastAsia="仿宋_GB2312"/>
          <w:sz w:val="30"/>
          <w:szCs w:val="30"/>
          <w:highlight w:val="none"/>
        </w:rPr>
        <w:t>申请报告的期限：</w:t>
      </w:r>
      <w:r>
        <w:rPr>
          <w:rFonts w:hint="eastAsia" w:ascii="仿宋_GB2312" w:eastAsia="仿宋_GB2312"/>
          <w:sz w:val="30"/>
          <w:szCs w:val="30"/>
          <w:highlight w:val="none"/>
          <w:u w:val="single"/>
        </w:rPr>
        <w:t>按发包人要求</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承包人答复发包人提出修订合同计划的期限：</w:t>
      </w:r>
      <w:r>
        <w:rPr>
          <w:rFonts w:hint="eastAsia" w:ascii="仿宋_GB2312" w:eastAsia="仿宋_GB2312"/>
          <w:sz w:val="30"/>
          <w:szCs w:val="30"/>
          <w:highlight w:val="none"/>
          <w:u w:val="single"/>
        </w:rPr>
        <w:t>按发包人要求</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8.5 </w:t>
      </w:r>
      <w:r>
        <w:rPr>
          <w:rFonts w:hint="eastAsia" w:ascii="黑体" w:hAnsi="黑体" w:eastAsia="黑体"/>
          <w:sz w:val="30"/>
          <w:szCs w:val="30"/>
          <w:highlight w:val="none"/>
        </w:rPr>
        <w:t>进度报告</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进度报告的具体要求：</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8.7 </w:t>
      </w:r>
      <w:r>
        <w:rPr>
          <w:rFonts w:hint="eastAsia" w:ascii="黑体" w:hAnsi="黑体" w:eastAsia="黑体"/>
          <w:sz w:val="30"/>
          <w:szCs w:val="30"/>
          <w:highlight w:val="none"/>
        </w:rPr>
        <w:t>工期延误</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8.7.2 </w:t>
      </w:r>
      <w:r>
        <w:rPr>
          <w:rFonts w:hint="eastAsia" w:ascii="仿宋_GB2312" w:eastAsia="仿宋_GB2312"/>
          <w:sz w:val="30"/>
          <w:szCs w:val="30"/>
          <w:highlight w:val="none"/>
        </w:rPr>
        <w:t>因承包人原因导致工期延误</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因承包人原因使竣工日期延误，每延误1日的误期赔偿金额为合同协议书的合同价格的</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%或人民币金额为：</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10000元</w:t>
      </w:r>
      <w:r>
        <w:rPr>
          <w:rFonts w:ascii="仿宋_GB2312" w:eastAsia="仿宋_GB2312"/>
          <w:sz w:val="30"/>
          <w:szCs w:val="30"/>
          <w:highlight w:val="none"/>
          <w:u w:val="single"/>
        </w:rPr>
        <w:t xml:space="preserve">      </w:t>
      </w:r>
      <w:r>
        <w:rPr>
          <w:rFonts w:hint="eastAsia" w:ascii="仿宋_GB2312" w:eastAsia="仿宋_GB2312"/>
          <w:sz w:val="30"/>
          <w:szCs w:val="30"/>
          <w:highlight w:val="none"/>
        </w:rPr>
        <w:t>、累计最高赔偿金额为合同协议书的合同价格的：</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3</w:t>
      </w:r>
      <w:r>
        <w:rPr>
          <w:rFonts w:ascii="仿宋_GB2312" w:eastAsia="仿宋_GB2312"/>
          <w:sz w:val="30"/>
          <w:szCs w:val="30"/>
          <w:highlight w:val="none"/>
          <w:u w:val="single"/>
        </w:rPr>
        <w:t xml:space="preserve">  </w:t>
      </w:r>
      <w:r>
        <w:rPr>
          <w:rFonts w:hint="eastAsia" w:ascii="仿宋_GB2312" w:eastAsia="仿宋_GB2312"/>
          <w:sz w:val="30"/>
          <w:szCs w:val="30"/>
          <w:highlight w:val="none"/>
        </w:rPr>
        <w:t>%或人民币金额为：</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8.7.3 </w:t>
      </w:r>
      <w:r>
        <w:rPr>
          <w:rFonts w:hint="eastAsia" w:ascii="仿宋_GB2312" w:eastAsia="仿宋_GB2312"/>
          <w:sz w:val="30"/>
          <w:szCs w:val="30"/>
          <w:highlight w:val="none"/>
        </w:rPr>
        <w:t>行政审批迟延</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行政审批报送的职责分工：</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发包人主导，承包人配合</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8.7.4 </w:t>
      </w:r>
      <w:r>
        <w:rPr>
          <w:rFonts w:hint="eastAsia" w:ascii="仿宋_GB2312" w:eastAsia="仿宋_GB2312"/>
          <w:sz w:val="30"/>
          <w:szCs w:val="30"/>
          <w:highlight w:val="none"/>
        </w:rPr>
        <w:t>异常恶劣的气候条件</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双方约定视为异常恶劣的气候条件的情形：</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8.8 </w:t>
      </w:r>
      <w:r>
        <w:rPr>
          <w:rFonts w:hint="eastAsia" w:ascii="黑体" w:hAnsi="黑体" w:eastAsia="黑体"/>
          <w:sz w:val="30"/>
          <w:szCs w:val="30"/>
          <w:highlight w:val="none"/>
        </w:rPr>
        <w:t>工期提前</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8.8.2 </w:t>
      </w:r>
      <w:r>
        <w:rPr>
          <w:rFonts w:hint="eastAsia" w:ascii="仿宋_GB2312" w:eastAsia="仿宋_GB2312"/>
          <w:sz w:val="30"/>
          <w:szCs w:val="30"/>
          <w:highlight w:val="none"/>
        </w:rPr>
        <w:t>承包人提前竣工的奖励：</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pStyle w:val="29"/>
        <w:rPr>
          <w:rFonts w:ascii="黑体" w:hAnsi="黑体" w:eastAsia="黑体"/>
          <w:b w:val="0"/>
          <w:bCs/>
          <w:sz w:val="32"/>
          <w:szCs w:val="21"/>
          <w:highlight w:val="none"/>
        </w:rPr>
      </w:pPr>
      <w:bookmarkStart w:id="40" w:name="_Toc54862340"/>
      <w:r>
        <w:rPr>
          <w:rFonts w:hint="eastAsia" w:ascii="黑体" w:hAnsi="黑体" w:eastAsia="黑体"/>
          <w:b w:val="0"/>
          <w:bCs/>
          <w:sz w:val="32"/>
          <w:szCs w:val="21"/>
          <w:highlight w:val="none"/>
        </w:rPr>
        <w:t>第</w:t>
      </w:r>
      <w:r>
        <w:rPr>
          <w:rFonts w:ascii="黑体" w:hAnsi="黑体" w:eastAsia="黑体"/>
          <w:b w:val="0"/>
          <w:bCs/>
          <w:sz w:val="32"/>
          <w:szCs w:val="21"/>
          <w:highlight w:val="none"/>
        </w:rPr>
        <w:t>9条</w:t>
      </w:r>
      <w:r>
        <w:rPr>
          <w:rFonts w:hint="eastAsia" w:ascii="黑体" w:hAnsi="黑体" w:eastAsia="黑体"/>
          <w:b w:val="0"/>
          <w:bCs/>
          <w:sz w:val="32"/>
          <w:szCs w:val="21"/>
          <w:highlight w:val="none"/>
        </w:rPr>
        <w:t xml:space="preserve"> 竣工试验</w:t>
      </w:r>
      <w:bookmarkEnd w:id="40"/>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9.1 </w:t>
      </w:r>
      <w:r>
        <w:rPr>
          <w:rFonts w:hint="eastAsia" w:ascii="黑体" w:hAnsi="黑体" w:eastAsia="黑体"/>
          <w:sz w:val="30"/>
          <w:szCs w:val="30"/>
          <w:highlight w:val="none"/>
        </w:rPr>
        <w:t>竣工试验的义务</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9.1.3 </w:t>
      </w:r>
      <w:r>
        <w:rPr>
          <w:rFonts w:hint="eastAsia" w:ascii="仿宋_GB2312" w:eastAsia="仿宋_GB2312"/>
          <w:sz w:val="30"/>
          <w:szCs w:val="30"/>
          <w:highlight w:val="none"/>
        </w:rPr>
        <w:t>竣工试验的阶段、内容和顺序：</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竣工试验的操作要求：</w:t>
      </w:r>
      <w:r>
        <w:rPr>
          <w:rFonts w:hint="eastAsia" w:ascii="仿宋_GB2312" w:eastAsia="仿宋_GB2312"/>
          <w:sz w:val="30"/>
          <w:szCs w:val="30"/>
          <w:highlight w:val="none"/>
          <w:u w:val="single"/>
        </w:rPr>
        <w:t xml:space="preserve"> </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pStyle w:val="29"/>
        <w:rPr>
          <w:rFonts w:ascii="黑体" w:hAnsi="黑体" w:eastAsia="黑体"/>
          <w:b w:val="0"/>
          <w:bCs/>
          <w:sz w:val="32"/>
          <w:szCs w:val="21"/>
          <w:highlight w:val="none"/>
        </w:rPr>
      </w:pPr>
      <w:bookmarkStart w:id="41" w:name="_Toc4784273"/>
      <w:bookmarkEnd w:id="41"/>
      <w:bookmarkStart w:id="42" w:name="_Toc4784272"/>
      <w:bookmarkEnd w:id="42"/>
      <w:bookmarkStart w:id="43" w:name="_Toc54862341"/>
      <w:r>
        <w:rPr>
          <w:rFonts w:hint="eastAsia" w:ascii="黑体" w:hAnsi="黑体" w:eastAsia="黑体"/>
          <w:b w:val="0"/>
          <w:bCs/>
          <w:sz w:val="32"/>
          <w:szCs w:val="21"/>
          <w:highlight w:val="none"/>
        </w:rPr>
        <w:t>第</w:t>
      </w:r>
      <w:r>
        <w:rPr>
          <w:rFonts w:ascii="黑体" w:hAnsi="黑体" w:eastAsia="黑体"/>
          <w:b w:val="0"/>
          <w:bCs/>
          <w:sz w:val="32"/>
          <w:szCs w:val="21"/>
          <w:highlight w:val="none"/>
        </w:rPr>
        <w:t>10条</w:t>
      </w:r>
      <w:r>
        <w:rPr>
          <w:rFonts w:hint="eastAsia" w:ascii="黑体" w:hAnsi="黑体" w:eastAsia="黑体"/>
          <w:b w:val="0"/>
          <w:bCs/>
          <w:sz w:val="32"/>
          <w:szCs w:val="21"/>
          <w:highlight w:val="none"/>
        </w:rPr>
        <w:t xml:space="preserve"> 验收和工程接收</w:t>
      </w:r>
      <w:bookmarkEnd w:id="43"/>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10.1 </w:t>
      </w:r>
      <w:r>
        <w:rPr>
          <w:rFonts w:hint="eastAsia" w:ascii="黑体" w:hAnsi="黑体" w:eastAsia="黑体"/>
          <w:sz w:val="30"/>
          <w:szCs w:val="30"/>
          <w:highlight w:val="none"/>
        </w:rPr>
        <w:t>竣工验收</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10.1.2 </w:t>
      </w:r>
      <w:r>
        <w:rPr>
          <w:rFonts w:hint="eastAsia" w:ascii="仿宋_GB2312" w:eastAsia="仿宋_GB2312"/>
          <w:sz w:val="30"/>
          <w:szCs w:val="30"/>
          <w:highlight w:val="none"/>
        </w:rPr>
        <w:t>关于竣工验收程序的约定：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按通用合同条件执行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bookmarkStart w:id="44" w:name="_Hlk46406260"/>
      <w:r>
        <w:rPr>
          <w:rFonts w:hint="eastAsia" w:ascii="仿宋_GB2312" w:eastAsia="仿宋_GB2312"/>
          <w:sz w:val="30"/>
          <w:szCs w:val="30"/>
          <w:highlight w:val="none"/>
        </w:rPr>
        <w:t>发包人不按照合同约定组织竣工验收、颁发工程接受证书的违约金的计算方式：</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按通用合同条件执行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bookmarkEnd w:id="44"/>
    <w:p>
      <w:pPr>
        <w:wordWrap/>
        <w:topLinePunct w:val="0"/>
        <w:ind w:firstLine="600"/>
        <w:rPr>
          <w:rFonts w:ascii="黑体" w:hAnsi="黑体" w:eastAsia="黑体"/>
          <w:sz w:val="30"/>
          <w:szCs w:val="30"/>
          <w:highlight w:val="none"/>
        </w:rPr>
      </w:pPr>
      <w:r>
        <w:rPr>
          <w:rFonts w:ascii="黑体" w:hAnsi="黑体" w:eastAsia="黑体"/>
          <w:sz w:val="30"/>
          <w:szCs w:val="30"/>
          <w:highlight w:val="none"/>
        </w:rPr>
        <w:t>10.3</w:t>
      </w:r>
      <w:r>
        <w:rPr>
          <w:rFonts w:ascii="黑体" w:hAnsi="黑体" w:eastAsia="黑体"/>
          <w:sz w:val="30"/>
          <w:szCs w:val="30"/>
          <w:highlight w:val="none"/>
        </w:rPr>
        <w:tab/>
      </w:r>
      <w:r>
        <w:rPr>
          <w:rFonts w:ascii="黑体" w:hAnsi="黑体" w:eastAsia="黑体"/>
          <w:sz w:val="30"/>
          <w:szCs w:val="30"/>
          <w:highlight w:val="none"/>
        </w:rPr>
        <w:t xml:space="preserve"> 工程的接收</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10.3.1</w:t>
      </w:r>
      <w:r>
        <w:rPr>
          <w:rFonts w:hint="eastAsia" w:ascii="仿宋_GB2312" w:eastAsia="仿宋_GB2312"/>
          <w:sz w:val="30"/>
          <w:szCs w:val="30"/>
          <w:highlight w:val="none"/>
        </w:rPr>
        <w:t>工程接收的先后顺序、时间安排和其他要求：</w:t>
      </w:r>
      <w:r>
        <w:rPr>
          <w:rFonts w:hint="eastAsia" w:ascii="仿宋_GB2312" w:eastAsia="仿宋_GB2312"/>
          <w:sz w:val="30"/>
          <w:szCs w:val="30"/>
          <w:highlight w:val="none"/>
          <w:u w:val="single"/>
        </w:rPr>
        <w:t>按通用条款执行</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10.3.2 </w:t>
      </w:r>
      <w:r>
        <w:rPr>
          <w:rFonts w:hint="eastAsia" w:ascii="仿宋_GB2312" w:eastAsia="仿宋_GB2312"/>
          <w:sz w:val="30"/>
          <w:szCs w:val="30"/>
          <w:highlight w:val="none"/>
        </w:rPr>
        <w:t>接受工程时承包人需提交竣工验收资料的类别、内容、份数和提交时间：</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按发包人要求，提供竣工资料 6 份、竣工图纸 6 份</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10.3.3 </w:t>
      </w:r>
      <w:r>
        <w:rPr>
          <w:rFonts w:hint="eastAsia" w:ascii="仿宋_GB2312" w:eastAsia="仿宋_GB2312"/>
          <w:sz w:val="30"/>
          <w:szCs w:val="30"/>
          <w:highlight w:val="none"/>
        </w:rPr>
        <w:t>发包人逾期接收工程的违约责任：</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10.3.4 </w:t>
      </w:r>
      <w:r>
        <w:rPr>
          <w:rFonts w:hint="eastAsia" w:ascii="仿宋_GB2312" w:eastAsia="仿宋_GB2312"/>
          <w:sz w:val="30"/>
          <w:szCs w:val="30"/>
          <w:highlight w:val="none"/>
        </w:rPr>
        <w:t>承包人无正当理由不移交工程的违约责任：</w:t>
      </w:r>
      <w:r>
        <w:rPr>
          <w:rFonts w:hint="eastAsia" w:ascii="仿宋_GB2312" w:eastAsia="仿宋_GB2312"/>
          <w:sz w:val="30"/>
          <w:szCs w:val="30"/>
          <w:highlight w:val="none"/>
          <w:u w:val="single"/>
        </w:rPr>
        <w:t>每日支付 2000 元的违约金</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10.4 </w:t>
      </w:r>
      <w:r>
        <w:rPr>
          <w:rFonts w:hint="eastAsia" w:ascii="黑体" w:hAnsi="黑体" w:eastAsia="黑体"/>
          <w:sz w:val="30"/>
          <w:szCs w:val="30"/>
          <w:highlight w:val="none"/>
        </w:rPr>
        <w:t>接收证书</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10.4.1 </w:t>
      </w:r>
      <w:r>
        <w:rPr>
          <w:rFonts w:hint="eastAsia" w:ascii="仿宋_GB2312" w:eastAsia="仿宋_GB2312"/>
          <w:sz w:val="30"/>
          <w:szCs w:val="30"/>
          <w:highlight w:val="none"/>
        </w:rPr>
        <w:t>工程接收证书颁发时间：</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竣工验收 30 个工作日之内</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10.5 </w:t>
      </w:r>
      <w:r>
        <w:rPr>
          <w:rFonts w:hint="eastAsia" w:ascii="黑体" w:hAnsi="黑体" w:eastAsia="黑体"/>
          <w:sz w:val="30"/>
          <w:szCs w:val="30"/>
          <w:highlight w:val="none"/>
        </w:rPr>
        <w:t>竣工退场</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10.5.1 </w:t>
      </w:r>
      <w:r>
        <w:rPr>
          <w:rFonts w:hint="eastAsia" w:ascii="仿宋_GB2312" w:eastAsia="仿宋_GB2312"/>
          <w:sz w:val="30"/>
          <w:szCs w:val="30"/>
          <w:highlight w:val="none"/>
        </w:rPr>
        <w:t>竣工退场的相关约定：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发包人颁发工程接收证书后承包人及时退场</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10.5.3</w:t>
      </w:r>
      <w:r>
        <w:rPr>
          <w:rFonts w:hint="eastAsia" w:ascii="仿宋_GB2312" w:eastAsia="仿宋_GB2312"/>
          <w:sz w:val="30"/>
          <w:szCs w:val="30"/>
          <w:highlight w:val="none"/>
        </w:rPr>
        <w:t>人员撤离</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工程师同意需在缺陷责任期内继续工作和使用的人员、施工设备和临时工程的内容：</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pStyle w:val="29"/>
        <w:rPr>
          <w:rFonts w:ascii="黑体" w:hAnsi="黑体" w:eastAsia="黑体"/>
          <w:b w:val="0"/>
          <w:bCs/>
          <w:sz w:val="32"/>
          <w:szCs w:val="21"/>
          <w:highlight w:val="none"/>
        </w:rPr>
      </w:pPr>
      <w:bookmarkStart w:id="45" w:name="_Toc54862342"/>
      <w:r>
        <w:rPr>
          <w:rFonts w:hint="eastAsia" w:ascii="黑体" w:hAnsi="黑体" w:eastAsia="黑体"/>
          <w:b w:val="0"/>
          <w:bCs/>
          <w:sz w:val="32"/>
          <w:szCs w:val="21"/>
          <w:highlight w:val="none"/>
        </w:rPr>
        <w:t>第</w:t>
      </w:r>
      <w:r>
        <w:rPr>
          <w:rFonts w:ascii="黑体" w:hAnsi="黑体" w:eastAsia="黑体"/>
          <w:b w:val="0"/>
          <w:bCs/>
          <w:sz w:val="32"/>
          <w:szCs w:val="21"/>
          <w:highlight w:val="none"/>
        </w:rPr>
        <w:t>11条</w:t>
      </w:r>
      <w:r>
        <w:rPr>
          <w:rFonts w:hint="eastAsia" w:ascii="黑体" w:hAnsi="黑体" w:eastAsia="黑体"/>
          <w:b w:val="0"/>
          <w:bCs/>
          <w:sz w:val="32"/>
          <w:szCs w:val="21"/>
          <w:highlight w:val="none"/>
        </w:rPr>
        <w:t xml:space="preserve"> 缺陷责任与保修</w:t>
      </w:r>
      <w:bookmarkEnd w:id="45"/>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11.2 </w:t>
      </w:r>
      <w:r>
        <w:rPr>
          <w:rFonts w:hint="eastAsia" w:ascii="黑体" w:hAnsi="黑体" w:eastAsia="黑体"/>
          <w:sz w:val="30"/>
          <w:szCs w:val="30"/>
          <w:highlight w:val="none"/>
        </w:rPr>
        <w:t>缺陷责任期</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缺陷责任期的</w:t>
      </w:r>
      <w:r>
        <w:rPr>
          <w:rFonts w:hint="eastAsia" w:ascii="仿宋_GB2312" w:eastAsia="仿宋_GB2312"/>
          <w:sz w:val="30"/>
          <w:szCs w:val="30"/>
          <w:highlight w:val="none"/>
        </w:rPr>
        <w:t>期限：</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从工程竣工验收合格之日起</w:t>
      </w:r>
      <w:r>
        <w:rPr>
          <w:rFonts w:hint="eastAsia" w:ascii="仿宋_GB2312" w:eastAsia="仿宋_GB2312"/>
          <w:sz w:val="30"/>
          <w:szCs w:val="30"/>
          <w:highlight w:val="none"/>
          <w:u w:val="single"/>
          <w:lang w:val="en-US" w:eastAsia="zh-CN"/>
        </w:rPr>
        <w:t>12</w:t>
      </w:r>
      <w:r>
        <w:rPr>
          <w:rFonts w:hint="eastAsia" w:ascii="仿宋_GB2312" w:eastAsia="仿宋_GB2312"/>
          <w:sz w:val="30"/>
          <w:szCs w:val="30"/>
          <w:highlight w:val="none"/>
          <w:u w:val="single"/>
        </w:rPr>
        <w:t>个月</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11.3 </w:t>
      </w:r>
      <w:r>
        <w:rPr>
          <w:rFonts w:hint="eastAsia" w:ascii="黑体" w:hAnsi="黑体" w:eastAsia="黑体"/>
          <w:sz w:val="30"/>
          <w:szCs w:val="30"/>
          <w:highlight w:val="none"/>
        </w:rPr>
        <w:t>缺陷调查</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11.3.4 </w:t>
      </w:r>
      <w:r>
        <w:rPr>
          <w:rFonts w:hint="eastAsia" w:ascii="仿宋_GB2312" w:eastAsia="仿宋_GB2312"/>
          <w:sz w:val="30"/>
          <w:szCs w:val="30"/>
          <w:highlight w:val="none"/>
        </w:rPr>
        <w:t>修复通知</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承包人收到保修通知并到达工程现场的合理时间：</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48 小时</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11.6 </w:t>
      </w:r>
      <w:r>
        <w:rPr>
          <w:rFonts w:hint="eastAsia" w:ascii="黑体" w:hAnsi="黑体" w:eastAsia="黑体"/>
          <w:sz w:val="30"/>
          <w:szCs w:val="30"/>
          <w:highlight w:val="none"/>
        </w:rPr>
        <w:t>缺陷责任期终止证书</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承包人应于缺陷责任期届满后</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7</w:t>
      </w:r>
      <w:r>
        <w:rPr>
          <w:rFonts w:ascii="仿宋_GB2312" w:eastAsia="仿宋_GB2312"/>
          <w:sz w:val="30"/>
          <w:szCs w:val="30"/>
          <w:highlight w:val="none"/>
          <w:u w:val="single"/>
        </w:rPr>
        <w:t xml:space="preserve">  </w:t>
      </w:r>
      <w:r>
        <w:rPr>
          <w:rFonts w:hint="eastAsia" w:ascii="仿宋_GB2312" w:eastAsia="仿宋_GB2312"/>
          <w:sz w:val="30"/>
          <w:szCs w:val="30"/>
          <w:highlight w:val="none"/>
        </w:rPr>
        <w:t>天内向发包人发出缺陷责任期届满通知，发包人应在收到缺陷责任期满通知后</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7</w:t>
      </w:r>
      <w:r>
        <w:rPr>
          <w:rFonts w:ascii="仿宋_GB2312" w:eastAsia="仿宋_GB2312"/>
          <w:sz w:val="30"/>
          <w:szCs w:val="30"/>
          <w:highlight w:val="none"/>
          <w:u w:val="single"/>
        </w:rPr>
        <w:t xml:space="preserve">  </w:t>
      </w:r>
      <w:r>
        <w:rPr>
          <w:rFonts w:hint="eastAsia" w:ascii="仿宋_GB2312" w:eastAsia="仿宋_GB2312"/>
          <w:sz w:val="30"/>
          <w:szCs w:val="30"/>
          <w:highlight w:val="none"/>
        </w:rPr>
        <w:t>天内核实承包人是否履行缺陷修复义务，承包人未能履行缺陷修复义务的，发包人有权扣除相应金额的维修费用。发包人应在收到缺陷责任期届满通知后</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15</w:t>
      </w:r>
      <w:r>
        <w:rPr>
          <w:rFonts w:ascii="仿宋_GB2312" w:eastAsia="仿宋_GB2312"/>
          <w:sz w:val="30"/>
          <w:szCs w:val="30"/>
          <w:highlight w:val="none"/>
          <w:u w:val="single"/>
        </w:rPr>
        <w:t xml:space="preserve">  </w:t>
      </w:r>
      <w:r>
        <w:rPr>
          <w:rFonts w:hint="eastAsia" w:ascii="仿宋_GB2312" w:eastAsia="仿宋_GB2312"/>
          <w:sz w:val="30"/>
          <w:szCs w:val="30"/>
          <w:highlight w:val="none"/>
        </w:rPr>
        <w:t>天内，向承包人颁发缺陷责任期终止证书。</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11.7 </w:t>
      </w:r>
      <w:r>
        <w:rPr>
          <w:rFonts w:hint="eastAsia" w:ascii="黑体" w:hAnsi="黑体" w:eastAsia="黑体"/>
          <w:sz w:val="30"/>
          <w:szCs w:val="30"/>
          <w:highlight w:val="none"/>
        </w:rPr>
        <w:t>保修责任</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工程质量保修范围、期限和责任</w:t>
      </w:r>
      <w:r>
        <w:rPr>
          <w:rFonts w:ascii="仿宋_GB2312" w:eastAsia="仿宋_GB2312"/>
          <w:sz w:val="30"/>
          <w:szCs w:val="30"/>
          <w:highlight w:val="none"/>
        </w:rPr>
        <w:t>为：</w:t>
      </w:r>
      <w:r>
        <w:rPr>
          <w:rFonts w:hint="eastAsia" w:ascii="仿宋_GB2312" w:eastAsia="仿宋_GB2312"/>
          <w:sz w:val="30"/>
          <w:szCs w:val="30"/>
          <w:highlight w:val="none"/>
          <w:u w:val="single"/>
        </w:rPr>
        <w:t>见质量保修书</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pStyle w:val="29"/>
        <w:rPr>
          <w:rFonts w:ascii="黑体" w:hAnsi="黑体" w:eastAsia="黑体"/>
          <w:b w:val="0"/>
          <w:bCs/>
          <w:sz w:val="32"/>
          <w:szCs w:val="21"/>
          <w:highlight w:val="none"/>
        </w:rPr>
      </w:pPr>
      <w:bookmarkStart w:id="46" w:name="_Toc54862343"/>
      <w:r>
        <w:rPr>
          <w:rFonts w:hint="eastAsia" w:ascii="黑体" w:hAnsi="黑体" w:eastAsia="黑体"/>
          <w:b w:val="0"/>
          <w:bCs/>
          <w:sz w:val="32"/>
          <w:szCs w:val="21"/>
          <w:highlight w:val="none"/>
        </w:rPr>
        <w:t>第</w:t>
      </w:r>
      <w:r>
        <w:rPr>
          <w:rFonts w:ascii="黑体" w:hAnsi="黑体" w:eastAsia="黑体"/>
          <w:b w:val="0"/>
          <w:bCs/>
          <w:sz w:val="32"/>
          <w:szCs w:val="21"/>
          <w:highlight w:val="none"/>
        </w:rPr>
        <w:t>12条</w:t>
      </w:r>
      <w:r>
        <w:rPr>
          <w:rFonts w:hint="eastAsia" w:ascii="黑体" w:hAnsi="黑体" w:eastAsia="黑体"/>
          <w:b w:val="0"/>
          <w:bCs/>
          <w:sz w:val="32"/>
          <w:szCs w:val="21"/>
          <w:highlight w:val="none"/>
        </w:rPr>
        <w:t xml:space="preserve"> 竣工后试验</w:t>
      </w:r>
      <w:bookmarkEnd w:id="46"/>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本合同工程是否包含竣工后试验：</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包含</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12.1 </w:t>
      </w:r>
      <w:r>
        <w:rPr>
          <w:rFonts w:hint="eastAsia" w:ascii="黑体" w:hAnsi="黑体" w:eastAsia="黑体"/>
          <w:sz w:val="30"/>
          <w:szCs w:val="30"/>
          <w:highlight w:val="none"/>
        </w:rPr>
        <w:t>竣工后试验的程序</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12.1.2 </w:t>
      </w:r>
      <w:r>
        <w:rPr>
          <w:rFonts w:hint="eastAsia" w:ascii="仿宋_GB2312" w:eastAsia="仿宋_GB2312"/>
          <w:sz w:val="30"/>
          <w:szCs w:val="30"/>
          <w:highlight w:val="none"/>
        </w:rPr>
        <w:t>竣工后试验全部电力、水、污水处理、燃料、消耗品和材料，以及全部其他仪器、协助、文件或其他信息、设备、工具、劳力，启动工程设备，并组织安排有适当资质、经验和能力的工作人员等必要条件的提供方：</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发包人</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pStyle w:val="29"/>
        <w:rPr>
          <w:rFonts w:ascii="黑体" w:hAnsi="黑体" w:eastAsia="黑体"/>
          <w:b w:val="0"/>
          <w:bCs/>
          <w:sz w:val="32"/>
          <w:szCs w:val="21"/>
          <w:highlight w:val="none"/>
        </w:rPr>
      </w:pPr>
      <w:bookmarkStart w:id="47" w:name="_Toc54862344"/>
      <w:r>
        <w:rPr>
          <w:rFonts w:hint="eastAsia" w:ascii="黑体" w:hAnsi="黑体" w:eastAsia="黑体"/>
          <w:b w:val="0"/>
          <w:bCs/>
          <w:sz w:val="32"/>
          <w:szCs w:val="21"/>
          <w:highlight w:val="none"/>
        </w:rPr>
        <w:t>第</w:t>
      </w:r>
      <w:r>
        <w:rPr>
          <w:rFonts w:ascii="黑体" w:hAnsi="黑体" w:eastAsia="黑体"/>
          <w:b w:val="0"/>
          <w:bCs/>
          <w:sz w:val="32"/>
          <w:szCs w:val="21"/>
          <w:highlight w:val="none"/>
        </w:rPr>
        <w:t>13条</w:t>
      </w:r>
      <w:r>
        <w:rPr>
          <w:rFonts w:hint="eastAsia" w:ascii="黑体" w:hAnsi="黑体" w:eastAsia="黑体"/>
          <w:b w:val="0"/>
          <w:bCs/>
          <w:sz w:val="32"/>
          <w:szCs w:val="21"/>
          <w:highlight w:val="none"/>
        </w:rPr>
        <w:t xml:space="preserve"> 变更与调整</w:t>
      </w:r>
      <w:bookmarkEnd w:id="47"/>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13.2 </w:t>
      </w:r>
      <w:r>
        <w:rPr>
          <w:rFonts w:hint="eastAsia" w:ascii="黑体" w:hAnsi="黑体" w:eastAsia="黑体"/>
          <w:sz w:val="30"/>
          <w:szCs w:val="30"/>
          <w:highlight w:val="none"/>
        </w:rPr>
        <w:t>承包人的合理化建议</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13.2.2 </w:t>
      </w:r>
      <w:r>
        <w:rPr>
          <w:rFonts w:hint="eastAsia" w:ascii="仿宋_GB2312" w:eastAsia="仿宋_GB2312"/>
          <w:sz w:val="30"/>
          <w:szCs w:val="30"/>
          <w:highlight w:val="none"/>
        </w:rPr>
        <w:t>工程师应在收到承包人提交的合理化建议后</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7</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rPr>
        <w:t>日内审查完毕并报送发包人，发现其中存在技术上的缺陷，应通知承包人修改。发包人应在收到工程师报送的合理化建议后</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7</w:t>
      </w:r>
      <w:r>
        <w:rPr>
          <w:rFonts w:ascii="仿宋_GB2312" w:eastAsia="仿宋_GB2312"/>
          <w:sz w:val="30"/>
          <w:szCs w:val="30"/>
          <w:highlight w:val="none"/>
          <w:u w:val="single"/>
        </w:rPr>
        <w:t xml:space="preserve">  </w:t>
      </w:r>
      <w:r>
        <w:rPr>
          <w:rFonts w:hint="eastAsia" w:ascii="仿宋_GB2312" w:eastAsia="仿宋_GB2312"/>
          <w:sz w:val="30"/>
          <w:szCs w:val="30"/>
          <w:highlight w:val="none"/>
        </w:rPr>
        <w:t>日内审批完毕。合理化建议经发包人批准的，工程师应及时发出变更指示，由此引起的合同价格调整按照</w:t>
      </w:r>
      <w:r>
        <w:rPr>
          <w:rFonts w:hint="eastAsia" w:ascii="仿宋_GB2312" w:eastAsia="仿宋_GB2312"/>
          <w:sz w:val="30"/>
          <w:szCs w:val="30"/>
          <w:highlight w:val="none"/>
          <w:u w:val="single"/>
        </w:rPr>
        <w:t xml:space="preserve">  工程变更程序 </w:t>
      </w:r>
      <w:r>
        <w:rPr>
          <w:rFonts w:hint="eastAsia" w:ascii="仿宋_GB2312" w:eastAsia="仿宋_GB2312"/>
          <w:sz w:val="30"/>
          <w:szCs w:val="30"/>
          <w:highlight w:val="none"/>
        </w:rPr>
        <w:t>执行。发包人不同意变更的，工程师应书面通知承包人</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13.2.3 承包人提出的</w:t>
      </w:r>
      <w:r>
        <w:rPr>
          <w:rFonts w:hint="eastAsia" w:ascii="仿宋_GB2312" w:eastAsia="仿宋_GB2312"/>
          <w:sz w:val="30"/>
          <w:szCs w:val="30"/>
          <w:highlight w:val="none"/>
        </w:rPr>
        <w:t>合理化变更</w:t>
      </w:r>
      <w:r>
        <w:rPr>
          <w:rFonts w:ascii="仿宋_GB2312" w:eastAsia="仿宋_GB2312"/>
          <w:sz w:val="30"/>
          <w:szCs w:val="30"/>
          <w:highlight w:val="none"/>
        </w:rPr>
        <w:t>建议的</w:t>
      </w:r>
      <w:r>
        <w:rPr>
          <w:rFonts w:hint="eastAsia" w:ascii="仿宋_GB2312" w:eastAsia="仿宋_GB2312"/>
          <w:sz w:val="30"/>
          <w:szCs w:val="30"/>
          <w:highlight w:val="none"/>
        </w:rPr>
        <w:t>利益分享约定</w:t>
      </w:r>
      <w:r>
        <w:rPr>
          <w:rFonts w:ascii="仿宋_GB2312" w:eastAsia="仿宋_GB2312"/>
          <w:sz w:val="30"/>
          <w:szCs w:val="30"/>
          <w:highlight w:val="none"/>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13.3 </w:t>
      </w:r>
      <w:r>
        <w:rPr>
          <w:rFonts w:hint="eastAsia" w:ascii="黑体" w:hAnsi="黑体" w:eastAsia="黑体"/>
          <w:sz w:val="30"/>
          <w:szCs w:val="30"/>
          <w:highlight w:val="none"/>
        </w:rPr>
        <w:t>变更程序</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13.3.3 变更估价</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13.3.3.1 变更估价原则</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关于变更估价原则的约定：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按通用合同条件执行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13.4 </w:t>
      </w:r>
      <w:r>
        <w:rPr>
          <w:rFonts w:hint="eastAsia" w:ascii="黑体" w:hAnsi="黑体" w:eastAsia="黑体"/>
          <w:sz w:val="30"/>
          <w:szCs w:val="30"/>
          <w:highlight w:val="none"/>
        </w:rPr>
        <w:t>暂估价</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13.4.1 </w:t>
      </w:r>
      <w:r>
        <w:rPr>
          <w:rFonts w:hint="eastAsia" w:ascii="仿宋_GB2312" w:eastAsia="仿宋_GB2312"/>
          <w:sz w:val="30"/>
          <w:szCs w:val="30"/>
          <w:highlight w:val="none"/>
        </w:rPr>
        <w:t>依法必须招标的暂估价项目</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承包人可以参与投标的暂估价项目范围：</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承包人不得参与投标的暂估价项目范围：</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招投标程序及其他约定：</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13.4.2 </w:t>
      </w:r>
      <w:r>
        <w:rPr>
          <w:rFonts w:hint="eastAsia" w:ascii="仿宋_GB2312" w:eastAsia="仿宋_GB2312"/>
          <w:sz w:val="30"/>
          <w:szCs w:val="30"/>
          <w:highlight w:val="none"/>
        </w:rPr>
        <w:t>不属于依法必须招标的暂估价项目</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不属于依法必须招标的暂估价项目的协商及估价的约定：</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13.5 </w:t>
      </w:r>
      <w:r>
        <w:rPr>
          <w:rFonts w:hint="eastAsia" w:ascii="黑体" w:hAnsi="黑体" w:eastAsia="黑体"/>
          <w:sz w:val="30"/>
          <w:szCs w:val="30"/>
          <w:highlight w:val="none"/>
        </w:rPr>
        <w:t>暂列金额</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其他关于暂列金额使用的约定：</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13.8 </w:t>
      </w:r>
      <w:r>
        <w:rPr>
          <w:rFonts w:hint="eastAsia" w:ascii="黑体" w:hAnsi="黑体" w:eastAsia="黑体"/>
          <w:sz w:val="30"/>
          <w:szCs w:val="30"/>
          <w:highlight w:val="none"/>
        </w:rPr>
        <w:t>市场价格波动引起的调整</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1</w:t>
      </w:r>
      <w:r>
        <w:rPr>
          <w:rFonts w:ascii="仿宋_GB2312" w:eastAsia="仿宋_GB2312"/>
          <w:sz w:val="30"/>
          <w:szCs w:val="30"/>
          <w:highlight w:val="none"/>
        </w:rPr>
        <w:t xml:space="preserve">3.8.2 </w:t>
      </w:r>
      <w:r>
        <w:rPr>
          <w:rFonts w:hint="eastAsia" w:ascii="仿宋_GB2312" w:eastAsia="仿宋_GB2312"/>
          <w:sz w:val="30"/>
          <w:szCs w:val="30"/>
          <w:highlight w:val="none"/>
        </w:rPr>
        <w:t>关于是否采用《价格指数权重表》的约定：</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1</w:t>
      </w:r>
      <w:r>
        <w:rPr>
          <w:rFonts w:ascii="仿宋_GB2312" w:eastAsia="仿宋_GB2312"/>
          <w:sz w:val="30"/>
          <w:szCs w:val="30"/>
          <w:highlight w:val="none"/>
        </w:rPr>
        <w:t xml:space="preserve">3.8.3 </w:t>
      </w:r>
      <w:r>
        <w:rPr>
          <w:rFonts w:hint="eastAsia" w:ascii="仿宋_GB2312" w:eastAsia="仿宋_GB2312"/>
          <w:sz w:val="30"/>
          <w:szCs w:val="30"/>
          <w:highlight w:val="none"/>
        </w:rPr>
        <w:t>关于采用其他方式调整合同价款的约定：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 xml:space="preserve">/  </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pStyle w:val="29"/>
        <w:rPr>
          <w:rFonts w:ascii="黑体" w:hAnsi="黑体" w:eastAsia="黑体"/>
          <w:b w:val="0"/>
          <w:bCs/>
          <w:sz w:val="32"/>
          <w:szCs w:val="21"/>
          <w:highlight w:val="none"/>
        </w:rPr>
      </w:pPr>
      <w:bookmarkStart w:id="48" w:name="_Toc54862345"/>
      <w:r>
        <w:rPr>
          <w:rFonts w:hint="eastAsia" w:ascii="黑体" w:hAnsi="黑体" w:eastAsia="黑体"/>
          <w:b w:val="0"/>
          <w:bCs/>
          <w:sz w:val="32"/>
          <w:szCs w:val="21"/>
          <w:highlight w:val="none"/>
        </w:rPr>
        <w:t>第</w:t>
      </w:r>
      <w:r>
        <w:rPr>
          <w:rFonts w:ascii="黑体" w:hAnsi="黑体" w:eastAsia="黑体"/>
          <w:b w:val="0"/>
          <w:bCs/>
          <w:sz w:val="32"/>
          <w:szCs w:val="21"/>
          <w:highlight w:val="none"/>
        </w:rPr>
        <w:t>14条</w:t>
      </w:r>
      <w:r>
        <w:rPr>
          <w:rFonts w:hint="eastAsia" w:ascii="黑体" w:hAnsi="黑体" w:eastAsia="黑体"/>
          <w:b w:val="0"/>
          <w:bCs/>
          <w:sz w:val="32"/>
          <w:szCs w:val="21"/>
          <w:highlight w:val="none"/>
        </w:rPr>
        <w:t xml:space="preserve"> 合同价格与支付</w:t>
      </w:r>
      <w:bookmarkEnd w:id="48"/>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14.1 </w:t>
      </w:r>
      <w:r>
        <w:rPr>
          <w:rFonts w:hint="eastAsia" w:ascii="黑体" w:hAnsi="黑体" w:eastAsia="黑体"/>
          <w:sz w:val="30"/>
          <w:szCs w:val="30"/>
          <w:highlight w:val="none"/>
        </w:rPr>
        <w:t>合同价格形式</w:t>
      </w:r>
    </w:p>
    <w:p>
      <w:pPr>
        <w:wordWrap/>
        <w:topLinePunct w:val="0"/>
        <w:ind w:firstLine="600"/>
        <w:rPr>
          <w:rFonts w:hint="eastAsia" w:ascii="仿宋_GB2312" w:eastAsia="仿宋_GB2312"/>
          <w:sz w:val="30"/>
          <w:szCs w:val="30"/>
          <w:highlight w:val="none"/>
          <w:u w:val="single"/>
          <w:lang w:val="en-US" w:eastAsia="zh-CN"/>
        </w:rPr>
      </w:pPr>
      <w:r>
        <w:rPr>
          <w:rFonts w:hint="eastAsia" w:ascii="仿宋_GB2312" w:eastAsia="仿宋_GB2312"/>
          <w:sz w:val="30"/>
          <w:szCs w:val="30"/>
          <w:highlight w:val="none"/>
        </w:rPr>
        <w:t>1</w:t>
      </w:r>
      <w:r>
        <w:rPr>
          <w:rFonts w:ascii="仿宋_GB2312" w:eastAsia="仿宋_GB2312"/>
          <w:sz w:val="30"/>
          <w:szCs w:val="30"/>
          <w:highlight w:val="none"/>
        </w:rPr>
        <w:t xml:space="preserve">4.1.1 </w:t>
      </w:r>
      <w:r>
        <w:rPr>
          <w:rFonts w:hint="eastAsia" w:ascii="仿宋_GB2312" w:eastAsia="仿宋_GB2312"/>
          <w:sz w:val="30"/>
          <w:szCs w:val="30"/>
          <w:highlight w:val="none"/>
        </w:rPr>
        <w:t>关于合同价格形式的约定：</w:t>
      </w:r>
      <w:r>
        <w:rPr>
          <w:rFonts w:hint="eastAsia" w:ascii="仿宋_GB2312" w:eastAsia="仿宋_GB2312"/>
          <w:sz w:val="30"/>
          <w:szCs w:val="30"/>
          <w:highlight w:val="none"/>
          <w:u w:val="single"/>
          <w:lang w:val="en-US" w:eastAsia="zh-CN"/>
        </w:rPr>
        <w:t>本项目为最高限价下浮，最高限价为13997.03万元（其中，工程费最高限价13719.03万元，设计费最高现价为139万元）。最终工程竣工决算最高限价为工程费的最高限价×中标人中标优惠率，超出竣工决算最高限价部分和低于竣工决算最高限价部分均不予支付；最终工程竣工决算设计费最高限价为设计费的最高限价×中标人中标优惠率，超出竣工决算最高限价部分和低于竣工决算最高限价部分均不予支付。</w:t>
      </w:r>
    </w:p>
    <w:p>
      <w:pPr>
        <w:wordWrap/>
        <w:topLinePunct w:val="0"/>
        <w:ind w:firstLine="600"/>
        <w:rPr>
          <w:rFonts w:hint="eastAsia" w:ascii="仿宋_GB2312" w:eastAsia="仿宋_GB2312"/>
          <w:sz w:val="30"/>
          <w:szCs w:val="30"/>
          <w:highlight w:val="none"/>
          <w:u w:val="single"/>
          <w:lang w:eastAsia="zh-CN"/>
        </w:rPr>
      </w:pPr>
      <w:r>
        <w:rPr>
          <w:rFonts w:hint="eastAsia" w:ascii="仿宋_GB2312" w:eastAsia="仿宋_GB2312"/>
          <w:sz w:val="30"/>
          <w:szCs w:val="30"/>
          <w:highlight w:val="none"/>
          <w:u w:val="single"/>
          <w:lang w:eastAsia="zh-CN"/>
        </w:rPr>
        <w:t>合同实施过程中的变更、签证仍执行投标所报费率，投标价为签订合同的依据。</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1</w:t>
      </w:r>
      <w:r>
        <w:rPr>
          <w:rFonts w:ascii="仿宋_GB2312" w:eastAsia="仿宋_GB2312"/>
          <w:sz w:val="30"/>
          <w:szCs w:val="30"/>
          <w:highlight w:val="none"/>
        </w:rPr>
        <w:t xml:space="preserve">4.1.2 </w:t>
      </w:r>
      <w:r>
        <w:rPr>
          <w:rFonts w:hint="eastAsia" w:ascii="仿宋_GB2312" w:eastAsia="仿宋_GB2312"/>
          <w:sz w:val="30"/>
          <w:szCs w:val="30"/>
          <w:highlight w:val="none"/>
        </w:rPr>
        <w:t>关于合同价格调整的约定：</w:t>
      </w:r>
      <w:r>
        <w:rPr>
          <w:rFonts w:hint="eastAsia" w:ascii="仿宋_GB2312" w:eastAsia="仿宋_GB2312"/>
          <w:sz w:val="30"/>
          <w:szCs w:val="30"/>
          <w:highlight w:val="none"/>
          <w:u w:val="single"/>
          <w:lang w:eastAsia="zh-CN"/>
        </w:rPr>
        <w:t>以实际发生时间价格为准，最终以工程竣工决算为准</w:t>
      </w:r>
      <w:r>
        <w:rPr>
          <w:rFonts w:hint="eastAsia" w:ascii="仿宋_GB2312" w:eastAsia="仿宋_GB2312"/>
          <w:sz w:val="30"/>
          <w:szCs w:val="30"/>
          <w:highlight w:val="none"/>
        </w:rPr>
        <w:t>。</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rPr>
        <w:t>1</w:t>
      </w:r>
      <w:r>
        <w:rPr>
          <w:rFonts w:ascii="仿宋_GB2312" w:eastAsia="仿宋_GB2312"/>
          <w:sz w:val="30"/>
          <w:szCs w:val="30"/>
          <w:highlight w:val="none"/>
        </w:rPr>
        <w:t xml:space="preserve">4.1.3 </w:t>
      </w:r>
      <w:r>
        <w:rPr>
          <w:rFonts w:hint="eastAsia" w:ascii="仿宋_GB2312" w:eastAsia="仿宋_GB2312"/>
          <w:sz w:val="30"/>
          <w:szCs w:val="30"/>
          <w:highlight w:val="none"/>
        </w:rPr>
        <w:t>按实际完成的工程量支付工程价款的计量方法、估价方法：</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施工单位在收到进行图纸会审、施工组织设计确认后 60 天内向建设单位申报施工图预算，建设单位在收到预算后 30天内审核完成，未在规定时间内完成审核视为同意施工单位申报金额。双方确认的施工图预算作为进度款结算依据。施工图预算参照以下原则编制：①参照《建设工程工程量清单计价规范》（GB50500--2013) 、2016 版河南省《房屋建筑与装饰工程预算定额》、《河南省通用安装工程预算定额》、《河南省市政工程预算定额》等定额及相关配套文件；</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②材料价格参照项目所在地《工程造价信息》计取（以下简称“信息价”），信息价中未提及的材料、设备价格，可采用市场询价；</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③人工、机械价格参照河南省主管部门颁布的人工、机械、管理费价格指数进行计价；</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④总价措施费全额计取；</w:t>
      </w:r>
    </w:p>
    <w:p>
      <w:pPr>
        <w:wordWrap/>
        <w:topLinePunct w:val="0"/>
        <w:ind w:firstLine="600"/>
        <w:rPr>
          <w:rFonts w:hint="eastAsia" w:ascii="仿宋_GB2312" w:eastAsia="仿宋_GB2312"/>
          <w:sz w:val="30"/>
          <w:szCs w:val="30"/>
          <w:highlight w:val="none"/>
          <w:u w:val="single"/>
        </w:rPr>
      </w:pPr>
      <w:r>
        <w:rPr>
          <w:rFonts w:hint="eastAsia" w:ascii="仿宋_GB2312" w:eastAsia="仿宋_GB2312"/>
          <w:sz w:val="30"/>
          <w:szCs w:val="30"/>
          <w:highlight w:val="none"/>
          <w:u w:val="single"/>
        </w:rPr>
        <w:t>⑤税金参照按照现行《中华人民共和国税收征收管理法》及其实施细则、《中华人民共和国增值税暂行条例》及其实施细则等相关规定计取。</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u w:val="single"/>
        </w:rPr>
        <w:t>⑥施工图预算确认前，为保证施工顺利进行，施工方可参照以上原则编制暂定月度结算资料，建设单位按暂定结算支付工程款。待施工图预算审核确认后，双方协商调整结算金额</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14.2 </w:t>
      </w:r>
      <w:r>
        <w:rPr>
          <w:rFonts w:hint="eastAsia" w:ascii="黑体" w:hAnsi="黑体" w:eastAsia="黑体"/>
          <w:sz w:val="30"/>
          <w:szCs w:val="30"/>
          <w:highlight w:val="none"/>
        </w:rPr>
        <w:t>预付款</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14.2.1 </w:t>
      </w:r>
      <w:r>
        <w:rPr>
          <w:rFonts w:hint="eastAsia" w:ascii="仿宋_GB2312" w:eastAsia="仿宋_GB2312"/>
          <w:sz w:val="30"/>
          <w:szCs w:val="30"/>
          <w:highlight w:val="none"/>
        </w:rPr>
        <w:t>预付款支付</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预付款的金额或比例为：</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预付款支付期限：</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预付款扣回的方式：</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1</w:t>
      </w:r>
      <w:r>
        <w:rPr>
          <w:rFonts w:ascii="仿宋_GB2312" w:eastAsia="仿宋_GB2312"/>
          <w:sz w:val="30"/>
          <w:szCs w:val="30"/>
          <w:highlight w:val="none"/>
        </w:rPr>
        <w:t>4.2.2预付款担保</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提供预付款担保期限：</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预付款担保形式：</w:t>
      </w:r>
      <w:r>
        <w:rPr>
          <w:rFonts w:hint="eastAsia" w:ascii="仿宋_GB2312" w:eastAsia="仿宋_GB2312"/>
          <w:sz w:val="30"/>
          <w:szCs w:val="30"/>
          <w:highlight w:val="none"/>
          <w:u w:val="single"/>
        </w:rPr>
        <w:t xml:space="preserve"> </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14.3 </w:t>
      </w:r>
      <w:r>
        <w:rPr>
          <w:rFonts w:hint="eastAsia" w:ascii="黑体" w:hAnsi="黑体" w:eastAsia="黑体"/>
          <w:sz w:val="30"/>
          <w:szCs w:val="30"/>
          <w:highlight w:val="none"/>
        </w:rPr>
        <w:t>工程进度款</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14.3.1 </w:t>
      </w:r>
      <w:r>
        <w:rPr>
          <w:rFonts w:hint="eastAsia" w:ascii="仿宋_GB2312" w:eastAsia="仿宋_GB2312"/>
          <w:sz w:val="30"/>
          <w:szCs w:val="30"/>
          <w:highlight w:val="none"/>
        </w:rPr>
        <w:t>工程进度付款申请</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工程进度付款申请方式：</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按发包人要求</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承包人提交进度付款申请单的格式、内容、份数和时间：</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按发包人要求</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进度付款申请单应包括的内容：</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按发包人要求</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14.3.2 </w:t>
      </w:r>
      <w:r>
        <w:rPr>
          <w:rFonts w:hint="eastAsia" w:ascii="仿宋_GB2312" w:eastAsia="仿宋_GB2312"/>
          <w:sz w:val="30"/>
          <w:szCs w:val="30"/>
          <w:highlight w:val="none"/>
        </w:rPr>
        <w:t>进度付款审核和支付</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进度付款的审核方式和支付的约定：</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发包人应在进度款支付证书或临时进度款支付证书签发后的</w:t>
      </w:r>
      <w:r>
        <w:rPr>
          <w:rFonts w:hint="eastAsia" w:ascii="仿宋_GB2312" w:eastAsia="仿宋_GB2312"/>
          <w:sz w:val="30"/>
          <w:szCs w:val="30"/>
          <w:highlight w:val="none"/>
          <w:u w:val="single"/>
        </w:rPr>
        <w:t xml:space="preserve"> </w:t>
      </w:r>
      <w:r>
        <w:rPr>
          <w:rFonts w:ascii="仿宋_GB2312" w:eastAsia="仿宋_GB2312"/>
          <w:sz w:val="30"/>
          <w:szCs w:val="30"/>
          <w:highlight w:val="none"/>
          <w:u w:val="single"/>
        </w:rPr>
        <w:t xml:space="preserve">    </w:t>
      </w:r>
      <w:r>
        <w:rPr>
          <w:rFonts w:hint="eastAsia" w:ascii="仿宋_GB2312" w:eastAsia="仿宋_GB2312"/>
          <w:sz w:val="30"/>
          <w:szCs w:val="30"/>
          <w:highlight w:val="none"/>
        </w:rPr>
        <w:t>天内完成支付，发包人逾期支付进度款的，应按照</w:t>
      </w:r>
      <w:r>
        <w:rPr>
          <w:rFonts w:hint="eastAsia" w:ascii="仿宋_GB2312" w:eastAsia="仿宋_GB2312"/>
          <w:sz w:val="30"/>
          <w:szCs w:val="30"/>
          <w:highlight w:val="none"/>
          <w:u w:val="single"/>
        </w:rPr>
        <w:t xml:space="preserve"> </w:t>
      </w:r>
      <w:r>
        <w:rPr>
          <w:rFonts w:ascii="仿宋_GB2312" w:eastAsia="仿宋_GB2312"/>
          <w:sz w:val="30"/>
          <w:szCs w:val="30"/>
          <w:highlight w:val="none"/>
          <w:u w:val="single"/>
        </w:rPr>
        <w:t xml:space="preserve">   </w:t>
      </w:r>
      <w:r>
        <w:rPr>
          <w:rFonts w:hint="eastAsia" w:ascii="仿宋_GB2312" w:eastAsia="仿宋_GB2312"/>
          <w:sz w:val="30"/>
          <w:szCs w:val="30"/>
          <w:highlight w:val="none"/>
        </w:rPr>
        <w:t>支付违约金。</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14.4 </w:t>
      </w:r>
      <w:r>
        <w:rPr>
          <w:rFonts w:hint="eastAsia" w:ascii="黑体" w:hAnsi="黑体" w:eastAsia="黑体"/>
          <w:sz w:val="30"/>
          <w:szCs w:val="30"/>
          <w:highlight w:val="none"/>
        </w:rPr>
        <w:t>付款计划表</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14.4.1 付款计划表的编制要求</w:t>
      </w:r>
      <w:r>
        <w:rPr>
          <w:rFonts w:hint="eastAsia" w:ascii="仿宋_GB2312" w:eastAsia="仿宋_GB2312"/>
          <w:sz w:val="30"/>
          <w:szCs w:val="30"/>
          <w:highlight w:val="none"/>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按通用合同条件执行</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14.4.2 </w:t>
      </w:r>
      <w:r>
        <w:rPr>
          <w:rFonts w:hint="eastAsia" w:ascii="仿宋_GB2312" w:eastAsia="仿宋_GB2312"/>
          <w:sz w:val="30"/>
          <w:szCs w:val="30"/>
          <w:highlight w:val="none"/>
        </w:rPr>
        <w:t>付款计划表的编制与审批</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付款计划表的编制：</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按通用合同条件执行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14.5 </w:t>
      </w:r>
      <w:r>
        <w:rPr>
          <w:rFonts w:hint="eastAsia" w:ascii="黑体" w:hAnsi="黑体" w:eastAsia="黑体"/>
          <w:sz w:val="30"/>
          <w:szCs w:val="30"/>
          <w:highlight w:val="none"/>
        </w:rPr>
        <w:t>竣工结算</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14.5.1 </w:t>
      </w:r>
      <w:r>
        <w:rPr>
          <w:rFonts w:hint="eastAsia" w:ascii="仿宋_GB2312" w:eastAsia="仿宋_GB2312"/>
          <w:sz w:val="30"/>
          <w:szCs w:val="30"/>
          <w:highlight w:val="none"/>
        </w:rPr>
        <w:t>竣工结算申请</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承包人提交竣工结算申请的时间：</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工程竣工验收合格后 42 天内</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竣工结算申请的资料清单和份数：</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6 份</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竣工结算申请单的内容应包括：</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按通用合同条件执行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14.5.2 </w:t>
      </w:r>
      <w:r>
        <w:rPr>
          <w:rFonts w:hint="eastAsia" w:ascii="仿宋_GB2312" w:eastAsia="仿宋_GB2312"/>
          <w:sz w:val="30"/>
          <w:szCs w:val="30"/>
          <w:highlight w:val="none"/>
        </w:rPr>
        <w:t>竣工结算审核</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发包人审批竣工付款申请单的期限：</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以发包人要求为准</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发包人完成竣工付款的期限：</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以发包人要求为准</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关于竣工付款证书异议部分复核的方式和程序：</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14.6 </w:t>
      </w:r>
      <w:r>
        <w:rPr>
          <w:rFonts w:hint="eastAsia" w:ascii="黑体" w:hAnsi="黑体" w:eastAsia="黑体"/>
          <w:sz w:val="30"/>
          <w:szCs w:val="30"/>
          <w:highlight w:val="none"/>
        </w:rPr>
        <w:t>质量保证金</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14.6.1 </w:t>
      </w:r>
      <w:r>
        <w:rPr>
          <w:rFonts w:hint="eastAsia" w:ascii="仿宋_GB2312" w:eastAsia="仿宋_GB2312"/>
          <w:sz w:val="30"/>
          <w:szCs w:val="30"/>
          <w:highlight w:val="none"/>
        </w:rPr>
        <w:t>承包人提供质量保证金的方式</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质量</w:t>
      </w:r>
      <w:r>
        <w:rPr>
          <w:rFonts w:hint="eastAsia" w:ascii="仿宋_GB2312" w:eastAsia="仿宋_GB2312"/>
          <w:sz w:val="30"/>
          <w:szCs w:val="30"/>
          <w:highlight w:val="none"/>
        </w:rPr>
        <w:t>保证金</w:t>
      </w:r>
      <w:r>
        <w:rPr>
          <w:rFonts w:ascii="仿宋_GB2312" w:eastAsia="仿宋_GB2312"/>
          <w:sz w:val="30"/>
          <w:szCs w:val="30"/>
          <w:highlight w:val="none"/>
        </w:rPr>
        <w:t>采用以下</w:t>
      </w:r>
      <w:r>
        <w:rPr>
          <w:rFonts w:hint="eastAsia" w:ascii="仿宋_GB2312" w:eastAsia="仿宋_GB2312"/>
          <w:sz w:val="30"/>
          <w:szCs w:val="30"/>
          <w:highlight w:val="none"/>
        </w:rPr>
        <w:t>第</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2</w:t>
      </w:r>
      <w:r>
        <w:rPr>
          <w:rFonts w:ascii="仿宋_GB2312" w:eastAsia="仿宋_GB2312"/>
          <w:sz w:val="30"/>
          <w:szCs w:val="30"/>
          <w:highlight w:val="none"/>
          <w:u w:val="single"/>
        </w:rPr>
        <w:t xml:space="preserve">    </w:t>
      </w:r>
      <w:r>
        <w:rPr>
          <w:rFonts w:hint="eastAsia" w:ascii="仿宋_GB2312" w:eastAsia="仿宋_GB2312"/>
          <w:sz w:val="30"/>
          <w:szCs w:val="30"/>
          <w:highlight w:val="none"/>
        </w:rPr>
        <w:t>种</w:t>
      </w:r>
      <w:r>
        <w:rPr>
          <w:rFonts w:ascii="仿宋_GB2312" w:eastAsia="仿宋_GB2312"/>
          <w:sz w:val="30"/>
          <w:szCs w:val="30"/>
          <w:highlight w:val="none"/>
        </w:rPr>
        <w:t>方式：</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 </w:t>
      </w:r>
      <w:r>
        <w:rPr>
          <w:rFonts w:hint="eastAsia" w:ascii="仿宋_GB2312" w:eastAsia="仿宋_GB2312"/>
          <w:sz w:val="30"/>
          <w:szCs w:val="30"/>
          <w:highlight w:val="none"/>
        </w:rPr>
        <w:t>工程质量保证担保</w:t>
      </w:r>
      <w:r>
        <w:rPr>
          <w:rFonts w:ascii="仿宋_GB2312" w:eastAsia="仿宋_GB2312"/>
          <w:sz w:val="30"/>
          <w:szCs w:val="30"/>
          <w:highlight w:val="none"/>
        </w:rPr>
        <w:t>，保证金额为：</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(2) </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3</w:t>
      </w:r>
      <w:r>
        <w:rPr>
          <w:rFonts w:ascii="仿宋_GB2312" w:eastAsia="仿宋_GB2312"/>
          <w:sz w:val="30"/>
          <w:szCs w:val="30"/>
          <w:highlight w:val="none"/>
          <w:u w:val="single"/>
        </w:rPr>
        <w:t xml:space="preserve">    </w:t>
      </w:r>
      <w:r>
        <w:rPr>
          <w:rFonts w:ascii="仿宋_GB2312" w:eastAsia="仿宋_GB2312"/>
          <w:sz w:val="30"/>
          <w:szCs w:val="30"/>
          <w:highlight w:val="none"/>
        </w:rPr>
        <w:t>%的工程款；</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(3) </w:t>
      </w:r>
      <w:r>
        <w:rPr>
          <w:rFonts w:hint="eastAsia" w:ascii="仿宋_GB2312" w:eastAsia="仿宋_GB2312"/>
          <w:sz w:val="30"/>
          <w:szCs w:val="30"/>
          <w:highlight w:val="none"/>
        </w:rPr>
        <w:t>其他方式：</w:t>
      </w:r>
      <w:r>
        <w:rPr>
          <w:rFonts w:hint="eastAsia" w:ascii="仿宋_GB2312" w:eastAsia="仿宋_GB2312"/>
          <w:sz w:val="30"/>
          <w:szCs w:val="30"/>
          <w:highlight w:val="none"/>
          <w:u w:val="single"/>
          <w:lang w:val="en-US" w:eastAsia="zh-CN"/>
        </w:rPr>
        <w:t xml:space="preserve"> /</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14.6.2 </w:t>
      </w:r>
      <w:r>
        <w:rPr>
          <w:rFonts w:hint="eastAsia" w:ascii="仿宋_GB2312" w:eastAsia="仿宋_GB2312"/>
          <w:sz w:val="30"/>
          <w:szCs w:val="30"/>
          <w:highlight w:val="none"/>
        </w:rPr>
        <w:t>质量保证金的预留</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质量</w:t>
      </w:r>
      <w:r>
        <w:rPr>
          <w:rFonts w:hint="eastAsia" w:ascii="仿宋_GB2312" w:eastAsia="仿宋_GB2312"/>
          <w:sz w:val="30"/>
          <w:szCs w:val="30"/>
          <w:highlight w:val="none"/>
        </w:rPr>
        <w:t>保证金</w:t>
      </w:r>
      <w:r>
        <w:rPr>
          <w:rFonts w:ascii="仿宋_GB2312" w:eastAsia="仿宋_GB2312"/>
          <w:sz w:val="30"/>
          <w:szCs w:val="30"/>
          <w:highlight w:val="none"/>
        </w:rPr>
        <w:t>的预留采取以下第</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2</w:t>
      </w:r>
      <w:r>
        <w:rPr>
          <w:rFonts w:ascii="仿宋_GB2312" w:eastAsia="仿宋_GB2312"/>
          <w:sz w:val="30"/>
          <w:szCs w:val="30"/>
          <w:highlight w:val="none"/>
          <w:u w:val="single"/>
        </w:rPr>
        <w:t xml:space="preserve">   </w:t>
      </w:r>
      <w:r>
        <w:rPr>
          <w:rFonts w:hint="eastAsia" w:ascii="仿宋_GB2312" w:eastAsia="仿宋_GB2312"/>
          <w:sz w:val="30"/>
          <w:szCs w:val="30"/>
          <w:highlight w:val="none"/>
        </w:rPr>
        <w:t>种</w:t>
      </w:r>
      <w:r>
        <w:rPr>
          <w:rFonts w:ascii="仿宋_GB2312" w:eastAsia="仿宋_GB2312"/>
          <w:sz w:val="30"/>
          <w:szCs w:val="30"/>
          <w:highlight w:val="none"/>
        </w:rPr>
        <w:t>方式：</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(1) 在支付工程进度款时逐次预留</w:t>
      </w:r>
      <w:r>
        <w:rPr>
          <w:rFonts w:hint="eastAsia" w:ascii="仿宋_GB2312" w:eastAsia="仿宋_GB2312"/>
          <w:sz w:val="30"/>
          <w:szCs w:val="30"/>
          <w:highlight w:val="none"/>
        </w:rPr>
        <w:t>的质量保证金的比例：</w:t>
      </w:r>
      <w:r>
        <w:rPr>
          <w:rFonts w:ascii="仿宋_GB2312" w:eastAsia="仿宋_GB2312"/>
          <w:sz w:val="30"/>
          <w:szCs w:val="30"/>
          <w:highlight w:val="none"/>
          <w:u w:val="single"/>
        </w:rPr>
        <w:t xml:space="preserve">            </w:t>
      </w:r>
      <w:r>
        <w:rPr>
          <w:rFonts w:ascii="仿宋_GB2312" w:eastAsia="仿宋_GB2312"/>
          <w:sz w:val="30"/>
          <w:szCs w:val="30"/>
          <w:highlight w:val="none"/>
        </w:rPr>
        <w:t>，在此情形下，质量</w:t>
      </w:r>
      <w:r>
        <w:rPr>
          <w:rFonts w:hint="eastAsia" w:ascii="仿宋_GB2312" w:eastAsia="仿宋_GB2312"/>
          <w:sz w:val="30"/>
          <w:szCs w:val="30"/>
          <w:highlight w:val="none"/>
        </w:rPr>
        <w:t>保证金</w:t>
      </w:r>
      <w:r>
        <w:rPr>
          <w:rFonts w:ascii="仿宋_GB2312" w:eastAsia="仿宋_GB2312"/>
          <w:sz w:val="30"/>
          <w:szCs w:val="30"/>
          <w:highlight w:val="none"/>
        </w:rPr>
        <w:t>的计算基数不包括预付款的支付、扣回以及价格调整的金额；</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(2) 工程竣工结算时一次性预留</w:t>
      </w:r>
      <w:r>
        <w:rPr>
          <w:rFonts w:hint="eastAsia" w:ascii="仿宋_GB2312" w:eastAsia="仿宋_GB2312"/>
          <w:sz w:val="30"/>
          <w:szCs w:val="30"/>
          <w:highlight w:val="none"/>
        </w:rPr>
        <w:t>专用合同条件第</w:t>
      </w:r>
      <w:r>
        <w:rPr>
          <w:rFonts w:ascii="仿宋_GB2312" w:eastAsia="仿宋_GB2312"/>
          <w:sz w:val="30"/>
          <w:szCs w:val="30"/>
          <w:highlight w:val="none"/>
        </w:rPr>
        <w:t>14.6.1</w:t>
      </w:r>
      <w:r>
        <w:rPr>
          <w:rFonts w:hint="eastAsia" w:ascii="仿宋_GB2312" w:eastAsia="仿宋_GB2312"/>
          <w:sz w:val="30"/>
          <w:szCs w:val="30"/>
          <w:highlight w:val="none"/>
        </w:rPr>
        <w:t>项第</w:t>
      </w:r>
      <w:r>
        <w:rPr>
          <w:rFonts w:ascii="仿宋_GB2312" w:eastAsia="仿宋_GB2312"/>
          <w:sz w:val="30"/>
          <w:szCs w:val="30"/>
          <w:highlight w:val="none"/>
        </w:rPr>
        <w:t>(2)</w:t>
      </w:r>
      <w:r>
        <w:rPr>
          <w:rFonts w:hint="eastAsia" w:ascii="仿宋_GB2312" w:eastAsia="仿宋_GB2312"/>
          <w:sz w:val="30"/>
          <w:szCs w:val="30"/>
          <w:highlight w:val="none"/>
        </w:rPr>
        <w:t>目约定的工程款预留比例的</w:t>
      </w:r>
      <w:r>
        <w:rPr>
          <w:rFonts w:ascii="仿宋_GB2312" w:eastAsia="仿宋_GB2312"/>
          <w:sz w:val="30"/>
          <w:szCs w:val="30"/>
          <w:highlight w:val="none"/>
        </w:rPr>
        <w:t>质量</w:t>
      </w:r>
      <w:r>
        <w:rPr>
          <w:rFonts w:hint="eastAsia" w:ascii="仿宋_GB2312" w:eastAsia="仿宋_GB2312"/>
          <w:sz w:val="30"/>
          <w:szCs w:val="30"/>
          <w:highlight w:val="none"/>
        </w:rPr>
        <w:t>保证金</w:t>
      </w:r>
      <w:r>
        <w:rPr>
          <w:rFonts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(3) 其他预留方式:</w:t>
      </w:r>
      <w:r>
        <w:rPr>
          <w:rFonts w:hint="eastAsia" w:ascii="仿宋_GB2312" w:eastAsia="仿宋_GB2312"/>
          <w:sz w:val="30"/>
          <w:szCs w:val="30"/>
          <w:highlight w:val="none"/>
        </w:rPr>
        <w:t xml:space="preserve"> </w:t>
      </w:r>
      <w:r>
        <w:rPr>
          <w:rFonts w:hint="eastAsia" w:ascii="仿宋_GB2312" w:eastAsia="仿宋_GB2312"/>
          <w:sz w:val="30"/>
          <w:szCs w:val="30"/>
          <w:highlight w:val="none"/>
          <w:u w:val="single"/>
          <w:lang w:val="en-US" w:eastAsia="zh-CN"/>
        </w:rPr>
        <w:t>/</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关于质量保证金的补充约定：</w:t>
      </w:r>
      <w:r>
        <w:rPr>
          <w:rFonts w:hint="eastAsia" w:ascii="仿宋_GB2312" w:eastAsia="仿宋_GB2312"/>
          <w:sz w:val="30"/>
          <w:szCs w:val="30"/>
          <w:highlight w:val="none"/>
          <w:u w:val="single"/>
        </w:rPr>
        <w:t>质量保证期限为自本工程竣工验收合格之日起满</w:t>
      </w:r>
      <w:r>
        <w:rPr>
          <w:rFonts w:hint="eastAsia" w:ascii="仿宋_GB2312" w:eastAsia="仿宋_GB2312"/>
          <w:sz w:val="30"/>
          <w:szCs w:val="30"/>
          <w:highlight w:val="none"/>
          <w:u w:val="single"/>
          <w:lang w:val="en-US" w:eastAsia="zh-CN"/>
        </w:rPr>
        <w:t>一</w:t>
      </w:r>
      <w:r>
        <w:rPr>
          <w:rFonts w:hint="eastAsia" w:ascii="仿宋_GB2312" w:eastAsia="仿宋_GB2312"/>
          <w:sz w:val="30"/>
          <w:szCs w:val="30"/>
          <w:highlight w:val="none"/>
          <w:u w:val="single"/>
        </w:rPr>
        <w:t>年</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14.7 </w:t>
      </w:r>
      <w:r>
        <w:rPr>
          <w:rFonts w:hint="eastAsia" w:ascii="黑体" w:hAnsi="黑体" w:eastAsia="黑体"/>
          <w:sz w:val="30"/>
          <w:szCs w:val="30"/>
          <w:highlight w:val="none"/>
        </w:rPr>
        <w:t>最终结清</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14.7.1 </w:t>
      </w:r>
      <w:r>
        <w:rPr>
          <w:rFonts w:hint="eastAsia" w:ascii="仿宋_GB2312" w:eastAsia="仿宋_GB2312"/>
          <w:sz w:val="30"/>
          <w:szCs w:val="30"/>
          <w:highlight w:val="none"/>
        </w:rPr>
        <w:t>最终结清申请单</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当事人双方关于最终结清申请的其他约定：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14.7.2 </w:t>
      </w:r>
      <w:r>
        <w:rPr>
          <w:rFonts w:hint="eastAsia" w:ascii="仿宋_GB2312" w:eastAsia="仿宋_GB2312"/>
          <w:sz w:val="30"/>
          <w:szCs w:val="30"/>
          <w:highlight w:val="none"/>
        </w:rPr>
        <w:t>最终结清证书和支付</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当事人双方关于最终结清支付的其他约定：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pStyle w:val="29"/>
        <w:rPr>
          <w:rFonts w:ascii="黑体" w:hAnsi="黑体" w:eastAsia="黑体"/>
          <w:b w:val="0"/>
          <w:bCs/>
          <w:sz w:val="32"/>
          <w:szCs w:val="21"/>
          <w:highlight w:val="none"/>
        </w:rPr>
      </w:pPr>
      <w:bookmarkStart w:id="49" w:name="_Toc54862346"/>
      <w:r>
        <w:rPr>
          <w:rFonts w:hint="eastAsia" w:ascii="黑体" w:hAnsi="黑体" w:eastAsia="黑体"/>
          <w:b w:val="0"/>
          <w:bCs/>
          <w:sz w:val="32"/>
          <w:szCs w:val="21"/>
          <w:highlight w:val="none"/>
        </w:rPr>
        <w:t>第</w:t>
      </w:r>
      <w:r>
        <w:rPr>
          <w:rFonts w:ascii="黑体" w:hAnsi="黑体" w:eastAsia="黑体"/>
          <w:b w:val="0"/>
          <w:bCs/>
          <w:sz w:val="32"/>
          <w:szCs w:val="21"/>
          <w:highlight w:val="none"/>
        </w:rPr>
        <w:t>15条</w:t>
      </w:r>
      <w:r>
        <w:rPr>
          <w:rFonts w:hint="eastAsia" w:ascii="黑体" w:hAnsi="黑体" w:eastAsia="黑体"/>
          <w:b w:val="0"/>
          <w:bCs/>
          <w:sz w:val="32"/>
          <w:szCs w:val="21"/>
          <w:highlight w:val="none"/>
        </w:rPr>
        <w:t xml:space="preserve"> 违约</w:t>
      </w:r>
      <w:bookmarkEnd w:id="49"/>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15.1 </w:t>
      </w:r>
      <w:r>
        <w:rPr>
          <w:rFonts w:hint="eastAsia" w:ascii="黑体" w:hAnsi="黑体" w:eastAsia="黑体"/>
          <w:sz w:val="30"/>
          <w:szCs w:val="30"/>
          <w:highlight w:val="none"/>
        </w:rPr>
        <w:t>发包人违约</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15.1.1 </w:t>
      </w:r>
      <w:r>
        <w:rPr>
          <w:rFonts w:hint="eastAsia" w:ascii="仿宋_GB2312" w:eastAsia="仿宋_GB2312"/>
          <w:sz w:val="30"/>
          <w:szCs w:val="30"/>
          <w:highlight w:val="none"/>
        </w:rPr>
        <w:t>发包人违约的情形</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发包人违约的其他情形</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执行通用条款</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15.1.3 </w:t>
      </w:r>
      <w:r>
        <w:rPr>
          <w:rFonts w:hint="eastAsia" w:ascii="仿宋_GB2312" w:eastAsia="仿宋_GB2312"/>
          <w:sz w:val="30"/>
          <w:szCs w:val="30"/>
          <w:highlight w:val="none"/>
        </w:rPr>
        <w:t>发包人违约的责任</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发包人违约</w:t>
      </w:r>
      <w:r>
        <w:rPr>
          <w:rFonts w:ascii="仿宋_GB2312" w:eastAsia="仿宋_GB2312"/>
          <w:sz w:val="30"/>
          <w:szCs w:val="30"/>
          <w:highlight w:val="none"/>
        </w:rPr>
        <w:t>责任</w:t>
      </w:r>
      <w:r>
        <w:rPr>
          <w:rFonts w:hint="eastAsia" w:ascii="仿宋_GB2312" w:eastAsia="仿宋_GB2312"/>
          <w:sz w:val="30"/>
          <w:szCs w:val="30"/>
          <w:highlight w:val="none"/>
        </w:rPr>
        <w:t>的</w:t>
      </w:r>
      <w:r>
        <w:rPr>
          <w:rFonts w:ascii="仿宋_GB2312" w:eastAsia="仿宋_GB2312"/>
          <w:sz w:val="30"/>
          <w:szCs w:val="30"/>
          <w:highlight w:val="none"/>
        </w:rPr>
        <w:t>承担方式</w:t>
      </w:r>
      <w:r>
        <w:rPr>
          <w:rFonts w:hint="eastAsia" w:ascii="仿宋_GB2312" w:eastAsia="仿宋_GB2312"/>
          <w:sz w:val="30"/>
          <w:szCs w:val="30"/>
          <w:highlight w:val="none"/>
        </w:rPr>
        <w:t>和</w:t>
      </w:r>
      <w:r>
        <w:rPr>
          <w:rFonts w:ascii="仿宋_GB2312" w:eastAsia="仿宋_GB2312"/>
          <w:sz w:val="30"/>
          <w:szCs w:val="30"/>
          <w:highlight w:val="none"/>
        </w:rPr>
        <w:t>计算方法</w:t>
      </w:r>
      <w:r>
        <w:rPr>
          <w:rFonts w:hint="eastAsia" w:ascii="仿宋_GB2312" w:eastAsia="仿宋_GB2312"/>
          <w:sz w:val="30"/>
          <w:szCs w:val="30"/>
          <w:highlight w:val="none"/>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执行通用条款</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15.2 </w:t>
      </w:r>
      <w:r>
        <w:rPr>
          <w:rFonts w:hint="eastAsia" w:ascii="黑体" w:hAnsi="黑体" w:eastAsia="黑体"/>
          <w:sz w:val="30"/>
          <w:szCs w:val="30"/>
          <w:highlight w:val="none"/>
        </w:rPr>
        <w:t>承包人违约</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15.2.1 </w:t>
      </w:r>
      <w:r>
        <w:rPr>
          <w:rFonts w:hint="eastAsia" w:ascii="仿宋_GB2312" w:eastAsia="仿宋_GB2312"/>
          <w:sz w:val="30"/>
          <w:szCs w:val="30"/>
          <w:highlight w:val="none"/>
        </w:rPr>
        <w:t>承包人违约的情形</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承包人违约的其他情形：</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若承包人转包或私自分包工程，承包人应向发包人支付所转包（分包）工程合同价款 30%的违约金，该转包（分包）工程不予计量，且发包人有权单方面解除合同，由此造成的责任全部由承包人承担。此外，承包人应返还发包人已支付的款项</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15.2.2 </w:t>
      </w:r>
      <w:r>
        <w:rPr>
          <w:rFonts w:hint="eastAsia" w:ascii="仿宋_GB2312" w:eastAsia="仿宋_GB2312"/>
          <w:sz w:val="30"/>
          <w:szCs w:val="30"/>
          <w:highlight w:val="none"/>
        </w:rPr>
        <w:t>通知改正</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工程师通知承包人改正的合理期限是：</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根据发包人要求</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15.2.3 </w:t>
      </w:r>
      <w:r>
        <w:rPr>
          <w:rFonts w:hint="eastAsia" w:ascii="仿宋_GB2312" w:eastAsia="仿宋_GB2312"/>
          <w:sz w:val="30"/>
          <w:szCs w:val="30"/>
          <w:highlight w:val="none"/>
        </w:rPr>
        <w:t>承包人违约的责任</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承包人违约</w:t>
      </w:r>
      <w:r>
        <w:rPr>
          <w:rFonts w:ascii="仿宋_GB2312" w:eastAsia="仿宋_GB2312"/>
          <w:sz w:val="30"/>
          <w:szCs w:val="30"/>
          <w:highlight w:val="none"/>
        </w:rPr>
        <w:t>责任</w:t>
      </w:r>
      <w:r>
        <w:rPr>
          <w:rFonts w:hint="eastAsia" w:ascii="仿宋_GB2312" w:eastAsia="仿宋_GB2312"/>
          <w:sz w:val="30"/>
          <w:szCs w:val="30"/>
          <w:highlight w:val="none"/>
        </w:rPr>
        <w:t>的</w:t>
      </w:r>
      <w:r>
        <w:rPr>
          <w:rFonts w:ascii="仿宋_GB2312" w:eastAsia="仿宋_GB2312"/>
          <w:sz w:val="30"/>
          <w:szCs w:val="30"/>
          <w:highlight w:val="none"/>
        </w:rPr>
        <w:t>承担方式</w:t>
      </w:r>
      <w:r>
        <w:rPr>
          <w:rFonts w:hint="eastAsia" w:ascii="仿宋_GB2312" w:eastAsia="仿宋_GB2312"/>
          <w:sz w:val="30"/>
          <w:szCs w:val="30"/>
          <w:highlight w:val="none"/>
        </w:rPr>
        <w:t>和</w:t>
      </w:r>
      <w:r>
        <w:rPr>
          <w:rFonts w:ascii="仿宋_GB2312" w:eastAsia="仿宋_GB2312"/>
          <w:sz w:val="30"/>
          <w:szCs w:val="30"/>
          <w:highlight w:val="none"/>
        </w:rPr>
        <w:t>计算方法</w:t>
      </w:r>
      <w:r>
        <w:rPr>
          <w:rFonts w:hint="eastAsia" w:ascii="仿宋_GB2312" w:eastAsia="仿宋_GB2312"/>
          <w:sz w:val="30"/>
          <w:szCs w:val="30"/>
          <w:highlight w:val="none"/>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若承包人违约，应以合同价款的 20% 作为违约金。此外，发包人有权解除合同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pStyle w:val="29"/>
        <w:rPr>
          <w:rFonts w:ascii="黑体" w:hAnsi="黑体" w:eastAsia="黑体"/>
          <w:b w:val="0"/>
          <w:bCs/>
          <w:sz w:val="32"/>
          <w:szCs w:val="21"/>
          <w:highlight w:val="none"/>
        </w:rPr>
      </w:pPr>
      <w:bookmarkStart w:id="50" w:name="_Toc54862347"/>
      <w:r>
        <w:rPr>
          <w:rFonts w:hint="eastAsia" w:ascii="黑体" w:hAnsi="黑体" w:eastAsia="黑体"/>
          <w:b w:val="0"/>
          <w:bCs/>
          <w:sz w:val="32"/>
          <w:szCs w:val="21"/>
          <w:highlight w:val="none"/>
        </w:rPr>
        <w:t>第</w:t>
      </w:r>
      <w:r>
        <w:rPr>
          <w:rFonts w:ascii="黑体" w:hAnsi="黑体" w:eastAsia="黑体"/>
          <w:b w:val="0"/>
          <w:bCs/>
          <w:sz w:val="32"/>
          <w:szCs w:val="21"/>
          <w:highlight w:val="none"/>
        </w:rPr>
        <w:t>16条</w:t>
      </w:r>
      <w:r>
        <w:rPr>
          <w:rFonts w:hint="eastAsia" w:ascii="黑体" w:hAnsi="黑体" w:eastAsia="黑体"/>
          <w:b w:val="0"/>
          <w:bCs/>
          <w:sz w:val="32"/>
          <w:szCs w:val="21"/>
          <w:highlight w:val="none"/>
        </w:rPr>
        <w:t xml:space="preserve"> 合同解除</w:t>
      </w:r>
      <w:bookmarkEnd w:id="50"/>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16.1 </w:t>
      </w:r>
      <w:r>
        <w:rPr>
          <w:rFonts w:hint="eastAsia" w:ascii="黑体" w:hAnsi="黑体" w:eastAsia="黑体"/>
          <w:sz w:val="30"/>
          <w:szCs w:val="30"/>
          <w:highlight w:val="none"/>
        </w:rPr>
        <w:t>由发包人解除合同</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16.1.1 </w:t>
      </w:r>
      <w:r>
        <w:rPr>
          <w:rFonts w:hint="eastAsia" w:ascii="仿宋_GB2312" w:eastAsia="仿宋_GB2312"/>
          <w:sz w:val="30"/>
          <w:szCs w:val="30"/>
          <w:highlight w:val="none"/>
        </w:rPr>
        <w:t>因承包人违约解除合同</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双方约定可由发包人解除合同的其他事由：</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16.2 </w:t>
      </w:r>
      <w:r>
        <w:rPr>
          <w:rFonts w:hint="eastAsia" w:ascii="黑体" w:hAnsi="黑体" w:eastAsia="黑体"/>
          <w:sz w:val="30"/>
          <w:szCs w:val="30"/>
          <w:highlight w:val="none"/>
        </w:rPr>
        <w:t>由承包人解除合同</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 xml:space="preserve">16.2.1 </w:t>
      </w:r>
      <w:r>
        <w:rPr>
          <w:rFonts w:hint="eastAsia" w:ascii="仿宋_GB2312" w:eastAsia="仿宋_GB2312"/>
          <w:sz w:val="30"/>
          <w:szCs w:val="30"/>
          <w:highlight w:val="none"/>
        </w:rPr>
        <w:t>因发包人违约解除合同</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双方约定可由承包人解除合同的其他事由：</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pStyle w:val="29"/>
        <w:rPr>
          <w:rFonts w:ascii="黑体" w:hAnsi="黑体" w:eastAsia="黑体"/>
          <w:b w:val="0"/>
          <w:bCs/>
          <w:sz w:val="32"/>
          <w:szCs w:val="21"/>
          <w:highlight w:val="none"/>
        </w:rPr>
      </w:pPr>
      <w:bookmarkStart w:id="51" w:name="_Toc54862348"/>
      <w:r>
        <w:rPr>
          <w:rFonts w:hint="eastAsia" w:ascii="黑体" w:hAnsi="黑体" w:eastAsia="黑体"/>
          <w:b w:val="0"/>
          <w:bCs/>
          <w:sz w:val="32"/>
          <w:szCs w:val="21"/>
          <w:highlight w:val="none"/>
        </w:rPr>
        <w:t>第</w:t>
      </w:r>
      <w:r>
        <w:rPr>
          <w:rFonts w:ascii="黑体" w:hAnsi="黑体" w:eastAsia="黑体"/>
          <w:b w:val="0"/>
          <w:bCs/>
          <w:sz w:val="32"/>
          <w:szCs w:val="21"/>
          <w:highlight w:val="none"/>
        </w:rPr>
        <w:t>17条</w:t>
      </w:r>
      <w:r>
        <w:rPr>
          <w:rFonts w:hint="eastAsia" w:ascii="黑体" w:hAnsi="黑体" w:eastAsia="黑体"/>
          <w:b w:val="0"/>
          <w:bCs/>
          <w:sz w:val="32"/>
          <w:szCs w:val="21"/>
          <w:highlight w:val="none"/>
        </w:rPr>
        <w:t xml:space="preserve"> 不可抗力</w:t>
      </w:r>
      <w:bookmarkEnd w:id="51"/>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17.1 </w:t>
      </w:r>
      <w:r>
        <w:rPr>
          <w:rFonts w:hint="eastAsia" w:ascii="黑体" w:hAnsi="黑体" w:eastAsia="黑体"/>
          <w:sz w:val="30"/>
          <w:szCs w:val="30"/>
          <w:highlight w:val="none"/>
        </w:rPr>
        <w:t>不可抗力的定义</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除通用合同条件约定的不可抗力事件之外，视为不可抗力的其他情形：</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17.6 </w:t>
      </w:r>
      <w:r>
        <w:rPr>
          <w:rFonts w:hint="eastAsia" w:ascii="黑体" w:hAnsi="黑体" w:eastAsia="黑体"/>
          <w:sz w:val="30"/>
          <w:szCs w:val="30"/>
          <w:highlight w:val="none"/>
        </w:rPr>
        <w:t>因不可抗力解除合同</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合同解除后，发包人应</w:t>
      </w:r>
      <w:r>
        <w:rPr>
          <w:rFonts w:hint="eastAsia" w:ascii="仿宋_GB2312" w:eastAsia="仿宋_GB2312"/>
          <w:sz w:val="30"/>
          <w:szCs w:val="30"/>
          <w:highlight w:val="none"/>
        </w:rPr>
        <w:t>当</w:t>
      </w:r>
      <w:r>
        <w:rPr>
          <w:rFonts w:ascii="仿宋_GB2312" w:eastAsia="仿宋_GB2312"/>
          <w:sz w:val="30"/>
          <w:szCs w:val="30"/>
          <w:highlight w:val="none"/>
        </w:rPr>
        <w:t>在商定或确定发包人应支付款项后</w:t>
      </w:r>
      <w:r>
        <w:rPr>
          <w:rFonts w:hint="eastAsia" w:ascii="仿宋_GB2312" w:eastAsia="仿宋_GB2312"/>
          <w:sz w:val="30"/>
          <w:szCs w:val="30"/>
          <w:highlight w:val="none"/>
        </w:rPr>
        <w:t>的</w:t>
      </w:r>
      <w:r>
        <w:rPr>
          <w:rFonts w:hint="eastAsia" w:ascii="仿宋_GB2312" w:eastAsia="仿宋_GB2312"/>
          <w:sz w:val="30"/>
          <w:szCs w:val="30"/>
          <w:highlight w:val="none"/>
          <w:u w:val="single"/>
        </w:rPr>
        <w:t xml:space="preserve"> </w:t>
      </w:r>
      <w:r>
        <w:rPr>
          <w:rFonts w:hint="eastAsia" w:ascii="仿宋_GB2312" w:eastAsia="仿宋_GB2312"/>
          <w:sz w:val="30"/>
          <w:szCs w:val="30"/>
          <w:highlight w:val="none"/>
          <w:u w:val="single"/>
          <w:lang w:val="en-US" w:eastAsia="zh-CN"/>
        </w:rPr>
        <w:t>28</w:t>
      </w:r>
      <w:r>
        <w:rPr>
          <w:rFonts w:ascii="仿宋_GB2312" w:eastAsia="仿宋_GB2312"/>
          <w:sz w:val="30"/>
          <w:szCs w:val="30"/>
          <w:highlight w:val="none"/>
          <w:u w:val="single"/>
        </w:rPr>
        <w:t xml:space="preserve"> </w:t>
      </w:r>
      <w:r>
        <w:rPr>
          <w:rFonts w:ascii="仿宋_GB2312" w:eastAsia="仿宋_GB2312"/>
          <w:sz w:val="30"/>
          <w:szCs w:val="30"/>
          <w:highlight w:val="none"/>
        </w:rPr>
        <w:t>天内完成款项的支付。</w:t>
      </w:r>
    </w:p>
    <w:p>
      <w:pPr>
        <w:pStyle w:val="29"/>
        <w:rPr>
          <w:rFonts w:ascii="黑体" w:hAnsi="黑体" w:eastAsia="黑体"/>
          <w:b w:val="0"/>
          <w:bCs/>
          <w:sz w:val="32"/>
          <w:szCs w:val="21"/>
          <w:highlight w:val="none"/>
        </w:rPr>
      </w:pPr>
      <w:bookmarkStart w:id="52" w:name="_Toc4784277"/>
      <w:bookmarkEnd w:id="52"/>
      <w:bookmarkStart w:id="53" w:name="_Toc4784276"/>
      <w:bookmarkEnd w:id="53"/>
      <w:bookmarkStart w:id="54" w:name="_Toc54862349"/>
      <w:r>
        <w:rPr>
          <w:rFonts w:hint="eastAsia" w:ascii="黑体" w:hAnsi="黑体" w:eastAsia="黑体"/>
          <w:b w:val="0"/>
          <w:bCs/>
          <w:sz w:val="32"/>
          <w:szCs w:val="21"/>
          <w:highlight w:val="none"/>
        </w:rPr>
        <w:t>第1</w:t>
      </w:r>
      <w:r>
        <w:rPr>
          <w:rFonts w:ascii="黑体" w:hAnsi="黑体" w:eastAsia="黑体"/>
          <w:b w:val="0"/>
          <w:bCs/>
          <w:sz w:val="32"/>
          <w:szCs w:val="21"/>
          <w:highlight w:val="none"/>
        </w:rPr>
        <w:t>8</w:t>
      </w:r>
      <w:r>
        <w:rPr>
          <w:rFonts w:hint="eastAsia" w:ascii="黑体" w:hAnsi="黑体" w:eastAsia="黑体"/>
          <w:b w:val="0"/>
          <w:bCs/>
          <w:sz w:val="32"/>
          <w:szCs w:val="21"/>
          <w:highlight w:val="none"/>
        </w:rPr>
        <w:t>条</w:t>
      </w:r>
      <w:r>
        <w:rPr>
          <w:rFonts w:ascii="黑体" w:hAnsi="黑体" w:eastAsia="黑体"/>
          <w:b w:val="0"/>
          <w:bCs/>
          <w:sz w:val="32"/>
          <w:szCs w:val="21"/>
          <w:highlight w:val="none"/>
        </w:rPr>
        <w:t xml:space="preserve"> </w:t>
      </w:r>
      <w:r>
        <w:rPr>
          <w:rFonts w:hint="eastAsia" w:ascii="黑体" w:hAnsi="黑体" w:eastAsia="黑体"/>
          <w:b w:val="0"/>
          <w:bCs/>
          <w:sz w:val="32"/>
          <w:szCs w:val="21"/>
          <w:highlight w:val="none"/>
        </w:rPr>
        <w:t>保险</w:t>
      </w:r>
      <w:bookmarkEnd w:id="54"/>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18.1 </w:t>
      </w:r>
      <w:r>
        <w:rPr>
          <w:rFonts w:hint="eastAsia" w:ascii="黑体" w:hAnsi="黑体" w:eastAsia="黑体"/>
          <w:sz w:val="30"/>
          <w:szCs w:val="30"/>
          <w:highlight w:val="none"/>
        </w:rPr>
        <w:t>设计和工程保险</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1</w:t>
      </w:r>
      <w:r>
        <w:rPr>
          <w:rFonts w:ascii="仿宋_GB2312" w:eastAsia="仿宋_GB2312"/>
          <w:sz w:val="30"/>
          <w:szCs w:val="30"/>
          <w:highlight w:val="none"/>
        </w:rPr>
        <w:t xml:space="preserve">8.1.1 </w:t>
      </w:r>
      <w:r>
        <w:rPr>
          <w:rFonts w:hint="eastAsia" w:ascii="仿宋_GB2312" w:eastAsia="仿宋_GB2312"/>
          <w:sz w:val="30"/>
          <w:szCs w:val="30"/>
          <w:highlight w:val="none"/>
        </w:rPr>
        <w:t>双方当事人</w:t>
      </w:r>
      <w:r>
        <w:rPr>
          <w:rFonts w:ascii="仿宋_GB2312" w:eastAsia="仿宋_GB2312"/>
          <w:sz w:val="30"/>
          <w:szCs w:val="30"/>
          <w:highlight w:val="none"/>
        </w:rPr>
        <w:t>关于</w:t>
      </w:r>
      <w:r>
        <w:rPr>
          <w:rFonts w:hint="eastAsia" w:ascii="仿宋_GB2312" w:eastAsia="仿宋_GB2312"/>
          <w:sz w:val="30"/>
          <w:szCs w:val="30"/>
          <w:highlight w:val="none"/>
        </w:rPr>
        <w:t>设计和工程保险</w:t>
      </w:r>
      <w:r>
        <w:rPr>
          <w:rFonts w:ascii="仿宋_GB2312" w:eastAsia="仿宋_GB2312"/>
          <w:sz w:val="30"/>
          <w:szCs w:val="30"/>
          <w:highlight w:val="none"/>
        </w:rPr>
        <w:t>的特别</w:t>
      </w:r>
      <w:r>
        <w:rPr>
          <w:rFonts w:hint="eastAsia" w:ascii="仿宋_GB2312" w:eastAsia="仿宋_GB2312"/>
          <w:sz w:val="30"/>
          <w:szCs w:val="30"/>
          <w:highlight w:val="none"/>
        </w:rPr>
        <w:t>约</w:t>
      </w:r>
      <w:r>
        <w:rPr>
          <w:rFonts w:ascii="仿宋_GB2312" w:eastAsia="仿宋_GB2312"/>
          <w:sz w:val="30"/>
          <w:szCs w:val="30"/>
          <w:highlight w:val="none"/>
        </w:rPr>
        <w:t>定</w:t>
      </w:r>
      <w:r>
        <w:rPr>
          <w:rFonts w:hint="eastAsia" w:ascii="仿宋_GB2312" w:eastAsia="仿宋_GB2312"/>
          <w:sz w:val="30"/>
          <w:szCs w:val="30"/>
          <w:highlight w:val="none"/>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承包人负责投保，费用自理</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1</w:t>
      </w:r>
      <w:r>
        <w:rPr>
          <w:rFonts w:ascii="仿宋_GB2312" w:eastAsia="仿宋_GB2312"/>
          <w:sz w:val="30"/>
          <w:szCs w:val="30"/>
          <w:highlight w:val="none"/>
        </w:rPr>
        <w:t xml:space="preserve">8.1.2 </w:t>
      </w:r>
      <w:r>
        <w:rPr>
          <w:rFonts w:hint="eastAsia" w:ascii="仿宋_GB2312" w:eastAsia="仿宋_GB2312"/>
          <w:sz w:val="30"/>
          <w:szCs w:val="30"/>
          <w:highlight w:val="none"/>
        </w:rPr>
        <w:t>双方当事人</w:t>
      </w:r>
      <w:r>
        <w:rPr>
          <w:rFonts w:ascii="仿宋_GB2312" w:eastAsia="仿宋_GB2312"/>
          <w:sz w:val="30"/>
          <w:szCs w:val="30"/>
          <w:highlight w:val="none"/>
        </w:rPr>
        <w:t>关于</w:t>
      </w:r>
      <w:r>
        <w:rPr>
          <w:rFonts w:hint="eastAsia" w:ascii="仿宋_GB2312" w:eastAsia="仿宋_GB2312"/>
          <w:sz w:val="30"/>
          <w:szCs w:val="30"/>
          <w:highlight w:val="none"/>
        </w:rPr>
        <w:t>第三方责任险</w:t>
      </w:r>
      <w:r>
        <w:rPr>
          <w:rFonts w:ascii="仿宋_GB2312" w:eastAsia="仿宋_GB2312"/>
          <w:sz w:val="30"/>
          <w:szCs w:val="30"/>
          <w:highlight w:val="none"/>
        </w:rPr>
        <w:t>的特别</w:t>
      </w:r>
      <w:r>
        <w:rPr>
          <w:rFonts w:hint="eastAsia" w:ascii="仿宋_GB2312" w:eastAsia="仿宋_GB2312"/>
          <w:sz w:val="30"/>
          <w:szCs w:val="30"/>
          <w:highlight w:val="none"/>
        </w:rPr>
        <w:t>约</w:t>
      </w:r>
      <w:r>
        <w:rPr>
          <w:rFonts w:ascii="仿宋_GB2312" w:eastAsia="仿宋_GB2312"/>
          <w:sz w:val="30"/>
          <w:szCs w:val="30"/>
          <w:highlight w:val="none"/>
        </w:rPr>
        <w:t>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承包人负责投保，费用自理</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18.2 </w:t>
      </w:r>
      <w:r>
        <w:rPr>
          <w:rFonts w:hint="eastAsia" w:ascii="黑体" w:hAnsi="黑体" w:eastAsia="黑体"/>
          <w:sz w:val="30"/>
          <w:szCs w:val="30"/>
          <w:highlight w:val="none"/>
        </w:rPr>
        <w:t>工伤和意外伤害保险</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1</w:t>
      </w:r>
      <w:r>
        <w:rPr>
          <w:rFonts w:ascii="仿宋_GB2312" w:eastAsia="仿宋_GB2312"/>
          <w:sz w:val="30"/>
          <w:szCs w:val="30"/>
          <w:highlight w:val="none"/>
        </w:rPr>
        <w:t>8.2.3 关于</w:t>
      </w:r>
      <w:r>
        <w:rPr>
          <w:rFonts w:hint="eastAsia" w:ascii="仿宋_GB2312" w:eastAsia="仿宋_GB2312"/>
          <w:sz w:val="30"/>
          <w:szCs w:val="30"/>
          <w:highlight w:val="none"/>
        </w:rPr>
        <w:t>工伤保险和意外伤害保险</w:t>
      </w:r>
      <w:r>
        <w:rPr>
          <w:rFonts w:ascii="仿宋_GB2312" w:eastAsia="仿宋_GB2312"/>
          <w:sz w:val="30"/>
          <w:szCs w:val="30"/>
          <w:highlight w:val="none"/>
        </w:rPr>
        <w:t>的特别</w:t>
      </w:r>
      <w:r>
        <w:rPr>
          <w:rFonts w:hint="eastAsia" w:ascii="仿宋_GB2312" w:eastAsia="仿宋_GB2312"/>
          <w:sz w:val="30"/>
          <w:szCs w:val="30"/>
          <w:highlight w:val="none"/>
        </w:rPr>
        <w:t>约</w:t>
      </w:r>
      <w:r>
        <w:rPr>
          <w:rFonts w:ascii="仿宋_GB2312" w:eastAsia="仿宋_GB2312"/>
          <w:sz w:val="30"/>
          <w:szCs w:val="30"/>
          <w:highlight w:val="none"/>
        </w:rPr>
        <w:t>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承包人负责投保，费用自理</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18.3 </w:t>
      </w:r>
      <w:r>
        <w:rPr>
          <w:rFonts w:hint="eastAsia" w:ascii="黑体" w:hAnsi="黑体" w:eastAsia="黑体"/>
          <w:sz w:val="30"/>
          <w:szCs w:val="30"/>
          <w:highlight w:val="none"/>
        </w:rPr>
        <w:t>货物保险</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关于承包人应为其施工设备、材料、工程设备和临时工程等办理财产</w:t>
      </w:r>
      <w:r>
        <w:rPr>
          <w:rFonts w:ascii="仿宋_GB2312" w:eastAsia="仿宋_GB2312"/>
          <w:sz w:val="30"/>
          <w:szCs w:val="30"/>
          <w:highlight w:val="none"/>
        </w:rPr>
        <w:t>保险的特别</w:t>
      </w:r>
      <w:r>
        <w:rPr>
          <w:rFonts w:hint="eastAsia" w:ascii="仿宋_GB2312" w:eastAsia="仿宋_GB2312"/>
          <w:sz w:val="30"/>
          <w:szCs w:val="30"/>
          <w:highlight w:val="none"/>
        </w:rPr>
        <w:t>约</w:t>
      </w:r>
      <w:r>
        <w:rPr>
          <w:rFonts w:ascii="仿宋_GB2312" w:eastAsia="仿宋_GB2312"/>
          <w:sz w:val="30"/>
          <w:szCs w:val="30"/>
          <w:highlight w:val="none"/>
        </w:rPr>
        <w:t>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承包人负责投保，费用自理</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18.4 </w:t>
      </w:r>
      <w:r>
        <w:rPr>
          <w:rFonts w:hint="eastAsia" w:ascii="黑体" w:hAnsi="黑体" w:eastAsia="黑体"/>
          <w:sz w:val="30"/>
          <w:szCs w:val="30"/>
          <w:highlight w:val="none"/>
        </w:rPr>
        <w:t>其他保险</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关于其他保险的约定：</w:t>
      </w:r>
      <w:r>
        <w:rPr>
          <w:rFonts w:hint="eastAsia" w:ascii="仿宋_GB2312" w:eastAsia="仿宋_GB2312"/>
          <w:sz w:val="30"/>
          <w:szCs w:val="30"/>
          <w:highlight w:val="none"/>
          <w:u w:val="single"/>
        </w:rPr>
        <w:t>承包人按国家省市有关法律法规、政策文件和要求等进行投保，费用自理</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18.5 </w:t>
      </w:r>
      <w:r>
        <w:rPr>
          <w:rFonts w:hint="eastAsia" w:ascii="黑体" w:hAnsi="黑体" w:eastAsia="黑体"/>
          <w:sz w:val="30"/>
          <w:szCs w:val="30"/>
          <w:highlight w:val="none"/>
        </w:rPr>
        <w:t>对各项保险的一般要求</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18.5.2 保险凭证</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保险单的条件：</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18.5.4 通知义务</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关于变更保险合同时的通知义务的约定：</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按通用条款执行</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pStyle w:val="29"/>
        <w:rPr>
          <w:rFonts w:ascii="黑体" w:hAnsi="黑体" w:eastAsia="黑体"/>
          <w:b w:val="0"/>
          <w:bCs/>
          <w:sz w:val="32"/>
          <w:szCs w:val="21"/>
          <w:highlight w:val="none"/>
        </w:rPr>
      </w:pPr>
      <w:bookmarkStart w:id="55" w:name="_Toc54862350"/>
      <w:r>
        <w:rPr>
          <w:rFonts w:hint="eastAsia" w:ascii="黑体" w:hAnsi="黑体" w:eastAsia="黑体"/>
          <w:b w:val="0"/>
          <w:bCs/>
          <w:sz w:val="32"/>
          <w:szCs w:val="21"/>
          <w:highlight w:val="none"/>
        </w:rPr>
        <w:t>第</w:t>
      </w:r>
      <w:r>
        <w:rPr>
          <w:rFonts w:ascii="黑体" w:hAnsi="黑体" w:eastAsia="黑体"/>
          <w:b w:val="0"/>
          <w:bCs/>
          <w:sz w:val="32"/>
          <w:szCs w:val="21"/>
          <w:highlight w:val="none"/>
        </w:rPr>
        <w:t>20条</w:t>
      </w:r>
      <w:r>
        <w:rPr>
          <w:rFonts w:hint="eastAsia" w:ascii="黑体" w:hAnsi="黑体" w:eastAsia="黑体"/>
          <w:b w:val="0"/>
          <w:bCs/>
          <w:sz w:val="32"/>
          <w:szCs w:val="21"/>
          <w:highlight w:val="none"/>
        </w:rPr>
        <w:t xml:space="preserve"> 争议解决</w:t>
      </w:r>
      <w:bookmarkEnd w:id="55"/>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20.3 </w:t>
      </w:r>
      <w:r>
        <w:rPr>
          <w:rFonts w:hint="eastAsia" w:ascii="黑体" w:hAnsi="黑体" w:eastAsia="黑体"/>
          <w:sz w:val="30"/>
          <w:szCs w:val="30"/>
          <w:highlight w:val="none"/>
        </w:rPr>
        <w:t>争议评审</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 xml:space="preserve">合同当事人是否同意将工程争议提交争议评审小组决定： </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20.3.1</w:t>
      </w:r>
      <w:r>
        <w:rPr>
          <w:rFonts w:hint="eastAsia" w:ascii="仿宋_GB2312" w:eastAsia="仿宋_GB2312"/>
          <w:sz w:val="30"/>
          <w:szCs w:val="30"/>
          <w:highlight w:val="none"/>
        </w:rPr>
        <w:t xml:space="preserve"> 争议评审小组</w:t>
      </w:r>
      <w:r>
        <w:rPr>
          <w:rFonts w:ascii="仿宋_GB2312" w:eastAsia="仿宋_GB2312"/>
          <w:sz w:val="30"/>
          <w:szCs w:val="30"/>
          <w:highlight w:val="none"/>
        </w:rPr>
        <w:t>的确定</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争议评审小组成员的人数：</w:t>
      </w:r>
      <w:r>
        <w:rPr>
          <w:rFonts w:ascii="仿宋_GB2312" w:eastAsia="仿宋_GB2312"/>
          <w:sz w:val="30"/>
          <w:szCs w:val="30"/>
          <w:highlight w:val="none"/>
          <w:u w:val="single"/>
        </w:rPr>
        <w:t xml:space="preserve">                          </w:t>
      </w:r>
      <w:r>
        <w:rPr>
          <w:rFonts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争议评审小组成员的确定：</w:t>
      </w:r>
      <w:r>
        <w:rPr>
          <w:rFonts w:ascii="仿宋_GB2312" w:eastAsia="仿宋_GB2312"/>
          <w:sz w:val="30"/>
          <w:szCs w:val="30"/>
          <w:highlight w:val="none"/>
          <w:u w:val="single"/>
        </w:rPr>
        <w:t xml:space="preserve">                          </w:t>
      </w:r>
      <w:r>
        <w:rPr>
          <w:rFonts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选定争议避免/评审组的期限：</w:t>
      </w:r>
      <w:r>
        <w:rPr>
          <w:rFonts w:ascii="仿宋_GB2312" w:eastAsia="仿宋_GB2312"/>
          <w:sz w:val="30"/>
          <w:szCs w:val="30"/>
          <w:highlight w:val="none"/>
          <w:u w:val="single"/>
        </w:rPr>
        <w:t xml:space="preserve">                       </w:t>
      </w:r>
      <w:r>
        <w:rPr>
          <w:rFonts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评审机构：</w:t>
      </w:r>
      <w:r>
        <w:rPr>
          <w:rFonts w:ascii="仿宋_GB2312" w:eastAsia="仿宋_GB2312"/>
          <w:sz w:val="30"/>
          <w:szCs w:val="30"/>
          <w:highlight w:val="none"/>
          <w:u w:val="single"/>
        </w:rPr>
        <w:t xml:space="preserve">                                        </w:t>
      </w:r>
      <w:r>
        <w:rPr>
          <w:rFonts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其他事项的约定：</w:t>
      </w:r>
      <w:r>
        <w:rPr>
          <w:rFonts w:ascii="仿宋_GB2312" w:eastAsia="仿宋_GB2312"/>
          <w:sz w:val="30"/>
          <w:szCs w:val="30"/>
          <w:highlight w:val="none"/>
          <w:u w:val="single"/>
        </w:rPr>
        <w:t xml:space="preserve">                                  </w:t>
      </w:r>
      <w:r>
        <w:rPr>
          <w:rFonts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争议评审员报酬</w:t>
      </w:r>
      <w:r>
        <w:rPr>
          <w:rFonts w:hint="eastAsia" w:ascii="仿宋_GB2312" w:eastAsia="仿宋_GB2312"/>
          <w:sz w:val="30"/>
          <w:szCs w:val="30"/>
          <w:highlight w:val="none"/>
        </w:rPr>
        <w:t>的承担人：</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20.3.2 争议的避免</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发包人和承包人是否均出席争议避免的非正式讨论：</w:t>
      </w:r>
      <w:r>
        <w:rPr>
          <w:rFonts w:ascii="仿宋_GB2312" w:eastAsia="仿宋_GB2312"/>
          <w:sz w:val="30"/>
          <w:szCs w:val="30"/>
          <w:highlight w:val="none"/>
          <w:u w:val="single"/>
        </w:rPr>
        <w:t xml:space="preserve">                                                  </w:t>
      </w:r>
      <w:r>
        <w:rPr>
          <w:rFonts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ascii="仿宋_GB2312" w:eastAsia="仿宋_GB2312"/>
          <w:sz w:val="30"/>
          <w:szCs w:val="30"/>
          <w:highlight w:val="none"/>
        </w:rPr>
        <w:t>20.3.3</w:t>
      </w:r>
      <w:r>
        <w:rPr>
          <w:rFonts w:hint="eastAsia" w:ascii="仿宋_GB2312" w:eastAsia="仿宋_GB2312"/>
          <w:sz w:val="30"/>
          <w:szCs w:val="30"/>
          <w:highlight w:val="none"/>
        </w:rPr>
        <w:t xml:space="preserve"> 争议评审小组的决定</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关于争议评审小组的决定的特别约定：</w:t>
      </w:r>
      <w:r>
        <w:rPr>
          <w:rFonts w:ascii="仿宋_GB2312" w:eastAsia="仿宋_GB2312"/>
          <w:sz w:val="30"/>
          <w:szCs w:val="30"/>
          <w:highlight w:val="none"/>
          <w:u w:val="single"/>
        </w:rPr>
        <w:t xml:space="preserve">                </w:t>
      </w:r>
      <w:r>
        <w:rPr>
          <w:rFonts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ascii="黑体" w:hAnsi="黑体" w:eastAsia="黑体"/>
          <w:sz w:val="30"/>
          <w:szCs w:val="30"/>
          <w:highlight w:val="none"/>
        </w:rPr>
        <w:t xml:space="preserve">20.4 </w:t>
      </w:r>
      <w:r>
        <w:rPr>
          <w:rFonts w:hint="eastAsia" w:ascii="黑体" w:hAnsi="黑体" w:eastAsia="黑体"/>
          <w:sz w:val="30"/>
          <w:szCs w:val="30"/>
          <w:highlight w:val="none"/>
        </w:rPr>
        <w:t>仲裁或诉讼</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因合同及合同有关事项发生的争议，按下列第</w:t>
      </w:r>
      <w:r>
        <w:rPr>
          <w:rFonts w:ascii="仿宋_GB2312" w:eastAsia="仿宋_GB2312"/>
          <w:sz w:val="30"/>
          <w:szCs w:val="30"/>
          <w:highlight w:val="none"/>
          <w:u w:val="single"/>
        </w:rPr>
        <w:t xml:space="preserve">    </w:t>
      </w:r>
      <w:r>
        <w:rPr>
          <w:rFonts w:ascii="仿宋_GB2312" w:eastAsia="仿宋_GB2312"/>
          <w:sz w:val="30"/>
          <w:szCs w:val="30"/>
          <w:highlight w:val="none"/>
        </w:rPr>
        <w:t>种方式解决：</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1）向</w:t>
      </w:r>
      <w:r>
        <w:rPr>
          <w:rFonts w:ascii="仿宋_GB2312" w:eastAsia="仿宋_GB2312"/>
          <w:sz w:val="30"/>
          <w:szCs w:val="30"/>
          <w:highlight w:val="none"/>
          <w:u w:val="single"/>
        </w:rPr>
        <w:t xml:space="preserve">                         </w:t>
      </w:r>
      <w:r>
        <w:rPr>
          <w:rFonts w:ascii="仿宋_GB2312" w:eastAsia="仿宋_GB2312"/>
          <w:sz w:val="30"/>
          <w:szCs w:val="30"/>
          <w:highlight w:val="none"/>
        </w:rPr>
        <w:t>仲裁委员会申请仲裁；</w:t>
      </w:r>
    </w:p>
    <w:p>
      <w:pPr>
        <w:keepNext w:val="0"/>
        <w:keepLines w:val="0"/>
        <w:pageBreakBefore w:val="0"/>
        <w:widowControl/>
        <w:kinsoku w:val="0"/>
        <w:wordWrap/>
        <w:overflowPunct/>
        <w:topLinePunct w:val="0"/>
        <w:autoSpaceDE w:val="0"/>
        <w:autoSpaceDN w:val="0"/>
        <w:bidi w:val="0"/>
        <w:adjustRightInd w:val="0"/>
        <w:snapToGrid/>
        <w:spacing w:line="240" w:lineRule="auto"/>
        <w:ind w:firstLine="600" w:firstLineChars="200"/>
        <w:textAlignment w:val="baseline"/>
        <w:rPr>
          <w:rFonts w:hint="eastAsia" w:ascii="宋体" w:hAnsi="宋体" w:eastAsia="宋体" w:cs="宋体"/>
          <w:sz w:val="28"/>
          <w:szCs w:val="28"/>
          <w:highlight w:val="none"/>
        </w:rPr>
      </w:pPr>
      <w:r>
        <w:rPr>
          <w:rFonts w:hint="eastAsia" w:ascii="仿宋_GB2312" w:eastAsia="仿宋_GB2312"/>
          <w:sz w:val="30"/>
          <w:szCs w:val="30"/>
          <w:highlight w:val="none"/>
        </w:rPr>
        <w:t>（</w:t>
      </w:r>
      <w:r>
        <w:rPr>
          <w:rFonts w:ascii="仿宋_GB2312" w:eastAsia="仿宋_GB2312"/>
          <w:sz w:val="30"/>
          <w:szCs w:val="30"/>
          <w:highlight w:val="none"/>
        </w:rPr>
        <w:t>2）向</w:t>
      </w:r>
      <w:r>
        <w:rPr>
          <w:rFonts w:ascii="仿宋_GB2312" w:eastAsia="仿宋_GB2312"/>
          <w:sz w:val="30"/>
          <w:szCs w:val="30"/>
          <w:highlight w:val="none"/>
          <w:u w:val="single"/>
        </w:rPr>
        <w:t xml:space="preserve">                         </w:t>
      </w:r>
      <w:r>
        <w:rPr>
          <w:rFonts w:ascii="仿宋_GB2312" w:eastAsia="仿宋_GB2312"/>
          <w:sz w:val="30"/>
          <w:szCs w:val="30"/>
          <w:highlight w:val="none"/>
        </w:rPr>
        <w:t>人民法院起诉。</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pStyle w:val="26"/>
        <w:keepNext w:val="0"/>
        <w:keepLines w:val="0"/>
        <w:widowControl/>
        <w:adjustRightInd w:val="0"/>
        <w:snapToGrid w:val="0"/>
        <w:spacing w:before="0" w:after="50" w:line="360" w:lineRule="auto"/>
        <w:rPr>
          <w:rFonts w:ascii="黑体" w:hAnsi="黑体" w:eastAsia="黑体"/>
          <w:sz w:val="28"/>
          <w:szCs w:val="28"/>
          <w:highlight w:val="none"/>
        </w:rPr>
      </w:pPr>
      <w:bookmarkStart w:id="56" w:name="_Toc54862351"/>
      <w:r>
        <w:rPr>
          <w:rFonts w:hint="eastAsia" w:ascii="黑体" w:hAnsi="黑体" w:eastAsia="黑体"/>
          <w:sz w:val="30"/>
          <w:szCs w:val="30"/>
          <w:highlight w:val="none"/>
        </w:rPr>
        <w:t>专用合同条件附件</w:t>
      </w:r>
      <w:bookmarkEnd w:id="56"/>
    </w:p>
    <w:p>
      <w:pPr>
        <w:wordWrap/>
        <w:topLinePunct w:val="0"/>
        <w:rPr>
          <w:highlight w:val="none"/>
        </w:rPr>
      </w:pPr>
    </w:p>
    <w:p>
      <w:pPr>
        <w:wordWrap/>
        <w:topLinePunct w:val="0"/>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附件1：发包人要求</w:t>
      </w:r>
    </w:p>
    <w:p>
      <w:pPr>
        <w:wordWrap/>
        <w:topLinePunct w:val="0"/>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附件2：发包人供应材料设备一览表</w:t>
      </w:r>
    </w:p>
    <w:p>
      <w:pPr>
        <w:wordWrap/>
        <w:topLinePunct w:val="0"/>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附件3：工程质量保修书</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附件4：主要建设工程文件目录</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附件5：承包人主要管理人员表</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附件6：价格指数权重表</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r>
        <w:rPr>
          <w:rFonts w:hint="eastAsia" w:ascii="仿宋_GB2312" w:hAnsi="仿宋_GB2312" w:eastAsia="仿宋_GB2312" w:cs="仿宋_GB2312"/>
          <w:sz w:val="30"/>
          <w:szCs w:val="30"/>
          <w:highlight w:val="none"/>
        </w:rPr>
        <w:t>附件1：发包人要求</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一、设计依据 </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1、本工程的设计过程和成果均须符合国家有关建筑工程建设标准强制性条文和有关设计方面现行的标准、规范、规程、定额、办法、示例，以及河南省关于设计方面的文件规定。</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2、中标人在设计工作中使用或参考上述标准、规范以外的技术标准、规范时，应征得业主或业主指定代表人的同意。</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3、在设计过程中，如果国家或有关部门颁布了新的技术标准或规范，中标人应采用新的技术标准或规范进行设计。</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4、招标人提供的相关资料。</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二、项目基本情况 </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郑州至南阳高速郑州至许昌段新郑境建设工程（以下称郑许高速），采用双向六车道建设标准，路基宽33.5米，路线全长64.323公里，概算约137.5亿元，其中新郑境长38.311公里，投资约92亿元，设互通式立交7处，其中枢纽型互通2处，服务型互通5处。</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目前，郑许高速项目已开工建设，需对影响郑许高速建设的500千伏、220千伏、110千伏、35千伏、10千伏及以下的电力线路和输气管道进行迁改（需要保护的由郑许高速项目公司负责保护），个别地埋线路采取预留备用管道等措施。</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 xml:space="preserve">三、设计要求 </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 xml:space="preserve">本项目为边设计边施工，为满足施工进度要求，设计图纸需分批出图，具体出图时间节点见设计合同约定。 </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 xml:space="preserve">1、根据施工配合需求分版本和阶段完成。 </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 xml:space="preserve">2、施工图设计前，设计单位应配合发包人与施工图审查单位 沟通设计做法，以确保施工图审查顺利通过。 </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 xml:space="preserve">3、施工图设计应根据施工配合需求分版本和阶段完成，设计人可按照建设方提出的施工计划进度表，合理安排各阶段的设计内容。 </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 xml:space="preserve">4、施工图版本较多，应合理组织图纸的标识方式（如各专业标识方式统一、标明版次、修改日期、各专业主要修改内容等），以便于识别版本与图纸类别。 </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 xml:space="preserve">5、各专业出图前必须互相会审图纸，如因现场原因先出图纸，则必须在出图后设计院内部各专业会审图纸。 </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 xml:space="preserve">四、环境管理要点 </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 xml:space="preserve">（一）主要绿色施工管理措施 </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 xml:space="preserve">（1）防止大气污染；（2）防止水污染；（3）防止噪声污染；（4）材料污染的控制。 </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 xml:space="preserve">（二）节能减排措施 </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 xml:space="preserve">（1）节约用地；（2）节约能源；（3）节约用水；（4）节约材料。 </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 xml:space="preserve">五、其他 </w:t>
      </w: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 xml:space="preserve">1、在出图后，若有局部手工变更的地方在电子版本中亦应修改，提供给发包人的 电子版本须为修改后的最终版本。 </w:t>
      </w:r>
    </w:p>
    <w:p>
      <w:pPr>
        <w:wordWrap/>
        <w:topLinePunct w:val="0"/>
        <w:ind w:firstLine="6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xml:space="preserve">2、施工交底纪要、设计变更均应及时抄送发包人。 </w:t>
      </w:r>
    </w:p>
    <w:p>
      <w:pPr>
        <w:wordWrap/>
        <w:topLinePunct w:val="0"/>
        <w:ind w:firstLine="6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xml:space="preserve">3、本项目最终设计规模依据招标人要求设计，据实结算。 </w:t>
      </w:r>
    </w:p>
    <w:p>
      <w:pPr>
        <w:wordWrap/>
        <w:topLinePunct w:val="0"/>
        <w:ind w:firstLine="600"/>
        <w:rPr>
          <w:rFonts w:hint="eastAsia" w:ascii="宋体" w:hAnsi="宋体" w:eastAsia="宋体" w:cs="宋体"/>
          <w:sz w:val="28"/>
          <w:szCs w:val="28"/>
          <w:highlight w:val="none"/>
          <w:lang w:val="en-US" w:eastAsia="zh-CN"/>
        </w:rPr>
      </w:pPr>
      <w:r>
        <w:rPr>
          <w:rFonts w:hint="eastAsia" w:ascii="仿宋_GB2312" w:hAnsi="仿宋_GB2312" w:eastAsia="仿宋_GB2312" w:cs="仿宋_GB2312"/>
          <w:sz w:val="30"/>
          <w:szCs w:val="30"/>
          <w:highlight w:val="none"/>
          <w:lang w:val="en-US" w:eastAsia="zh-CN"/>
        </w:rPr>
        <w:t>4、项目建设所涉及专项施工方案的专家论证全部费用由施工单位承担。</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wordWrap/>
        <w:topLinePunct w:val="0"/>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附件2：发包人供应材料设备一览表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noWrap w:val="0"/>
            <w:vAlign w:val="center"/>
          </w:tcPr>
          <w:p>
            <w:pPr>
              <w:pStyle w:val="5"/>
              <w:wordWrap/>
              <w:topLinePunct w:val="0"/>
              <w:spacing w:after="0" w:afterLines="0" w:line="240" w:lineRule="auto"/>
              <w:ind w:firstLine="0" w:firstLineChars="0"/>
              <w:jc w:val="center"/>
              <w:rPr>
                <w:rFonts w:ascii="仿宋_GB2312" w:eastAsia="仿宋_GB2312"/>
                <w:sz w:val="21"/>
                <w:highlight w:val="none"/>
              </w:rPr>
            </w:pPr>
            <w:r>
              <w:rPr>
                <w:rFonts w:hint="eastAsia" w:ascii="仿宋_GB2312" w:eastAsia="仿宋_GB2312"/>
                <w:sz w:val="21"/>
                <w:highlight w:val="none"/>
              </w:rPr>
              <w:t>序号</w:t>
            </w:r>
          </w:p>
        </w:tc>
        <w:tc>
          <w:tcPr>
            <w:tcW w:w="1165" w:type="dxa"/>
            <w:tcBorders>
              <w:top w:val="single" w:color="auto" w:sz="12" w:space="0"/>
              <w:bottom w:val="double" w:color="auto" w:sz="6" w:space="0"/>
            </w:tcBorders>
            <w:noWrap w:val="0"/>
            <w:vAlign w:val="center"/>
          </w:tcPr>
          <w:p>
            <w:pPr>
              <w:pStyle w:val="5"/>
              <w:wordWrap/>
              <w:topLinePunct w:val="0"/>
              <w:spacing w:after="0" w:afterLines="0" w:line="240" w:lineRule="auto"/>
              <w:ind w:firstLine="0" w:firstLineChars="0"/>
              <w:jc w:val="center"/>
              <w:rPr>
                <w:rFonts w:ascii="仿宋_GB2312" w:eastAsia="仿宋_GB2312"/>
                <w:sz w:val="21"/>
                <w:highlight w:val="none"/>
              </w:rPr>
            </w:pPr>
            <w:r>
              <w:rPr>
                <w:rFonts w:hint="eastAsia" w:ascii="仿宋_GB2312" w:eastAsia="仿宋_GB2312"/>
                <w:sz w:val="21"/>
                <w:highlight w:val="none"/>
              </w:rPr>
              <w:t>材料、设备品种</w:t>
            </w:r>
          </w:p>
        </w:tc>
        <w:tc>
          <w:tcPr>
            <w:tcW w:w="1126" w:type="dxa"/>
            <w:tcBorders>
              <w:top w:val="single" w:color="auto" w:sz="12" w:space="0"/>
              <w:bottom w:val="double" w:color="auto" w:sz="6" w:space="0"/>
            </w:tcBorders>
            <w:noWrap w:val="0"/>
            <w:vAlign w:val="center"/>
          </w:tcPr>
          <w:p>
            <w:pPr>
              <w:pStyle w:val="5"/>
              <w:wordWrap/>
              <w:topLinePunct w:val="0"/>
              <w:spacing w:after="0" w:afterLines="0" w:line="240" w:lineRule="auto"/>
              <w:ind w:firstLine="0" w:firstLineChars="0"/>
              <w:jc w:val="center"/>
              <w:rPr>
                <w:rFonts w:ascii="仿宋_GB2312" w:eastAsia="仿宋_GB2312"/>
                <w:sz w:val="21"/>
                <w:highlight w:val="none"/>
              </w:rPr>
            </w:pPr>
            <w:r>
              <w:rPr>
                <w:rFonts w:hint="eastAsia" w:ascii="仿宋_GB2312" w:eastAsia="仿宋_GB2312"/>
                <w:sz w:val="21"/>
                <w:highlight w:val="none"/>
              </w:rPr>
              <w:t>规格型号</w:t>
            </w:r>
          </w:p>
        </w:tc>
        <w:tc>
          <w:tcPr>
            <w:tcW w:w="567" w:type="dxa"/>
            <w:tcBorders>
              <w:top w:val="single" w:color="auto" w:sz="12" w:space="0"/>
              <w:bottom w:val="double" w:color="auto" w:sz="6" w:space="0"/>
            </w:tcBorders>
            <w:noWrap w:val="0"/>
            <w:vAlign w:val="center"/>
          </w:tcPr>
          <w:p>
            <w:pPr>
              <w:pStyle w:val="5"/>
              <w:wordWrap/>
              <w:topLinePunct w:val="0"/>
              <w:spacing w:after="0" w:afterLines="0" w:line="240" w:lineRule="auto"/>
              <w:ind w:firstLine="0" w:firstLineChars="0"/>
              <w:jc w:val="center"/>
              <w:rPr>
                <w:rFonts w:ascii="仿宋_GB2312" w:eastAsia="仿宋_GB2312"/>
                <w:sz w:val="21"/>
                <w:highlight w:val="none"/>
              </w:rPr>
            </w:pPr>
            <w:r>
              <w:rPr>
                <w:rFonts w:hint="eastAsia" w:ascii="仿宋_GB2312" w:eastAsia="仿宋_GB2312"/>
                <w:sz w:val="21"/>
                <w:highlight w:val="none"/>
              </w:rPr>
              <w:t>单位</w:t>
            </w:r>
          </w:p>
        </w:tc>
        <w:tc>
          <w:tcPr>
            <w:tcW w:w="686" w:type="dxa"/>
            <w:tcBorders>
              <w:top w:val="single" w:color="auto" w:sz="12" w:space="0"/>
              <w:bottom w:val="double" w:color="auto" w:sz="6" w:space="0"/>
            </w:tcBorders>
            <w:noWrap w:val="0"/>
            <w:vAlign w:val="center"/>
          </w:tcPr>
          <w:p>
            <w:pPr>
              <w:pStyle w:val="5"/>
              <w:wordWrap/>
              <w:topLinePunct w:val="0"/>
              <w:spacing w:after="0" w:afterLines="0" w:line="240" w:lineRule="auto"/>
              <w:ind w:firstLine="0" w:firstLineChars="0"/>
              <w:jc w:val="center"/>
              <w:rPr>
                <w:rFonts w:ascii="仿宋_GB2312" w:eastAsia="仿宋_GB2312"/>
                <w:sz w:val="21"/>
                <w:highlight w:val="none"/>
              </w:rPr>
            </w:pPr>
            <w:r>
              <w:rPr>
                <w:rFonts w:hint="eastAsia" w:ascii="仿宋_GB2312" w:eastAsia="仿宋_GB2312"/>
                <w:sz w:val="21"/>
                <w:highlight w:val="none"/>
              </w:rPr>
              <w:t>数量</w:t>
            </w:r>
          </w:p>
        </w:tc>
        <w:tc>
          <w:tcPr>
            <w:tcW w:w="992" w:type="dxa"/>
            <w:tcBorders>
              <w:top w:val="single" w:color="auto" w:sz="12" w:space="0"/>
              <w:bottom w:val="double" w:color="auto" w:sz="6" w:space="0"/>
            </w:tcBorders>
            <w:noWrap w:val="0"/>
            <w:vAlign w:val="center"/>
          </w:tcPr>
          <w:p>
            <w:pPr>
              <w:pStyle w:val="5"/>
              <w:wordWrap/>
              <w:topLinePunct w:val="0"/>
              <w:spacing w:after="0" w:afterLines="0" w:line="240" w:lineRule="auto"/>
              <w:ind w:firstLine="0" w:firstLineChars="0"/>
              <w:jc w:val="center"/>
              <w:rPr>
                <w:rFonts w:ascii="仿宋_GB2312" w:eastAsia="仿宋_GB2312"/>
                <w:sz w:val="21"/>
                <w:highlight w:val="none"/>
              </w:rPr>
            </w:pPr>
            <w:r>
              <w:rPr>
                <w:rFonts w:hint="eastAsia" w:ascii="仿宋_GB2312" w:eastAsia="仿宋_GB2312"/>
                <w:sz w:val="21"/>
                <w:highlight w:val="none"/>
              </w:rPr>
              <w:t>单价（元）</w:t>
            </w:r>
          </w:p>
        </w:tc>
        <w:tc>
          <w:tcPr>
            <w:tcW w:w="1134" w:type="dxa"/>
            <w:tcBorders>
              <w:top w:val="single" w:color="auto" w:sz="12" w:space="0"/>
              <w:bottom w:val="double" w:color="auto" w:sz="6" w:space="0"/>
            </w:tcBorders>
            <w:noWrap w:val="0"/>
            <w:vAlign w:val="center"/>
          </w:tcPr>
          <w:p>
            <w:pPr>
              <w:pStyle w:val="5"/>
              <w:wordWrap/>
              <w:topLinePunct w:val="0"/>
              <w:spacing w:after="0" w:afterLines="0" w:line="240" w:lineRule="auto"/>
              <w:ind w:firstLine="0" w:firstLineChars="0"/>
              <w:jc w:val="center"/>
              <w:rPr>
                <w:rFonts w:ascii="仿宋_GB2312" w:eastAsia="仿宋_GB2312"/>
                <w:sz w:val="21"/>
                <w:highlight w:val="none"/>
              </w:rPr>
            </w:pPr>
            <w:r>
              <w:rPr>
                <w:rFonts w:hint="eastAsia" w:ascii="仿宋_GB2312" w:eastAsia="仿宋_GB2312"/>
                <w:sz w:val="21"/>
                <w:highlight w:val="none"/>
              </w:rPr>
              <w:t>质量等级</w:t>
            </w:r>
          </w:p>
        </w:tc>
        <w:tc>
          <w:tcPr>
            <w:tcW w:w="1134" w:type="dxa"/>
            <w:tcBorders>
              <w:top w:val="single" w:color="auto" w:sz="12" w:space="0"/>
              <w:bottom w:val="double" w:color="auto" w:sz="6" w:space="0"/>
            </w:tcBorders>
            <w:noWrap w:val="0"/>
            <w:vAlign w:val="center"/>
          </w:tcPr>
          <w:p>
            <w:pPr>
              <w:pStyle w:val="5"/>
              <w:wordWrap/>
              <w:topLinePunct w:val="0"/>
              <w:spacing w:after="0" w:afterLines="0" w:line="240" w:lineRule="auto"/>
              <w:ind w:firstLine="0" w:firstLineChars="0"/>
              <w:jc w:val="center"/>
              <w:rPr>
                <w:rFonts w:ascii="仿宋_GB2312" w:eastAsia="仿宋_GB2312"/>
                <w:sz w:val="21"/>
                <w:highlight w:val="none"/>
              </w:rPr>
            </w:pPr>
            <w:r>
              <w:rPr>
                <w:rFonts w:hint="eastAsia" w:ascii="仿宋_GB2312" w:eastAsia="仿宋_GB2312"/>
                <w:sz w:val="21"/>
                <w:highlight w:val="none"/>
              </w:rPr>
              <w:t>供应时间</w:t>
            </w:r>
          </w:p>
        </w:tc>
        <w:tc>
          <w:tcPr>
            <w:tcW w:w="1134" w:type="dxa"/>
            <w:tcBorders>
              <w:top w:val="single" w:color="auto" w:sz="12" w:space="0"/>
              <w:bottom w:val="double" w:color="auto" w:sz="6" w:space="0"/>
            </w:tcBorders>
            <w:noWrap w:val="0"/>
            <w:vAlign w:val="center"/>
          </w:tcPr>
          <w:p>
            <w:pPr>
              <w:pStyle w:val="5"/>
              <w:wordWrap/>
              <w:topLinePunct w:val="0"/>
              <w:spacing w:after="0" w:afterLines="0" w:line="240" w:lineRule="auto"/>
              <w:ind w:firstLine="0" w:firstLineChars="0"/>
              <w:jc w:val="center"/>
              <w:rPr>
                <w:rFonts w:ascii="仿宋_GB2312" w:eastAsia="仿宋_GB2312"/>
                <w:sz w:val="21"/>
                <w:highlight w:val="none"/>
              </w:rPr>
            </w:pPr>
            <w:r>
              <w:rPr>
                <w:rFonts w:hint="eastAsia" w:ascii="仿宋_GB2312" w:eastAsia="仿宋_GB2312"/>
                <w:sz w:val="21"/>
                <w:highlight w:val="none"/>
              </w:rPr>
              <w:t>送达地点</w:t>
            </w:r>
          </w:p>
        </w:tc>
        <w:tc>
          <w:tcPr>
            <w:tcW w:w="709" w:type="dxa"/>
            <w:tcBorders>
              <w:top w:val="single" w:color="auto" w:sz="12" w:space="0"/>
              <w:bottom w:val="double" w:color="auto" w:sz="6" w:space="0"/>
            </w:tcBorders>
            <w:noWrap w:val="0"/>
            <w:vAlign w:val="center"/>
          </w:tcPr>
          <w:p>
            <w:pPr>
              <w:pStyle w:val="5"/>
              <w:wordWrap/>
              <w:topLinePunct w:val="0"/>
              <w:spacing w:after="0" w:afterLines="0" w:line="240" w:lineRule="auto"/>
              <w:ind w:firstLine="0" w:firstLineChars="0"/>
              <w:jc w:val="center"/>
              <w:rPr>
                <w:rFonts w:ascii="仿宋_GB2312" w:eastAsia="仿宋_GB2312"/>
                <w:sz w:val="21"/>
                <w:highlight w:val="none"/>
              </w:rPr>
            </w:pPr>
            <w:r>
              <w:rPr>
                <w:rFonts w:hint="eastAsia" w:ascii="仿宋_GB2312" w:eastAsia="仿宋_GB2312"/>
                <w:sz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noWrap w:val="0"/>
            <w:vAlign w:val="center"/>
          </w:tcPr>
          <w:p>
            <w:pPr>
              <w:pStyle w:val="5"/>
              <w:wordWrap/>
              <w:topLinePunct w:val="0"/>
              <w:rPr>
                <w:rFonts w:ascii="仿宋_GB2312" w:eastAsia="仿宋_GB2312"/>
                <w:highlight w:val="none"/>
              </w:rPr>
            </w:pPr>
          </w:p>
        </w:tc>
        <w:tc>
          <w:tcPr>
            <w:tcW w:w="1165" w:type="dxa"/>
            <w:tcBorders>
              <w:top w:val="double" w:color="auto" w:sz="6" w:space="0"/>
              <w:bottom w:val="single" w:color="auto" w:sz="6" w:space="0"/>
            </w:tcBorders>
            <w:noWrap w:val="0"/>
            <w:vAlign w:val="center"/>
          </w:tcPr>
          <w:p>
            <w:pPr>
              <w:pStyle w:val="5"/>
              <w:wordWrap/>
              <w:topLinePunct w:val="0"/>
              <w:rPr>
                <w:rFonts w:ascii="仿宋_GB2312" w:eastAsia="仿宋_GB2312"/>
                <w:highlight w:val="none"/>
              </w:rPr>
            </w:pPr>
          </w:p>
        </w:tc>
        <w:tc>
          <w:tcPr>
            <w:tcW w:w="1126" w:type="dxa"/>
            <w:tcBorders>
              <w:top w:val="double" w:color="auto" w:sz="6" w:space="0"/>
              <w:bottom w:val="single" w:color="auto" w:sz="6" w:space="0"/>
            </w:tcBorders>
            <w:noWrap w:val="0"/>
            <w:vAlign w:val="center"/>
          </w:tcPr>
          <w:p>
            <w:pPr>
              <w:pStyle w:val="5"/>
              <w:wordWrap/>
              <w:topLinePunct w:val="0"/>
              <w:rPr>
                <w:rFonts w:ascii="仿宋_GB2312" w:eastAsia="仿宋_GB2312"/>
                <w:highlight w:val="none"/>
              </w:rPr>
            </w:pPr>
          </w:p>
        </w:tc>
        <w:tc>
          <w:tcPr>
            <w:tcW w:w="567" w:type="dxa"/>
            <w:tcBorders>
              <w:top w:val="double" w:color="auto" w:sz="6" w:space="0"/>
              <w:bottom w:val="single" w:color="auto" w:sz="6" w:space="0"/>
            </w:tcBorders>
            <w:noWrap w:val="0"/>
            <w:vAlign w:val="center"/>
          </w:tcPr>
          <w:p>
            <w:pPr>
              <w:pStyle w:val="5"/>
              <w:wordWrap/>
              <w:topLinePunct w:val="0"/>
              <w:rPr>
                <w:rFonts w:ascii="仿宋_GB2312" w:eastAsia="仿宋_GB2312"/>
                <w:highlight w:val="none"/>
              </w:rPr>
            </w:pPr>
          </w:p>
        </w:tc>
        <w:tc>
          <w:tcPr>
            <w:tcW w:w="686" w:type="dxa"/>
            <w:tcBorders>
              <w:top w:val="double" w:color="auto" w:sz="6" w:space="0"/>
              <w:bottom w:val="single" w:color="auto" w:sz="6" w:space="0"/>
            </w:tcBorders>
            <w:noWrap w:val="0"/>
            <w:vAlign w:val="center"/>
          </w:tcPr>
          <w:p>
            <w:pPr>
              <w:pStyle w:val="5"/>
              <w:wordWrap/>
              <w:topLinePunct w:val="0"/>
              <w:rPr>
                <w:rFonts w:ascii="仿宋_GB2312" w:eastAsia="仿宋_GB2312"/>
                <w:highlight w:val="none"/>
              </w:rPr>
            </w:pPr>
          </w:p>
        </w:tc>
        <w:tc>
          <w:tcPr>
            <w:tcW w:w="992" w:type="dxa"/>
            <w:tcBorders>
              <w:top w:val="double" w:color="auto" w:sz="6" w:space="0"/>
              <w:bottom w:val="single" w:color="auto" w:sz="6" w:space="0"/>
            </w:tcBorders>
            <w:noWrap w:val="0"/>
            <w:vAlign w:val="top"/>
          </w:tcPr>
          <w:p>
            <w:pPr>
              <w:pStyle w:val="5"/>
              <w:wordWrap/>
              <w:topLinePunct w:val="0"/>
              <w:rPr>
                <w:rFonts w:ascii="仿宋_GB2312" w:eastAsia="仿宋_GB2312"/>
                <w:highlight w:val="none"/>
              </w:rPr>
            </w:pPr>
          </w:p>
        </w:tc>
        <w:tc>
          <w:tcPr>
            <w:tcW w:w="1134" w:type="dxa"/>
            <w:tcBorders>
              <w:top w:val="double" w:color="auto" w:sz="6" w:space="0"/>
              <w:bottom w:val="single" w:color="auto" w:sz="6" w:space="0"/>
            </w:tcBorders>
            <w:noWrap w:val="0"/>
            <w:vAlign w:val="center"/>
          </w:tcPr>
          <w:p>
            <w:pPr>
              <w:pStyle w:val="5"/>
              <w:wordWrap/>
              <w:topLinePunct w:val="0"/>
              <w:rPr>
                <w:rFonts w:ascii="仿宋_GB2312" w:eastAsia="仿宋_GB2312"/>
                <w:highlight w:val="none"/>
              </w:rPr>
            </w:pPr>
          </w:p>
        </w:tc>
        <w:tc>
          <w:tcPr>
            <w:tcW w:w="1134" w:type="dxa"/>
            <w:tcBorders>
              <w:top w:val="double" w:color="auto" w:sz="6" w:space="0"/>
              <w:bottom w:val="single" w:color="auto" w:sz="6" w:space="0"/>
            </w:tcBorders>
            <w:noWrap w:val="0"/>
            <w:vAlign w:val="center"/>
          </w:tcPr>
          <w:p>
            <w:pPr>
              <w:pStyle w:val="5"/>
              <w:wordWrap/>
              <w:topLinePunct w:val="0"/>
              <w:rPr>
                <w:rFonts w:ascii="仿宋_GB2312" w:eastAsia="仿宋_GB2312"/>
                <w:highlight w:val="none"/>
              </w:rPr>
            </w:pPr>
          </w:p>
        </w:tc>
        <w:tc>
          <w:tcPr>
            <w:tcW w:w="1134" w:type="dxa"/>
            <w:tcBorders>
              <w:top w:val="double" w:color="auto" w:sz="6" w:space="0"/>
              <w:bottom w:val="single" w:color="auto" w:sz="6" w:space="0"/>
            </w:tcBorders>
            <w:noWrap w:val="0"/>
            <w:vAlign w:val="center"/>
          </w:tcPr>
          <w:p>
            <w:pPr>
              <w:pStyle w:val="5"/>
              <w:wordWrap/>
              <w:topLinePunct w:val="0"/>
              <w:rPr>
                <w:rFonts w:ascii="仿宋_GB2312" w:eastAsia="仿宋_GB2312"/>
                <w:highlight w:val="none"/>
              </w:rPr>
            </w:pPr>
          </w:p>
        </w:tc>
        <w:tc>
          <w:tcPr>
            <w:tcW w:w="709" w:type="dxa"/>
            <w:tcBorders>
              <w:top w:val="double" w:color="auto" w:sz="6" w:space="0"/>
              <w:bottom w:val="single" w:color="auto" w:sz="6" w:space="0"/>
            </w:tcBorders>
            <w:noWrap w:val="0"/>
            <w:vAlign w:val="center"/>
          </w:tcPr>
          <w:p>
            <w:pPr>
              <w:pStyle w:val="5"/>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noWrap w:val="0"/>
            <w:vAlign w:val="center"/>
          </w:tcPr>
          <w:p>
            <w:pPr>
              <w:pStyle w:val="5"/>
              <w:wordWrap/>
              <w:topLinePunct w:val="0"/>
              <w:rPr>
                <w:rFonts w:ascii="仿宋_GB2312" w:eastAsia="仿宋_GB2312"/>
                <w:highlight w:val="none"/>
              </w:rPr>
            </w:pPr>
          </w:p>
        </w:tc>
        <w:tc>
          <w:tcPr>
            <w:tcW w:w="1165" w:type="dxa"/>
            <w:tcBorders>
              <w:top w:val="nil"/>
            </w:tcBorders>
            <w:noWrap w:val="0"/>
            <w:vAlign w:val="center"/>
          </w:tcPr>
          <w:p>
            <w:pPr>
              <w:pStyle w:val="5"/>
              <w:wordWrap/>
              <w:topLinePunct w:val="0"/>
              <w:rPr>
                <w:rFonts w:ascii="仿宋_GB2312" w:eastAsia="仿宋_GB2312"/>
                <w:highlight w:val="none"/>
              </w:rPr>
            </w:pPr>
          </w:p>
        </w:tc>
        <w:tc>
          <w:tcPr>
            <w:tcW w:w="1126" w:type="dxa"/>
            <w:tcBorders>
              <w:top w:val="nil"/>
            </w:tcBorders>
            <w:noWrap w:val="0"/>
            <w:vAlign w:val="center"/>
          </w:tcPr>
          <w:p>
            <w:pPr>
              <w:pStyle w:val="5"/>
              <w:wordWrap/>
              <w:topLinePunct w:val="0"/>
              <w:rPr>
                <w:rFonts w:ascii="仿宋_GB2312" w:eastAsia="仿宋_GB2312"/>
                <w:highlight w:val="none"/>
              </w:rPr>
            </w:pPr>
          </w:p>
        </w:tc>
        <w:tc>
          <w:tcPr>
            <w:tcW w:w="567" w:type="dxa"/>
            <w:tcBorders>
              <w:top w:val="nil"/>
            </w:tcBorders>
            <w:noWrap w:val="0"/>
            <w:vAlign w:val="center"/>
          </w:tcPr>
          <w:p>
            <w:pPr>
              <w:pStyle w:val="5"/>
              <w:wordWrap/>
              <w:topLinePunct w:val="0"/>
              <w:rPr>
                <w:rFonts w:ascii="仿宋_GB2312" w:eastAsia="仿宋_GB2312"/>
                <w:highlight w:val="none"/>
              </w:rPr>
            </w:pPr>
          </w:p>
        </w:tc>
        <w:tc>
          <w:tcPr>
            <w:tcW w:w="686" w:type="dxa"/>
            <w:tcBorders>
              <w:top w:val="nil"/>
            </w:tcBorders>
            <w:noWrap w:val="0"/>
            <w:vAlign w:val="center"/>
          </w:tcPr>
          <w:p>
            <w:pPr>
              <w:pStyle w:val="5"/>
              <w:wordWrap/>
              <w:topLinePunct w:val="0"/>
              <w:rPr>
                <w:rFonts w:ascii="仿宋_GB2312" w:eastAsia="仿宋_GB2312"/>
                <w:highlight w:val="none"/>
              </w:rPr>
            </w:pPr>
          </w:p>
        </w:tc>
        <w:tc>
          <w:tcPr>
            <w:tcW w:w="992" w:type="dxa"/>
            <w:tcBorders>
              <w:top w:val="nil"/>
            </w:tcBorders>
            <w:noWrap w:val="0"/>
            <w:vAlign w:val="top"/>
          </w:tcPr>
          <w:p>
            <w:pPr>
              <w:pStyle w:val="5"/>
              <w:wordWrap/>
              <w:topLinePunct w:val="0"/>
              <w:rPr>
                <w:rFonts w:ascii="仿宋_GB2312" w:eastAsia="仿宋_GB2312"/>
                <w:highlight w:val="none"/>
              </w:rPr>
            </w:pPr>
          </w:p>
        </w:tc>
        <w:tc>
          <w:tcPr>
            <w:tcW w:w="1134" w:type="dxa"/>
            <w:tcBorders>
              <w:top w:val="nil"/>
            </w:tcBorders>
            <w:noWrap w:val="0"/>
            <w:vAlign w:val="center"/>
          </w:tcPr>
          <w:p>
            <w:pPr>
              <w:pStyle w:val="5"/>
              <w:wordWrap/>
              <w:topLinePunct w:val="0"/>
              <w:rPr>
                <w:rFonts w:ascii="仿宋_GB2312" w:eastAsia="仿宋_GB2312"/>
                <w:highlight w:val="none"/>
              </w:rPr>
            </w:pPr>
          </w:p>
        </w:tc>
        <w:tc>
          <w:tcPr>
            <w:tcW w:w="1134" w:type="dxa"/>
            <w:tcBorders>
              <w:top w:val="nil"/>
            </w:tcBorders>
            <w:noWrap w:val="0"/>
            <w:vAlign w:val="center"/>
          </w:tcPr>
          <w:p>
            <w:pPr>
              <w:pStyle w:val="5"/>
              <w:wordWrap/>
              <w:topLinePunct w:val="0"/>
              <w:rPr>
                <w:rFonts w:ascii="仿宋_GB2312" w:eastAsia="仿宋_GB2312"/>
                <w:highlight w:val="none"/>
              </w:rPr>
            </w:pPr>
          </w:p>
        </w:tc>
        <w:tc>
          <w:tcPr>
            <w:tcW w:w="1134" w:type="dxa"/>
            <w:tcBorders>
              <w:top w:val="nil"/>
            </w:tcBorders>
            <w:noWrap w:val="0"/>
            <w:vAlign w:val="center"/>
          </w:tcPr>
          <w:p>
            <w:pPr>
              <w:pStyle w:val="5"/>
              <w:wordWrap/>
              <w:topLinePunct w:val="0"/>
              <w:rPr>
                <w:rFonts w:ascii="仿宋_GB2312" w:eastAsia="仿宋_GB2312"/>
                <w:highlight w:val="none"/>
              </w:rPr>
            </w:pPr>
          </w:p>
        </w:tc>
        <w:tc>
          <w:tcPr>
            <w:tcW w:w="709" w:type="dxa"/>
            <w:tcBorders>
              <w:top w:val="nil"/>
            </w:tcBorders>
            <w:noWrap w:val="0"/>
            <w:vAlign w:val="center"/>
          </w:tcPr>
          <w:p>
            <w:pPr>
              <w:pStyle w:val="5"/>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5"/>
              <w:wordWrap/>
              <w:topLinePunct w:val="0"/>
              <w:rPr>
                <w:rFonts w:ascii="仿宋_GB2312" w:eastAsia="仿宋_GB2312"/>
                <w:highlight w:val="none"/>
              </w:rPr>
            </w:pPr>
          </w:p>
        </w:tc>
        <w:tc>
          <w:tcPr>
            <w:tcW w:w="1165" w:type="dxa"/>
            <w:noWrap w:val="0"/>
            <w:vAlign w:val="center"/>
          </w:tcPr>
          <w:p>
            <w:pPr>
              <w:pStyle w:val="5"/>
              <w:wordWrap/>
              <w:topLinePunct w:val="0"/>
              <w:rPr>
                <w:rFonts w:ascii="仿宋_GB2312" w:eastAsia="仿宋_GB2312"/>
                <w:highlight w:val="none"/>
              </w:rPr>
            </w:pPr>
          </w:p>
        </w:tc>
        <w:tc>
          <w:tcPr>
            <w:tcW w:w="1126" w:type="dxa"/>
            <w:noWrap w:val="0"/>
            <w:vAlign w:val="center"/>
          </w:tcPr>
          <w:p>
            <w:pPr>
              <w:pStyle w:val="5"/>
              <w:wordWrap/>
              <w:topLinePunct w:val="0"/>
              <w:rPr>
                <w:rFonts w:ascii="仿宋_GB2312" w:eastAsia="仿宋_GB2312"/>
                <w:highlight w:val="none"/>
              </w:rPr>
            </w:pPr>
          </w:p>
        </w:tc>
        <w:tc>
          <w:tcPr>
            <w:tcW w:w="567" w:type="dxa"/>
            <w:noWrap w:val="0"/>
            <w:vAlign w:val="center"/>
          </w:tcPr>
          <w:p>
            <w:pPr>
              <w:pStyle w:val="5"/>
              <w:wordWrap/>
              <w:topLinePunct w:val="0"/>
              <w:rPr>
                <w:rFonts w:ascii="仿宋_GB2312" w:eastAsia="仿宋_GB2312"/>
                <w:highlight w:val="none"/>
              </w:rPr>
            </w:pPr>
          </w:p>
        </w:tc>
        <w:tc>
          <w:tcPr>
            <w:tcW w:w="686" w:type="dxa"/>
            <w:noWrap w:val="0"/>
            <w:vAlign w:val="center"/>
          </w:tcPr>
          <w:p>
            <w:pPr>
              <w:pStyle w:val="5"/>
              <w:wordWrap/>
              <w:topLinePunct w:val="0"/>
              <w:rPr>
                <w:rFonts w:ascii="仿宋_GB2312" w:eastAsia="仿宋_GB2312"/>
                <w:highlight w:val="none"/>
              </w:rPr>
            </w:pPr>
          </w:p>
        </w:tc>
        <w:tc>
          <w:tcPr>
            <w:tcW w:w="992" w:type="dxa"/>
            <w:noWrap w:val="0"/>
            <w:vAlign w:val="top"/>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709" w:type="dxa"/>
            <w:noWrap w:val="0"/>
            <w:vAlign w:val="center"/>
          </w:tcPr>
          <w:p>
            <w:pPr>
              <w:pStyle w:val="5"/>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5"/>
              <w:wordWrap/>
              <w:topLinePunct w:val="0"/>
              <w:rPr>
                <w:rFonts w:ascii="仿宋_GB2312" w:eastAsia="仿宋_GB2312"/>
                <w:highlight w:val="none"/>
              </w:rPr>
            </w:pPr>
          </w:p>
        </w:tc>
        <w:tc>
          <w:tcPr>
            <w:tcW w:w="1165" w:type="dxa"/>
            <w:noWrap w:val="0"/>
            <w:vAlign w:val="center"/>
          </w:tcPr>
          <w:p>
            <w:pPr>
              <w:pStyle w:val="5"/>
              <w:wordWrap/>
              <w:topLinePunct w:val="0"/>
              <w:rPr>
                <w:rFonts w:ascii="仿宋_GB2312" w:eastAsia="仿宋_GB2312"/>
                <w:highlight w:val="none"/>
              </w:rPr>
            </w:pPr>
          </w:p>
        </w:tc>
        <w:tc>
          <w:tcPr>
            <w:tcW w:w="1126" w:type="dxa"/>
            <w:noWrap w:val="0"/>
            <w:vAlign w:val="center"/>
          </w:tcPr>
          <w:p>
            <w:pPr>
              <w:pStyle w:val="5"/>
              <w:wordWrap/>
              <w:topLinePunct w:val="0"/>
              <w:rPr>
                <w:rFonts w:ascii="仿宋_GB2312" w:eastAsia="仿宋_GB2312"/>
                <w:highlight w:val="none"/>
              </w:rPr>
            </w:pPr>
          </w:p>
        </w:tc>
        <w:tc>
          <w:tcPr>
            <w:tcW w:w="567" w:type="dxa"/>
            <w:noWrap w:val="0"/>
            <w:vAlign w:val="center"/>
          </w:tcPr>
          <w:p>
            <w:pPr>
              <w:pStyle w:val="5"/>
              <w:wordWrap/>
              <w:topLinePunct w:val="0"/>
              <w:rPr>
                <w:rFonts w:ascii="仿宋_GB2312" w:eastAsia="仿宋_GB2312"/>
                <w:highlight w:val="none"/>
              </w:rPr>
            </w:pPr>
          </w:p>
        </w:tc>
        <w:tc>
          <w:tcPr>
            <w:tcW w:w="686" w:type="dxa"/>
            <w:noWrap w:val="0"/>
            <w:vAlign w:val="center"/>
          </w:tcPr>
          <w:p>
            <w:pPr>
              <w:pStyle w:val="5"/>
              <w:wordWrap/>
              <w:topLinePunct w:val="0"/>
              <w:rPr>
                <w:rFonts w:ascii="仿宋_GB2312" w:eastAsia="仿宋_GB2312"/>
                <w:highlight w:val="none"/>
              </w:rPr>
            </w:pPr>
          </w:p>
        </w:tc>
        <w:tc>
          <w:tcPr>
            <w:tcW w:w="992" w:type="dxa"/>
            <w:noWrap w:val="0"/>
            <w:vAlign w:val="top"/>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709" w:type="dxa"/>
            <w:noWrap w:val="0"/>
            <w:vAlign w:val="center"/>
          </w:tcPr>
          <w:p>
            <w:pPr>
              <w:pStyle w:val="5"/>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5"/>
              <w:wordWrap/>
              <w:topLinePunct w:val="0"/>
              <w:rPr>
                <w:rFonts w:ascii="仿宋_GB2312" w:eastAsia="仿宋_GB2312"/>
                <w:highlight w:val="none"/>
              </w:rPr>
            </w:pPr>
          </w:p>
        </w:tc>
        <w:tc>
          <w:tcPr>
            <w:tcW w:w="1165" w:type="dxa"/>
            <w:noWrap w:val="0"/>
            <w:vAlign w:val="center"/>
          </w:tcPr>
          <w:p>
            <w:pPr>
              <w:pStyle w:val="5"/>
              <w:wordWrap/>
              <w:topLinePunct w:val="0"/>
              <w:rPr>
                <w:rFonts w:ascii="仿宋_GB2312" w:eastAsia="仿宋_GB2312"/>
                <w:highlight w:val="none"/>
              </w:rPr>
            </w:pPr>
          </w:p>
        </w:tc>
        <w:tc>
          <w:tcPr>
            <w:tcW w:w="1126" w:type="dxa"/>
            <w:noWrap w:val="0"/>
            <w:vAlign w:val="center"/>
          </w:tcPr>
          <w:p>
            <w:pPr>
              <w:pStyle w:val="5"/>
              <w:wordWrap/>
              <w:topLinePunct w:val="0"/>
              <w:rPr>
                <w:rFonts w:ascii="仿宋_GB2312" w:eastAsia="仿宋_GB2312"/>
                <w:highlight w:val="none"/>
              </w:rPr>
            </w:pPr>
          </w:p>
        </w:tc>
        <w:tc>
          <w:tcPr>
            <w:tcW w:w="567" w:type="dxa"/>
            <w:noWrap w:val="0"/>
            <w:vAlign w:val="center"/>
          </w:tcPr>
          <w:p>
            <w:pPr>
              <w:pStyle w:val="5"/>
              <w:wordWrap/>
              <w:topLinePunct w:val="0"/>
              <w:rPr>
                <w:rFonts w:ascii="仿宋_GB2312" w:eastAsia="仿宋_GB2312"/>
                <w:highlight w:val="none"/>
              </w:rPr>
            </w:pPr>
          </w:p>
        </w:tc>
        <w:tc>
          <w:tcPr>
            <w:tcW w:w="686" w:type="dxa"/>
            <w:noWrap w:val="0"/>
            <w:vAlign w:val="center"/>
          </w:tcPr>
          <w:p>
            <w:pPr>
              <w:pStyle w:val="5"/>
              <w:wordWrap/>
              <w:topLinePunct w:val="0"/>
              <w:rPr>
                <w:rFonts w:ascii="仿宋_GB2312" w:eastAsia="仿宋_GB2312"/>
                <w:highlight w:val="none"/>
              </w:rPr>
            </w:pPr>
          </w:p>
        </w:tc>
        <w:tc>
          <w:tcPr>
            <w:tcW w:w="992" w:type="dxa"/>
            <w:noWrap w:val="0"/>
            <w:vAlign w:val="top"/>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709" w:type="dxa"/>
            <w:noWrap w:val="0"/>
            <w:vAlign w:val="center"/>
          </w:tcPr>
          <w:p>
            <w:pPr>
              <w:pStyle w:val="5"/>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5"/>
              <w:wordWrap/>
              <w:topLinePunct w:val="0"/>
              <w:rPr>
                <w:rFonts w:ascii="仿宋_GB2312" w:eastAsia="仿宋_GB2312"/>
                <w:highlight w:val="none"/>
              </w:rPr>
            </w:pPr>
          </w:p>
        </w:tc>
        <w:tc>
          <w:tcPr>
            <w:tcW w:w="1165" w:type="dxa"/>
            <w:noWrap w:val="0"/>
            <w:vAlign w:val="center"/>
          </w:tcPr>
          <w:p>
            <w:pPr>
              <w:pStyle w:val="5"/>
              <w:wordWrap/>
              <w:topLinePunct w:val="0"/>
              <w:rPr>
                <w:rFonts w:ascii="仿宋_GB2312" w:eastAsia="仿宋_GB2312"/>
                <w:highlight w:val="none"/>
              </w:rPr>
            </w:pPr>
          </w:p>
        </w:tc>
        <w:tc>
          <w:tcPr>
            <w:tcW w:w="1126" w:type="dxa"/>
            <w:noWrap w:val="0"/>
            <w:vAlign w:val="center"/>
          </w:tcPr>
          <w:p>
            <w:pPr>
              <w:pStyle w:val="5"/>
              <w:wordWrap/>
              <w:topLinePunct w:val="0"/>
              <w:rPr>
                <w:rFonts w:ascii="仿宋_GB2312" w:eastAsia="仿宋_GB2312"/>
                <w:highlight w:val="none"/>
              </w:rPr>
            </w:pPr>
          </w:p>
        </w:tc>
        <w:tc>
          <w:tcPr>
            <w:tcW w:w="567" w:type="dxa"/>
            <w:noWrap w:val="0"/>
            <w:vAlign w:val="center"/>
          </w:tcPr>
          <w:p>
            <w:pPr>
              <w:pStyle w:val="5"/>
              <w:wordWrap/>
              <w:topLinePunct w:val="0"/>
              <w:rPr>
                <w:rFonts w:ascii="仿宋_GB2312" w:eastAsia="仿宋_GB2312"/>
                <w:highlight w:val="none"/>
              </w:rPr>
            </w:pPr>
          </w:p>
        </w:tc>
        <w:tc>
          <w:tcPr>
            <w:tcW w:w="686" w:type="dxa"/>
            <w:noWrap w:val="0"/>
            <w:vAlign w:val="center"/>
          </w:tcPr>
          <w:p>
            <w:pPr>
              <w:pStyle w:val="5"/>
              <w:wordWrap/>
              <w:topLinePunct w:val="0"/>
              <w:rPr>
                <w:rFonts w:ascii="仿宋_GB2312" w:eastAsia="仿宋_GB2312"/>
                <w:highlight w:val="none"/>
              </w:rPr>
            </w:pPr>
          </w:p>
        </w:tc>
        <w:tc>
          <w:tcPr>
            <w:tcW w:w="992" w:type="dxa"/>
            <w:noWrap w:val="0"/>
            <w:vAlign w:val="top"/>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709" w:type="dxa"/>
            <w:noWrap w:val="0"/>
            <w:vAlign w:val="center"/>
          </w:tcPr>
          <w:p>
            <w:pPr>
              <w:pStyle w:val="5"/>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5"/>
              <w:wordWrap/>
              <w:topLinePunct w:val="0"/>
              <w:rPr>
                <w:rFonts w:ascii="仿宋_GB2312" w:eastAsia="仿宋_GB2312"/>
                <w:highlight w:val="none"/>
              </w:rPr>
            </w:pPr>
          </w:p>
        </w:tc>
        <w:tc>
          <w:tcPr>
            <w:tcW w:w="1165" w:type="dxa"/>
            <w:noWrap w:val="0"/>
            <w:vAlign w:val="center"/>
          </w:tcPr>
          <w:p>
            <w:pPr>
              <w:pStyle w:val="5"/>
              <w:wordWrap/>
              <w:topLinePunct w:val="0"/>
              <w:rPr>
                <w:rFonts w:ascii="仿宋_GB2312" w:eastAsia="仿宋_GB2312"/>
                <w:highlight w:val="none"/>
              </w:rPr>
            </w:pPr>
          </w:p>
        </w:tc>
        <w:tc>
          <w:tcPr>
            <w:tcW w:w="1126" w:type="dxa"/>
            <w:noWrap w:val="0"/>
            <w:vAlign w:val="center"/>
          </w:tcPr>
          <w:p>
            <w:pPr>
              <w:pStyle w:val="5"/>
              <w:wordWrap/>
              <w:topLinePunct w:val="0"/>
              <w:rPr>
                <w:rFonts w:ascii="仿宋_GB2312" w:eastAsia="仿宋_GB2312"/>
                <w:highlight w:val="none"/>
              </w:rPr>
            </w:pPr>
          </w:p>
        </w:tc>
        <w:tc>
          <w:tcPr>
            <w:tcW w:w="567" w:type="dxa"/>
            <w:noWrap w:val="0"/>
            <w:vAlign w:val="center"/>
          </w:tcPr>
          <w:p>
            <w:pPr>
              <w:pStyle w:val="5"/>
              <w:wordWrap/>
              <w:topLinePunct w:val="0"/>
              <w:rPr>
                <w:rFonts w:ascii="仿宋_GB2312" w:eastAsia="仿宋_GB2312"/>
                <w:highlight w:val="none"/>
              </w:rPr>
            </w:pPr>
          </w:p>
        </w:tc>
        <w:tc>
          <w:tcPr>
            <w:tcW w:w="686" w:type="dxa"/>
            <w:noWrap w:val="0"/>
            <w:vAlign w:val="center"/>
          </w:tcPr>
          <w:p>
            <w:pPr>
              <w:pStyle w:val="5"/>
              <w:wordWrap/>
              <w:topLinePunct w:val="0"/>
              <w:rPr>
                <w:rFonts w:ascii="仿宋_GB2312" w:eastAsia="仿宋_GB2312"/>
                <w:highlight w:val="none"/>
              </w:rPr>
            </w:pPr>
          </w:p>
        </w:tc>
        <w:tc>
          <w:tcPr>
            <w:tcW w:w="992" w:type="dxa"/>
            <w:noWrap w:val="0"/>
            <w:vAlign w:val="top"/>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709" w:type="dxa"/>
            <w:noWrap w:val="0"/>
            <w:vAlign w:val="center"/>
          </w:tcPr>
          <w:p>
            <w:pPr>
              <w:pStyle w:val="5"/>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5"/>
              <w:wordWrap/>
              <w:topLinePunct w:val="0"/>
              <w:rPr>
                <w:rFonts w:ascii="仿宋_GB2312" w:eastAsia="仿宋_GB2312"/>
                <w:highlight w:val="none"/>
              </w:rPr>
            </w:pPr>
          </w:p>
        </w:tc>
        <w:tc>
          <w:tcPr>
            <w:tcW w:w="1165" w:type="dxa"/>
            <w:noWrap w:val="0"/>
            <w:vAlign w:val="center"/>
          </w:tcPr>
          <w:p>
            <w:pPr>
              <w:pStyle w:val="5"/>
              <w:wordWrap/>
              <w:topLinePunct w:val="0"/>
              <w:rPr>
                <w:rFonts w:ascii="仿宋_GB2312" w:eastAsia="仿宋_GB2312"/>
                <w:highlight w:val="none"/>
              </w:rPr>
            </w:pPr>
          </w:p>
        </w:tc>
        <w:tc>
          <w:tcPr>
            <w:tcW w:w="1126" w:type="dxa"/>
            <w:noWrap w:val="0"/>
            <w:vAlign w:val="center"/>
          </w:tcPr>
          <w:p>
            <w:pPr>
              <w:pStyle w:val="5"/>
              <w:wordWrap/>
              <w:topLinePunct w:val="0"/>
              <w:rPr>
                <w:rFonts w:ascii="仿宋_GB2312" w:eastAsia="仿宋_GB2312"/>
                <w:highlight w:val="none"/>
              </w:rPr>
            </w:pPr>
          </w:p>
        </w:tc>
        <w:tc>
          <w:tcPr>
            <w:tcW w:w="567" w:type="dxa"/>
            <w:noWrap w:val="0"/>
            <w:vAlign w:val="center"/>
          </w:tcPr>
          <w:p>
            <w:pPr>
              <w:pStyle w:val="5"/>
              <w:wordWrap/>
              <w:topLinePunct w:val="0"/>
              <w:rPr>
                <w:rFonts w:ascii="仿宋_GB2312" w:eastAsia="仿宋_GB2312"/>
                <w:highlight w:val="none"/>
              </w:rPr>
            </w:pPr>
          </w:p>
        </w:tc>
        <w:tc>
          <w:tcPr>
            <w:tcW w:w="686" w:type="dxa"/>
            <w:noWrap w:val="0"/>
            <w:vAlign w:val="center"/>
          </w:tcPr>
          <w:p>
            <w:pPr>
              <w:pStyle w:val="5"/>
              <w:wordWrap/>
              <w:topLinePunct w:val="0"/>
              <w:rPr>
                <w:rFonts w:ascii="仿宋_GB2312" w:eastAsia="仿宋_GB2312"/>
                <w:highlight w:val="none"/>
              </w:rPr>
            </w:pPr>
          </w:p>
        </w:tc>
        <w:tc>
          <w:tcPr>
            <w:tcW w:w="992" w:type="dxa"/>
            <w:noWrap w:val="0"/>
            <w:vAlign w:val="top"/>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709" w:type="dxa"/>
            <w:noWrap w:val="0"/>
            <w:vAlign w:val="center"/>
          </w:tcPr>
          <w:p>
            <w:pPr>
              <w:pStyle w:val="5"/>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highlight w:val="none"/>
              </w:rPr>
            </w:pPr>
          </w:p>
        </w:tc>
        <w:tc>
          <w:tcPr>
            <w:tcW w:w="1165" w:type="dxa"/>
            <w:noWrap w:val="0"/>
            <w:vAlign w:val="center"/>
          </w:tcPr>
          <w:p>
            <w:pPr>
              <w:wordWrap/>
              <w:topLinePunct w:val="0"/>
              <w:rPr>
                <w:rFonts w:ascii="仿宋_GB2312" w:eastAsia="仿宋_GB2312"/>
                <w:highlight w:val="none"/>
              </w:rPr>
            </w:pPr>
          </w:p>
        </w:tc>
        <w:tc>
          <w:tcPr>
            <w:tcW w:w="1126" w:type="dxa"/>
            <w:noWrap w:val="0"/>
            <w:vAlign w:val="center"/>
          </w:tcPr>
          <w:p>
            <w:pPr>
              <w:wordWrap/>
              <w:topLinePunct w:val="0"/>
              <w:rPr>
                <w:rFonts w:ascii="仿宋_GB2312" w:eastAsia="仿宋_GB2312"/>
                <w:highlight w:val="none"/>
              </w:rPr>
            </w:pPr>
          </w:p>
        </w:tc>
        <w:tc>
          <w:tcPr>
            <w:tcW w:w="567" w:type="dxa"/>
            <w:noWrap w:val="0"/>
            <w:vAlign w:val="center"/>
          </w:tcPr>
          <w:p>
            <w:pPr>
              <w:wordWrap/>
              <w:topLinePunct w:val="0"/>
              <w:rPr>
                <w:rFonts w:ascii="仿宋_GB2312" w:eastAsia="仿宋_GB2312"/>
                <w:highlight w:val="none"/>
              </w:rPr>
            </w:pPr>
          </w:p>
        </w:tc>
        <w:tc>
          <w:tcPr>
            <w:tcW w:w="686" w:type="dxa"/>
            <w:noWrap w:val="0"/>
            <w:vAlign w:val="center"/>
          </w:tcPr>
          <w:p>
            <w:pPr>
              <w:wordWrap/>
              <w:topLinePunct w:val="0"/>
              <w:rPr>
                <w:rFonts w:ascii="仿宋_GB2312" w:eastAsia="仿宋_GB2312"/>
                <w:highlight w:val="none"/>
              </w:rPr>
            </w:pPr>
          </w:p>
        </w:tc>
        <w:tc>
          <w:tcPr>
            <w:tcW w:w="992" w:type="dxa"/>
            <w:noWrap w:val="0"/>
            <w:vAlign w:val="top"/>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709" w:type="dxa"/>
            <w:noWrap w:val="0"/>
            <w:vAlign w:val="center"/>
          </w:tcPr>
          <w:p>
            <w:pPr>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5"/>
              <w:wordWrap/>
              <w:topLinePunct w:val="0"/>
              <w:rPr>
                <w:rFonts w:ascii="仿宋_GB2312" w:eastAsia="仿宋_GB2312"/>
                <w:highlight w:val="none"/>
              </w:rPr>
            </w:pPr>
          </w:p>
        </w:tc>
        <w:tc>
          <w:tcPr>
            <w:tcW w:w="1165" w:type="dxa"/>
            <w:noWrap w:val="0"/>
            <w:vAlign w:val="center"/>
          </w:tcPr>
          <w:p>
            <w:pPr>
              <w:pStyle w:val="5"/>
              <w:wordWrap/>
              <w:topLinePunct w:val="0"/>
              <w:rPr>
                <w:rFonts w:ascii="仿宋_GB2312" w:eastAsia="仿宋_GB2312"/>
                <w:highlight w:val="none"/>
              </w:rPr>
            </w:pPr>
          </w:p>
        </w:tc>
        <w:tc>
          <w:tcPr>
            <w:tcW w:w="1126" w:type="dxa"/>
            <w:noWrap w:val="0"/>
            <w:vAlign w:val="center"/>
          </w:tcPr>
          <w:p>
            <w:pPr>
              <w:pStyle w:val="5"/>
              <w:wordWrap/>
              <w:topLinePunct w:val="0"/>
              <w:rPr>
                <w:rFonts w:ascii="仿宋_GB2312" w:eastAsia="仿宋_GB2312"/>
                <w:highlight w:val="none"/>
              </w:rPr>
            </w:pPr>
          </w:p>
        </w:tc>
        <w:tc>
          <w:tcPr>
            <w:tcW w:w="567" w:type="dxa"/>
            <w:noWrap w:val="0"/>
            <w:vAlign w:val="center"/>
          </w:tcPr>
          <w:p>
            <w:pPr>
              <w:pStyle w:val="5"/>
              <w:wordWrap/>
              <w:topLinePunct w:val="0"/>
              <w:rPr>
                <w:rFonts w:ascii="仿宋_GB2312" w:eastAsia="仿宋_GB2312"/>
                <w:highlight w:val="none"/>
              </w:rPr>
            </w:pPr>
          </w:p>
        </w:tc>
        <w:tc>
          <w:tcPr>
            <w:tcW w:w="686" w:type="dxa"/>
            <w:noWrap w:val="0"/>
            <w:vAlign w:val="center"/>
          </w:tcPr>
          <w:p>
            <w:pPr>
              <w:pStyle w:val="5"/>
              <w:wordWrap/>
              <w:topLinePunct w:val="0"/>
              <w:rPr>
                <w:rFonts w:ascii="仿宋_GB2312" w:eastAsia="仿宋_GB2312"/>
                <w:highlight w:val="none"/>
              </w:rPr>
            </w:pPr>
          </w:p>
        </w:tc>
        <w:tc>
          <w:tcPr>
            <w:tcW w:w="992" w:type="dxa"/>
            <w:noWrap w:val="0"/>
            <w:vAlign w:val="top"/>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1134" w:type="dxa"/>
            <w:noWrap w:val="0"/>
            <w:vAlign w:val="center"/>
          </w:tcPr>
          <w:p>
            <w:pPr>
              <w:pStyle w:val="5"/>
              <w:wordWrap/>
              <w:topLinePunct w:val="0"/>
              <w:rPr>
                <w:rFonts w:ascii="仿宋_GB2312" w:eastAsia="仿宋_GB2312"/>
                <w:highlight w:val="none"/>
              </w:rPr>
            </w:pPr>
          </w:p>
        </w:tc>
        <w:tc>
          <w:tcPr>
            <w:tcW w:w="709" w:type="dxa"/>
            <w:noWrap w:val="0"/>
            <w:vAlign w:val="center"/>
          </w:tcPr>
          <w:p>
            <w:pPr>
              <w:pStyle w:val="5"/>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highlight w:val="none"/>
              </w:rPr>
            </w:pPr>
          </w:p>
        </w:tc>
        <w:tc>
          <w:tcPr>
            <w:tcW w:w="1165" w:type="dxa"/>
            <w:noWrap w:val="0"/>
            <w:vAlign w:val="center"/>
          </w:tcPr>
          <w:p>
            <w:pPr>
              <w:wordWrap/>
              <w:topLinePunct w:val="0"/>
              <w:rPr>
                <w:rFonts w:ascii="仿宋_GB2312" w:eastAsia="仿宋_GB2312"/>
                <w:highlight w:val="none"/>
              </w:rPr>
            </w:pPr>
          </w:p>
        </w:tc>
        <w:tc>
          <w:tcPr>
            <w:tcW w:w="1126" w:type="dxa"/>
            <w:noWrap w:val="0"/>
            <w:vAlign w:val="center"/>
          </w:tcPr>
          <w:p>
            <w:pPr>
              <w:wordWrap/>
              <w:topLinePunct w:val="0"/>
              <w:rPr>
                <w:rFonts w:ascii="仿宋_GB2312" w:eastAsia="仿宋_GB2312"/>
                <w:highlight w:val="none"/>
              </w:rPr>
            </w:pPr>
          </w:p>
        </w:tc>
        <w:tc>
          <w:tcPr>
            <w:tcW w:w="567" w:type="dxa"/>
            <w:noWrap w:val="0"/>
            <w:vAlign w:val="center"/>
          </w:tcPr>
          <w:p>
            <w:pPr>
              <w:wordWrap/>
              <w:topLinePunct w:val="0"/>
              <w:rPr>
                <w:rFonts w:ascii="仿宋_GB2312" w:eastAsia="仿宋_GB2312"/>
                <w:highlight w:val="none"/>
              </w:rPr>
            </w:pPr>
          </w:p>
        </w:tc>
        <w:tc>
          <w:tcPr>
            <w:tcW w:w="686" w:type="dxa"/>
            <w:noWrap w:val="0"/>
            <w:vAlign w:val="center"/>
          </w:tcPr>
          <w:p>
            <w:pPr>
              <w:wordWrap/>
              <w:topLinePunct w:val="0"/>
              <w:rPr>
                <w:rFonts w:ascii="仿宋_GB2312" w:eastAsia="仿宋_GB2312"/>
                <w:highlight w:val="none"/>
              </w:rPr>
            </w:pPr>
          </w:p>
        </w:tc>
        <w:tc>
          <w:tcPr>
            <w:tcW w:w="992" w:type="dxa"/>
            <w:noWrap w:val="0"/>
            <w:vAlign w:val="top"/>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709" w:type="dxa"/>
            <w:noWrap w:val="0"/>
            <w:vAlign w:val="center"/>
          </w:tcPr>
          <w:p>
            <w:pPr>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highlight w:val="none"/>
              </w:rPr>
            </w:pPr>
          </w:p>
        </w:tc>
        <w:tc>
          <w:tcPr>
            <w:tcW w:w="1165" w:type="dxa"/>
            <w:noWrap w:val="0"/>
            <w:vAlign w:val="center"/>
          </w:tcPr>
          <w:p>
            <w:pPr>
              <w:wordWrap/>
              <w:topLinePunct w:val="0"/>
              <w:rPr>
                <w:rFonts w:ascii="仿宋_GB2312" w:eastAsia="仿宋_GB2312"/>
                <w:highlight w:val="none"/>
              </w:rPr>
            </w:pPr>
          </w:p>
        </w:tc>
        <w:tc>
          <w:tcPr>
            <w:tcW w:w="1126" w:type="dxa"/>
            <w:noWrap w:val="0"/>
            <w:vAlign w:val="center"/>
          </w:tcPr>
          <w:p>
            <w:pPr>
              <w:wordWrap/>
              <w:topLinePunct w:val="0"/>
              <w:rPr>
                <w:rFonts w:ascii="仿宋_GB2312" w:eastAsia="仿宋_GB2312"/>
                <w:highlight w:val="none"/>
              </w:rPr>
            </w:pPr>
          </w:p>
        </w:tc>
        <w:tc>
          <w:tcPr>
            <w:tcW w:w="567" w:type="dxa"/>
            <w:noWrap w:val="0"/>
            <w:vAlign w:val="center"/>
          </w:tcPr>
          <w:p>
            <w:pPr>
              <w:wordWrap/>
              <w:topLinePunct w:val="0"/>
              <w:rPr>
                <w:rFonts w:ascii="仿宋_GB2312" w:eastAsia="仿宋_GB2312"/>
                <w:highlight w:val="none"/>
              </w:rPr>
            </w:pPr>
          </w:p>
        </w:tc>
        <w:tc>
          <w:tcPr>
            <w:tcW w:w="686" w:type="dxa"/>
            <w:noWrap w:val="0"/>
            <w:vAlign w:val="center"/>
          </w:tcPr>
          <w:p>
            <w:pPr>
              <w:wordWrap/>
              <w:topLinePunct w:val="0"/>
              <w:rPr>
                <w:rFonts w:ascii="仿宋_GB2312" w:eastAsia="仿宋_GB2312"/>
                <w:highlight w:val="none"/>
              </w:rPr>
            </w:pPr>
          </w:p>
        </w:tc>
        <w:tc>
          <w:tcPr>
            <w:tcW w:w="992" w:type="dxa"/>
            <w:noWrap w:val="0"/>
            <w:vAlign w:val="top"/>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709" w:type="dxa"/>
            <w:noWrap w:val="0"/>
            <w:vAlign w:val="center"/>
          </w:tcPr>
          <w:p>
            <w:pPr>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highlight w:val="none"/>
              </w:rPr>
            </w:pPr>
          </w:p>
        </w:tc>
        <w:tc>
          <w:tcPr>
            <w:tcW w:w="1165" w:type="dxa"/>
            <w:noWrap w:val="0"/>
            <w:vAlign w:val="center"/>
          </w:tcPr>
          <w:p>
            <w:pPr>
              <w:wordWrap/>
              <w:topLinePunct w:val="0"/>
              <w:rPr>
                <w:rFonts w:ascii="仿宋_GB2312" w:eastAsia="仿宋_GB2312"/>
                <w:highlight w:val="none"/>
              </w:rPr>
            </w:pPr>
          </w:p>
        </w:tc>
        <w:tc>
          <w:tcPr>
            <w:tcW w:w="1126" w:type="dxa"/>
            <w:noWrap w:val="0"/>
            <w:vAlign w:val="center"/>
          </w:tcPr>
          <w:p>
            <w:pPr>
              <w:wordWrap/>
              <w:topLinePunct w:val="0"/>
              <w:rPr>
                <w:rFonts w:ascii="仿宋_GB2312" w:eastAsia="仿宋_GB2312"/>
                <w:highlight w:val="none"/>
              </w:rPr>
            </w:pPr>
          </w:p>
        </w:tc>
        <w:tc>
          <w:tcPr>
            <w:tcW w:w="567" w:type="dxa"/>
            <w:noWrap w:val="0"/>
            <w:vAlign w:val="center"/>
          </w:tcPr>
          <w:p>
            <w:pPr>
              <w:wordWrap/>
              <w:topLinePunct w:val="0"/>
              <w:rPr>
                <w:rFonts w:ascii="仿宋_GB2312" w:eastAsia="仿宋_GB2312"/>
                <w:highlight w:val="none"/>
              </w:rPr>
            </w:pPr>
          </w:p>
        </w:tc>
        <w:tc>
          <w:tcPr>
            <w:tcW w:w="686" w:type="dxa"/>
            <w:noWrap w:val="0"/>
            <w:vAlign w:val="center"/>
          </w:tcPr>
          <w:p>
            <w:pPr>
              <w:wordWrap/>
              <w:topLinePunct w:val="0"/>
              <w:rPr>
                <w:rFonts w:ascii="仿宋_GB2312" w:eastAsia="仿宋_GB2312"/>
                <w:highlight w:val="none"/>
              </w:rPr>
            </w:pPr>
          </w:p>
        </w:tc>
        <w:tc>
          <w:tcPr>
            <w:tcW w:w="992" w:type="dxa"/>
            <w:noWrap w:val="0"/>
            <w:vAlign w:val="top"/>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709" w:type="dxa"/>
            <w:noWrap w:val="0"/>
            <w:vAlign w:val="center"/>
          </w:tcPr>
          <w:p>
            <w:pPr>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highlight w:val="none"/>
              </w:rPr>
            </w:pPr>
          </w:p>
        </w:tc>
        <w:tc>
          <w:tcPr>
            <w:tcW w:w="1165" w:type="dxa"/>
            <w:noWrap w:val="0"/>
            <w:vAlign w:val="center"/>
          </w:tcPr>
          <w:p>
            <w:pPr>
              <w:wordWrap/>
              <w:topLinePunct w:val="0"/>
              <w:rPr>
                <w:rFonts w:ascii="仿宋_GB2312" w:eastAsia="仿宋_GB2312"/>
                <w:highlight w:val="none"/>
              </w:rPr>
            </w:pPr>
          </w:p>
        </w:tc>
        <w:tc>
          <w:tcPr>
            <w:tcW w:w="1126" w:type="dxa"/>
            <w:noWrap w:val="0"/>
            <w:vAlign w:val="center"/>
          </w:tcPr>
          <w:p>
            <w:pPr>
              <w:wordWrap/>
              <w:topLinePunct w:val="0"/>
              <w:rPr>
                <w:rFonts w:ascii="仿宋_GB2312" w:eastAsia="仿宋_GB2312"/>
                <w:highlight w:val="none"/>
              </w:rPr>
            </w:pPr>
          </w:p>
        </w:tc>
        <w:tc>
          <w:tcPr>
            <w:tcW w:w="567" w:type="dxa"/>
            <w:noWrap w:val="0"/>
            <w:vAlign w:val="center"/>
          </w:tcPr>
          <w:p>
            <w:pPr>
              <w:wordWrap/>
              <w:topLinePunct w:val="0"/>
              <w:rPr>
                <w:rFonts w:ascii="仿宋_GB2312" w:eastAsia="仿宋_GB2312"/>
                <w:highlight w:val="none"/>
              </w:rPr>
            </w:pPr>
          </w:p>
        </w:tc>
        <w:tc>
          <w:tcPr>
            <w:tcW w:w="686" w:type="dxa"/>
            <w:noWrap w:val="0"/>
            <w:vAlign w:val="center"/>
          </w:tcPr>
          <w:p>
            <w:pPr>
              <w:wordWrap/>
              <w:topLinePunct w:val="0"/>
              <w:rPr>
                <w:rFonts w:ascii="仿宋_GB2312" w:eastAsia="仿宋_GB2312"/>
                <w:highlight w:val="none"/>
              </w:rPr>
            </w:pPr>
          </w:p>
        </w:tc>
        <w:tc>
          <w:tcPr>
            <w:tcW w:w="992" w:type="dxa"/>
            <w:noWrap w:val="0"/>
            <w:vAlign w:val="top"/>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709" w:type="dxa"/>
            <w:noWrap w:val="0"/>
            <w:vAlign w:val="center"/>
          </w:tcPr>
          <w:p>
            <w:pPr>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highlight w:val="none"/>
              </w:rPr>
            </w:pPr>
          </w:p>
        </w:tc>
        <w:tc>
          <w:tcPr>
            <w:tcW w:w="1165" w:type="dxa"/>
            <w:noWrap w:val="0"/>
            <w:vAlign w:val="center"/>
          </w:tcPr>
          <w:p>
            <w:pPr>
              <w:wordWrap/>
              <w:topLinePunct w:val="0"/>
              <w:rPr>
                <w:rFonts w:ascii="仿宋_GB2312" w:eastAsia="仿宋_GB2312"/>
                <w:highlight w:val="none"/>
              </w:rPr>
            </w:pPr>
          </w:p>
        </w:tc>
        <w:tc>
          <w:tcPr>
            <w:tcW w:w="1126" w:type="dxa"/>
            <w:noWrap w:val="0"/>
            <w:vAlign w:val="center"/>
          </w:tcPr>
          <w:p>
            <w:pPr>
              <w:wordWrap/>
              <w:topLinePunct w:val="0"/>
              <w:rPr>
                <w:rFonts w:ascii="仿宋_GB2312" w:eastAsia="仿宋_GB2312"/>
                <w:highlight w:val="none"/>
              </w:rPr>
            </w:pPr>
          </w:p>
        </w:tc>
        <w:tc>
          <w:tcPr>
            <w:tcW w:w="567" w:type="dxa"/>
            <w:noWrap w:val="0"/>
            <w:vAlign w:val="center"/>
          </w:tcPr>
          <w:p>
            <w:pPr>
              <w:wordWrap/>
              <w:topLinePunct w:val="0"/>
              <w:rPr>
                <w:rFonts w:ascii="仿宋_GB2312" w:eastAsia="仿宋_GB2312"/>
                <w:highlight w:val="none"/>
              </w:rPr>
            </w:pPr>
          </w:p>
        </w:tc>
        <w:tc>
          <w:tcPr>
            <w:tcW w:w="686" w:type="dxa"/>
            <w:noWrap w:val="0"/>
            <w:vAlign w:val="center"/>
          </w:tcPr>
          <w:p>
            <w:pPr>
              <w:wordWrap/>
              <w:topLinePunct w:val="0"/>
              <w:rPr>
                <w:rFonts w:ascii="仿宋_GB2312" w:eastAsia="仿宋_GB2312"/>
                <w:highlight w:val="none"/>
              </w:rPr>
            </w:pPr>
          </w:p>
        </w:tc>
        <w:tc>
          <w:tcPr>
            <w:tcW w:w="992" w:type="dxa"/>
            <w:noWrap w:val="0"/>
            <w:vAlign w:val="top"/>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709" w:type="dxa"/>
            <w:noWrap w:val="0"/>
            <w:vAlign w:val="center"/>
          </w:tcPr>
          <w:p>
            <w:pPr>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highlight w:val="none"/>
              </w:rPr>
            </w:pPr>
          </w:p>
        </w:tc>
        <w:tc>
          <w:tcPr>
            <w:tcW w:w="1165" w:type="dxa"/>
            <w:noWrap w:val="0"/>
            <w:vAlign w:val="center"/>
          </w:tcPr>
          <w:p>
            <w:pPr>
              <w:wordWrap/>
              <w:topLinePunct w:val="0"/>
              <w:rPr>
                <w:rFonts w:ascii="仿宋_GB2312" w:eastAsia="仿宋_GB2312"/>
                <w:highlight w:val="none"/>
              </w:rPr>
            </w:pPr>
          </w:p>
        </w:tc>
        <w:tc>
          <w:tcPr>
            <w:tcW w:w="1126" w:type="dxa"/>
            <w:noWrap w:val="0"/>
            <w:vAlign w:val="center"/>
          </w:tcPr>
          <w:p>
            <w:pPr>
              <w:wordWrap/>
              <w:topLinePunct w:val="0"/>
              <w:rPr>
                <w:rFonts w:ascii="仿宋_GB2312" w:eastAsia="仿宋_GB2312"/>
                <w:highlight w:val="none"/>
              </w:rPr>
            </w:pPr>
          </w:p>
        </w:tc>
        <w:tc>
          <w:tcPr>
            <w:tcW w:w="567" w:type="dxa"/>
            <w:noWrap w:val="0"/>
            <w:vAlign w:val="center"/>
          </w:tcPr>
          <w:p>
            <w:pPr>
              <w:wordWrap/>
              <w:topLinePunct w:val="0"/>
              <w:rPr>
                <w:rFonts w:ascii="仿宋_GB2312" w:eastAsia="仿宋_GB2312"/>
                <w:highlight w:val="none"/>
              </w:rPr>
            </w:pPr>
          </w:p>
        </w:tc>
        <w:tc>
          <w:tcPr>
            <w:tcW w:w="686" w:type="dxa"/>
            <w:noWrap w:val="0"/>
            <w:vAlign w:val="center"/>
          </w:tcPr>
          <w:p>
            <w:pPr>
              <w:wordWrap/>
              <w:topLinePunct w:val="0"/>
              <w:rPr>
                <w:rFonts w:ascii="仿宋_GB2312" w:eastAsia="仿宋_GB2312"/>
                <w:highlight w:val="none"/>
              </w:rPr>
            </w:pPr>
          </w:p>
        </w:tc>
        <w:tc>
          <w:tcPr>
            <w:tcW w:w="992" w:type="dxa"/>
            <w:noWrap w:val="0"/>
            <w:vAlign w:val="top"/>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709" w:type="dxa"/>
            <w:noWrap w:val="0"/>
            <w:vAlign w:val="center"/>
          </w:tcPr>
          <w:p>
            <w:pPr>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highlight w:val="none"/>
              </w:rPr>
            </w:pPr>
          </w:p>
        </w:tc>
        <w:tc>
          <w:tcPr>
            <w:tcW w:w="1165" w:type="dxa"/>
            <w:noWrap w:val="0"/>
            <w:vAlign w:val="center"/>
          </w:tcPr>
          <w:p>
            <w:pPr>
              <w:wordWrap/>
              <w:topLinePunct w:val="0"/>
              <w:rPr>
                <w:rFonts w:ascii="仿宋_GB2312" w:eastAsia="仿宋_GB2312"/>
                <w:highlight w:val="none"/>
              </w:rPr>
            </w:pPr>
          </w:p>
        </w:tc>
        <w:tc>
          <w:tcPr>
            <w:tcW w:w="1126" w:type="dxa"/>
            <w:noWrap w:val="0"/>
            <w:vAlign w:val="center"/>
          </w:tcPr>
          <w:p>
            <w:pPr>
              <w:wordWrap/>
              <w:topLinePunct w:val="0"/>
              <w:rPr>
                <w:rFonts w:ascii="仿宋_GB2312" w:eastAsia="仿宋_GB2312"/>
                <w:highlight w:val="none"/>
              </w:rPr>
            </w:pPr>
          </w:p>
        </w:tc>
        <w:tc>
          <w:tcPr>
            <w:tcW w:w="567" w:type="dxa"/>
            <w:noWrap w:val="0"/>
            <w:vAlign w:val="center"/>
          </w:tcPr>
          <w:p>
            <w:pPr>
              <w:wordWrap/>
              <w:topLinePunct w:val="0"/>
              <w:rPr>
                <w:rFonts w:ascii="仿宋_GB2312" w:eastAsia="仿宋_GB2312"/>
                <w:highlight w:val="none"/>
              </w:rPr>
            </w:pPr>
          </w:p>
        </w:tc>
        <w:tc>
          <w:tcPr>
            <w:tcW w:w="686" w:type="dxa"/>
            <w:noWrap w:val="0"/>
            <w:vAlign w:val="center"/>
          </w:tcPr>
          <w:p>
            <w:pPr>
              <w:wordWrap/>
              <w:topLinePunct w:val="0"/>
              <w:rPr>
                <w:rFonts w:ascii="仿宋_GB2312" w:eastAsia="仿宋_GB2312"/>
                <w:highlight w:val="none"/>
              </w:rPr>
            </w:pPr>
          </w:p>
        </w:tc>
        <w:tc>
          <w:tcPr>
            <w:tcW w:w="992" w:type="dxa"/>
            <w:noWrap w:val="0"/>
            <w:vAlign w:val="top"/>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709" w:type="dxa"/>
            <w:noWrap w:val="0"/>
            <w:vAlign w:val="center"/>
          </w:tcPr>
          <w:p>
            <w:pPr>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highlight w:val="none"/>
              </w:rPr>
            </w:pPr>
          </w:p>
        </w:tc>
        <w:tc>
          <w:tcPr>
            <w:tcW w:w="1165" w:type="dxa"/>
            <w:noWrap w:val="0"/>
            <w:vAlign w:val="center"/>
          </w:tcPr>
          <w:p>
            <w:pPr>
              <w:wordWrap/>
              <w:topLinePunct w:val="0"/>
              <w:rPr>
                <w:rFonts w:ascii="仿宋_GB2312" w:eastAsia="仿宋_GB2312"/>
                <w:highlight w:val="none"/>
              </w:rPr>
            </w:pPr>
          </w:p>
        </w:tc>
        <w:tc>
          <w:tcPr>
            <w:tcW w:w="1126" w:type="dxa"/>
            <w:noWrap w:val="0"/>
            <w:vAlign w:val="center"/>
          </w:tcPr>
          <w:p>
            <w:pPr>
              <w:wordWrap/>
              <w:topLinePunct w:val="0"/>
              <w:rPr>
                <w:rFonts w:ascii="仿宋_GB2312" w:eastAsia="仿宋_GB2312"/>
                <w:highlight w:val="none"/>
              </w:rPr>
            </w:pPr>
          </w:p>
        </w:tc>
        <w:tc>
          <w:tcPr>
            <w:tcW w:w="567" w:type="dxa"/>
            <w:noWrap w:val="0"/>
            <w:vAlign w:val="center"/>
          </w:tcPr>
          <w:p>
            <w:pPr>
              <w:wordWrap/>
              <w:topLinePunct w:val="0"/>
              <w:rPr>
                <w:rFonts w:ascii="仿宋_GB2312" w:eastAsia="仿宋_GB2312"/>
                <w:highlight w:val="none"/>
              </w:rPr>
            </w:pPr>
          </w:p>
        </w:tc>
        <w:tc>
          <w:tcPr>
            <w:tcW w:w="686" w:type="dxa"/>
            <w:noWrap w:val="0"/>
            <w:vAlign w:val="center"/>
          </w:tcPr>
          <w:p>
            <w:pPr>
              <w:wordWrap/>
              <w:topLinePunct w:val="0"/>
              <w:rPr>
                <w:rFonts w:ascii="仿宋_GB2312" w:eastAsia="仿宋_GB2312"/>
                <w:highlight w:val="none"/>
              </w:rPr>
            </w:pPr>
          </w:p>
        </w:tc>
        <w:tc>
          <w:tcPr>
            <w:tcW w:w="992" w:type="dxa"/>
            <w:noWrap w:val="0"/>
            <w:vAlign w:val="top"/>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1134" w:type="dxa"/>
            <w:noWrap w:val="0"/>
            <w:vAlign w:val="center"/>
          </w:tcPr>
          <w:p>
            <w:pPr>
              <w:wordWrap/>
              <w:topLinePunct w:val="0"/>
              <w:rPr>
                <w:rFonts w:ascii="仿宋_GB2312" w:eastAsia="仿宋_GB2312"/>
                <w:highlight w:val="none"/>
              </w:rPr>
            </w:pPr>
          </w:p>
        </w:tc>
        <w:tc>
          <w:tcPr>
            <w:tcW w:w="709" w:type="dxa"/>
            <w:noWrap w:val="0"/>
            <w:vAlign w:val="center"/>
          </w:tcPr>
          <w:p>
            <w:pPr>
              <w:wordWrap/>
              <w:topLinePunct w:val="0"/>
              <w:rPr>
                <w:rFonts w:ascii="仿宋_GB2312" w:eastAsia="仿宋_GB2312"/>
                <w:highlight w:val="none"/>
              </w:rPr>
            </w:pPr>
          </w:p>
        </w:tc>
      </w:tr>
    </w:tbl>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附件3：工程质量保修书</w:t>
      </w:r>
    </w:p>
    <w:p>
      <w:pPr>
        <w:wordWrap/>
        <w:topLinePunct w:val="0"/>
        <w:ind w:firstLine="0" w:firstLineChars="0"/>
        <w:jc w:val="center"/>
        <w:rPr>
          <w:rFonts w:hint="eastAsia" w:ascii="仿宋_GB2312" w:eastAsia="仿宋_GB2312"/>
          <w:sz w:val="30"/>
          <w:szCs w:val="30"/>
          <w:highlight w:val="none"/>
        </w:rPr>
      </w:pPr>
      <w:r>
        <w:rPr>
          <w:rFonts w:hint="eastAsia" w:ascii="仿宋_GB2312" w:hAnsi="仿宋_GB2312" w:eastAsia="仿宋_GB2312" w:cs="仿宋_GB2312"/>
          <w:sz w:val="48"/>
          <w:szCs w:val="48"/>
          <w:highlight w:val="none"/>
        </w:rPr>
        <w:t>工程质量保修书</w:t>
      </w:r>
    </w:p>
    <w:p>
      <w:pPr>
        <w:wordWrap/>
        <w:topLinePunct w:val="0"/>
        <w:ind w:firstLine="0" w:firstLineChars="0"/>
        <w:rPr>
          <w:rFonts w:ascii="仿宋_GB2312" w:eastAsia="仿宋_GB2312"/>
          <w:sz w:val="30"/>
          <w:szCs w:val="30"/>
          <w:highlight w:val="none"/>
        </w:rPr>
      </w:pPr>
      <w:r>
        <w:rPr>
          <w:rFonts w:hint="eastAsia" w:ascii="仿宋_GB2312" w:eastAsia="仿宋_GB2312"/>
          <w:sz w:val="30"/>
          <w:szCs w:val="30"/>
          <w:highlight w:val="none"/>
        </w:rPr>
        <w:t>发包人（全称）：</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新郑市交通运输局</w:t>
      </w:r>
      <w:r>
        <w:rPr>
          <w:rFonts w:ascii="仿宋_GB2312" w:eastAsia="仿宋_GB2312"/>
          <w:sz w:val="30"/>
          <w:szCs w:val="30"/>
          <w:highlight w:val="none"/>
          <w:u w:val="single"/>
        </w:rPr>
        <w:t xml:space="preserve">    </w:t>
      </w:r>
    </w:p>
    <w:p>
      <w:pPr>
        <w:wordWrap/>
        <w:topLinePunct w:val="0"/>
        <w:ind w:firstLine="0" w:firstLineChars="0"/>
        <w:rPr>
          <w:rFonts w:ascii="仿宋_GB2312" w:eastAsia="仿宋_GB2312"/>
          <w:sz w:val="30"/>
          <w:szCs w:val="30"/>
          <w:highlight w:val="none"/>
        </w:rPr>
      </w:pPr>
      <w:r>
        <w:rPr>
          <w:rFonts w:hint="eastAsia" w:ascii="仿宋_GB2312" w:eastAsia="仿宋_GB2312"/>
          <w:sz w:val="30"/>
          <w:szCs w:val="30"/>
          <w:highlight w:val="none"/>
        </w:rPr>
        <w:t>承包人（全称）：</w:t>
      </w:r>
      <w:r>
        <w:rPr>
          <w:rFonts w:ascii="仿宋_GB2312" w:eastAsia="仿宋_GB2312"/>
          <w:sz w:val="30"/>
          <w:szCs w:val="30"/>
          <w:highlight w:val="none"/>
          <w:u w:val="single"/>
        </w:rPr>
        <w:t xml:space="preserve">                                  </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发包人和承包人根据《中华人民共和国建筑法》和《建设工程质量管理条例》，经协商一致就</w:t>
      </w:r>
      <w:r>
        <w:rPr>
          <w:rFonts w:ascii="仿宋_GB2312" w:eastAsia="仿宋_GB2312"/>
          <w:sz w:val="30"/>
          <w:szCs w:val="30"/>
          <w:highlight w:val="none"/>
          <w:u w:val="single"/>
        </w:rPr>
        <w:t xml:space="preserve">  </w:t>
      </w:r>
      <w:r>
        <w:rPr>
          <w:rFonts w:hint="eastAsia" w:ascii="仿宋_GB2312" w:eastAsia="仿宋_GB2312"/>
          <w:sz w:val="30"/>
          <w:szCs w:val="30"/>
          <w:highlight w:val="none"/>
          <w:u w:val="single"/>
        </w:rPr>
        <w:t>郑州至南阳高速郑州至许昌段项目新郑境涉及电力、燃气迁改工程</w:t>
      </w:r>
      <w:r>
        <w:rPr>
          <w:rFonts w:ascii="仿宋_GB2312" w:eastAsia="仿宋_GB2312"/>
          <w:sz w:val="30"/>
          <w:szCs w:val="30"/>
          <w:highlight w:val="none"/>
          <w:u w:val="single"/>
        </w:rPr>
        <w:t xml:space="preserve"> </w:t>
      </w:r>
      <w:r>
        <w:rPr>
          <w:rFonts w:hint="eastAsia" w:ascii="仿宋_GB2312" w:eastAsia="仿宋_GB2312"/>
          <w:sz w:val="30"/>
          <w:szCs w:val="30"/>
          <w:highlight w:val="none"/>
        </w:rPr>
        <w:t>（工程全称）订立工程质量保修书。</w:t>
      </w:r>
    </w:p>
    <w:p>
      <w:pPr>
        <w:wordWrap/>
        <w:topLinePunct w:val="0"/>
        <w:ind w:firstLine="600"/>
        <w:rPr>
          <w:rFonts w:ascii="黑体" w:hAnsi="黑体" w:eastAsia="黑体"/>
          <w:sz w:val="30"/>
          <w:szCs w:val="30"/>
          <w:highlight w:val="none"/>
        </w:rPr>
      </w:pPr>
      <w:r>
        <w:rPr>
          <w:rFonts w:hint="eastAsia" w:ascii="黑体" w:hAnsi="黑体" w:eastAsia="黑体"/>
          <w:sz w:val="30"/>
          <w:szCs w:val="30"/>
          <w:highlight w:val="none"/>
        </w:rPr>
        <w:t>一、工程质量保修范围和内容</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承包人在质量保修期内，按照有关法律规定和合同约定，承担工程质量保修责任。</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黑体" w:hAnsi="黑体" w:eastAsia="黑体"/>
          <w:sz w:val="30"/>
          <w:szCs w:val="30"/>
          <w:highlight w:val="none"/>
        </w:rPr>
      </w:pPr>
      <w:r>
        <w:rPr>
          <w:rFonts w:hint="eastAsia" w:ascii="黑体" w:hAnsi="黑体" w:eastAsia="黑体"/>
          <w:sz w:val="30"/>
          <w:szCs w:val="30"/>
          <w:highlight w:val="none"/>
        </w:rPr>
        <w:t>二、质量保修期</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根据《建设工程质量管理条例》及有关规定，工程的质量保修期如下：</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1</w:t>
      </w:r>
      <w:r>
        <w:rPr>
          <w:rFonts w:hint="eastAsia" w:ascii="仿宋_GB2312" w:eastAsia="仿宋_GB2312"/>
          <w:color w:val="000000"/>
          <w:sz w:val="30"/>
          <w:szCs w:val="30"/>
          <w:highlight w:val="none"/>
        </w:rPr>
        <w:t>．</w:t>
      </w:r>
      <w:r>
        <w:rPr>
          <w:rFonts w:hint="eastAsia" w:ascii="仿宋_GB2312" w:eastAsia="仿宋_GB2312"/>
          <w:sz w:val="30"/>
          <w:szCs w:val="30"/>
          <w:highlight w:val="none"/>
        </w:rPr>
        <w:t>地基</w:t>
      </w:r>
      <w:r>
        <w:rPr>
          <w:rFonts w:hint="eastAsia" w:ascii="仿宋_GB2312" w:eastAsia="仿宋_GB2312"/>
          <w:color w:val="000000"/>
          <w:sz w:val="30"/>
          <w:szCs w:val="30"/>
          <w:highlight w:val="none"/>
        </w:rPr>
        <w:t>基础</w:t>
      </w:r>
      <w:r>
        <w:rPr>
          <w:rFonts w:hint="eastAsia" w:ascii="仿宋_GB2312" w:eastAsia="仿宋_GB2312"/>
          <w:sz w:val="30"/>
          <w:szCs w:val="30"/>
          <w:highlight w:val="none"/>
        </w:rPr>
        <w:t>工程和主体结构工程为设计文件规定的工程合理使用年限；</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2．屋面防水工程、有防水要求的卫生间、房间和外墙面的防渗为</w:t>
      </w:r>
      <w:r>
        <w:rPr>
          <w:rFonts w:ascii="仿宋_GB2312" w:eastAsia="仿宋_GB2312"/>
          <w:sz w:val="30"/>
          <w:szCs w:val="30"/>
          <w:highlight w:val="none"/>
          <w:u w:val="single"/>
        </w:rPr>
        <w:t xml:space="preserve">       </w:t>
      </w:r>
      <w:r>
        <w:rPr>
          <w:rFonts w:hint="eastAsia" w:ascii="仿宋_GB2312" w:eastAsia="仿宋_GB2312"/>
          <w:sz w:val="30"/>
          <w:szCs w:val="30"/>
          <w:highlight w:val="none"/>
        </w:rPr>
        <w:t>年；</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3．装修工程为</w:t>
      </w:r>
      <w:r>
        <w:rPr>
          <w:rFonts w:ascii="仿宋_GB2312" w:eastAsia="仿宋_GB2312"/>
          <w:sz w:val="30"/>
          <w:szCs w:val="30"/>
          <w:highlight w:val="none"/>
          <w:u w:val="single"/>
        </w:rPr>
        <w:t xml:space="preserve">         </w:t>
      </w:r>
      <w:r>
        <w:rPr>
          <w:rFonts w:hint="eastAsia" w:ascii="仿宋_GB2312" w:eastAsia="仿宋_GB2312"/>
          <w:sz w:val="30"/>
          <w:szCs w:val="30"/>
          <w:highlight w:val="none"/>
        </w:rPr>
        <w:t>年；</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4．电气管线、给排水管道、设备安装工程为</w:t>
      </w:r>
      <w:r>
        <w:rPr>
          <w:rFonts w:ascii="仿宋_GB2312" w:eastAsia="仿宋_GB2312"/>
          <w:sz w:val="30"/>
          <w:szCs w:val="30"/>
          <w:highlight w:val="none"/>
          <w:u w:val="single"/>
        </w:rPr>
        <w:t xml:space="preserve">           </w:t>
      </w:r>
      <w:r>
        <w:rPr>
          <w:rFonts w:hint="eastAsia" w:ascii="仿宋_GB2312" w:eastAsia="仿宋_GB2312"/>
          <w:sz w:val="30"/>
          <w:szCs w:val="30"/>
          <w:highlight w:val="none"/>
        </w:rPr>
        <w:t>年；</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5．供热与供冷系统为</w:t>
      </w:r>
      <w:r>
        <w:rPr>
          <w:rFonts w:ascii="仿宋_GB2312" w:eastAsia="仿宋_GB2312"/>
          <w:sz w:val="30"/>
          <w:szCs w:val="30"/>
          <w:highlight w:val="none"/>
          <w:u w:val="single"/>
        </w:rPr>
        <w:t xml:space="preserve">        </w:t>
      </w:r>
      <w:r>
        <w:rPr>
          <w:rFonts w:hint="eastAsia" w:ascii="仿宋_GB2312" w:eastAsia="仿宋_GB2312"/>
          <w:sz w:val="30"/>
          <w:szCs w:val="30"/>
          <w:highlight w:val="none"/>
        </w:rPr>
        <w:t>个采暖期、供冷期；</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6．住宅小区内的给排水设施、道路等配套工程为</w:t>
      </w:r>
      <w:r>
        <w:rPr>
          <w:rFonts w:ascii="仿宋_GB2312" w:eastAsia="仿宋_GB2312"/>
          <w:sz w:val="30"/>
          <w:szCs w:val="30"/>
          <w:highlight w:val="none"/>
          <w:u w:val="single"/>
        </w:rPr>
        <w:t xml:space="preserve">         </w:t>
      </w:r>
      <w:r>
        <w:rPr>
          <w:rFonts w:hint="eastAsia" w:ascii="仿宋_GB2312" w:eastAsia="仿宋_GB2312"/>
          <w:sz w:val="30"/>
          <w:szCs w:val="30"/>
          <w:highlight w:val="none"/>
        </w:rPr>
        <w:t>年；</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7．其他项目保修期限约定如下：</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质量保修期自工程竣工验收合格之日起计算。</w:t>
      </w:r>
    </w:p>
    <w:p>
      <w:pPr>
        <w:wordWrap/>
        <w:topLinePunct w:val="0"/>
        <w:ind w:firstLine="600"/>
        <w:rPr>
          <w:rFonts w:ascii="黑体" w:hAnsi="黑体" w:eastAsia="黑体"/>
          <w:sz w:val="30"/>
          <w:szCs w:val="30"/>
          <w:highlight w:val="none"/>
        </w:rPr>
      </w:pPr>
      <w:r>
        <w:rPr>
          <w:rFonts w:hint="eastAsia" w:ascii="黑体" w:hAnsi="黑体" w:eastAsia="黑体"/>
          <w:sz w:val="30"/>
          <w:szCs w:val="30"/>
          <w:highlight w:val="none"/>
        </w:rPr>
        <w:t>三、缺陷责任期</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工程缺陷责任期为</w:t>
      </w:r>
      <w:r>
        <w:rPr>
          <w:rFonts w:ascii="仿宋_GB2312" w:eastAsia="仿宋_GB2312"/>
          <w:sz w:val="30"/>
          <w:szCs w:val="30"/>
          <w:highlight w:val="none"/>
          <w:u w:val="single"/>
        </w:rPr>
        <w:t xml:space="preserve">      </w:t>
      </w:r>
      <w:r>
        <w:rPr>
          <w:rFonts w:hint="eastAsia" w:ascii="仿宋_GB2312" w:eastAsia="仿宋_GB2312"/>
          <w:sz w:val="30"/>
          <w:szCs w:val="30"/>
          <w:highlight w:val="none"/>
        </w:rPr>
        <w:t>个月，缺陷责任期自工程通过竣工验收之日起计算。单位/区段工程先于全部工程进行验收，单位/区段工程缺陷责任期自单位/区段工程验收合格之日起算。</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缺陷责任期终止后，发包人应返还剩余的质量保证金。</w:t>
      </w:r>
    </w:p>
    <w:p>
      <w:pPr>
        <w:wordWrap/>
        <w:topLinePunct w:val="0"/>
        <w:ind w:firstLine="600"/>
        <w:rPr>
          <w:rFonts w:ascii="黑体" w:hAnsi="黑体" w:eastAsia="黑体"/>
          <w:sz w:val="30"/>
          <w:szCs w:val="30"/>
          <w:highlight w:val="none"/>
        </w:rPr>
      </w:pPr>
      <w:r>
        <w:rPr>
          <w:rFonts w:hint="eastAsia" w:ascii="黑体" w:hAnsi="黑体" w:eastAsia="黑体"/>
          <w:sz w:val="30"/>
          <w:szCs w:val="30"/>
          <w:highlight w:val="none"/>
        </w:rPr>
        <w:t>四、质量保修责任</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1．属于保修范围、内容的项目，承包人应当在接到保修通知之日起7天内派人保修。承包人不在约定期限内派人保修的，发包人可以委托他人修理。</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2．发生紧急事故需抢修的，承包人在接到事故通知后，应当立即到达事故现场抢修。</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4．质量保修完成后，由发包人组织验收。</w:t>
      </w:r>
    </w:p>
    <w:p>
      <w:pPr>
        <w:wordWrap/>
        <w:topLinePunct w:val="0"/>
        <w:ind w:firstLine="600"/>
        <w:rPr>
          <w:rFonts w:ascii="黑体" w:hAnsi="黑体" w:eastAsia="黑体"/>
          <w:sz w:val="30"/>
          <w:szCs w:val="30"/>
          <w:highlight w:val="none"/>
        </w:rPr>
      </w:pPr>
      <w:r>
        <w:rPr>
          <w:rFonts w:hint="eastAsia" w:ascii="黑体" w:hAnsi="黑体" w:eastAsia="黑体"/>
          <w:sz w:val="30"/>
          <w:szCs w:val="30"/>
          <w:highlight w:val="none"/>
        </w:rPr>
        <w:t>五、保修费用</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保修费用由造成质量缺陷的责任方承担。</w:t>
      </w:r>
    </w:p>
    <w:p>
      <w:pPr>
        <w:wordWrap/>
        <w:topLinePunct w:val="0"/>
        <w:ind w:firstLine="600"/>
        <w:rPr>
          <w:rFonts w:ascii="仿宋_GB2312" w:eastAsia="仿宋_GB2312"/>
          <w:sz w:val="30"/>
          <w:szCs w:val="30"/>
          <w:highlight w:val="none"/>
          <w:u w:val="single"/>
        </w:rPr>
      </w:pPr>
      <w:r>
        <w:rPr>
          <w:rFonts w:hint="eastAsia" w:ascii="黑体" w:hAnsi="黑体" w:eastAsia="黑体"/>
          <w:sz w:val="30"/>
          <w:szCs w:val="30"/>
          <w:highlight w:val="none"/>
        </w:rPr>
        <w:t>六、双方约定的其他工程质量保修事项</w:t>
      </w:r>
      <w:r>
        <w:rPr>
          <w:rFonts w:hint="eastAsia" w:ascii="仿宋_GB2312" w:eastAsia="仿宋_GB2312"/>
          <w:sz w:val="30"/>
          <w:szCs w:val="30"/>
          <w:highlight w:val="none"/>
        </w:rPr>
        <w:t>：</w:t>
      </w:r>
      <w:r>
        <w:rPr>
          <w:rFonts w:ascii="仿宋_GB2312" w:eastAsia="仿宋_GB2312"/>
          <w:sz w:val="30"/>
          <w:szCs w:val="30"/>
          <w:highlight w:val="none"/>
          <w:u w:val="single"/>
        </w:rPr>
        <w:t xml:space="preserve">                </w:t>
      </w:r>
      <w:r>
        <w:rPr>
          <w:rFonts w:hint="eastAsia" w:ascii="仿宋_GB2312" w:eastAsia="仿宋_GB2312"/>
          <w:sz w:val="30"/>
          <w:szCs w:val="30"/>
          <w:highlight w:val="none"/>
        </w:rPr>
        <w:t>。</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工程质量保修书由发包人、承包人在工程竣工验收前共同签署，作为工程总承包合同附件，其有效期限至保修期满。</w:t>
      </w:r>
    </w:p>
    <w:p>
      <w:pPr>
        <w:wordWrap/>
        <w:topLinePunct w:val="0"/>
        <w:ind w:firstLine="600"/>
        <w:rPr>
          <w:rFonts w:ascii="仿宋_GB2312" w:eastAsia="仿宋_GB2312"/>
          <w:sz w:val="30"/>
          <w:szCs w:val="30"/>
          <w:highlight w:val="none"/>
        </w:rPr>
      </w:pP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 xml:space="preserve">发包人(公章)：               承包人(公章)：          </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 xml:space="preserve">地  址：                     地  址：       </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 xml:space="preserve">法定代表人(签字)：           法定代表人(签字)：       </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 xml:space="preserve">委托代理人(签字)：           委托代理人(签字)：       </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电  话：                     电  话：</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 xml:space="preserve">传  真：                     传  真：  </w:t>
      </w:r>
    </w:p>
    <w:p>
      <w:pPr>
        <w:wordWrap/>
        <w:topLinePunct w:val="0"/>
        <w:ind w:firstLine="600"/>
        <w:rPr>
          <w:rFonts w:ascii="仿宋_GB2312" w:eastAsia="仿宋_GB2312"/>
          <w:sz w:val="30"/>
          <w:szCs w:val="30"/>
          <w:highlight w:val="none"/>
        </w:rPr>
      </w:pPr>
      <w:r>
        <w:rPr>
          <w:rFonts w:hint="eastAsia" w:ascii="仿宋_GB2312" w:eastAsia="仿宋_GB2312"/>
          <w:sz w:val="30"/>
          <w:szCs w:val="30"/>
          <w:highlight w:val="none"/>
        </w:rPr>
        <w:t>开户银行：                   开户银行：</w:t>
      </w:r>
    </w:p>
    <w:p>
      <w:pPr>
        <w:wordWrap/>
        <w:topLinePunct w:val="0"/>
        <w:ind w:firstLine="600"/>
        <w:rPr>
          <w:rFonts w:hint="eastAsia" w:ascii="仿宋_GB2312" w:eastAsia="仿宋_GB2312"/>
          <w:sz w:val="30"/>
          <w:szCs w:val="30"/>
          <w:highlight w:val="none"/>
        </w:rPr>
      </w:pPr>
      <w:r>
        <w:rPr>
          <w:rFonts w:hint="eastAsia" w:ascii="仿宋_GB2312" w:eastAsia="仿宋_GB2312"/>
          <w:sz w:val="30"/>
          <w:szCs w:val="30"/>
          <w:highlight w:val="none"/>
        </w:rPr>
        <w:t xml:space="preserve">账  号：                     账  号： </w:t>
      </w:r>
    </w:p>
    <w:p>
      <w:pPr>
        <w:wordWrap/>
        <w:topLinePunct w:val="0"/>
        <w:ind w:firstLine="600"/>
        <w:rPr>
          <w:rFonts w:hint="eastAsia" w:ascii="仿宋_GB2312" w:hAnsi="仿宋_GB2312" w:eastAsia="仿宋_GB2312" w:cs="仿宋_GB2312"/>
          <w:sz w:val="30"/>
          <w:szCs w:val="30"/>
          <w:highlight w:val="none"/>
        </w:rPr>
      </w:pPr>
      <w:r>
        <w:rPr>
          <w:rFonts w:hint="eastAsia" w:ascii="仿宋_GB2312" w:eastAsia="仿宋_GB2312"/>
          <w:sz w:val="30"/>
          <w:szCs w:val="30"/>
          <w:highlight w:val="none"/>
        </w:rPr>
        <w:t>邮政编码：                   邮政编码：</w:t>
      </w: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附件4：主要建设工程文件目录</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noWrap w:val="0"/>
            <w:vAlign w:val="center"/>
          </w:tcPr>
          <w:p>
            <w:pPr>
              <w:pStyle w:val="5"/>
              <w:wordWrap/>
              <w:topLinePunct w:val="0"/>
              <w:spacing w:after="0" w:afterLines="0"/>
              <w:ind w:firstLine="0" w:firstLineChars="0"/>
              <w:jc w:val="center"/>
              <w:rPr>
                <w:rFonts w:ascii="仿宋_GB2312" w:eastAsia="仿宋_GB2312"/>
                <w:sz w:val="21"/>
                <w:highlight w:val="none"/>
              </w:rPr>
            </w:pPr>
            <w:r>
              <w:rPr>
                <w:rFonts w:hint="eastAsia" w:ascii="仿宋_GB2312" w:eastAsia="仿宋_GB2312"/>
                <w:sz w:val="21"/>
                <w:highlight w:val="none"/>
              </w:rPr>
              <w:t>文件名称</w:t>
            </w:r>
          </w:p>
        </w:tc>
        <w:tc>
          <w:tcPr>
            <w:tcW w:w="1276" w:type="dxa"/>
            <w:tcBorders>
              <w:top w:val="single" w:color="auto" w:sz="12" w:space="0"/>
              <w:bottom w:val="double" w:color="auto" w:sz="6" w:space="0"/>
            </w:tcBorders>
            <w:noWrap w:val="0"/>
            <w:vAlign w:val="center"/>
          </w:tcPr>
          <w:p>
            <w:pPr>
              <w:pStyle w:val="5"/>
              <w:wordWrap/>
              <w:topLinePunct w:val="0"/>
              <w:spacing w:after="0" w:afterLines="0"/>
              <w:ind w:firstLine="0" w:firstLineChars="0"/>
              <w:jc w:val="center"/>
              <w:rPr>
                <w:rFonts w:ascii="仿宋_GB2312" w:eastAsia="仿宋_GB2312"/>
                <w:sz w:val="21"/>
                <w:highlight w:val="none"/>
              </w:rPr>
            </w:pPr>
            <w:r>
              <w:rPr>
                <w:rFonts w:hint="eastAsia" w:ascii="仿宋_GB2312" w:eastAsia="仿宋_GB2312"/>
                <w:sz w:val="21"/>
                <w:highlight w:val="none"/>
              </w:rPr>
              <w:t>套数</w:t>
            </w:r>
          </w:p>
        </w:tc>
        <w:tc>
          <w:tcPr>
            <w:tcW w:w="1450" w:type="dxa"/>
            <w:tcBorders>
              <w:top w:val="single" w:color="auto" w:sz="12" w:space="0"/>
              <w:bottom w:val="double" w:color="auto" w:sz="6" w:space="0"/>
            </w:tcBorders>
            <w:noWrap w:val="0"/>
            <w:vAlign w:val="center"/>
          </w:tcPr>
          <w:p>
            <w:pPr>
              <w:pStyle w:val="5"/>
              <w:wordWrap/>
              <w:topLinePunct w:val="0"/>
              <w:spacing w:after="0" w:afterLines="0"/>
              <w:ind w:firstLine="0" w:firstLineChars="0"/>
              <w:jc w:val="center"/>
              <w:rPr>
                <w:rFonts w:ascii="仿宋_GB2312" w:eastAsia="仿宋_GB2312"/>
                <w:sz w:val="21"/>
                <w:highlight w:val="none"/>
              </w:rPr>
            </w:pPr>
            <w:r>
              <w:rPr>
                <w:rFonts w:hint="eastAsia" w:ascii="仿宋_GB2312" w:eastAsia="仿宋_GB2312"/>
                <w:sz w:val="21"/>
                <w:highlight w:val="none"/>
              </w:rPr>
              <w:t>费用（元）</w:t>
            </w:r>
          </w:p>
        </w:tc>
        <w:tc>
          <w:tcPr>
            <w:tcW w:w="1243" w:type="dxa"/>
            <w:tcBorders>
              <w:top w:val="single" w:color="auto" w:sz="12" w:space="0"/>
              <w:bottom w:val="double" w:color="auto" w:sz="6" w:space="0"/>
            </w:tcBorders>
            <w:noWrap w:val="0"/>
            <w:vAlign w:val="center"/>
          </w:tcPr>
          <w:p>
            <w:pPr>
              <w:pStyle w:val="5"/>
              <w:wordWrap/>
              <w:topLinePunct w:val="0"/>
              <w:spacing w:after="0" w:afterLines="0"/>
              <w:ind w:firstLine="0" w:firstLineChars="0"/>
              <w:jc w:val="center"/>
              <w:rPr>
                <w:rFonts w:ascii="仿宋_GB2312" w:eastAsia="仿宋_GB2312"/>
                <w:sz w:val="21"/>
                <w:highlight w:val="none"/>
              </w:rPr>
            </w:pPr>
            <w:r>
              <w:rPr>
                <w:rFonts w:hint="eastAsia" w:ascii="仿宋_GB2312" w:eastAsia="仿宋_GB2312"/>
                <w:sz w:val="21"/>
                <w:highlight w:val="none"/>
              </w:rPr>
              <w:t>质量</w:t>
            </w:r>
          </w:p>
        </w:tc>
        <w:tc>
          <w:tcPr>
            <w:tcW w:w="1450" w:type="dxa"/>
            <w:tcBorders>
              <w:top w:val="single" w:color="auto" w:sz="12" w:space="0"/>
              <w:bottom w:val="double" w:color="auto" w:sz="6" w:space="0"/>
            </w:tcBorders>
            <w:noWrap w:val="0"/>
            <w:vAlign w:val="top"/>
          </w:tcPr>
          <w:p>
            <w:pPr>
              <w:wordWrap/>
              <w:topLinePunct w:val="0"/>
              <w:spacing w:after="0" w:afterLines="0"/>
              <w:ind w:firstLine="0" w:firstLineChars="0"/>
              <w:jc w:val="center"/>
              <w:rPr>
                <w:rFonts w:ascii="仿宋_GB2312" w:eastAsia="仿宋_GB2312"/>
                <w:sz w:val="21"/>
                <w:highlight w:val="none"/>
              </w:rPr>
            </w:pPr>
            <w:r>
              <w:rPr>
                <w:rFonts w:hint="eastAsia" w:ascii="仿宋_GB2312" w:eastAsia="仿宋_GB2312"/>
                <w:sz w:val="21"/>
                <w:highlight w:val="none"/>
              </w:rPr>
              <w:t>移交时间</w:t>
            </w:r>
          </w:p>
        </w:tc>
        <w:tc>
          <w:tcPr>
            <w:tcW w:w="1670" w:type="dxa"/>
            <w:tcBorders>
              <w:top w:val="single" w:color="auto" w:sz="12" w:space="0"/>
              <w:bottom w:val="double" w:color="auto" w:sz="6" w:space="0"/>
            </w:tcBorders>
            <w:noWrap w:val="0"/>
            <w:vAlign w:val="top"/>
          </w:tcPr>
          <w:p>
            <w:pPr>
              <w:wordWrap/>
              <w:topLinePunct w:val="0"/>
              <w:spacing w:after="0" w:afterLines="0"/>
              <w:ind w:firstLine="0" w:firstLineChars="0"/>
              <w:jc w:val="center"/>
              <w:rPr>
                <w:rFonts w:ascii="仿宋_GB2312" w:eastAsia="仿宋_GB2312"/>
                <w:sz w:val="21"/>
                <w:highlight w:val="none"/>
              </w:rPr>
            </w:pPr>
            <w:r>
              <w:rPr>
                <w:rFonts w:hint="eastAsia" w:ascii="仿宋_GB2312" w:eastAsia="仿宋_GB2312"/>
                <w:sz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noWrap w:val="0"/>
            <w:vAlign w:val="center"/>
          </w:tcPr>
          <w:p>
            <w:pPr>
              <w:pStyle w:val="5"/>
              <w:wordWrap/>
              <w:topLinePunct w:val="0"/>
              <w:rPr>
                <w:rFonts w:ascii="仿宋_GB2312" w:eastAsia="仿宋_GB2312"/>
                <w:highlight w:val="none"/>
              </w:rPr>
            </w:pPr>
          </w:p>
        </w:tc>
        <w:tc>
          <w:tcPr>
            <w:tcW w:w="1276" w:type="dxa"/>
            <w:tcBorders>
              <w:top w:val="double" w:color="auto" w:sz="6" w:space="0"/>
              <w:bottom w:val="single" w:color="auto" w:sz="6" w:space="0"/>
            </w:tcBorders>
            <w:noWrap w:val="0"/>
            <w:vAlign w:val="center"/>
          </w:tcPr>
          <w:p>
            <w:pPr>
              <w:pStyle w:val="5"/>
              <w:wordWrap/>
              <w:topLinePunct w:val="0"/>
              <w:rPr>
                <w:rFonts w:ascii="仿宋_GB2312" w:eastAsia="仿宋_GB2312"/>
                <w:highlight w:val="none"/>
              </w:rPr>
            </w:pPr>
          </w:p>
        </w:tc>
        <w:tc>
          <w:tcPr>
            <w:tcW w:w="1450" w:type="dxa"/>
            <w:tcBorders>
              <w:top w:val="double" w:color="auto" w:sz="6" w:space="0"/>
              <w:bottom w:val="single" w:color="auto" w:sz="6" w:space="0"/>
            </w:tcBorders>
            <w:noWrap w:val="0"/>
            <w:vAlign w:val="center"/>
          </w:tcPr>
          <w:p>
            <w:pPr>
              <w:pStyle w:val="5"/>
              <w:wordWrap/>
              <w:topLinePunct w:val="0"/>
              <w:rPr>
                <w:rFonts w:ascii="仿宋_GB2312" w:eastAsia="仿宋_GB2312"/>
                <w:highlight w:val="none"/>
              </w:rPr>
            </w:pPr>
          </w:p>
        </w:tc>
        <w:tc>
          <w:tcPr>
            <w:tcW w:w="1243" w:type="dxa"/>
            <w:tcBorders>
              <w:top w:val="double" w:color="auto" w:sz="6" w:space="0"/>
              <w:bottom w:val="single" w:color="auto" w:sz="6" w:space="0"/>
            </w:tcBorders>
            <w:noWrap w:val="0"/>
            <w:vAlign w:val="center"/>
          </w:tcPr>
          <w:p>
            <w:pPr>
              <w:pStyle w:val="5"/>
              <w:wordWrap/>
              <w:topLinePunct w:val="0"/>
              <w:rPr>
                <w:rFonts w:ascii="仿宋_GB2312" w:eastAsia="仿宋_GB2312"/>
                <w:highlight w:val="none"/>
              </w:rPr>
            </w:pPr>
          </w:p>
        </w:tc>
        <w:tc>
          <w:tcPr>
            <w:tcW w:w="1450" w:type="dxa"/>
            <w:tcBorders>
              <w:top w:val="double" w:color="auto" w:sz="6" w:space="0"/>
              <w:bottom w:val="single" w:color="auto" w:sz="6" w:space="0"/>
            </w:tcBorders>
            <w:noWrap w:val="0"/>
            <w:vAlign w:val="center"/>
          </w:tcPr>
          <w:p>
            <w:pPr>
              <w:pStyle w:val="5"/>
              <w:wordWrap/>
              <w:topLinePunct w:val="0"/>
              <w:rPr>
                <w:rFonts w:ascii="仿宋_GB2312" w:eastAsia="仿宋_GB2312"/>
                <w:highlight w:val="none"/>
              </w:rPr>
            </w:pPr>
          </w:p>
        </w:tc>
        <w:tc>
          <w:tcPr>
            <w:tcW w:w="1670" w:type="dxa"/>
            <w:tcBorders>
              <w:top w:val="double" w:color="auto" w:sz="6" w:space="0"/>
              <w:bottom w:val="single" w:color="auto" w:sz="6" w:space="0"/>
            </w:tcBorders>
            <w:noWrap w:val="0"/>
            <w:vAlign w:val="center"/>
          </w:tcPr>
          <w:p>
            <w:pPr>
              <w:pStyle w:val="5"/>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noWrap w:val="0"/>
            <w:vAlign w:val="center"/>
          </w:tcPr>
          <w:p>
            <w:pPr>
              <w:pStyle w:val="5"/>
              <w:wordWrap/>
              <w:topLinePunct w:val="0"/>
              <w:rPr>
                <w:rFonts w:ascii="仿宋_GB2312" w:eastAsia="仿宋_GB2312"/>
                <w:highlight w:val="none"/>
              </w:rPr>
            </w:pPr>
          </w:p>
        </w:tc>
        <w:tc>
          <w:tcPr>
            <w:tcW w:w="1276" w:type="dxa"/>
            <w:tcBorders>
              <w:top w:val="nil"/>
            </w:tcBorders>
            <w:noWrap w:val="0"/>
            <w:vAlign w:val="center"/>
          </w:tcPr>
          <w:p>
            <w:pPr>
              <w:pStyle w:val="5"/>
              <w:wordWrap/>
              <w:topLinePunct w:val="0"/>
              <w:rPr>
                <w:rFonts w:ascii="仿宋_GB2312" w:eastAsia="仿宋_GB2312"/>
                <w:highlight w:val="none"/>
              </w:rPr>
            </w:pPr>
          </w:p>
        </w:tc>
        <w:tc>
          <w:tcPr>
            <w:tcW w:w="1450" w:type="dxa"/>
            <w:tcBorders>
              <w:top w:val="nil"/>
            </w:tcBorders>
            <w:noWrap w:val="0"/>
            <w:vAlign w:val="center"/>
          </w:tcPr>
          <w:p>
            <w:pPr>
              <w:pStyle w:val="5"/>
              <w:wordWrap/>
              <w:topLinePunct w:val="0"/>
              <w:rPr>
                <w:rFonts w:ascii="仿宋_GB2312" w:eastAsia="仿宋_GB2312"/>
                <w:highlight w:val="none"/>
              </w:rPr>
            </w:pPr>
          </w:p>
        </w:tc>
        <w:tc>
          <w:tcPr>
            <w:tcW w:w="1243" w:type="dxa"/>
            <w:tcBorders>
              <w:top w:val="nil"/>
            </w:tcBorders>
            <w:noWrap w:val="0"/>
            <w:vAlign w:val="center"/>
          </w:tcPr>
          <w:p>
            <w:pPr>
              <w:pStyle w:val="5"/>
              <w:wordWrap/>
              <w:topLinePunct w:val="0"/>
              <w:rPr>
                <w:rFonts w:ascii="仿宋_GB2312" w:eastAsia="仿宋_GB2312"/>
                <w:highlight w:val="none"/>
              </w:rPr>
            </w:pPr>
          </w:p>
        </w:tc>
        <w:tc>
          <w:tcPr>
            <w:tcW w:w="1450" w:type="dxa"/>
            <w:tcBorders>
              <w:top w:val="nil"/>
            </w:tcBorders>
            <w:noWrap w:val="0"/>
            <w:vAlign w:val="center"/>
          </w:tcPr>
          <w:p>
            <w:pPr>
              <w:pStyle w:val="5"/>
              <w:wordWrap/>
              <w:topLinePunct w:val="0"/>
              <w:rPr>
                <w:rFonts w:ascii="仿宋_GB2312" w:eastAsia="仿宋_GB2312"/>
                <w:highlight w:val="none"/>
              </w:rPr>
            </w:pPr>
          </w:p>
        </w:tc>
        <w:tc>
          <w:tcPr>
            <w:tcW w:w="1670" w:type="dxa"/>
            <w:tcBorders>
              <w:top w:val="nil"/>
            </w:tcBorders>
            <w:noWrap w:val="0"/>
            <w:vAlign w:val="center"/>
          </w:tcPr>
          <w:p>
            <w:pPr>
              <w:pStyle w:val="5"/>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5"/>
              <w:wordWrap/>
              <w:topLinePunct w:val="0"/>
              <w:rPr>
                <w:rFonts w:ascii="仿宋_GB2312" w:eastAsia="仿宋_GB2312"/>
                <w:highlight w:val="none"/>
              </w:rPr>
            </w:pPr>
          </w:p>
        </w:tc>
        <w:tc>
          <w:tcPr>
            <w:tcW w:w="1276" w:type="dxa"/>
            <w:noWrap w:val="0"/>
            <w:vAlign w:val="center"/>
          </w:tcPr>
          <w:p>
            <w:pPr>
              <w:pStyle w:val="5"/>
              <w:wordWrap/>
              <w:topLinePunct w:val="0"/>
              <w:rPr>
                <w:rFonts w:ascii="仿宋_GB2312" w:eastAsia="仿宋_GB2312"/>
                <w:highlight w:val="none"/>
              </w:rPr>
            </w:pPr>
          </w:p>
        </w:tc>
        <w:tc>
          <w:tcPr>
            <w:tcW w:w="1450" w:type="dxa"/>
            <w:noWrap w:val="0"/>
            <w:vAlign w:val="center"/>
          </w:tcPr>
          <w:p>
            <w:pPr>
              <w:pStyle w:val="5"/>
              <w:wordWrap/>
              <w:topLinePunct w:val="0"/>
              <w:rPr>
                <w:rFonts w:ascii="仿宋_GB2312" w:eastAsia="仿宋_GB2312"/>
                <w:highlight w:val="none"/>
              </w:rPr>
            </w:pPr>
          </w:p>
        </w:tc>
        <w:tc>
          <w:tcPr>
            <w:tcW w:w="1243" w:type="dxa"/>
            <w:noWrap w:val="0"/>
            <w:vAlign w:val="center"/>
          </w:tcPr>
          <w:p>
            <w:pPr>
              <w:pStyle w:val="5"/>
              <w:wordWrap/>
              <w:topLinePunct w:val="0"/>
              <w:rPr>
                <w:rFonts w:ascii="仿宋_GB2312" w:eastAsia="仿宋_GB2312"/>
                <w:highlight w:val="none"/>
              </w:rPr>
            </w:pPr>
          </w:p>
        </w:tc>
        <w:tc>
          <w:tcPr>
            <w:tcW w:w="1450" w:type="dxa"/>
            <w:noWrap w:val="0"/>
            <w:vAlign w:val="center"/>
          </w:tcPr>
          <w:p>
            <w:pPr>
              <w:pStyle w:val="5"/>
              <w:wordWrap/>
              <w:topLinePunct w:val="0"/>
              <w:rPr>
                <w:rFonts w:ascii="仿宋_GB2312" w:eastAsia="仿宋_GB2312"/>
                <w:highlight w:val="none"/>
              </w:rPr>
            </w:pPr>
          </w:p>
        </w:tc>
        <w:tc>
          <w:tcPr>
            <w:tcW w:w="1670" w:type="dxa"/>
            <w:noWrap w:val="0"/>
            <w:vAlign w:val="center"/>
          </w:tcPr>
          <w:p>
            <w:pPr>
              <w:pStyle w:val="5"/>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5"/>
              <w:wordWrap/>
              <w:topLinePunct w:val="0"/>
              <w:rPr>
                <w:rFonts w:ascii="仿宋_GB2312" w:eastAsia="仿宋_GB2312"/>
                <w:highlight w:val="none"/>
              </w:rPr>
            </w:pPr>
          </w:p>
        </w:tc>
        <w:tc>
          <w:tcPr>
            <w:tcW w:w="1276" w:type="dxa"/>
            <w:noWrap w:val="0"/>
            <w:vAlign w:val="center"/>
          </w:tcPr>
          <w:p>
            <w:pPr>
              <w:pStyle w:val="5"/>
              <w:wordWrap/>
              <w:topLinePunct w:val="0"/>
              <w:rPr>
                <w:rFonts w:ascii="仿宋_GB2312" w:eastAsia="仿宋_GB2312"/>
                <w:highlight w:val="none"/>
              </w:rPr>
            </w:pPr>
          </w:p>
        </w:tc>
        <w:tc>
          <w:tcPr>
            <w:tcW w:w="1450" w:type="dxa"/>
            <w:noWrap w:val="0"/>
            <w:vAlign w:val="center"/>
          </w:tcPr>
          <w:p>
            <w:pPr>
              <w:pStyle w:val="5"/>
              <w:wordWrap/>
              <w:topLinePunct w:val="0"/>
              <w:rPr>
                <w:rFonts w:ascii="仿宋_GB2312" w:eastAsia="仿宋_GB2312"/>
                <w:highlight w:val="none"/>
              </w:rPr>
            </w:pPr>
          </w:p>
        </w:tc>
        <w:tc>
          <w:tcPr>
            <w:tcW w:w="1243" w:type="dxa"/>
            <w:noWrap w:val="0"/>
            <w:vAlign w:val="center"/>
          </w:tcPr>
          <w:p>
            <w:pPr>
              <w:pStyle w:val="5"/>
              <w:wordWrap/>
              <w:topLinePunct w:val="0"/>
              <w:rPr>
                <w:rFonts w:ascii="仿宋_GB2312" w:eastAsia="仿宋_GB2312"/>
                <w:highlight w:val="none"/>
              </w:rPr>
            </w:pPr>
          </w:p>
        </w:tc>
        <w:tc>
          <w:tcPr>
            <w:tcW w:w="1450" w:type="dxa"/>
            <w:noWrap w:val="0"/>
            <w:vAlign w:val="center"/>
          </w:tcPr>
          <w:p>
            <w:pPr>
              <w:pStyle w:val="5"/>
              <w:wordWrap/>
              <w:topLinePunct w:val="0"/>
              <w:rPr>
                <w:rFonts w:ascii="仿宋_GB2312" w:eastAsia="仿宋_GB2312"/>
                <w:highlight w:val="none"/>
              </w:rPr>
            </w:pPr>
          </w:p>
        </w:tc>
        <w:tc>
          <w:tcPr>
            <w:tcW w:w="1670" w:type="dxa"/>
            <w:noWrap w:val="0"/>
            <w:vAlign w:val="center"/>
          </w:tcPr>
          <w:p>
            <w:pPr>
              <w:pStyle w:val="5"/>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5"/>
              <w:wordWrap/>
              <w:topLinePunct w:val="0"/>
              <w:rPr>
                <w:rFonts w:ascii="仿宋_GB2312" w:eastAsia="仿宋_GB2312"/>
                <w:highlight w:val="none"/>
              </w:rPr>
            </w:pPr>
          </w:p>
        </w:tc>
        <w:tc>
          <w:tcPr>
            <w:tcW w:w="1276" w:type="dxa"/>
            <w:noWrap w:val="0"/>
            <w:vAlign w:val="center"/>
          </w:tcPr>
          <w:p>
            <w:pPr>
              <w:pStyle w:val="5"/>
              <w:wordWrap/>
              <w:topLinePunct w:val="0"/>
              <w:rPr>
                <w:rFonts w:ascii="仿宋_GB2312" w:eastAsia="仿宋_GB2312"/>
                <w:highlight w:val="none"/>
              </w:rPr>
            </w:pPr>
          </w:p>
        </w:tc>
        <w:tc>
          <w:tcPr>
            <w:tcW w:w="1450" w:type="dxa"/>
            <w:noWrap w:val="0"/>
            <w:vAlign w:val="center"/>
          </w:tcPr>
          <w:p>
            <w:pPr>
              <w:pStyle w:val="5"/>
              <w:wordWrap/>
              <w:topLinePunct w:val="0"/>
              <w:rPr>
                <w:rFonts w:ascii="仿宋_GB2312" w:eastAsia="仿宋_GB2312"/>
                <w:highlight w:val="none"/>
              </w:rPr>
            </w:pPr>
          </w:p>
        </w:tc>
        <w:tc>
          <w:tcPr>
            <w:tcW w:w="1243" w:type="dxa"/>
            <w:noWrap w:val="0"/>
            <w:vAlign w:val="center"/>
          </w:tcPr>
          <w:p>
            <w:pPr>
              <w:pStyle w:val="5"/>
              <w:wordWrap/>
              <w:topLinePunct w:val="0"/>
              <w:rPr>
                <w:rFonts w:ascii="仿宋_GB2312" w:eastAsia="仿宋_GB2312"/>
                <w:highlight w:val="none"/>
              </w:rPr>
            </w:pPr>
          </w:p>
        </w:tc>
        <w:tc>
          <w:tcPr>
            <w:tcW w:w="1450" w:type="dxa"/>
            <w:noWrap w:val="0"/>
            <w:vAlign w:val="center"/>
          </w:tcPr>
          <w:p>
            <w:pPr>
              <w:pStyle w:val="5"/>
              <w:wordWrap/>
              <w:topLinePunct w:val="0"/>
              <w:rPr>
                <w:rFonts w:ascii="仿宋_GB2312" w:eastAsia="仿宋_GB2312"/>
                <w:highlight w:val="none"/>
              </w:rPr>
            </w:pPr>
          </w:p>
        </w:tc>
        <w:tc>
          <w:tcPr>
            <w:tcW w:w="1670" w:type="dxa"/>
            <w:noWrap w:val="0"/>
            <w:vAlign w:val="center"/>
          </w:tcPr>
          <w:p>
            <w:pPr>
              <w:pStyle w:val="5"/>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5"/>
              <w:wordWrap/>
              <w:topLinePunct w:val="0"/>
              <w:rPr>
                <w:rFonts w:ascii="仿宋_GB2312" w:eastAsia="仿宋_GB2312"/>
                <w:highlight w:val="none"/>
              </w:rPr>
            </w:pPr>
          </w:p>
        </w:tc>
        <w:tc>
          <w:tcPr>
            <w:tcW w:w="1276" w:type="dxa"/>
            <w:noWrap w:val="0"/>
            <w:vAlign w:val="center"/>
          </w:tcPr>
          <w:p>
            <w:pPr>
              <w:pStyle w:val="5"/>
              <w:wordWrap/>
              <w:topLinePunct w:val="0"/>
              <w:rPr>
                <w:rFonts w:ascii="仿宋_GB2312" w:eastAsia="仿宋_GB2312"/>
                <w:highlight w:val="none"/>
              </w:rPr>
            </w:pPr>
          </w:p>
        </w:tc>
        <w:tc>
          <w:tcPr>
            <w:tcW w:w="1450" w:type="dxa"/>
            <w:noWrap w:val="0"/>
            <w:vAlign w:val="center"/>
          </w:tcPr>
          <w:p>
            <w:pPr>
              <w:pStyle w:val="5"/>
              <w:wordWrap/>
              <w:topLinePunct w:val="0"/>
              <w:rPr>
                <w:rFonts w:ascii="仿宋_GB2312" w:eastAsia="仿宋_GB2312"/>
                <w:highlight w:val="none"/>
              </w:rPr>
            </w:pPr>
          </w:p>
        </w:tc>
        <w:tc>
          <w:tcPr>
            <w:tcW w:w="1243" w:type="dxa"/>
            <w:noWrap w:val="0"/>
            <w:vAlign w:val="center"/>
          </w:tcPr>
          <w:p>
            <w:pPr>
              <w:pStyle w:val="5"/>
              <w:wordWrap/>
              <w:topLinePunct w:val="0"/>
              <w:rPr>
                <w:rFonts w:ascii="仿宋_GB2312" w:eastAsia="仿宋_GB2312"/>
                <w:highlight w:val="none"/>
              </w:rPr>
            </w:pPr>
          </w:p>
        </w:tc>
        <w:tc>
          <w:tcPr>
            <w:tcW w:w="1450" w:type="dxa"/>
            <w:noWrap w:val="0"/>
            <w:vAlign w:val="center"/>
          </w:tcPr>
          <w:p>
            <w:pPr>
              <w:pStyle w:val="5"/>
              <w:wordWrap/>
              <w:topLinePunct w:val="0"/>
              <w:rPr>
                <w:rFonts w:ascii="仿宋_GB2312" w:eastAsia="仿宋_GB2312"/>
                <w:highlight w:val="none"/>
              </w:rPr>
            </w:pPr>
          </w:p>
        </w:tc>
        <w:tc>
          <w:tcPr>
            <w:tcW w:w="1670" w:type="dxa"/>
            <w:noWrap w:val="0"/>
            <w:vAlign w:val="center"/>
          </w:tcPr>
          <w:p>
            <w:pPr>
              <w:pStyle w:val="5"/>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5"/>
              <w:wordWrap/>
              <w:topLinePunct w:val="0"/>
              <w:rPr>
                <w:rFonts w:ascii="仿宋_GB2312" w:eastAsia="仿宋_GB2312"/>
                <w:highlight w:val="none"/>
              </w:rPr>
            </w:pPr>
          </w:p>
        </w:tc>
        <w:tc>
          <w:tcPr>
            <w:tcW w:w="1276" w:type="dxa"/>
            <w:noWrap w:val="0"/>
            <w:vAlign w:val="center"/>
          </w:tcPr>
          <w:p>
            <w:pPr>
              <w:pStyle w:val="5"/>
              <w:wordWrap/>
              <w:topLinePunct w:val="0"/>
              <w:rPr>
                <w:rFonts w:ascii="仿宋_GB2312" w:eastAsia="仿宋_GB2312"/>
                <w:highlight w:val="none"/>
              </w:rPr>
            </w:pPr>
          </w:p>
        </w:tc>
        <w:tc>
          <w:tcPr>
            <w:tcW w:w="1450" w:type="dxa"/>
            <w:noWrap w:val="0"/>
            <w:vAlign w:val="center"/>
          </w:tcPr>
          <w:p>
            <w:pPr>
              <w:pStyle w:val="5"/>
              <w:wordWrap/>
              <w:topLinePunct w:val="0"/>
              <w:rPr>
                <w:rFonts w:ascii="仿宋_GB2312" w:eastAsia="仿宋_GB2312"/>
                <w:highlight w:val="none"/>
              </w:rPr>
            </w:pPr>
          </w:p>
        </w:tc>
        <w:tc>
          <w:tcPr>
            <w:tcW w:w="1243" w:type="dxa"/>
            <w:noWrap w:val="0"/>
            <w:vAlign w:val="center"/>
          </w:tcPr>
          <w:p>
            <w:pPr>
              <w:pStyle w:val="5"/>
              <w:wordWrap/>
              <w:topLinePunct w:val="0"/>
              <w:rPr>
                <w:rFonts w:ascii="仿宋_GB2312" w:eastAsia="仿宋_GB2312"/>
                <w:highlight w:val="none"/>
              </w:rPr>
            </w:pPr>
          </w:p>
        </w:tc>
        <w:tc>
          <w:tcPr>
            <w:tcW w:w="1450" w:type="dxa"/>
            <w:noWrap w:val="0"/>
            <w:vAlign w:val="center"/>
          </w:tcPr>
          <w:p>
            <w:pPr>
              <w:pStyle w:val="5"/>
              <w:wordWrap/>
              <w:topLinePunct w:val="0"/>
              <w:rPr>
                <w:rFonts w:ascii="仿宋_GB2312" w:eastAsia="仿宋_GB2312"/>
                <w:highlight w:val="none"/>
              </w:rPr>
            </w:pPr>
          </w:p>
        </w:tc>
        <w:tc>
          <w:tcPr>
            <w:tcW w:w="1670" w:type="dxa"/>
            <w:noWrap w:val="0"/>
            <w:vAlign w:val="center"/>
          </w:tcPr>
          <w:p>
            <w:pPr>
              <w:pStyle w:val="5"/>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5"/>
              <w:wordWrap/>
              <w:topLinePunct w:val="0"/>
              <w:rPr>
                <w:rFonts w:ascii="仿宋_GB2312" w:eastAsia="仿宋_GB2312"/>
                <w:highlight w:val="none"/>
              </w:rPr>
            </w:pPr>
          </w:p>
        </w:tc>
        <w:tc>
          <w:tcPr>
            <w:tcW w:w="1276" w:type="dxa"/>
            <w:noWrap w:val="0"/>
            <w:vAlign w:val="center"/>
          </w:tcPr>
          <w:p>
            <w:pPr>
              <w:pStyle w:val="5"/>
              <w:wordWrap/>
              <w:topLinePunct w:val="0"/>
              <w:rPr>
                <w:rFonts w:ascii="仿宋_GB2312" w:eastAsia="仿宋_GB2312"/>
                <w:highlight w:val="none"/>
              </w:rPr>
            </w:pPr>
          </w:p>
        </w:tc>
        <w:tc>
          <w:tcPr>
            <w:tcW w:w="1450" w:type="dxa"/>
            <w:noWrap w:val="0"/>
            <w:vAlign w:val="center"/>
          </w:tcPr>
          <w:p>
            <w:pPr>
              <w:pStyle w:val="5"/>
              <w:wordWrap/>
              <w:topLinePunct w:val="0"/>
              <w:rPr>
                <w:rFonts w:ascii="仿宋_GB2312" w:eastAsia="仿宋_GB2312"/>
                <w:highlight w:val="none"/>
              </w:rPr>
            </w:pPr>
          </w:p>
        </w:tc>
        <w:tc>
          <w:tcPr>
            <w:tcW w:w="1243" w:type="dxa"/>
            <w:noWrap w:val="0"/>
            <w:vAlign w:val="center"/>
          </w:tcPr>
          <w:p>
            <w:pPr>
              <w:pStyle w:val="5"/>
              <w:wordWrap/>
              <w:topLinePunct w:val="0"/>
              <w:rPr>
                <w:rFonts w:ascii="仿宋_GB2312" w:eastAsia="仿宋_GB2312"/>
                <w:highlight w:val="none"/>
              </w:rPr>
            </w:pPr>
          </w:p>
        </w:tc>
        <w:tc>
          <w:tcPr>
            <w:tcW w:w="1450" w:type="dxa"/>
            <w:noWrap w:val="0"/>
            <w:vAlign w:val="center"/>
          </w:tcPr>
          <w:p>
            <w:pPr>
              <w:pStyle w:val="5"/>
              <w:wordWrap/>
              <w:topLinePunct w:val="0"/>
              <w:rPr>
                <w:rFonts w:ascii="仿宋_GB2312" w:eastAsia="仿宋_GB2312"/>
                <w:highlight w:val="none"/>
              </w:rPr>
            </w:pPr>
          </w:p>
        </w:tc>
        <w:tc>
          <w:tcPr>
            <w:tcW w:w="1670" w:type="dxa"/>
            <w:noWrap w:val="0"/>
            <w:vAlign w:val="center"/>
          </w:tcPr>
          <w:p>
            <w:pPr>
              <w:pStyle w:val="5"/>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wordWrap/>
              <w:topLinePunct w:val="0"/>
              <w:rPr>
                <w:rFonts w:ascii="仿宋_GB2312" w:eastAsia="仿宋_GB2312"/>
                <w:highlight w:val="none"/>
              </w:rPr>
            </w:pPr>
          </w:p>
        </w:tc>
        <w:tc>
          <w:tcPr>
            <w:tcW w:w="1276"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243"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670" w:type="dxa"/>
            <w:noWrap w:val="0"/>
            <w:vAlign w:val="top"/>
          </w:tcPr>
          <w:p>
            <w:pPr>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5"/>
              <w:wordWrap/>
              <w:topLinePunct w:val="0"/>
              <w:rPr>
                <w:rFonts w:ascii="仿宋_GB2312" w:eastAsia="仿宋_GB2312"/>
                <w:highlight w:val="none"/>
              </w:rPr>
            </w:pPr>
          </w:p>
        </w:tc>
        <w:tc>
          <w:tcPr>
            <w:tcW w:w="1276" w:type="dxa"/>
            <w:noWrap w:val="0"/>
            <w:vAlign w:val="center"/>
          </w:tcPr>
          <w:p>
            <w:pPr>
              <w:pStyle w:val="5"/>
              <w:wordWrap/>
              <w:topLinePunct w:val="0"/>
              <w:rPr>
                <w:rFonts w:ascii="仿宋_GB2312" w:eastAsia="仿宋_GB2312"/>
                <w:highlight w:val="none"/>
              </w:rPr>
            </w:pPr>
          </w:p>
        </w:tc>
        <w:tc>
          <w:tcPr>
            <w:tcW w:w="1450" w:type="dxa"/>
            <w:noWrap w:val="0"/>
            <w:vAlign w:val="center"/>
          </w:tcPr>
          <w:p>
            <w:pPr>
              <w:pStyle w:val="5"/>
              <w:wordWrap/>
              <w:topLinePunct w:val="0"/>
              <w:rPr>
                <w:rFonts w:ascii="仿宋_GB2312" w:eastAsia="仿宋_GB2312"/>
                <w:highlight w:val="none"/>
              </w:rPr>
            </w:pPr>
          </w:p>
        </w:tc>
        <w:tc>
          <w:tcPr>
            <w:tcW w:w="1243" w:type="dxa"/>
            <w:noWrap w:val="0"/>
            <w:vAlign w:val="center"/>
          </w:tcPr>
          <w:p>
            <w:pPr>
              <w:pStyle w:val="5"/>
              <w:wordWrap/>
              <w:topLinePunct w:val="0"/>
              <w:rPr>
                <w:rFonts w:ascii="仿宋_GB2312" w:eastAsia="仿宋_GB2312"/>
                <w:highlight w:val="none"/>
              </w:rPr>
            </w:pPr>
          </w:p>
        </w:tc>
        <w:tc>
          <w:tcPr>
            <w:tcW w:w="1450" w:type="dxa"/>
            <w:noWrap w:val="0"/>
            <w:vAlign w:val="center"/>
          </w:tcPr>
          <w:p>
            <w:pPr>
              <w:pStyle w:val="5"/>
              <w:wordWrap/>
              <w:topLinePunct w:val="0"/>
              <w:rPr>
                <w:rFonts w:ascii="仿宋_GB2312" w:eastAsia="仿宋_GB2312"/>
                <w:highlight w:val="none"/>
              </w:rPr>
            </w:pPr>
          </w:p>
        </w:tc>
        <w:tc>
          <w:tcPr>
            <w:tcW w:w="1670" w:type="dxa"/>
            <w:noWrap w:val="0"/>
            <w:vAlign w:val="center"/>
          </w:tcPr>
          <w:p>
            <w:pPr>
              <w:pStyle w:val="5"/>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wordWrap/>
              <w:topLinePunct w:val="0"/>
              <w:rPr>
                <w:rFonts w:ascii="仿宋_GB2312" w:eastAsia="仿宋_GB2312"/>
                <w:highlight w:val="none"/>
              </w:rPr>
            </w:pPr>
          </w:p>
        </w:tc>
        <w:tc>
          <w:tcPr>
            <w:tcW w:w="1276"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243"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670" w:type="dxa"/>
            <w:noWrap w:val="0"/>
            <w:vAlign w:val="top"/>
          </w:tcPr>
          <w:p>
            <w:pPr>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wordWrap/>
              <w:topLinePunct w:val="0"/>
              <w:rPr>
                <w:rFonts w:ascii="仿宋_GB2312" w:eastAsia="仿宋_GB2312"/>
                <w:highlight w:val="none"/>
              </w:rPr>
            </w:pPr>
          </w:p>
        </w:tc>
        <w:tc>
          <w:tcPr>
            <w:tcW w:w="1276"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243"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670" w:type="dxa"/>
            <w:noWrap w:val="0"/>
            <w:vAlign w:val="top"/>
          </w:tcPr>
          <w:p>
            <w:pPr>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wordWrap/>
              <w:topLinePunct w:val="0"/>
              <w:rPr>
                <w:rFonts w:ascii="仿宋_GB2312" w:eastAsia="仿宋_GB2312"/>
                <w:highlight w:val="none"/>
              </w:rPr>
            </w:pPr>
          </w:p>
        </w:tc>
        <w:tc>
          <w:tcPr>
            <w:tcW w:w="1276"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243"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670" w:type="dxa"/>
            <w:noWrap w:val="0"/>
            <w:vAlign w:val="top"/>
          </w:tcPr>
          <w:p>
            <w:pPr>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wordWrap/>
              <w:topLinePunct w:val="0"/>
              <w:rPr>
                <w:rFonts w:ascii="仿宋_GB2312" w:eastAsia="仿宋_GB2312"/>
                <w:highlight w:val="none"/>
              </w:rPr>
            </w:pPr>
          </w:p>
        </w:tc>
        <w:tc>
          <w:tcPr>
            <w:tcW w:w="1276"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243"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670" w:type="dxa"/>
            <w:noWrap w:val="0"/>
            <w:vAlign w:val="top"/>
          </w:tcPr>
          <w:p>
            <w:pPr>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wordWrap/>
              <w:topLinePunct w:val="0"/>
              <w:rPr>
                <w:rFonts w:ascii="仿宋_GB2312" w:eastAsia="仿宋_GB2312"/>
                <w:highlight w:val="none"/>
              </w:rPr>
            </w:pPr>
          </w:p>
        </w:tc>
        <w:tc>
          <w:tcPr>
            <w:tcW w:w="1276"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243"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670" w:type="dxa"/>
            <w:noWrap w:val="0"/>
            <w:vAlign w:val="top"/>
          </w:tcPr>
          <w:p>
            <w:pPr>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wordWrap/>
              <w:topLinePunct w:val="0"/>
              <w:rPr>
                <w:rFonts w:ascii="仿宋_GB2312" w:eastAsia="仿宋_GB2312"/>
                <w:highlight w:val="none"/>
              </w:rPr>
            </w:pPr>
          </w:p>
        </w:tc>
        <w:tc>
          <w:tcPr>
            <w:tcW w:w="1276"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243"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670" w:type="dxa"/>
            <w:noWrap w:val="0"/>
            <w:vAlign w:val="top"/>
          </w:tcPr>
          <w:p>
            <w:pPr>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wordWrap/>
              <w:topLinePunct w:val="0"/>
              <w:rPr>
                <w:rFonts w:ascii="仿宋_GB2312" w:eastAsia="仿宋_GB2312"/>
                <w:highlight w:val="none"/>
              </w:rPr>
            </w:pPr>
          </w:p>
        </w:tc>
        <w:tc>
          <w:tcPr>
            <w:tcW w:w="1276"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243"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670" w:type="dxa"/>
            <w:noWrap w:val="0"/>
            <w:vAlign w:val="top"/>
          </w:tcPr>
          <w:p>
            <w:pPr>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wordWrap/>
              <w:topLinePunct w:val="0"/>
              <w:rPr>
                <w:rFonts w:ascii="仿宋_GB2312" w:eastAsia="仿宋_GB2312"/>
                <w:highlight w:val="none"/>
              </w:rPr>
            </w:pPr>
          </w:p>
        </w:tc>
        <w:tc>
          <w:tcPr>
            <w:tcW w:w="1276"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243"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670" w:type="dxa"/>
            <w:noWrap w:val="0"/>
            <w:vAlign w:val="top"/>
          </w:tcPr>
          <w:p>
            <w:pPr>
              <w:wordWrap/>
              <w:topLinePunct w:val="0"/>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wordWrap/>
              <w:topLinePunct w:val="0"/>
              <w:rPr>
                <w:rFonts w:ascii="仿宋_GB2312" w:eastAsia="仿宋_GB2312"/>
                <w:highlight w:val="none"/>
              </w:rPr>
            </w:pPr>
          </w:p>
        </w:tc>
        <w:tc>
          <w:tcPr>
            <w:tcW w:w="1276"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243" w:type="dxa"/>
            <w:noWrap w:val="0"/>
            <w:vAlign w:val="top"/>
          </w:tcPr>
          <w:p>
            <w:pPr>
              <w:wordWrap/>
              <w:topLinePunct w:val="0"/>
              <w:rPr>
                <w:rFonts w:ascii="仿宋_GB2312" w:eastAsia="仿宋_GB2312"/>
                <w:highlight w:val="none"/>
              </w:rPr>
            </w:pPr>
          </w:p>
        </w:tc>
        <w:tc>
          <w:tcPr>
            <w:tcW w:w="1450" w:type="dxa"/>
            <w:noWrap w:val="0"/>
            <w:vAlign w:val="top"/>
          </w:tcPr>
          <w:p>
            <w:pPr>
              <w:wordWrap/>
              <w:topLinePunct w:val="0"/>
              <w:rPr>
                <w:rFonts w:ascii="仿宋_GB2312" w:eastAsia="仿宋_GB2312"/>
                <w:highlight w:val="none"/>
              </w:rPr>
            </w:pPr>
          </w:p>
        </w:tc>
        <w:tc>
          <w:tcPr>
            <w:tcW w:w="1670" w:type="dxa"/>
            <w:noWrap w:val="0"/>
            <w:vAlign w:val="top"/>
          </w:tcPr>
          <w:p>
            <w:pPr>
              <w:wordWrap/>
              <w:topLinePunct w:val="0"/>
              <w:rPr>
                <w:rFonts w:ascii="仿宋_GB2312" w:eastAsia="仿宋_GB2312"/>
                <w:highlight w:val="none"/>
              </w:rPr>
            </w:pPr>
          </w:p>
        </w:tc>
      </w:tr>
    </w:tbl>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附件5：承包人主要管理人员表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noWrap w:val="0"/>
            <w:vAlign w:val="center"/>
          </w:tcPr>
          <w:p>
            <w:pPr>
              <w:pStyle w:val="5"/>
              <w:wordWrap/>
              <w:topLinePunct w:val="0"/>
              <w:spacing w:after="0" w:afterLines="0"/>
              <w:ind w:firstLine="420"/>
              <w:rPr>
                <w:rFonts w:ascii="仿宋_GB2312" w:eastAsia="仿宋_GB2312"/>
                <w:sz w:val="21"/>
                <w:szCs w:val="21"/>
                <w:highlight w:val="none"/>
              </w:rPr>
            </w:pPr>
            <w:r>
              <w:rPr>
                <w:rFonts w:hint="eastAsia" w:ascii="仿宋_GB2312" w:eastAsia="仿宋_GB2312"/>
                <w:sz w:val="21"/>
                <w:szCs w:val="21"/>
                <w:highlight w:val="none"/>
              </w:rPr>
              <w:t>名    称</w:t>
            </w:r>
          </w:p>
        </w:tc>
        <w:tc>
          <w:tcPr>
            <w:tcW w:w="1418" w:type="dxa"/>
            <w:tcBorders>
              <w:top w:val="single" w:color="auto" w:sz="12" w:space="0"/>
              <w:bottom w:val="double" w:color="auto" w:sz="6" w:space="0"/>
            </w:tcBorders>
            <w:noWrap w:val="0"/>
            <w:vAlign w:val="center"/>
          </w:tcPr>
          <w:p>
            <w:pPr>
              <w:pStyle w:val="5"/>
              <w:wordWrap/>
              <w:topLinePunct w:val="0"/>
              <w:spacing w:after="0" w:afterLines="0"/>
              <w:ind w:firstLine="420"/>
              <w:rPr>
                <w:rFonts w:ascii="仿宋_GB2312" w:eastAsia="仿宋_GB2312"/>
                <w:sz w:val="21"/>
                <w:szCs w:val="21"/>
                <w:highlight w:val="none"/>
              </w:rPr>
            </w:pPr>
            <w:r>
              <w:rPr>
                <w:rFonts w:hint="eastAsia" w:ascii="仿宋_GB2312" w:eastAsia="仿宋_GB2312"/>
                <w:sz w:val="21"/>
                <w:szCs w:val="21"/>
                <w:highlight w:val="none"/>
              </w:rPr>
              <w:t>姓名</w:t>
            </w:r>
          </w:p>
        </w:tc>
        <w:tc>
          <w:tcPr>
            <w:tcW w:w="1134" w:type="dxa"/>
            <w:tcBorders>
              <w:top w:val="single" w:color="auto" w:sz="12" w:space="0"/>
              <w:bottom w:val="double" w:color="auto" w:sz="6" w:space="0"/>
            </w:tcBorders>
            <w:noWrap w:val="0"/>
            <w:vAlign w:val="center"/>
          </w:tcPr>
          <w:p>
            <w:pPr>
              <w:pStyle w:val="5"/>
              <w:wordWrap/>
              <w:topLinePunct w:val="0"/>
              <w:spacing w:after="0" w:afterLines="0"/>
              <w:ind w:firstLine="420"/>
              <w:rPr>
                <w:rFonts w:ascii="仿宋_GB2312" w:eastAsia="仿宋_GB2312"/>
                <w:sz w:val="21"/>
                <w:szCs w:val="21"/>
                <w:highlight w:val="none"/>
              </w:rPr>
            </w:pPr>
            <w:r>
              <w:rPr>
                <w:rFonts w:hint="eastAsia" w:ascii="仿宋_GB2312" w:eastAsia="仿宋_GB2312"/>
                <w:sz w:val="21"/>
                <w:szCs w:val="21"/>
                <w:highlight w:val="none"/>
              </w:rPr>
              <w:t>职务</w:t>
            </w:r>
          </w:p>
        </w:tc>
        <w:tc>
          <w:tcPr>
            <w:tcW w:w="1134" w:type="dxa"/>
            <w:tcBorders>
              <w:top w:val="single" w:color="auto" w:sz="12" w:space="0"/>
              <w:bottom w:val="double" w:color="auto" w:sz="6" w:space="0"/>
            </w:tcBorders>
            <w:noWrap w:val="0"/>
            <w:vAlign w:val="center"/>
          </w:tcPr>
          <w:p>
            <w:pPr>
              <w:pStyle w:val="5"/>
              <w:wordWrap/>
              <w:topLinePunct w:val="0"/>
              <w:spacing w:after="0" w:afterLines="0"/>
              <w:ind w:firstLine="420"/>
              <w:rPr>
                <w:rFonts w:ascii="仿宋_GB2312" w:eastAsia="仿宋_GB2312"/>
                <w:sz w:val="21"/>
                <w:szCs w:val="21"/>
                <w:highlight w:val="none"/>
              </w:rPr>
            </w:pPr>
            <w:r>
              <w:rPr>
                <w:rFonts w:hint="eastAsia" w:ascii="仿宋_GB2312" w:eastAsia="仿宋_GB2312"/>
                <w:sz w:val="21"/>
                <w:szCs w:val="21"/>
                <w:highlight w:val="none"/>
              </w:rPr>
              <w:t>职称</w:t>
            </w:r>
          </w:p>
        </w:tc>
        <w:tc>
          <w:tcPr>
            <w:tcW w:w="3896" w:type="dxa"/>
            <w:tcBorders>
              <w:top w:val="single" w:color="auto" w:sz="12" w:space="0"/>
              <w:bottom w:val="double" w:color="auto" w:sz="6" w:space="0"/>
            </w:tcBorders>
            <w:noWrap w:val="0"/>
            <w:vAlign w:val="center"/>
          </w:tcPr>
          <w:p>
            <w:pPr>
              <w:pStyle w:val="5"/>
              <w:wordWrap/>
              <w:topLinePunct w:val="0"/>
              <w:spacing w:after="0" w:afterLines="0"/>
              <w:ind w:firstLine="420"/>
              <w:rPr>
                <w:rFonts w:ascii="仿宋_GB2312" w:eastAsia="仿宋_GB2312"/>
                <w:sz w:val="21"/>
                <w:szCs w:val="21"/>
                <w:highlight w:val="none"/>
              </w:rPr>
            </w:pPr>
            <w:r>
              <w:rPr>
                <w:rFonts w:hint="eastAsia" w:ascii="仿宋_GB2312" w:eastAsia="仿宋_GB2312"/>
                <w:sz w:val="21"/>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noWrap w:val="0"/>
            <w:vAlign w:val="center"/>
          </w:tcPr>
          <w:p>
            <w:pPr>
              <w:pStyle w:val="5"/>
              <w:wordWrap/>
              <w:topLinePunct w:val="0"/>
              <w:spacing w:after="0" w:afterLines="0"/>
              <w:ind w:firstLine="420"/>
              <w:rPr>
                <w:rFonts w:ascii="仿宋_GB2312" w:eastAsia="仿宋_GB2312"/>
                <w:sz w:val="21"/>
                <w:szCs w:val="21"/>
                <w:highlight w:val="none"/>
              </w:rPr>
            </w:pPr>
            <w:r>
              <w:rPr>
                <w:rFonts w:hint="eastAsia" w:ascii="仿宋_GB2312" w:eastAsia="仿宋_GB2312"/>
                <w:sz w:val="21"/>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pPr>
              <w:pStyle w:val="5"/>
              <w:wordWrap/>
              <w:topLinePunct w:val="0"/>
              <w:spacing w:after="0" w:afterLines="0"/>
              <w:ind w:firstLine="0" w:firstLineChars="0"/>
              <w:jc w:val="center"/>
              <w:rPr>
                <w:rFonts w:ascii="仿宋_GB2312" w:eastAsia="仿宋_GB2312"/>
                <w:sz w:val="21"/>
                <w:szCs w:val="21"/>
                <w:highlight w:val="none"/>
              </w:rPr>
            </w:pPr>
            <w:r>
              <w:rPr>
                <w:rFonts w:hint="eastAsia" w:ascii="仿宋_GB2312" w:eastAsia="仿宋_GB2312"/>
                <w:sz w:val="21"/>
                <w:szCs w:val="21"/>
                <w:highlight w:val="none"/>
              </w:rPr>
              <w:t>项目主管</w:t>
            </w:r>
          </w:p>
        </w:tc>
        <w:tc>
          <w:tcPr>
            <w:tcW w:w="1418" w:type="dxa"/>
            <w:tcBorders>
              <w:top w:val="nil"/>
            </w:tcBorders>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tcBorders>
              <w:top w:val="nil"/>
            </w:tcBorders>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tcBorders>
              <w:top w:val="nil"/>
            </w:tcBorders>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tcBorders>
              <w:top w:val="nil"/>
            </w:tcBorders>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noWrap w:val="0"/>
            <w:vAlign w:val="center"/>
          </w:tcPr>
          <w:p>
            <w:pPr>
              <w:pStyle w:val="5"/>
              <w:wordWrap/>
              <w:topLinePunct w:val="0"/>
              <w:spacing w:after="0" w:afterLines="0"/>
              <w:ind w:firstLine="420"/>
              <w:rPr>
                <w:rFonts w:ascii="仿宋_GB2312" w:eastAsia="仿宋_GB2312"/>
                <w:sz w:val="21"/>
                <w:szCs w:val="21"/>
                <w:highlight w:val="none"/>
              </w:rPr>
            </w:pPr>
          </w:p>
        </w:tc>
        <w:tc>
          <w:tcPr>
            <w:tcW w:w="1418"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pPr>
              <w:pStyle w:val="5"/>
              <w:wordWrap/>
              <w:topLinePunct w:val="0"/>
              <w:spacing w:after="0" w:afterLines="0"/>
              <w:ind w:firstLine="0" w:firstLineChars="0"/>
              <w:jc w:val="center"/>
              <w:rPr>
                <w:rFonts w:ascii="仿宋_GB2312" w:eastAsia="仿宋_GB2312"/>
                <w:sz w:val="21"/>
                <w:szCs w:val="21"/>
                <w:highlight w:val="none"/>
              </w:rPr>
            </w:pPr>
            <w:r>
              <w:rPr>
                <w:rFonts w:hint="eastAsia" w:ascii="仿宋_GB2312" w:eastAsia="仿宋_GB2312"/>
                <w:sz w:val="21"/>
                <w:szCs w:val="21"/>
                <w:highlight w:val="none"/>
              </w:rPr>
              <w:t>其他人员</w:t>
            </w:r>
          </w:p>
        </w:tc>
        <w:tc>
          <w:tcPr>
            <w:tcW w:w="1418"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pPr>
              <w:pStyle w:val="5"/>
              <w:wordWrap/>
              <w:topLinePunct w:val="0"/>
              <w:spacing w:after="0" w:afterLines="0"/>
              <w:ind w:firstLine="420"/>
              <w:rPr>
                <w:rFonts w:ascii="仿宋_GB2312" w:eastAsia="仿宋_GB2312"/>
                <w:sz w:val="21"/>
                <w:szCs w:val="21"/>
                <w:highlight w:val="none"/>
              </w:rPr>
            </w:pPr>
          </w:p>
        </w:tc>
        <w:tc>
          <w:tcPr>
            <w:tcW w:w="1418"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noWrap w:val="0"/>
            <w:vAlign w:val="center"/>
          </w:tcPr>
          <w:p>
            <w:pPr>
              <w:pStyle w:val="5"/>
              <w:wordWrap/>
              <w:topLinePunct w:val="0"/>
              <w:spacing w:after="0" w:afterLines="0"/>
              <w:ind w:firstLine="420"/>
              <w:rPr>
                <w:rFonts w:ascii="仿宋_GB2312" w:eastAsia="仿宋_GB2312"/>
                <w:sz w:val="21"/>
                <w:szCs w:val="21"/>
                <w:highlight w:val="none"/>
              </w:rPr>
            </w:pPr>
            <w:r>
              <w:rPr>
                <w:rFonts w:hint="eastAsia" w:ascii="仿宋_GB2312" w:eastAsia="仿宋_GB2312"/>
                <w:sz w:val="21"/>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wordWrap/>
              <w:topLinePunct w:val="0"/>
              <w:spacing w:after="0" w:afterLines="0"/>
              <w:ind w:firstLine="0" w:firstLineChars="0"/>
              <w:jc w:val="center"/>
              <w:rPr>
                <w:rFonts w:ascii="仿宋_GB2312" w:eastAsia="仿宋_GB2312"/>
                <w:sz w:val="21"/>
                <w:szCs w:val="21"/>
                <w:highlight w:val="none"/>
              </w:rPr>
            </w:pPr>
            <w:r>
              <w:rPr>
                <w:rFonts w:hint="eastAsia" w:ascii="仿宋_GB2312" w:eastAsia="仿宋_GB2312"/>
                <w:sz w:val="21"/>
                <w:szCs w:val="21"/>
                <w:highlight w:val="none"/>
              </w:rPr>
              <w:t>工程总承包</w:t>
            </w:r>
          </w:p>
          <w:p>
            <w:pPr>
              <w:pStyle w:val="5"/>
              <w:wordWrap/>
              <w:topLinePunct w:val="0"/>
              <w:spacing w:after="0" w:afterLines="0"/>
              <w:ind w:firstLine="0" w:firstLineChars="0"/>
              <w:jc w:val="center"/>
              <w:rPr>
                <w:rFonts w:ascii="仿宋_GB2312" w:eastAsia="仿宋_GB2312"/>
                <w:sz w:val="21"/>
                <w:szCs w:val="21"/>
                <w:highlight w:val="none"/>
              </w:rPr>
            </w:pPr>
            <w:r>
              <w:rPr>
                <w:rFonts w:hint="eastAsia" w:ascii="仿宋_GB2312" w:eastAsia="仿宋_GB2312"/>
                <w:sz w:val="21"/>
                <w:szCs w:val="21"/>
                <w:highlight w:val="none"/>
              </w:rPr>
              <w:t>项目经理</w:t>
            </w:r>
          </w:p>
        </w:tc>
        <w:tc>
          <w:tcPr>
            <w:tcW w:w="1418"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noWrap w:val="0"/>
            <w:vAlign w:val="center"/>
          </w:tcPr>
          <w:p>
            <w:pPr>
              <w:pStyle w:val="5"/>
              <w:wordWrap/>
              <w:topLinePunct w:val="0"/>
              <w:spacing w:after="0" w:afterLines="0"/>
              <w:ind w:firstLine="420"/>
              <w:rPr>
                <w:rFonts w:ascii="仿宋_GB2312" w:eastAsia="仿宋_GB2312"/>
                <w:sz w:val="21"/>
                <w:szCs w:val="21"/>
                <w:highlight w:val="none"/>
              </w:rPr>
            </w:pPr>
          </w:p>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wordWrap/>
              <w:topLinePunct w:val="0"/>
              <w:spacing w:after="0" w:afterLines="0"/>
              <w:ind w:firstLine="0" w:firstLineChars="0"/>
              <w:jc w:val="center"/>
              <w:rPr>
                <w:rFonts w:ascii="仿宋_GB2312" w:eastAsia="仿宋_GB2312"/>
                <w:sz w:val="21"/>
                <w:szCs w:val="21"/>
                <w:highlight w:val="none"/>
              </w:rPr>
            </w:pPr>
            <w:r>
              <w:rPr>
                <w:rFonts w:hint="eastAsia" w:ascii="仿宋_GB2312" w:eastAsia="仿宋_GB2312"/>
                <w:sz w:val="21"/>
                <w:szCs w:val="21"/>
                <w:highlight w:val="none"/>
              </w:rPr>
              <w:t>项目副经理</w:t>
            </w:r>
          </w:p>
        </w:tc>
        <w:tc>
          <w:tcPr>
            <w:tcW w:w="1418"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wordWrap/>
              <w:topLinePunct w:val="0"/>
              <w:spacing w:after="0" w:afterLines="0"/>
              <w:ind w:firstLine="0" w:firstLineChars="0"/>
              <w:jc w:val="center"/>
              <w:rPr>
                <w:rFonts w:ascii="仿宋_GB2312" w:eastAsia="仿宋_GB2312"/>
                <w:sz w:val="21"/>
                <w:szCs w:val="21"/>
                <w:highlight w:val="none"/>
              </w:rPr>
            </w:pPr>
            <w:r>
              <w:rPr>
                <w:rFonts w:hint="eastAsia" w:ascii="仿宋_GB2312" w:eastAsia="仿宋_GB2312"/>
                <w:sz w:val="21"/>
                <w:szCs w:val="21"/>
                <w:highlight w:val="none"/>
              </w:rPr>
              <w:t>设计负责人</w:t>
            </w:r>
          </w:p>
        </w:tc>
        <w:tc>
          <w:tcPr>
            <w:tcW w:w="1418"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wordWrap/>
              <w:topLinePunct w:val="0"/>
              <w:spacing w:after="0" w:afterLines="0"/>
              <w:ind w:firstLine="0" w:firstLineChars="0"/>
              <w:jc w:val="center"/>
              <w:rPr>
                <w:rFonts w:ascii="仿宋_GB2312" w:eastAsia="仿宋_GB2312"/>
                <w:sz w:val="21"/>
                <w:szCs w:val="21"/>
                <w:highlight w:val="none"/>
              </w:rPr>
            </w:pPr>
            <w:r>
              <w:rPr>
                <w:rFonts w:hint="eastAsia" w:ascii="仿宋_GB2312" w:eastAsia="仿宋_GB2312"/>
                <w:sz w:val="21"/>
                <w:szCs w:val="21"/>
                <w:highlight w:val="none"/>
              </w:rPr>
              <w:t>采购负责人</w:t>
            </w:r>
          </w:p>
        </w:tc>
        <w:tc>
          <w:tcPr>
            <w:tcW w:w="1418"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wordWrap/>
              <w:topLinePunct w:val="0"/>
              <w:spacing w:after="0" w:afterLines="0"/>
              <w:ind w:firstLine="0" w:firstLineChars="0"/>
              <w:jc w:val="center"/>
              <w:rPr>
                <w:rFonts w:ascii="仿宋_GB2312" w:eastAsia="仿宋_GB2312"/>
                <w:sz w:val="21"/>
                <w:szCs w:val="21"/>
                <w:highlight w:val="none"/>
              </w:rPr>
            </w:pPr>
            <w:r>
              <w:rPr>
                <w:rFonts w:hint="eastAsia" w:ascii="仿宋_GB2312" w:eastAsia="仿宋_GB2312"/>
                <w:sz w:val="21"/>
                <w:szCs w:val="21"/>
                <w:highlight w:val="none"/>
              </w:rPr>
              <w:t>施工负责人</w:t>
            </w:r>
          </w:p>
        </w:tc>
        <w:tc>
          <w:tcPr>
            <w:tcW w:w="1418"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wordWrap/>
              <w:topLinePunct w:val="0"/>
              <w:spacing w:after="0" w:afterLines="0"/>
              <w:ind w:firstLine="0" w:firstLineChars="0"/>
              <w:jc w:val="center"/>
              <w:rPr>
                <w:rFonts w:ascii="仿宋_GB2312" w:eastAsia="仿宋_GB2312"/>
                <w:sz w:val="21"/>
                <w:szCs w:val="21"/>
                <w:highlight w:val="none"/>
              </w:rPr>
            </w:pPr>
            <w:r>
              <w:rPr>
                <w:rFonts w:hint="eastAsia" w:ascii="仿宋_GB2312" w:eastAsia="仿宋_GB2312"/>
                <w:sz w:val="21"/>
                <w:szCs w:val="21"/>
                <w:highlight w:val="none"/>
              </w:rPr>
              <w:t>技术负责人</w:t>
            </w:r>
          </w:p>
        </w:tc>
        <w:tc>
          <w:tcPr>
            <w:tcW w:w="1418"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wordWrap/>
              <w:topLinePunct w:val="0"/>
              <w:spacing w:after="0" w:afterLines="0"/>
              <w:ind w:firstLine="0" w:firstLineChars="0"/>
              <w:jc w:val="center"/>
              <w:rPr>
                <w:rFonts w:ascii="仿宋_GB2312" w:eastAsia="仿宋_GB2312"/>
                <w:sz w:val="21"/>
                <w:szCs w:val="21"/>
                <w:highlight w:val="none"/>
              </w:rPr>
            </w:pPr>
            <w:r>
              <w:rPr>
                <w:rFonts w:hint="eastAsia" w:ascii="仿宋_GB2312" w:eastAsia="仿宋_GB2312"/>
                <w:sz w:val="21"/>
                <w:szCs w:val="21"/>
                <w:highlight w:val="none"/>
              </w:rPr>
              <w:t>造价管理</w:t>
            </w:r>
          </w:p>
        </w:tc>
        <w:tc>
          <w:tcPr>
            <w:tcW w:w="1418"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wordWrap/>
              <w:topLinePunct w:val="0"/>
              <w:spacing w:after="0" w:afterLines="0"/>
              <w:ind w:firstLine="0" w:firstLineChars="0"/>
              <w:jc w:val="center"/>
              <w:rPr>
                <w:rFonts w:ascii="仿宋_GB2312" w:eastAsia="仿宋_GB2312"/>
                <w:sz w:val="21"/>
                <w:szCs w:val="21"/>
                <w:highlight w:val="none"/>
              </w:rPr>
            </w:pPr>
            <w:r>
              <w:rPr>
                <w:rFonts w:hint="eastAsia" w:ascii="仿宋_GB2312" w:eastAsia="仿宋_GB2312"/>
                <w:sz w:val="21"/>
                <w:szCs w:val="21"/>
                <w:highlight w:val="none"/>
              </w:rPr>
              <w:t>质量管理</w:t>
            </w:r>
          </w:p>
        </w:tc>
        <w:tc>
          <w:tcPr>
            <w:tcW w:w="1418"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wordWrap/>
              <w:topLinePunct w:val="0"/>
              <w:spacing w:after="0" w:afterLines="0"/>
              <w:ind w:firstLine="0" w:firstLineChars="0"/>
              <w:jc w:val="center"/>
              <w:rPr>
                <w:rFonts w:ascii="仿宋_GB2312" w:eastAsia="仿宋_GB2312"/>
                <w:sz w:val="21"/>
                <w:szCs w:val="21"/>
                <w:highlight w:val="none"/>
              </w:rPr>
            </w:pPr>
            <w:r>
              <w:rPr>
                <w:rFonts w:hint="eastAsia" w:ascii="仿宋_GB2312" w:eastAsia="仿宋_GB2312"/>
                <w:sz w:val="21"/>
                <w:szCs w:val="21"/>
                <w:highlight w:val="none"/>
              </w:rPr>
              <w:t>计划管理</w:t>
            </w:r>
          </w:p>
        </w:tc>
        <w:tc>
          <w:tcPr>
            <w:tcW w:w="1418"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wordWrap/>
              <w:topLinePunct w:val="0"/>
              <w:spacing w:after="0" w:afterLines="0"/>
              <w:ind w:firstLine="0" w:firstLineChars="0"/>
              <w:jc w:val="center"/>
              <w:rPr>
                <w:rFonts w:ascii="仿宋_GB2312" w:eastAsia="仿宋_GB2312"/>
                <w:sz w:val="21"/>
                <w:szCs w:val="21"/>
                <w:highlight w:val="none"/>
              </w:rPr>
            </w:pPr>
            <w:r>
              <w:rPr>
                <w:rFonts w:hint="eastAsia" w:ascii="仿宋_GB2312" w:eastAsia="仿宋_GB2312"/>
                <w:sz w:val="21"/>
                <w:szCs w:val="21"/>
                <w:highlight w:val="none"/>
              </w:rPr>
              <w:t>安全管理</w:t>
            </w:r>
          </w:p>
        </w:tc>
        <w:tc>
          <w:tcPr>
            <w:tcW w:w="1418"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wordWrap/>
              <w:topLinePunct w:val="0"/>
              <w:spacing w:after="0" w:afterLines="0"/>
              <w:ind w:firstLine="0" w:firstLineChars="0"/>
              <w:jc w:val="center"/>
              <w:rPr>
                <w:rFonts w:ascii="仿宋_GB2312" w:eastAsia="仿宋_GB2312"/>
                <w:sz w:val="21"/>
                <w:szCs w:val="21"/>
                <w:highlight w:val="none"/>
              </w:rPr>
            </w:pPr>
            <w:r>
              <w:rPr>
                <w:rFonts w:hint="eastAsia" w:ascii="仿宋_GB2312" w:eastAsia="仿宋_GB2312"/>
                <w:sz w:val="21"/>
                <w:szCs w:val="21"/>
                <w:highlight w:val="none"/>
              </w:rPr>
              <w:t>环境管理</w:t>
            </w:r>
          </w:p>
        </w:tc>
        <w:tc>
          <w:tcPr>
            <w:tcW w:w="1418"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noWrap w:val="0"/>
            <w:vAlign w:val="center"/>
          </w:tcPr>
          <w:p>
            <w:pPr>
              <w:pStyle w:val="5"/>
              <w:wordWrap/>
              <w:topLinePunct w:val="0"/>
              <w:spacing w:after="0" w:afterLines="0"/>
              <w:ind w:firstLine="0" w:firstLineChars="0"/>
              <w:jc w:val="center"/>
              <w:rPr>
                <w:rFonts w:ascii="仿宋_GB2312" w:eastAsia="仿宋_GB2312"/>
                <w:sz w:val="21"/>
                <w:szCs w:val="21"/>
                <w:highlight w:val="none"/>
              </w:rPr>
            </w:pPr>
            <w:r>
              <w:rPr>
                <w:rFonts w:hint="eastAsia" w:ascii="仿宋_GB2312" w:eastAsia="仿宋_GB2312"/>
                <w:sz w:val="21"/>
                <w:szCs w:val="21"/>
                <w:highlight w:val="none"/>
              </w:rPr>
              <w:t>其他人员</w:t>
            </w:r>
          </w:p>
        </w:tc>
        <w:tc>
          <w:tcPr>
            <w:tcW w:w="1418"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pPr>
              <w:pStyle w:val="5"/>
              <w:wordWrap/>
              <w:topLinePunct w:val="0"/>
              <w:spacing w:after="0" w:afterLines="0"/>
              <w:ind w:firstLine="420"/>
              <w:rPr>
                <w:rFonts w:ascii="仿宋_GB2312" w:eastAsia="仿宋_GB2312"/>
                <w:sz w:val="21"/>
                <w:szCs w:val="21"/>
                <w:highlight w:val="none"/>
              </w:rPr>
            </w:pPr>
          </w:p>
        </w:tc>
        <w:tc>
          <w:tcPr>
            <w:tcW w:w="1418" w:type="dxa"/>
            <w:tcBorders>
              <w:bottom w:val="nil"/>
            </w:tcBorders>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tcBorders>
              <w:bottom w:val="nil"/>
            </w:tcBorders>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tcBorders>
              <w:bottom w:val="nil"/>
            </w:tcBorders>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tcBorders>
              <w:bottom w:val="nil"/>
            </w:tcBorders>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pPr>
              <w:pStyle w:val="5"/>
              <w:wordWrap/>
              <w:topLinePunct w:val="0"/>
              <w:spacing w:after="0" w:afterLines="0"/>
              <w:ind w:firstLine="420"/>
              <w:rPr>
                <w:rFonts w:ascii="仿宋_GB2312" w:eastAsia="仿宋_GB2312"/>
                <w:sz w:val="21"/>
                <w:szCs w:val="21"/>
                <w:highlight w:val="none"/>
              </w:rPr>
            </w:pPr>
          </w:p>
        </w:tc>
        <w:tc>
          <w:tcPr>
            <w:tcW w:w="1418"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pPr>
              <w:pStyle w:val="5"/>
              <w:wordWrap/>
              <w:topLinePunct w:val="0"/>
              <w:spacing w:after="0" w:afterLines="0"/>
              <w:ind w:firstLine="420"/>
              <w:rPr>
                <w:rFonts w:ascii="仿宋_GB2312" w:eastAsia="仿宋_GB2312"/>
                <w:sz w:val="21"/>
                <w:szCs w:val="21"/>
                <w:highlight w:val="none"/>
              </w:rPr>
            </w:pPr>
          </w:p>
        </w:tc>
        <w:tc>
          <w:tcPr>
            <w:tcW w:w="1418"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pPr>
              <w:pStyle w:val="5"/>
              <w:wordWrap/>
              <w:topLinePunct w:val="0"/>
              <w:spacing w:after="0" w:afterLines="0"/>
              <w:ind w:firstLine="420"/>
              <w:rPr>
                <w:rFonts w:ascii="仿宋_GB2312" w:eastAsia="仿宋_GB2312"/>
                <w:sz w:val="21"/>
                <w:szCs w:val="21"/>
                <w:highlight w:val="none"/>
              </w:rPr>
            </w:pPr>
          </w:p>
        </w:tc>
        <w:tc>
          <w:tcPr>
            <w:tcW w:w="1418"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1134" w:type="dxa"/>
            <w:noWrap w:val="0"/>
            <w:vAlign w:val="center"/>
          </w:tcPr>
          <w:p>
            <w:pPr>
              <w:pStyle w:val="5"/>
              <w:wordWrap/>
              <w:topLinePunct w:val="0"/>
              <w:spacing w:after="0" w:afterLines="0"/>
              <w:ind w:firstLine="420"/>
              <w:rPr>
                <w:rFonts w:ascii="仿宋_GB2312" w:eastAsia="仿宋_GB2312"/>
                <w:sz w:val="21"/>
                <w:szCs w:val="21"/>
                <w:highlight w:val="none"/>
              </w:rPr>
            </w:pPr>
          </w:p>
        </w:tc>
        <w:tc>
          <w:tcPr>
            <w:tcW w:w="3896" w:type="dxa"/>
            <w:noWrap w:val="0"/>
            <w:vAlign w:val="center"/>
          </w:tcPr>
          <w:p>
            <w:pPr>
              <w:pStyle w:val="5"/>
              <w:wordWrap/>
              <w:topLinePunct w:val="0"/>
              <w:spacing w:after="0" w:afterLines="0"/>
              <w:ind w:firstLine="420"/>
              <w:rPr>
                <w:rFonts w:ascii="仿宋_GB2312" w:eastAsia="仿宋_GB231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bottom w:val="single" w:color="auto" w:sz="12" w:space="0"/>
            </w:tcBorders>
            <w:noWrap w:val="0"/>
            <w:vAlign w:val="center"/>
          </w:tcPr>
          <w:p>
            <w:pPr>
              <w:pStyle w:val="5"/>
              <w:wordWrap/>
              <w:topLinePunct w:val="0"/>
              <w:rPr>
                <w:rFonts w:ascii="仿宋_GB2312" w:eastAsia="仿宋_GB2312"/>
                <w:highlight w:val="none"/>
              </w:rPr>
            </w:pPr>
          </w:p>
        </w:tc>
        <w:tc>
          <w:tcPr>
            <w:tcW w:w="1418" w:type="dxa"/>
            <w:tcBorders>
              <w:bottom w:val="single" w:color="auto" w:sz="12" w:space="0"/>
            </w:tcBorders>
            <w:noWrap w:val="0"/>
            <w:vAlign w:val="center"/>
          </w:tcPr>
          <w:p>
            <w:pPr>
              <w:pStyle w:val="5"/>
              <w:wordWrap/>
              <w:topLinePunct w:val="0"/>
              <w:rPr>
                <w:rFonts w:ascii="仿宋_GB2312" w:eastAsia="仿宋_GB2312"/>
                <w:highlight w:val="none"/>
              </w:rPr>
            </w:pPr>
          </w:p>
        </w:tc>
        <w:tc>
          <w:tcPr>
            <w:tcW w:w="1134" w:type="dxa"/>
            <w:tcBorders>
              <w:bottom w:val="single" w:color="auto" w:sz="12" w:space="0"/>
            </w:tcBorders>
            <w:noWrap w:val="0"/>
            <w:vAlign w:val="center"/>
          </w:tcPr>
          <w:p>
            <w:pPr>
              <w:pStyle w:val="5"/>
              <w:wordWrap/>
              <w:topLinePunct w:val="0"/>
              <w:rPr>
                <w:rFonts w:ascii="仿宋_GB2312" w:eastAsia="仿宋_GB2312"/>
                <w:highlight w:val="none"/>
              </w:rPr>
            </w:pPr>
          </w:p>
        </w:tc>
        <w:tc>
          <w:tcPr>
            <w:tcW w:w="1134" w:type="dxa"/>
            <w:tcBorders>
              <w:bottom w:val="single" w:color="auto" w:sz="12" w:space="0"/>
            </w:tcBorders>
            <w:noWrap w:val="0"/>
            <w:vAlign w:val="center"/>
          </w:tcPr>
          <w:p>
            <w:pPr>
              <w:pStyle w:val="5"/>
              <w:wordWrap/>
              <w:topLinePunct w:val="0"/>
              <w:rPr>
                <w:rFonts w:ascii="仿宋_GB2312" w:eastAsia="仿宋_GB2312"/>
                <w:highlight w:val="none"/>
              </w:rPr>
            </w:pPr>
          </w:p>
        </w:tc>
        <w:tc>
          <w:tcPr>
            <w:tcW w:w="3896" w:type="dxa"/>
            <w:tcBorders>
              <w:bottom w:val="single" w:color="auto" w:sz="12" w:space="0"/>
            </w:tcBorders>
            <w:noWrap w:val="0"/>
            <w:vAlign w:val="center"/>
          </w:tcPr>
          <w:p>
            <w:pPr>
              <w:pStyle w:val="5"/>
              <w:wordWrap/>
              <w:topLinePunct w:val="0"/>
              <w:rPr>
                <w:rFonts w:ascii="仿宋_GB2312" w:eastAsia="仿宋_GB2312"/>
                <w:highlight w:val="none"/>
              </w:rPr>
            </w:pPr>
          </w:p>
        </w:tc>
      </w:tr>
    </w:tbl>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p>
    <w:p>
      <w:pPr>
        <w:wordWrap/>
        <w:topLinePunct w:val="0"/>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附件6：价格指数权重表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序号</w:t>
            </w:r>
          </w:p>
        </w:tc>
        <w:tc>
          <w:tcPr>
            <w:tcW w:w="1460" w:type="dxa"/>
            <w:gridSpan w:val="2"/>
            <w:vMerge w:val="restart"/>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名称</w:t>
            </w:r>
          </w:p>
        </w:tc>
        <w:tc>
          <w:tcPr>
            <w:tcW w:w="2295" w:type="dxa"/>
            <w:gridSpan w:val="2"/>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变更权重B</w:t>
            </w:r>
          </w:p>
        </w:tc>
        <w:tc>
          <w:tcPr>
            <w:tcW w:w="2445" w:type="dxa"/>
            <w:gridSpan w:val="2"/>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基本价格指数F0</w:t>
            </w:r>
          </w:p>
        </w:tc>
        <w:tc>
          <w:tcPr>
            <w:tcW w:w="1380" w:type="dxa"/>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noWrap w:val="0"/>
            <w:vAlign w:val="top"/>
          </w:tcPr>
          <w:p>
            <w:pPr>
              <w:wordWrap/>
              <w:topLinePunct w:val="0"/>
              <w:ind w:firstLine="0" w:firstLineChars="0"/>
              <w:rPr>
                <w:rFonts w:ascii="仿宋_GB2312" w:eastAsia="仿宋_GB2312"/>
                <w:highlight w:val="none"/>
              </w:rPr>
            </w:pPr>
          </w:p>
        </w:tc>
        <w:tc>
          <w:tcPr>
            <w:tcW w:w="1460" w:type="dxa"/>
            <w:gridSpan w:val="2"/>
            <w:vMerge w:val="continue"/>
            <w:noWrap w:val="0"/>
            <w:vAlign w:val="top"/>
          </w:tcPr>
          <w:p>
            <w:pPr>
              <w:wordWrap/>
              <w:topLinePunct w:val="0"/>
              <w:ind w:firstLine="0" w:firstLineChars="0"/>
              <w:rPr>
                <w:rFonts w:ascii="仿宋_GB2312" w:eastAsia="仿宋_GB2312"/>
                <w:highlight w:val="none"/>
              </w:rPr>
            </w:pPr>
          </w:p>
        </w:tc>
        <w:tc>
          <w:tcPr>
            <w:tcW w:w="1215" w:type="dxa"/>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代号</w:t>
            </w:r>
          </w:p>
        </w:tc>
        <w:tc>
          <w:tcPr>
            <w:tcW w:w="1080" w:type="dxa"/>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权重</w:t>
            </w:r>
          </w:p>
        </w:tc>
        <w:tc>
          <w:tcPr>
            <w:tcW w:w="1215" w:type="dxa"/>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代号</w:t>
            </w:r>
          </w:p>
        </w:tc>
        <w:tc>
          <w:tcPr>
            <w:tcW w:w="1230" w:type="dxa"/>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指数</w:t>
            </w:r>
          </w:p>
        </w:tc>
        <w:tc>
          <w:tcPr>
            <w:tcW w:w="1380" w:type="dxa"/>
            <w:noWrap w:val="0"/>
            <w:vAlign w:val="top"/>
          </w:tcPr>
          <w:p>
            <w:pPr>
              <w:wordWrap/>
              <w:topLinePunct w:val="0"/>
              <w:ind w:firstLine="0" w:firstLineChars="0"/>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wordWrap/>
              <w:topLinePunct w:val="0"/>
              <w:ind w:firstLine="0" w:firstLineChars="0"/>
              <w:rPr>
                <w:rFonts w:ascii="仿宋_GB2312" w:eastAsia="仿宋_GB2312"/>
                <w:highlight w:val="none"/>
              </w:rPr>
            </w:pPr>
          </w:p>
        </w:tc>
        <w:tc>
          <w:tcPr>
            <w:tcW w:w="584" w:type="dxa"/>
            <w:vMerge w:val="restart"/>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变</w:t>
            </w:r>
          </w:p>
          <w:p>
            <w:pPr>
              <w:wordWrap/>
              <w:topLinePunct w:val="0"/>
              <w:ind w:firstLine="0" w:firstLineChars="0"/>
              <w:rPr>
                <w:rFonts w:ascii="仿宋_GB2312" w:eastAsia="仿宋_GB2312"/>
                <w:highlight w:val="none"/>
              </w:rPr>
            </w:pPr>
            <w:r>
              <w:rPr>
                <w:rFonts w:hint="eastAsia" w:ascii="仿宋_GB2312" w:eastAsia="仿宋_GB2312"/>
                <w:highlight w:val="none"/>
              </w:rPr>
              <w:t>值</w:t>
            </w:r>
          </w:p>
          <w:p>
            <w:pPr>
              <w:wordWrap/>
              <w:topLinePunct w:val="0"/>
              <w:ind w:firstLine="0" w:firstLineChars="0"/>
              <w:rPr>
                <w:rFonts w:ascii="仿宋_GB2312" w:eastAsia="仿宋_GB2312"/>
                <w:highlight w:val="none"/>
              </w:rPr>
            </w:pPr>
            <w:r>
              <w:rPr>
                <w:rFonts w:hint="eastAsia" w:ascii="仿宋_GB2312" w:eastAsia="仿宋_GB2312"/>
                <w:highlight w:val="none"/>
              </w:rPr>
              <w:t>部</w:t>
            </w:r>
          </w:p>
          <w:p>
            <w:pPr>
              <w:wordWrap/>
              <w:topLinePunct w:val="0"/>
              <w:ind w:firstLine="0" w:firstLineChars="0"/>
              <w:rPr>
                <w:rFonts w:ascii="仿宋_GB2312" w:eastAsia="仿宋_GB2312"/>
                <w:highlight w:val="none"/>
              </w:rPr>
            </w:pPr>
            <w:r>
              <w:rPr>
                <w:rFonts w:hint="eastAsia" w:ascii="仿宋_GB2312" w:eastAsia="仿宋_GB2312"/>
                <w:highlight w:val="none"/>
              </w:rPr>
              <w:t>分</w:t>
            </w:r>
          </w:p>
        </w:tc>
        <w:tc>
          <w:tcPr>
            <w:tcW w:w="876" w:type="dxa"/>
            <w:noWrap w:val="0"/>
            <w:vAlign w:val="top"/>
          </w:tcPr>
          <w:p>
            <w:pPr>
              <w:wordWrap/>
              <w:topLinePunct w:val="0"/>
              <w:ind w:firstLine="0" w:firstLineChars="0"/>
              <w:rPr>
                <w:rFonts w:ascii="仿宋_GB2312" w:eastAsia="仿宋_GB2312"/>
                <w:highlight w:val="none"/>
              </w:rPr>
            </w:pPr>
          </w:p>
        </w:tc>
        <w:tc>
          <w:tcPr>
            <w:tcW w:w="1215" w:type="dxa"/>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B1</w:t>
            </w:r>
          </w:p>
        </w:tc>
        <w:tc>
          <w:tcPr>
            <w:tcW w:w="1080" w:type="dxa"/>
            <w:noWrap w:val="0"/>
            <w:vAlign w:val="top"/>
          </w:tcPr>
          <w:p>
            <w:pPr>
              <w:wordWrap/>
              <w:topLinePunct w:val="0"/>
              <w:ind w:firstLine="0" w:firstLineChars="0"/>
              <w:rPr>
                <w:rFonts w:ascii="仿宋_GB2312" w:eastAsia="仿宋_GB2312"/>
                <w:highlight w:val="none"/>
              </w:rPr>
            </w:pPr>
          </w:p>
        </w:tc>
        <w:tc>
          <w:tcPr>
            <w:tcW w:w="1215" w:type="dxa"/>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F01</w:t>
            </w:r>
          </w:p>
        </w:tc>
        <w:tc>
          <w:tcPr>
            <w:tcW w:w="1230" w:type="dxa"/>
            <w:noWrap w:val="0"/>
            <w:vAlign w:val="top"/>
          </w:tcPr>
          <w:p>
            <w:pPr>
              <w:wordWrap/>
              <w:topLinePunct w:val="0"/>
              <w:ind w:firstLine="0" w:firstLineChars="0"/>
              <w:rPr>
                <w:rFonts w:ascii="仿宋_GB2312" w:eastAsia="仿宋_GB2312"/>
                <w:highlight w:val="none"/>
              </w:rPr>
            </w:pPr>
          </w:p>
        </w:tc>
        <w:tc>
          <w:tcPr>
            <w:tcW w:w="1380" w:type="dxa"/>
            <w:noWrap w:val="0"/>
            <w:vAlign w:val="top"/>
          </w:tcPr>
          <w:p>
            <w:pPr>
              <w:wordWrap/>
              <w:topLinePunct w:val="0"/>
              <w:ind w:firstLine="0" w:firstLineChars="0"/>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wordWrap/>
              <w:topLinePunct w:val="0"/>
              <w:ind w:firstLine="0" w:firstLineChars="0"/>
              <w:rPr>
                <w:rFonts w:ascii="仿宋_GB2312" w:eastAsia="仿宋_GB2312"/>
                <w:highlight w:val="none"/>
              </w:rPr>
            </w:pPr>
          </w:p>
        </w:tc>
        <w:tc>
          <w:tcPr>
            <w:tcW w:w="584" w:type="dxa"/>
            <w:vMerge w:val="continue"/>
            <w:noWrap w:val="0"/>
            <w:vAlign w:val="top"/>
          </w:tcPr>
          <w:p>
            <w:pPr>
              <w:wordWrap/>
              <w:topLinePunct w:val="0"/>
              <w:ind w:firstLine="0" w:firstLineChars="0"/>
              <w:rPr>
                <w:rFonts w:ascii="仿宋_GB2312" w:eastAsia="仿宋_GB2312"/>
                <w:highlight w:val="none"/>
              </w:rPr>
            </w:pPr>
          </w:p>
        </w:tc>
        <w:tc>
          <w:tcPr>
            <w:tcW w:w="876" w:type="dxa"/>
            <w:noWrap w:val="0"/>
            <w:vAlign w:val="top"/>
          </w:tcPr>
          <w:p>
            <w:pPr>
              <w:wordWrap/>
              <w:topLinePunct w:val="0"/>
              <w:ind w:firstLine="0" w:firstLineChars="0"/>
              <w:rPr>
                <w:rFonts w:ascii="仿宋_GB2312" w:eastAsia="仿宋_GB2312"/>
                <w:highlight w:val="none"/>
              </w:rPr>
            </w:pPr>
          </w:p>
        </w:tc>
        <w:tc>
          <w:tcPr>
            <w:tcW w:w="1215" w:type="dxa"/>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B2</w:t>
            </w:r>
          </w:p>
        </w:tc>
        <w:tc>
          <w:tcPr>
            <w:tcW w:w="1080" w:type="dxa"/>
            <w:noWrap w:val="0"/>
            <w:vAlign w:val="top"/>
          </w:tcPr>
          <w:p>
            <w:pPr>
              <w:wordWrap/>
              <w:topLinePunct w:val="0"/>
              <w:ind w:firstLine="0" w:firstLineChars="0"/>
              <w:rPr>
                <w:rFonts w:ascii="仿宋_GB2312" w:eastAsia="仿宋_GB2312"/>
                <w:highlight w:val="none"/>
              </w:rPr>
            </w:pPr>
          </w:p>
        </w:tc>
        <w:tc>
          <w:tcPr>
            <w:tcW w:w="1215" w:type="dxa"/>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F02</w:t>
            </w:r>
          </w:p>
        </w:tc>
        <w:tc>
          <w:tcPr>
            <w:tcW w:w="1230" w:type="dxa"/>
            <w:noWrap w:val="0"/>
            <w:vAlign w:val="top"/>
          </w:tcPr>
          <w:p>
            <w:pPr>
              <w:wordWrap/>
              <w:topLinePunct w:val="0"/>
              <w:ind w:firstLine="0" w:firstLineChars="0"/>
              <w:rPr>
                <w:rFonts w:ascii="仿宋_GB2312" w:eastAsia="仿宋_GB2312"/>
                <w:highlight w:val="none"/>
              </w:rPr>
            </w:pPr>
          </w:p>
        </w:tc>
        <w:tc>
          <w:tcPr>
            <w:tcW w:w="1380" w:type="dxa"/>
            <w:noWrap w:val="0"/>
            <w:vAlign w:val="top"/>
          </w:tcPr>
          <w:p>
            <w:pPr>
              <w:wordWrap/>
              <w:topLinePunct w:val="0"/>
              <w:ind w:firstLine="0" w:firstLineChars="0"/>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wordWrap/>
              <w:topLinePunct w:val="0"/>
              <w:ind w:firstLine="0" w:firstLineChars="0"/>
              <w:rPr>
                <w:rFonts w:ascii="仿宋_GB2312" w:eastAsia="仿宋_GB2312"/>
                <w:highlight w:val="none"/>
              </w:rPr>
            </w:pPr>
          </w:p>
        </w:tc>
        <w:tc>
          <w:tcPr>
            <w:tcW w:w="584" w:type="dxa"/>
            <w:vMerge w:val="continue"/>
            <w:noWrap w:val="0"/>
            <w:vAlign w:val="top"/>
          </w:tcPr>
          <w:p>
            <w:pPr>
              <w:wordWrap/>
              <w:topLinePunct w:val="0"/>
              <w:ind w:firstLine="0" w:firstLineChars="0"/>
              <w:rPr>
                <w:rFonts w:ascii="仿宋_GB2312" w:eastAsia="仿宋_GB2312"/>
                <w:highlight w:val="none"/>
              </w:rPr>
            </w:pPr>
          </w:p>
        </w:tc>
        <w:tc>
          <w:tcPr>
            <w:tcW w:w="876" w:type="dxa"/>
            <w:noWrap w:val="0"/>
            <w:vAlign w:val="top"/>
          </w:tcPr>
          <w:p>
            <w:pPr>
              <w:wordWrap/>
              <w:topLinePunct w:val="0"/>
              <w:ind w:firstLine="0" w:firstLineChars="0"/>
              <w:rPr>
                <w:rFonts w:ascii="仿宋_GB2312" w:eastAsia="仿宋_GB2312"/>
                <w:highlight w:val="none"/>
              </w:rPr>
            </w:pPr>
          </w:p>
        </w:tc>
        <w:tc>
          <w:tcPr>
            <w:tcW w:w="1215" w:type="dxa"/>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B3</w:t>
            </w:r>
          </w:p>
        </w:tc>
        <w:tc>
          <w:tcPr>
            <w:tcW w:w="1080" w:type="dxa"/>
            <w:noWrap w:val="0"/>
            <w:vAlign w:val="top"/>
          </w:tcPr>
          <w:p>
            <w:pPr>
              <w:wordWrap/>
              <w:topLinePunct w:val="0"/>
              <w:ind w:firstLine="0" w:firstLineChars="0"/>
              <w:rPr>
                <w:rFonts w:ascii="仿宋_GB2312" w:eastAsia="仿宋_GB2312"/>
                <w:highlight w:val="none"/>
              </w:rPr>
            </w:pPr>
          </w:p>
        </w:tc>
        <w:tc>
          <w:tcPr>
            <w:tcW w:w="1215" w:type="dxa"/>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F03</w:t>
            </w:r>
          </w:p>
        </w:tc>
        <w:tc>
          <w:tcPr>
            <w:tcW w:w="1230" w:type="dxa"/>
            <w:noWrap w:val="0"/>
            <w:vAlign w:val="top"/>
          </w:tcPr>
          <w:p>
            <w:pPr>
              <w:wordWrap/>
              <w:topLinePunct w:val="0"/>
              <w:ind w:firstLine="0" w:firstLineChars="0"/>
              <w:rPr>
                <w:rFonts w:ascii="仿宋_GB2312" w:eastAsia="仿宋_GB2312"/>
                <w:highlight w:val="none"/>
              </w:rPr>
            </w:pPr>
          </w:p>
        </w:tc>
        <w:tc>
          <w:tcPr>
            <w:tcW w:w="1380" w:type="dxa"/>
            <w:noWrap w:val="0"/>
            <w:vAlign w:val="top"/>
          </w:tcPr>
          <w:p>
            <w:pPr>
              <w:wordWrap/>
              <w:topLinePunct w:val="0"/>
              <w:ind w:firstLine="0" w:firstLineChars="0"/>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wordWrap/>
              <w:topLinePunct w:val="0"/>
              <w:ind w:firstLine="0" w:firstLineChars="0"/>
              <w:rPr>
                <w:rFonts w:ascii="仿宋_GB2312" w:eastAsia="仿宋_GB2312"/>
                <w:highlight w:val="none"/>
              </w:rPr>
            </w:pPr>
          </w:p>
        </w:tc>
        <w:tc>
          <w:tcPr>
            <w:tcW w:w="584" w:type="dxa"/>
            <w:vMerge w:val="continue"/>
            <w:noWrap w:val="0"/>
            <w:vAlign w:val="top"/>
          </w:tcPr>
          <w:p>
            <w:pPr>
              <w:wordWrap/>
              <w:topLinePunct w:val="0"/>
              <w:ind w:firstLine="0" w:firstLineChars="0"/>
              <w:rPr>
                <w:rFonts w:ascii="仿宋_GB2312" w:eastAsia="仿宋_GB2312"/>
                <w:highlight w:val="none"/>
              </w:rPr>
            </w:pPr>
          </w:p>
        </w:tc>
        <w:tc>
          <w:tcPr>
            <w:tcW w:w="876" w:type="dxa"/>
            <w:noWrap w:val="0"/>
            <w:vAlign w:val="top"/>
          </w:tcPr>
          <w:p>
            <w:pPr>
              <w:wordWrap/>
              <w:topLinePunct w:val="0"/>
              <w:ind w:firstLine="0" w:firstLineChars="0"/>
              <w:rPr>
                <w:rFonts w:ascii="仿宋_GB2312" w:eastAsia="仿宋_GB2312"/>
                <w:highlight w:val="none"/>
              </w:rPr>
            </w:pPr>
          </w:p>
        </w:tc>
        <w:tc>
          <w:tcPr>
            <w:tcW w:w="1215" w:type="dxa"/>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B4</w:t>
            </w:r>
          </w:p>
        </w:tc>
        <w:tc>
          <w:tcPr>
            <w:tcW w:w="1080" w:type="dxa"/>
            <w:noWrap w:val="0"/>
            <w:vAlign w:val="top"/>
          </w:tcPr>
          <w:p>
            <w:pPr>
              <w:wordWrap/>
              <w:topLinePunct w:val="0"/>
              <w:ind w:firstLine="0" w:firstLineChars="0"/>
              <w:rPr>
                <w:rFonts w:ascii="仿宋_GB2312" w:eastAsia="仿宋_GB2312"/>
                <w:highlight w:val="none"/>
              </w:rPr>
            </w:pPr>
          </w:p>
        </w:tc>
        <w:tc>
          <w:tcPr>
            <w:tcW w:w="1215" w:type="dxa"/>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F04</w:t>
            </w:r>
          </w:p>
        </w:tc>
        <w:tc>
          <w:tcPr>
            <w:tcW w:w="1230" w:type="dxa"/>
            <w:noWrap w:val="0"/>
            <w:vAlign w:val="top"/>
          </w:tcPr>
          <w:p>
            <w:pPr>
              <w:wordWrap/>
              <w:topLinePunct w:val="0"/>
              <w:ind w:firstLine="0" w:firstLineChars="0"/>
              <w:rPr>
                <w:rFonts w:ascii="仿宋_GB2312" w:eastAsia="仿宋_GB2312"/>
                <w:highlight w:val="none"/>
              </w:rPr>
            </w:pPr>
          </w:p>
        </w:tc>
        <w:tc>
          <w:tcPr>
            <w:tcW w:w="1380" w:type="dxa"/>
            <w:noWrap w:val="0"/>
            <w:vAlign w:val="top"/>
          </w:tcPr>
          <w:p>
            <w:pPr>
              <w:wordWrap/>
              <w:topLinePunct w:val="0"/>
              <w:ind w:firstLine="0" w:firstLineChars="0"/>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wordWrap/>
              <w:topLinePunct w:val="0"/>
              <w:ind w:firstLine="0" w:firstLineChars="0"/>
              <w:rPr>
                <w:rFonts w:ascii="仿宋_GB2312" w:eastAsia="仿宋_GB2312"/>
                <w:highlight w:val="none"/>
              </w:rPr>
            </w:pPr>
          </w:p>
        </w:tc>
        <w:tc>
          <w:tcPr>
            <w:tcW w:w="584" w:type="dxa"/>
            <w:vMerge w:val="continue"/>
            <w:noWrap w:val="0"/>
            <w:vAlign w:val="top"/>
          </w:tcPr>
          <w:p>
            <w:pPr>
              <w:wordWrap/>
              <w:topLinePunct w:val="0"/>
              <w:ind w:firstLine="0" w:firstLineChars="0"/>
              <w:rPr>
                <w:rFonts w:ascii="仿宋_GB2312" w:eastAsia="仿宋_GB2312"/>
                <w:highlight w:val="none"/>
              </w:rPr>
            </w:pPr>
          </w:p>
        </w:tc>
        <w:tc>
          <w:tcPr>
            <w:tcW w:w="876" w:type="dxa"/>
            <w:noWrap w:val="0"/>
            <w:vAlign w:val="top"/>
          </w:tcPr>
          <w:p>
            <w:pPr>
              <w:wordWrap/>
              <w:topLinePunct w:val="0"/>
              <w:ind w:firstLine="0" w:firstLineChars="0"/>
              <w:rPr>
                <w:rFonts w:ascii="仿宋_GB2312" w:eastAsia="仿宋_GB2312"/>
                <w:highlight w:val="none"/>
              </w:rPr>
            </w:pPr>
          </w:p>
        </w:tc>
        <w:tc>
          <w:tcPr>
            <w:tcW w:w="1215" w:type="dxa"/>
            <w:noWrap w:val="0"/>
            <w:vAlign w:val="top"/>
          </w:tcPr>
          <w:p>
            <w:pPr>
              <w:wordWrap/>
              <w:topLinePunct w:val="0"/>
              <w:ind w:firstLine="0" w:firstLineChars="0"/>
              <w:rPr>
                <w:rFonts w:ascii="仿宋_GB2312" w:eastAsia="仿宋_GB2312"/>
                <w:highlight w:val="none"/>
              </w:rPr>
            </w:pPr>
          </w:p>
        </w:tc>
        <w:tc>
          <w:tcPr>
            <w:tcW w:w="1080" w:type="dxa"/>
            <w:noWrap w:val="0"/>
            <w:vAlign w:val="top"/>
          </w:tcPr>
          <w:p>
            <w:pPr>
              <w:wordWrap/>
              <w:topLinePunct w:val="0"/>
              <w:ind w:firstLine="0" w:firstLineChars="0"/>
              <w:rPr>
                <w:rFonts w:ascii="仿宋_GB2312" w:eastAsia="仿宋_GB2312"/>
                <w:highlight w:val="none"/>
              </w:rPr>
            </w:pPr>
          </w:p>
        </w:tc>
        <w:tc>
          <w:tcPr>
            <w:tcW w:w="1215" w:type="dxa"/>
            <w:noWrap w:val="0"/>
            <w:vAlign w:val="top"/>
          </w:tcPr>
          <w:p>
            <w:pPr>
              <w:wordWrap/>
              <w:topLinePunct w:val="0"/>
              <w:ind w:firstLine="0" w:firstLineChars="0"/>
              <w:rPr>
                <w:rFonts w:ascii="仿宋_GB2312" w:eastAsia="仿宋_GB2312"/>
                <w:highlight w:val="none"/>
              </w:rPr>
            </w:pPr>
          </w:p>
        </w:tc>
        <w:tc>
          <w:tcPr>
            <w:tcW w:w="1230" w:type="dxa"/>
            <w:noWrap w:val="0"/>
            <w:vAlign w:val="top"/>
          </w:tcPr>
          <w:p>
            <w:pPr>
              <w:wordWrap/>
              <w:topLinePunct w:val="0"/>
              <w:ind w:firstLine="0" w:firstLineChars="0"/>
              <w:rPr>
                <w:rFonts w:ascii="仿宋_GB2312" w:eastAsia="仿宋_GB2312"/>
                <w:highlight w:val="none"/>
              </w:rPr>
            </w:pPr>
          </w:p>
        </w:tc>
        <w:tc>
          <w:tcPr>
            <w:tcW w:w="1380" w:type="dxa"/>
            <w:noWrap w:val="0"/>
            <w:vAlign w:val="top"/>
          </w:tcPr>
          <w:p>
            <w:pPr>
              <w:wordWrap/>
              <w:topLinePunct w:val="0"/>
              <w:ind w:firstLine="0" w:firstLineChars="0"/>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wordWrap/>
              <w:topLinePunct w:val="0"/>
              <w:ind w:firstLine="0" w:firstLineChars="0"/>
              <w:rPr>
                <w:rFonts w:ascii="仿宋_GB2312" w:eastAsia="仿宋_GB2312"/>
                <w:highlight w:val="none"/>
              </w:rPr>
            </w:pPr>
          </w:p>
        </w:tc>
        <w:tc>
          <w:tcPr>
            <w:tcW w:w="584" w:type="dxa"/>
            <w:vMerge w:val="continue"/>
            <w:noWrap w:val="0"/>
            <w:vAlign w:val="top"/>
          </w:tcPr>
          <w:p>
            <w:pPr>
              <w:wordWrap/>
              <w:topLinePunct w:val="0"/>
              <w:ind w:firstLine="0" w:firstLineChars="0"/>
              <w:rPr>
                <w:rFonts w:ascii="仿宋_GB2312" w:eastAsia="仿宋_GB2312"/>
                <w:highlight w:val="none"/>
              </w:rPr>
            </w:pPr>
          </w:p>
        </w:tc>
        <w:tc>
          <w:tcPr>
            <w:tcW w:w="876" w:type="dxa"/>
            <w:noWrap w:val="0"/>
            <w:vAlign w:val="top"/>
          </w:tcPr>
          <w:p>
            <w:pPr>
              <w:wordWrap/>
              <w:topLinePunct w:val="0"/>
              <w:ind w:firstLine="0" w:firstLineChars="0"/>
              <w:rPr>
                <w:rFonts w:ascii="仿宋_GB2312" w:eastAsia="仿宋_GB2312"/>
                <w:highlight w:val="none"/>
              </w:rPr>
            </w:pPr>
          </w:p>
        </w:tc>
        <w:tc>
          <w:tcPr>
            <w:tcW w:w="1215" w:type="dxa"/>
            <w:noWrap w:val="0"/>
            <w:vAlign w:val="top"/>
          </w:tcPr>
          <w:p>
            <w:pPr>
              <w:wordWrap/>
              <w:topLinePunct w:val="0"/>
              <w:ind w:firstLine="0" w:firstLineChars="0"/>
              <w:rPr>
                <w:rFonts w:ascii="仿宋_GB2312" w:eastAsia="仿宋_GB2312"/>
                <w:highlight w:val="none"/>
              </w:rPr>
            </w:pPr>
          </w:p>
        </w:tc>
        <w:tc>
          <w:tcPr>
            <w:tcW w:w="1080" w:type="dxa"/>
            <w:noWrap w:val="0"/>
            <w:vAlign w:val="top"/>
          </w:tcPr>
          <w:p>
            <w:pPr>
              <w:wordWrap/>
              <w:topLinePunct w:val="0"/>
              <w:ind w:firstLine="0" w:firstLineChars="0"/>
              <w:rPr>
                <w:rFonts w:ascii="仿宋_GB2312" w:eastAsia="仿宋_GB2312"/>
                <w:highlight w:val="none"/>
              </w:rPr>
            </w:pPr>
          </w:p>
        </w:tc>
        <w:tc>
          <w:tcPr>
            <w:tcW w:w="1215" w:type="dxa"/>
            <w:noWrap w:val="0"/>
            <w:vAlign w:val="top"/>
          </w:tcPr>
          <w:p>
            <w:pPr>
              <w:wordWrap/>
              <w:topLinePunct w:val="0"/>
              <w:ind w:firstLine="0" w:firstLineChars="0"/>
              <w:rPr>
                <w:rFonts w:ascii="仿宋_GB2312" w:eastAsia="仿宋_GB2312"/>
                <w:highlight w:val="none"/>
              </w:rPr>
            </w:pPr>
          </w:p>
        </w:tc>
        <w:tc>
          <w:tcPr>
            <w:tcW w:w="1230" w:type="dxa"/>
            <w:noWrap w:val="0"/>
            <w:vAlign w:val="top"/>
          </w:tcPr>
          <w:p>
            <w:pPr>
              <w:wordWrap/>
              <w:topLinePunct w:val="0"/>
              <w:ind w:firstLine="0" w:firstLineChars="0"/>
              <w:rPr>
                <w:rFonts w:ascii="仿宋_GB2312" w:eastAsia="仿宋_GB2312"/>
                <w:highlight w:val="none"/>
              </w:rPr>
            </w:pPr>
          </w:p>
        </w:tc>
        <w:tc>
          <w:tcPr>
            <w:tcW w:w="1380" w:type="dxa"/>
            <w:noWrap w:val="0"/>
            <w:vAlign w:val="top"/>
          </w:tcPr>
          <w:p>
            <w:pPr>
              <w:wordWrap/>
              <w:topLinePunct w:val="0"/>
              <w:ind w:firstLine="0" w:firstLineChars="0"/>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定值部分权重A</w:t>
            </w:r>
          </w:p>
        </w:tc>
        <w:tc>
          <w:tcPr>
            <w:tcW w:w="1215" w:type="dxa"/>
            <w:noWrap w:val="0"/>
            <w:vAlign w:val="top"/>
          </w:tcPr>
          <w:p>
            <w:pPr>
              <w:wordWrap/>
              <w:topLinePunct w:val="0"/>
              <w:ind w:firstLine="0" w:firstLineChars="0"/>
              <w:rPr>
                <w:rFonts w:ascii="仿宋_GB2312" w:eastAsia="仿宋_GB2312"/>
                <w:highlight w:val="none"/>
              </w:rPr>
            </w:pPr>
          </w:p>
        </w:tc>
        <w:tc>
          <w:tcPr>
            <w:tcW w:w="1080" w:type="dxa"/>
            <w:noWrap w:val="0"/>
            <w:vAlign w:val="top"/>
          </w:tcPr>
          <w:p>
            <w:pPr>
              <w:wordWrap/>
              <w:topLinePunct w:val="0"/>
              <w:ind w:firstLine="0" w:firstLineChars="0"/>
              <w:rPr>
                <w:rFonts w:ascii="仿宋_GB2312" w:eastAsia="仿宋_GB2312"/>
                <w:highlight w:val="none"/>
              </w:rPr>
            </w:pPr>
          </w:p>
        </w:tc>
        <w:tc>
          <w:tcPr>
            <w:tcW w:w="1215" w:type="dxa"/>
            <w:noWrap w:val="0"/>
            <w:vAlign w:val="top"/>
          </w:tcPr>
          <w:p>
            <w:pPr>
              <w:wordWrap/>
              <w:topLinePunct w:val="0"/>
              <w:ind w:firstLine="0" w:firstLineChars="0"/>
              <w:rPr>
                <w:rFonts w:ascii="仿宋_GB2312" w:eastAsia="仿宋_GB2312"/>
                <w:highlight w:val="none"/>
              </w:rPr>
            </w:pPr>
          </w:p>
        </w:tc>
        <w:tc>
          <w:tcPr>
            <w:tcW w:w="1230" w:type="dxa"/>
            <w:noWrap w:val="0"/>
            <w:vAlign w:val="top"/>
          </w:tcPr>
          <w:p>
            <w:pPr>
              <w:wordWrap/>
              <w:topLinePunct w:val="0"/>
              <w:ind w:firstLine="0" w:firstLineChars="0"/>
              <w:rPr>
                <w:rFonts w:ascii="仿宋_GB2312" w:eastAsia="仿宋_GB2312"/>
                <w:highlight w:val="none"/>
              </w:rPr>
            </w:pPr>
          </w:p>
        </w:tc>
        <w:tc>
          <w:tcPr>
            <w:tcW w:w="1380" w:type="dxa"/>
            <w:noWrap w:val="0"/>
            <w:vAlign w:val="top"/>
          </w:tcPr>
          <w:p>
            <w:pPr>
              <w:wordWrap/>
              <w:topLinePunct w:val="0"/>
              <w:ind w:firstLine="0" w:firstLineChars="0"/>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noWrap w:val="0"/>
            <w:vAlign w:val="top"/>
          </w:tcPr>
          <w:p>
            <w:pPr>
              <w:wordWrap/>
              <w:topLinePunct w:val="0"/>
              <w:ind w:firstLine="0" w:firstLineChars="0"/>
              <w:rPr>
                <w:rFonts w:ascii="仿宋_GB2312" w:eastAsia="仿宋_GB2312"/>
                <w:highlight w:val="none"/>
              </w:rPr>
            </w:pPr>
            <w:r>
              <w:rPr>
                <w:rFonts w:hint="eastAsia" w:ascii="仿宋_GB2312" w:eastAsia="仿宋_GB2312"/>
                <w:highlight w:val="none"/>
              </w:rPr>
              <w:t>合计</w:t>
            </w:r>
          </w:p>
        </w:tc>
        <w:tc>
          <w:tcPr>
            <w:tcW w:w="2295" w:type="dxa"/>
            <w:gridSpan w:val="2"/>
            <w:noWrap w:val="0"/>
            <w:vAlign w:val="top"/>
          </w:tcPr>
          <w:p>
            <w:pPr>
              <w:wordWrap/>
              <w:topLinePunct w:val="0"/>
              <w:ind w:firstLine="0" w:firstLineChars="0"/>
              <w:rPr>
                <w:rFonts w:ascii="仿宋_GB2312" w:eastAsia="仿宋_GB2312"/>
                <w:highlight w:val="none"/>
              </w:rPr>
            </w:pPr>
          </w:p>
        </w:tc>
        <w:tc>
          <w:tcPr>
            <w:tcW w:w="2445" w:type="dxa"/>
            <w:gridSpan w:val="2"/>
            <w:noWrap w:val="0"/>
            <w:vAlign w:val="top"/>
          </w:tcPr>
          <w:p>
            <w:pPr>
              <w:wordWrap/>
              <w:topLinePunct w:val="0"/>
              <w:ind w:firstLine="0" w:firstLineChars="0"/>
              <w:rPr>
                <w:rFonts w:ascii="仿宋_GB2312" w:eastAsia="仿宋_GB2312"/>
                <w:highlight w:val="none"/>
              </w:rPr>
            </w:pPr>
          </w:p>
        </w:tc>
        <w:tc>
          <w:tcPr>
            <w:tcW w:w="1380" w:type="dxa"/>
            <w:noWrap w:val="0"/>
            <w:vAlign w:val="top"/>
          </w:tcPr>
          <w:p>
            <w:pPr>
              <w:wordWrap/>
              <w:topLinePunct w:val="0"/>
              <w:ind w:firstLine="0" w:firstLineChars="0"/>
              <w:rPr>
                <w:rFonts w:ascii="仿宋_GB2312" w:eastAsia="仿宋_GB2312"/>
                <w:highlight w:val="none"/>
              </w:rPr>
            </w:pPr>
          </w:p>
        </w:tc>
      </w:tr>
    </w:tbl>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widowControl/>
        <w:suppressLineNumbers w:val="0"/>
        <w:jc w:val="center"/>
        <w:rPr>
          <w:highlight w:val="none"/>
        </w:rPr>
      </w:pPr>
      <w:r>
        <w:rPr>
          <w:rFonts w:hint="eastAsia" w:ascii="宋体" w:hAnsi="宋体" w:eastAsia="宋体" w:cs="宋体"/>
          <w:b/>
          <w:bCs/>
          <w:snapToGrid w:val="0"/>
          <w:color w:val="000000"/>
          <w:kern w:val="0"/>
          <w:sz w:val="44"/>
          <w:szCs w:val="44"/>
          <w:highlight w:val="none"/>
          <w:lang w:val="en-US" w:eastAsia="zh-CN" w:bidi="ar"/>
        </w:rPr>
        <w:t>第五章 发包人要求</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一、设计依据 </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rPr>
        <w:t>1、本工程的设计过程和成果均须符合国家有关建筑工程建设标准强制性条文和有关设计方面现行的标准、规范、规程、定额、办法、示例，以及河南省关于设计方面的文件规定。</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rPr>
        <w:t>2、中标人在设计工作中使用或参考上述标准、规范以外的技术标准、规范时，应征得业主或业主指定代表人的同意。</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rPr>
        <w:t>3、在设计过程中，如果国家或有关部门颁布了新的技术标准或规范，中标人应采用新的技术标准或规范进行设计。</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rPr>
        <w:t>4、招标人提供的相关资料。</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二、项目基本情况 </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rPr>
        <w:t>郑州至南阳高速郑州至许昌段新郑境建设工程（以下称郑许高速），采用双向六车道建设标准，路基宽33.5米，路线全长64.323公里，概算约137.5亿元，其中新郑境长38.311公里，投资约92亿元，设互通式立交7处，其中枢纽型互通2处，服务型互通5处。</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rPr>
        <w:t>目前，郑许高速项目已开工建设，需对影响郑许高速建设的500千伏、220千伏、110千伏、35千伏、10千伏及以下的电力线路和输气管道进行迁改（需要保护的由郑许高速项目公司负责保护），个别地埋线路采取预留备用管道等措施。</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三、设计要求 </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本项目为边设计边施工，为满足施工进度要求，设计图纸需分批出图，具体出图时间节点见设计合同约定。 </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1、根据施工配合需求分版本和阶段完成。 </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2、施工图设计前，设计单位应配合发包人与施工图审查单位 沟通设计做法，以确保施工图审查顺利通过。 </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3、施工图设计应根据施工配合需求分版本和阶段完成，设计人可按照建设方提出的施工计划进度表，合理安排各阶段的设计内容。 </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4、施工图版本较多，应合理组织图纸的标识方式（如各专业标识方式统一、标明版次、修改日期、各专业主要修改内容等），以便于识别版本与图纸类别。 </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5、各专业出图前必须互相会审图纸，如因现场原因先出图纸，则必须在出图后设计院内部各专业会审图纸。 </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四、环境管理要点 </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（一）主要绿色施工管理措施 </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（1）防止大气污染；（2）防止水污染；（3）防止噪声污染；（4）材料污染的控制。 </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（二）节能减排措施 </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（1）节约用地；（2）节约能源；（3）节约用水；（4）节约材料。 </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五、其他 </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1、在出图后，若有局部手工变更的地方在电子版本中亦应修改，提供给发包人的 电子版本须为修改后的最终版本。 </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2、施工交底纪要、设计变更均应及时抄送发包人。 </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3、本项目最终设计规模依据招标人要求设计，据实结算。 </w:t>
      </w:r>
    </w:p>
    <w:p>
      <w:pPr>
        <w:bidi w:val="0"/>
        <w:ind w:left="0" w:leftChars="0" w:firstLine="638" w:firstLineChars="228"/>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4、项目建设所涉及专项施工方案的专家论证全部费用由施工单位承担。</w:t>
      </w:r>
    </w:p>
    <w:p>
      <w:pPr>
        <w:pStyle w:val="4"/>
        <w:ind w:left="0" w:leftChars="0" w:firstLine="0" w:firstLineChars="0"/>
        <w:rPr>
          <w:rFonts w:hint="default" w:ascii="宋体" w:hAnsi="宋体" w:eastAsia="宋体" w:cs="宋体"/>
          <w:sz w:val="28"/>
          <w:szCs w:val="28"/>
          <w:highlight w:val="none"/>
          <w:lang w:val="en-US" w:eastAsia="zh-CN"/>
        </w:rPr>
      </w:pPr>
    </w:p>
    <w:p>
      <w:pPr>
        <w:pStyle w:val="4"/>
        <w:ind w:left="0" w:leftChars="0" w:firstLine="0" w:firstLineChars="0"/>
        <w:rPr>
          <w:rFonts w:hint="default" w:ascii="宋体" w:hAnsi="宋体" w:eastAsia="宋体" w:cs="宋体"/>
          <w:sz w:val="28"/>
          <w:szCs w:val="28"/>
          <w:highlight w:val="none"/>
          <w:lang w:val="en-US" w:eastAsia="zh-CN"/>
        </w:rPr>
      </w:pPr>
    </w:p>
    <w:p>
      <w:pPr>
        <w:pStyle w:val="4"/>
        <w:ind w:left="0" w:leftChars="0" w:firstLine="0" w:firstLineChars="0"/>
        <w:rPr>
          <w:rFonts w:hint="default" w:ascii="宋体" w:hAnsi="宋体" w:eastAsia="宋体" w:cs="宋体"/>
          <w:sz w:val="28"/>
          <w:szCs w:val="28"/>
          <w:highlight w:val="none"/>
          <w:lang w:val="en-US" w:eastAsia="zh-CN"/>
        </w:rPr>
      </w:pPr>
    </w:p>
    <w:p>
      <w:pPr>
        <w:pStyle w:val="4"/>
        <w:ind w:left="0" w:leftChars="0" w:firstLine="0" w:firstLineChars="0"/>
        <w:rPr>
          <w:rFonts w:hint="default" w:ascii="宋体" w:hAnsi="宋体" w:eastAsia="宋体" w:cs="宋体"/>
          <w:sz w:val="28"/>
          <w:szCs w:val="28"/>
          <w:highlight w:val="none"/>
          <w:lang w:val="en-US" w:eastAsia="zh-CN"/>
        </w:rPr>
      </w:pPr>
    </w:p>
    <w:p>
      <w:pPr>
        <w:pStyle w:val="4"/>
        <w:ind w:left="0" w:leftChars="0" w:firstLine="0" w:firstLineChars="0"/>
        <w:rPr>
          <w:rFonts w:hint="default" w:ascii="宋体" w:hAnsi="宋体" w:eastAsia="宋体" w:cs="宋体"/>
          <w:sz w:val="28"/>
          <w:szCs w:val="28"/>
          <w:highlight w:val="none"/>
          <w:lang w:val="en-US" w:eastAsia="zh-CN"/>
        </w:rPr>
      </w:pPr>
    </w:p>
    <w:p>
      <w:pPr>
        <w:pStyle w:val="4"/>
        <w:ind w:left="0" w:leftChars="0" w:firstLine="0" w:firstLineChars="0"/>
        <w:rPr>
          <w:rFonts w:hint="default" w:ascii="宋体" w:hAnsi="宋体" w:eastAsia="宋体" w:cs="宋体"/>
          <w:sz w:val="28"/>
          <w:szCs w:val="28"/>
          <w:highlight w:val="none"/>
          <w:lang w:val="en-US" w:eastAsia="zh-CN"/>
        </w:rPr>
      </w:pPr>
    </w:p>
    <w:p>
      <w:pPr>
        <w:pStyle w:val="4"/>
        <w:ind w:left="0" w:leftChars="0" w:firstLine="0" w:firstLineChars="0"/>
        <w:rPr>
          <w:rFonts w:hint="default" w:ascii="宋体" w:hAnsi="宋体" w:eastAsia="宋体" w:cs="宋体"/>
          <w:sz w:val="28"/>
          <w:szCs w:val="28"/>
          <w:highlight w:val="none"/>
          <w:lang w:val="en-US" w:eastAsia="zh-CN"/>
        </w:rPr>
      </w:pPr>
    </w:p>
    <w:p>
      <w:pPr>
        <w:pStyle w:val="4"/>
        <w:ind w:left="0" w:leftChars="0" w:firstLine="0" w:firstLineChars="0"/>
        <w:rPr>
          <w:rFonts w:hint="default" w:ascii="宋体" w:hAnsi="宋体" w:eastAsia="宋体" w:cs="宋体"/>
          <w:sz w:val="28"/>
          <w:szCs w:val="28"/>
          <w:highlight w:val="none"/>
          <w:lang w:val="en-US" w:eastAsia="zh-CN"/>
        </w:rPr>
      </w:pPr>
    </w:p>
    <w:p>
      <w:pPr>
        <w:pStyle w:val="4"/>
        <w:ind w:left="0" w:leftChars="0" w:firstLine="0" w:firstLineChars="0"/>
        <w:rPr>
          <w:rFonts w:hint="default" w:ascii="宋体" w:hAnsi="宋体" w:eastAsia="宋体" w:cs="宋体"/>
          <w:sz w:val="28"/>
          <w:szCs w:val="28"/>
          <w:highlight w:val="none"/>
          <w:lang w:val="en-US" w:eastAsia="zh-CN"/>
        </w:rPr>
      </w:pPr>
    </w:p>
    <w:p>
      <w:pPr>
        <w:pStyle w:val="4"/>
        <w:ind w:left="0" w:leftChars="0" w:firstLine="0" w:firstLineChars="0"/>
        <w:rPr>
          <w:rFonts w:hint="default" w:ascii="宋体" w:hAnsi="宋体" w:eastAsia="宋体" w:cs="宋体"/>
          <w:sz w:val="28"/>
          <w:szCs w:val="28"/>
          <w:highlight w:val="none"/>
          <w:lang w:val="en-US" w:eastAsia="zh-CN"/>
        </w:rPr>
      </w:pPr>
    </w:p>
    <w:p>
      <w:pPr>
        <w:pStyle w:val="4"/>
        <w:ind w:left="0" w:leftChars="0" w:firstLine="0" w:firstLineChars="0"/>
        <w:rPr>
          <w:rFonts w:hint="default" w:ascii="宋体" w:hAnsi="宋体" w:eastAsia="宋体" w:cs="宋体"/>
          <w:sz w:val="28"/>
          <w:szCs w:val="28"/>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widowControl/>
        <w:suppressLineNumbers w:val="0"/>
        <w:jc w:val="center"/>
        <w:rPr>
          <w:rFonts w:hint="eastAsia" w:ascii="宋体" w:hAnsi="宋体" w:eastAsia="宋体" w:cs="宋体"/>
          <w:b/>
          <w:bCs/>
          <w:snapToGrid w:val="0"/>
          <w:color w:val="000000"/>
          <w:kern w:val="0"/>
          <w:sz w:val="44"/>
          <w:szCs w:val="44"/>
          <w:highlight w:val="none"/>
          <w:lang w:val="en-US" w:eastAsia="zh-CN" w:bidi="ar"/>
        </w:rPr>
      </w:pPr>
      <w:bookmarkStart w:id="57" w:name="bookmark17"/>
      <w:bookmarkEnd w:id="57"/>
      <w:bookmarkStart w:id="58" w:name="bookmark46"/>
      <w:bookmarkEnd w:id="58"/>
      <w:r>
        <w:rPr>
          <w:rFonts w:hint="eastAsia" w:ascii="宋体" w:hAnsi="宋体" w:eastAsia="宋体" w:cs="宋体"/>
          <w:b/>
          <w:bCs/>
          <w:snapToGrid w:val="0"/>
          <w:color w:val="000000"/>
          <w:kern w:val="0"/>
          <w:sz w:val="44"/>
          <w:szCs w:val="44"/>
          <w:highlight w:val="none"/>
          <w:lang w:val="en-US" w:eastAsia="zh-CN" w:bidi="ar"/>
        </w:rPr>
        <w:t>第六章 技术要求</w:t>
      </w:r>
    </w:p>
    <w:p>
      <w:pPr>
        <w:spacing w:line="464" w:lineRule="auto"/>
        <w:rPr>
          <w:rFonts w:hint="eastAsia" w:ascii="宋体" w:hAnsi="宋体" w:eastAsia="宋体" w:cs="宋体"/>
          <w:sz w:val="21"/>
          <w:highlight w:val="none"/>
        </w:rPr>
      </w:pPr>
    </w:p>
    <w:p>
      <w:pPr>
        <w:bidi w:val="0"/>
        <w:ind w:left="0" w:leftChars="0" w:firstLine="638" w:firstLineChars="228"/>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本项目设计成果文件应符合现行国家、地方、行业一切有关设计的法规、规范、规定及标准的要求，满足业主要求，通过相关主管部门审批。</w:t>
      </w:r>
    </w:p>
    <w:p>
      <w:pPr>
        <w:bidi w:val="0"/>
        <w:ind w:left="0" w:leftChars="0" w:firstLine="638" w:firstLineChars="228"/>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本项目工程施工必须符合现行国家、地方、行业一切有关法规、规范、规定及标准的要求。如现行标准及规范要求有不一致则以较严格者为准。</w:t>
      </w: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jc w:val="center"/>
        <w:rPr>
          <w:rFonts w:hint="eastAsia" w:ascii="宋体" w:hAnsi="宋体" w:eastAsia="宋体" w:cs="宋体"/>
          <w:sz w:val="28"/>
          <w:szCs w:val="28"/>
          <w:highlight w:val="none"/>
          <w:lang w:val="en-US" w:eastAsia="zh-CN"/>
        </w:rPr>
      </w:pPr>
      <w:r>
        <w:rPr>
          <w:rFonts w:hint="eastAsia" w:ascii="宋体" w:hAnsi="宋体" w:eastAsia="宋体" w:cs="宋体"/>
          <w:b/>
          <w:bCs/>
          <w:snapToGrid w:val="0"/>
          <w:color w:val="000000"/>
          <w:kern w:val="0"/>
          <w:sz w:val="44"/>
          <w:szCs w:val="44"/>
          <w:highlight w:val="none"/>
          <w:lang w:val="en-US" w:eastAsia="zh-CN" w:bidi="ar"/>
        </w:rPr>
        <w:t>第七章 投标文件格式</w:t>
      </w: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tabs>
          <w:tab w:val="left" w:pos="5254"/>
        </w:tabs>
        <w:spacing w:before="91" w:line="221" w:lineRule="auto"/>
        <w:ind w:left="931"/>
        <w:rPr>
          <w:rFonts w:hint="eastAsia" w:ascii="宋体" w:hAnsi="宋体" w:eastAsia="宋体" w:cs="宋体"/>
          <w:sz w:val="28"/>
          <w:szCs w:val="28"/>
          <w:highlight w:val="none"/>
        </w:rPr>
      </w:pPr>
      <w:r>
        <w:rPr>
          <w:rFonts w:hint="eastAsia" w:ascii="宋体" w:hAnsi="宋体" w:eastAsia="宋体" w:cs="宋体"/>
          <w:sz w:val="28"/>
          <w:szCs w:val="28"/>
          <w:highlight w:val="none"/>
          <w:u w:val="single" w:color="auto"/>
        </w:rPr>
        <w:tab/>
      </w:r>
      <w:r>
        <w:rPr>
          <w:rFonts w:hint="eastAsia" w:ascii="宋体" w:hAnsi="宋体" w:eastAsia="宋体" w:cs="宋体"/>
          <w:spacing w:val="-1"/>
          <w:sz w:val="28"/>
          <w:szCs w:val="28"/>
          <w:highlight w:val="none"/>
        </w:rPr>
        <w:t>（项目名称）</w:t>
      </w:r>
      <w:r>
        <w:rPr>
          <w:rFonts w:hint="eastAsia" w:ascii="宋体" w:hAnsi="宋体" w:eastAsia="宋体" w:cs="宋体"/>
          <w:spacing w:val="-1"/>
          <w:sz w:val="28"/>
          <w:szCs w:val="28"/>
          <w:highlight w:val="none"/>
          <w:u w:val="single" w:color="auto"/>
        </w:rPr>
        <w:t xml:space="preserve">     </w:t>
      </w:r>
      <w:r>
        <w:rPr>
          <w:rFonts w:hint="eastAsia" w:ascii="宋体" w:hAnsi="宋体" w:eastAsia="宋体" w:cs="宋体"/>
          <w:spacing w:val="-121"/>
          <w:sz w:val="28"/>
          <w:szCs w:val="28"/>
          <w:highlight w:val="none"/>
        </w:rPr>
        <w:t xml:space="preserve"> </w:t>
      </w:r>
      <w:r>
        <w:rPr>
          <w:rFonts w:hint="eastAsia" w:ascii="宋体" w:hAnsi="宋体" w:eastAsia="宋体" w:cs="宋体"/>
          <w:spacing w:val="-1"/>
          <w:sz w:val="28"/>
          <w:szCs w:val="28"/>
          <w:highlight w:val="none"/>
        </w:rPr>
        <w:t>标段</w:t>
      </w:r>
    </w:p>
    <w:p>
      <w:pPr>
        <w:spacing w:line="243" w:lineRule="auto"/>
        <w:rPr>
          <w:rFonts w:hint="eastAsia" w:ascii="宋体" w:hAnsi="宋体" w:eastAsia="宋体" w:cs="宋体"/>
          <w:sz w:val="28"/>
          <w:szCs w:val="28"/>
          <w:highlight w:val="none"/>
        </w:rPr>
      </w:pPr>
    </w:p>
    <w:p>
      <w:pPr>
        <w:spacing w:line="243" w:lineRule="auto"/>
        <w:rPr>
          <w:rFonts w:hint="eastAsia" w:ascii="宋体" w:hAnsi="宋体" w:eastAsia="宋体" w:cs="宋体"/>
          <w:sz w:val="28"/>
          <w:szCs w:val="28"/>
          <w:highlight w:val="none"/>
        </w:rPr>
      </w:pPr>
    </w:p>
    <w:p>
      <w:pPr>
        <w:spacing w:line="244" w:lineRule="auto"/>
        <w:rPr>
          <w:rFonts w:hint="eastAsia" w:ascii="宋体" w:hAnsi="宋体" w:eastAsia="宋体" w:cs="宋体"/>
          <w:sz w:val="28"/>
          <w:szCs w:val="28"/>
          <w:highlight w:val="none"/>
        </w:rPr>
      </w:pPr>
    </w:p>
    <w:p>
      <w:pPr>
        <w:spacing w:line="244" w:lineRule="auto"/>
        <w:rPr>
          <w:rFonts w:hint="eastAsia" w:ascii="宋体" w:hAnsi="宋体" w:eastAsia="宋体" w:cs="宋体"/>
          <w:sz w:val="28"/>
          <w:szCs w:val="28"/>
          <w:highlight w:val="none"/>
        </w:rPr>
      </w:pPr>
    </w:p>
    <w:p>
      <w:pPr>
        <w:spacing w:line="244" w:lineRule="auto"/>
        <w:rPr>
          <w:rFonts w:hint="eastAsia" w:ascii="宋体" w:hAnsi="宋体" w:eastAsia="宋体" w:cs="宋体"/>
          <w:sz w:val="28"/>
          <w:szCs w:val="28"/>
          <w:highlight w:val="none"/>
        </w:rPr>
      </w:pPr>
    </w:p>
    <w:p>
      <w:pPr>
        <w:spacing w:line="244" w:lineRule="auto"/>
        <w:rPr>
          <w:rFonts w:hint="eastAsia" w:ascii="宋体" w:hAnsi="宋体" w:eastAsia="宋体" w:cs="宋体"/>
          <w:sz w:val="28"/>
          <w:szCs w:val="28"/>
          <w:highlight w:val="none"/>
        </w:rPr>
      </w:pPr>
    </w:p>
    <w:p>
      <w:pPr>
        <w:spacing w:line="244" w:lineRule="auto"/>
        <w:rPr>
          <w:rFonts w:hint="eastAsia" w:ascii="宋体" w:hAnsi="宋体" w:eastAsia="宋体" w:cs="宋体"/>
          <w:sz w:val="28"/>
          <w:szCs w:val="28"/>
          <w:highlight w:val="none"/>
        </w:rPr>
      </w:pPr>
    </w:p>
    <w:p>
      <w:pPr>
        <w:spacing w:line="244" w:lineRule="auto"/>
        <w:rPr>
          <w:rFonts w:hint="eastAsia" w:ascii="宋体" w:hAnsi="宋体" w:eastAsia="宋体" w:cs="宋体"/>
          <w:sz w:val="28"/>
          <w:szCs w:val="28"/>
          <w:highlight w:val="none"/>
        </w:rPr>
      </w:pPr>
    </w:p>
    <w:p>
      <w:pPr>
        <w:spacing w:line="244" w:lineRule="auto"/>
        <w:rPr>
          <w:rFonts w:hint="eastAsia" w:ascii="宋体" w:hAnsi="宋体" w:eastAsia="宋体" w:cs="宋体"/>
          <w:sz w:val="28"/>
          <w:szCs w:val="28"/>
          <w:highlight w:val="none"/>
        </w:rPr>
      </w:pPr>
    </w:p>
    <w:p>
      <w:pPr>
        <w:spacing w:line="244" w:lineRule="auto"/>
        <w:rPr>
          <w:rFonts w:hint="eastAsia" w:ascii="宋体" w:hAnsi="宋体" w:eastAsia="宋体" w:cs="宋体"/>
          <w:sz w:val="28"/>
          <w:szCs w:val="28"/>
          <w:highlight w:val="none"/>
        </w:rPr>
      </w:pPr>
    </w:p>
    <w:p>
      <w:pPr>
        <w:spacing w:before="139" w:line="223" w:lineRule="auto"/>
        <w:jc w:val="center"/>
        <w:rPr>
          <w:rFonts w:hint="eastAsia" w:ascii="宋体" w:hAnsi="宋体" w:eastAsia="宋体" w:cs="宋体"/>
          <w:sz w:val="28"/>
          <w:szCs w:val="28"/>
          <w:highlight w:val="none"/>
        </w:rPr>
      </w:pPr>
      <w:r>
        <w:rPr>
          <w:rFonts w:hint="eastAsia" w:ascii="宋体" w:hAnsi="宋体" w:eastAsia="宋体" w:cs="宋体"/>
          <w:spacing w:val="-9"/>
          <w:sz w:val="28"/>
          <w:szCs w:val="28"/>
          <w:highlight w:val="none"/>
        </w:rPr>
        <w:t>投</w:t>
      </w:r>
      <w:r>
        <w:rPr>
          <w:rFonts w:hint="eastAsia" w:ascii="宋体" w:hAnsi="宋体" w:eastAsia="宋体" w:cs="宋体"/>
          <w:spacing w:val="15"/>
          <w:sz w:val="28"/>
          <w:szCs w:val="28"/>
          <w:highlight w:val="none"/>
        </w:rPr>
        <w:t xml:space="preserve">  </w:t>
      </w:r>
      <w:r>
        <w:rPr>
          <w:rFonts w:hint="eastAsia" w:ascii="宋体" w:hAnsi="宋体" w:eastAsia="宋体" w:cs="宋体"/>
          <w:spacing w:val="-9"/>
          <w:sz w:val="28"/>
          <w:szCs w:val="28"/>
          <w:highlight w:val="none"/>
        </w:rPr>
        <w:t>标</w:t>
      </w:r>
      <w:r>
        <w:rPr>
          <w:rFonts w:hint="eastAsia" w:ascii="宋体" w:hAnsi="宋体" w:eastAsia="宋体" w:cs="宋体"/>
          <w:spacing w:val="16"/>
          <w:sz w:val="28"/>
          <w:szCs w:val="28"/>
          <w:highlight w:val="none"/>
        </w:rPr>
        <w:t xml:space="preserve">  </w:t>
      </w:r>
      <w:r>
        <w:rPr>
          <w:rFonts w:hint="eastAsia" w:ascii="宋体" w:hAnsi="宋体" w:eastAsia="宋体" w:cs="宋体"/>
          <w:spacing w:val="-9"/>
          <w:sz w:val="28"/>
          <w:szCs w:val="28"/>
          <w:highlight w:val="none"/>
        </w:rPr>
        <w:t>文</w:t>
      </w:r>
      <w:r>
        <w:rPr>
          <w:rFonts w:hint="eastAsia" w:ascii="宋体" w:hAnsi="宋体" w:eastAsia="宋体" w:cs="宋体"/>
          <w:spacing w:val="13"/>
          <w:sz w:val="28"/>
          <w:szCs w:val="28"/>
          <w:highlight w:val="none"/>
        </w:rPr>
        <w:t xml:space="preserve">  </w:t>
      </w:r>
      <w:r>
        <w:rPr>
          <w:rFonts w:hint="eastAsia" w:ascii="宋体" w:hAnsi="宋体" w:eastAsia="宋体" w:cs="宋体"/>
          <w:spacing w:val="-9"/>
          <w:sz w:val="28"/>
          <w:szCs w:val="28"/>
          <w:highlight w:val="none"/>
        </w:rPr>
        <w:t>件</w:t>
      </w:r>
    </w:p>
    <w:p>
      <w:pPr>
        <w:spacing w:before="211" w:line="220" w:lineRule="auto"/>
        <w:jc w:val="center"/>
        <w:rPr>
          <w:rFonts w:hint="eastAsia" w:ascii="宋体" w:hAnsi="宋体" w:eastAsia="宋体" w:cs="宋体"/>
          <w:sz w:val="28"/>
          <w:szCs w:val="28"/>
          <w:highlight w:val="none"/>
        </w:rPr>
      </w:pPr>
      <w:r>
        <w:rPr>
          <w:rFonts w:hint="eastAsia" w:ascii="宋体" w:hAnsi="宋体" w:eastAsia="宋体" w:cs="宋体"/>
          <w:spacing w:val="-2"/>
          <w:sz w:val="28"/>
          <w:szCs w:val="28"/>
          <w:highlight w:val="none"/>
        </w:rPr>
        <w:t>招标编号：</w:t>
      </w:r>
    </w:p>
    <w:p>
      <w:pPr>
        <w:spacing w:line="250" w:lineRule="auto"/>
        <w:rPr>
          <w:rFonts w:hint="eastAsia" w:ascii="宋体" w:hAnsi="宋体" w:eastAsia="宋体" w:cs="宋体"/>
          <w:sz w:val="28"/>
          <w:szCs w:val="28"/>
          <w:highlight w:val="none"/>
        </w:rPr>
      </w:pPr>
    </w:p>
    <w:p>
      <w:pPr>
        <w:spacing w:line="251" w:lineRule="auto"/>
        <w:rPr>
          <w:rFonts w:hint="eastAsia" w:ascii="宋体" w:hAnsi="宋体" w:eastAsia="宋体" w:cs="宋体"/>
          <w:sz w:val="28"/>
          <w:szCs w:val="28"/>
          <w:highlight w:val="none"/>
        </w:rPr>
      </w:pPr>
    </w:p>
    <w:p>
      <w:pPr>
        <w:spacing w:line="251" w:lineRule="auto"/>
        <w:rPr>
          <w:rFonts w:hint="eastAsia" w:ascii="宋体" w:hAnsi="宋体" w:eastAsia="宋体" w:cs="宋体"/>
          <w:sz w:val="28"/>
          <w:szCs w:val="28"/>
          <w:highlight w:val="none"/>
        </w:rPr>
      </w:pPr>
    </w:p>
    <w:p>
      <w:pPr>
        <w:spacing w:line="251" w:lineRule="auto"/>
        <w:rPr>
          <w:rFonts w:hint="eastAsia" w:ascii="宋体" w:hAnsi="宋体" w:eastAsia="宋体" w:cs="宋体"/>
          <w:sz w:val="28"/>
          <w:szCs w:val="28"/>
          <w:highlight w:val="none"/>
        </w:rPr>
      </w:pPr>
    </w:p>
    <w:p>
      <w:pPr>
        <w:spacing w:line="251" w:lineRule="auto"/>
        <w:rPr>
          <w:rFonts w:hint="eastAsia" w:ascii="宋体" w:hAnsi="宋体" w:eastAsia="宋体" w:cs="宋体"/>
          <w:sz w:val="28"/>
          <w:szCs w:val="28"/>
          <w:highlight w:val="none"/>
        </w:rPr>
      </w:pPr>
    </w:p>
    <w:p>
      <w:pPr>
        <w:spacing w:line="251" w:lineRule="auto"/>
        <w:rPr>
          <w:rFonts w:hint="eastAsia" w:ascii="宋体" w:hAnsi="宋体" w:eastAsia="宋体" w:cs="宋体"/>
          <w:sz w:val="28"/>
          <w:szCs w:val="28"/>
          <w:highlight w:val="none"/>
        </w:rPr>
      </w:pPr>
    </w:p>
    <w:p>
      <w:pPr>
        <w:spacing w:line="251" w:lineRule="auto"/>
        <w:rPr>
          <w:rFonts w:hint="eastAsia" w:ascii="宋体" w:hAnsi="宋体" w:eastAsia="宋体" w:cs="宋体"/>
          <w:sz w:val="28"/>
          <w:szCs w:val="28"/>
          <w:highlight w:val="none"/>
        </w:rPr>
      </w:pPr>
    </w:p>
    <w:p>
      <w:pPr>
        <w:spacing w:line="251" w:lineRule="auto"/>
        <w:rPr>
          <w:rFonts w:hint="eastAsia" w:ascii="宋体" w:hAnsi="宋体" w:eastAsia="宋体" w:cs="宋体"/>
          <w:sz w:val="28"/>
          <w:szCs w:val="28"/>
          <w:highlight w:val="none"/>
        </w:rPr>
      </w:pPr>
    </w:p>
    <w:p>
      <w:pPr>
        <w:spacing w:line="251" w:lineRule="auto"/>
        <w:rPr>
          <w:rFonts w:hint="eastAsia" w:ascii="宋体" w:hAnsi="宋体" w:eastAsia="宋体" w:cs="宋体"/>
          <w:sz w:val="28"/>
          <w:szCs w:val="28"/>
          <w:highlight w:val="none"/>
        </w:rPr>
      </w:pPr>
    </w:p>
    <w:p>
      <w:pPr>
        <w:spacing w:line="251" w:lineRule="auto"/>
        <w:rPr>
          <w:rFonts w:hint="eastAsia" w:ascii="宋体" w:hAnsi="宋体" w:eastAsia="宋体" w:cs="宋体"/>
          <w:sz w:val="28"/>
          <w:szCs w:val="28"/>
          <w:highlight w:val="none"/>
        </w:rPr>
      </w:pPr>
    </w:p>
    <w:p>
      <w:pPr>
        <w:spacing w:line="251" w:lineRule="auto"/>
        <w:rPr>
          <w:rFonts w:hint="eastAsia" w:ascii="宋体" w:hAnsi="宋体" w:eastAsia="宋体" w:cs="宋体"/>
          <w:sz w:val="28"/>
          <w:szCs w:val="28"/>
          <w:highlight w:val="none"/>
        </w:rPr>
      </w:pPr>
    </w:p>
    <w:p>
      <w:pPr>
        <w:spacing w:line="251" w:lineRule="auto"/>
        <w:rPr>
          <w:rFonts w:hint="eastAsia" w:ascii="宋体" w:hAnsi="宋体" w:eastAsia="宋体" w:cs="宋体"/>
          <w:sz w:val="28"/>
          <w:szCs w:val="28"/>
          <w:highlight w:val="none"/>
        </w:rPr>
      </w:pPr>
    </w:p>
    <w:p>
      <w:pPr>
        <w:spacing w:line="251" w:lineRule="auto"/>
        <w:rPr>
          <w:rFonts w:hint="eastAsia" w:ascii="宋体" w:hAnsi="宋体" w:eastAsia="宋体" w:cs="宋体"/>
          <w:sz w:val="28"/>
          <w:szCs w:val="28"/>
          <w:highlight w:val="none"/>
        </w:rPr>
      </w:pPr>
    </w:p>
    <w:p>
      <w:pPr>
        <w:spacing w:before="92" w:line="219" w:lineRule="auto"/>
        <w:ind w:left="0" w:leftChars="0" w:firstLine="838" w:firstLineChars="371"/>
        <w:rPr>
          <w:rFonts w:hint="eastAsia" w:ascii="宋体" w:hAnsi="宋体" w:eastAsia="宋体" w:cs="宋体"/>
          <w:sz w:val="28"/>
          <w:szCs w:val="28"/>
          <w:highlight w:val="none"/>
        </w:rPr>
      </w:pPr>
      <w:r>
        <w:rPr>
          <w:rFonts w:hint="eastAsia" w:ascii="宋体" w:hAnsi="宋体" w:eastAsia="宋体" w:cs="宋体"/>
          <w:spacing w:val="-27"/>
          <w:sz w:val="28"/>
          <w:szCs w:val="28"/>
          <w:highlight w:val="none"/>
        </w:rPr>
        <w:t>投标人</w:t>
      </w:r>
      <w:r>
        <w:rPr>
          <w:rFonts w:hint="eastAsia" w:ascii="宋体" w:hAnsi="宋体" w:eastAsia="宋体" w:cs="宋体"/>
          <w:spacing w:val="3"/>
          <w:sz w:val="28"/>
          <w:szCs w:val="28"/>
          <w:highlight w:val="none"/>
        </w:rPr>
        <w:t>：</w:t>
      </w:r>
      <w:r>
        <w:rPr>
          <w:rFonts w:hint="eastAsia" w:ascii="宋体" w:hAnsi="宋体" w:eastAsia="宋体" w:cs="宋体"/>
          <w:spacing w:val="10"/>
          <w:sz w:val="28"/>
          <w:szCs w:val="28"/>
          <w:highlight w:val="none"/>
        </w:rPr>
        <w:t xml:space="preserve"> </w:t>
      </w:r>
      <w:r>
        <w:rPr>
          <w:rFonts w:hint="eastAsia" w:ascii="宋体" w:hAnsi="宋体" w:eastAsia="宋体" w:cs="宋体"/>
          <w:spacing w:val="4"/>
          <w:sz w:val="28"/>
          <w:szCs w:val="28"/>
          <w:highlight w:val="none"/>
          <w:u w:val="single" w:color="auto"/>
        </w:rPr>
        <w:t xml:space="preserve">                    </w:t>
      </w:r>
      <w:r>
        <w:rPr>
          <w:rFonts w:hint="eastAsia" w:ascii="宋体" w:hAnsi="宋体" w:eastAsia="宋体" w:cs="宋体"/>
          <w:spacing w:val="-37"/>
          <w:sz w:val="28"/>
          <w:szCs w:val="28"/>
          <w:highlight w:val="none"/>
        </w:rPr>
        <w:t xml:space="preserve"> </w:t>
      </w:r>
      <w:r>
        <w:rPr>
          <w:rFonts w:hint="eastAsia" w:ascii="宋体" w:hAnsi="宋体" w:eastAsia="宋体" w:cs="宋体"/>
          <w:spacing w:val="3"/>
          <w:sz w:val="28"/>
          <w:szCs w:val="28"/>
          <w:highlight w:val="none"/>
        </w:rPr>
        <w:t>（</w:t>
      </w:r>
      <w:r>
        <w:rPr>
          <w:rFonts w:hint="eastAsia" w:ascii="宋体" w:hAnsi="宋体" w:eastAsia="宋体" w:cs="宋体"/>
          <w:spacing w:val="-27"/>
          <w:sz w:val="28"/>
          <w:szCs w:val="28"/>
          <w:highlight w:val="none"/>
        </w:rPr>
        <w:t>盖单位电子章）</w:t>
      </w:r>
    </w:p>
    <w:p>
      <w:pPr>
        <w:spacing w:before="318" w:line="219" w:lineRule="auto"/>
        <w:ind w:left="0" w:leftChars="0" w:firstLine="1038" w:firstLineChars="371"/>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pacing w:val="-13"/>
          <w:sz w:val="28"/>
          <w:szCs w:val="28"/>
          <w:highlight w:val="none"/>
        </w:rPr>
        <w:t>：</w:t>
      </w:r>
      <w:r>
        <w:rPr>
          <w:rFonts w:hint="eastAsia" w:ascii="宋体" w:hAnsi="宋体" w:eastAsia="宋体" w:cs="宋体"/>
          <w:spacing w:val="4"/>
          <w:sz w:val="28"/>
          <w:szCs w:val="28"/>
          <w:highlight w:val="none"/>
          <w:u w:val="single" w:color="auto"/>
        </w:rPr>
        <w:t xml:space="preserve">          </w:t>
      </w:r>
      <w:r>
        <w:rPr>
          <w:rFonts w:hint="eastAsia" w:ascii="宋体" w:hAnsi="宋体" w:eastAsia="宋体" w:cs="宋体"/>
          <w:spacing w:val="-13"/>
          <w:sz w:val="28"/>
          <w:szCs w:val="28"/>
          <w:highlight w:val="none"/>
        </w:rPr>
        <w:t>（</w:t>
      </w:r>
      <w:r>
        <w:rPr>
          <w:rFonts w:hint="eastAsia" w:ascii="宋体" w:hAnsi="宋体" w:eastAsia="宋体" w:cs="宋体"/>
          <w:sz w:val="28"/>
          <w:szCs w:val="28"/>
          <w:highlight w:val="none"/>
        </w:rPr>
        <w:t>电子签章或电子签名）</w:t>
      </w:r>
    </w:p>
    <w:p>
      <w:pPr>
        <w:bidi w:val="0"/>
        <w:ind w:left="0" w:leftChars="0" w:firstLine="1038" w:firstLineChars="371"/>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u w:val="single" w:color="auto"/>
        </w:rPr>
        <w:tab/>
      </w:r>
      <w:r>
        <w:rPr>
          <w:rFonts w:hint="eastAsia" w:ascii="宋体" w:hAnsi="宋体" w:eastAsia="宋体" w:cs="宋体"/>
          <w:sz w:val="28"/>
          <w:szCs w:val="28"/>
          <w:highlight w:val="none"/>
          <w:u w:val="single" w:color="auto"/>
          <w:lang w:val="en-US" w:eastAsia="zh-CN"/>
        </w:rPr>
        <w:t xml:space="preserve">   </w:t>
      </w:r>
      <w:r>
        <w:rPr>
          <w:rFonts w:hint="eastAsia" w:ascii="宋体" w:hAnsi="宋体" w:eastAsia="宋体" w:cs="宋体"/>
          <w:spacing w:val="-114"/>
          <w:sz w:val="28"/>
          <w:szCs w:val="28"/>
          <w:highlight w:val="none"/>
        </w:rPr>
        <w:t xml:space="preserve"> </w:t>
      </w:r>
      <w:r>
        <w:rPr>
          <w:rFonts w:hint="eastAsia" w:ascii="宋体" w:hAnsi="宋体" w:eastAsia="宋体" w:cs="宋体"/>
          <w:spacing w:val="-5"/>
          <w:sz w:val="28"/>
          <w:szCs w:val="28"/>
          <w:highlight w:val="none"/>
        </w:rPr>
        <w:t>年</w:t>
      </w:r>
      <w:r>
        <w:rPr>
          <w:rFonts w:hint="eastAsia" w:ascii="宋体" w:hAnsi="宋体" w:eastAsia="宋体" w:cs="宋体"/>
          <w:spacing w:val="-5"/>
          <w:sz w:val="28"/>
          <w:szCs w:val="28"/>
          <w:highlight w:val="none"/>
          <w:u w:val="single" w:color="auto"/>
        </w:rPr>
        <w:t xml:space="preserve">       </w:t>
      </w:r>
      <w:r>
        <w:rPr>
          <w:rFonts w:hint="eastAsia" w:ascii="宋体" w:hAnsi="宋体" w:eastAsia="宋体" w:cs="宋体"/>
          <w:spacing w:val="-122"/>
          <w:sz w:val="28"/>
          <w:szCs w:val="28"/>
          <w:highlight w:val="none"/>
        </w:rPr>
        <w:t xml:space="preserve"> </w:t>
      </w:r>
      <w:r>
        <w:rPr>
          <w:rFonts w:hint="eastAsia" w:ascii="宋体" w:hAnsi="宋体" w:eastAsia="宋体" w:cs="宋体"/>
          <w:spacing w:val="-5"/>
          <w:sz w:val="28"/>
          <w:szCs w:val="28"/>
          <w:highlight w:val="none"/>
        </w:rPr>
        <w:t>月</w:t>
      </w:r>
      <w:r>
        <w:rPr>
          <w:rFonts w:hint="eastAsia" w:ascii="宋体" w:hAnsi="宋体" w:eastAsia="宋体" w:cs="宋体"/>
          <w:spacing w:val="-5"/>
          <w:sz w:val="28"/>
          <w:szCs w:val="28"/>
          <w:highlight w:val="none"/>
          <w:u w:val="single" w:color="auto"/>
        </w:rPr>
        <w:t xml:space="preserve">       </w:t>
      </w:r>
      <w:r>
        <w:rPr>
          <w:rFonts w:hint="eastAsia" w:ascii="宋体" w:hAnsi="宋体" w:eastAsia="宋体" w:cs="宋体"/>
          <w:spacing w:val="-81"/>
          <w:sz w:val="28"/>
          <w:szCs w:val="28"/>
          <w:highlight w:val="none"/>
        </w:rPr>
        <w:t xml:space="preserve"> </w:t>
      </w:r>
      <w:r>
        <w:rPr>
          <w:rFonts w:hint="eastAsia" w:ascii="宋体" w:hAnsi="宋体" w:eastAsia="宋体" w:cs="宋体"/>
          <w:spacing w:val="-5"/>
          <w:sz w:val="28"/>
          <w:szCs w:val="28"/>
          <w:highlight w:val="none"/>
        </w:rPr>
        <w:t>日</w:t>
      </w: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spacing w:before="289" w:line="226" w:lineRule="auto"/>
        <w:ind w:left="4111"/>
        <w:rPr>
          <w:rFonts w:hint="eastAsia" w:ascii="宋体" w:hAnsi="宋体" w:eastAsia="宋体" w:cs="宋体"/>
          <w:sz w:val="43"/>
          <w:szCs w:val="43"/>
          <w:highlight w:val="none"/>
        </w:rPr>
      </w:pPr>
      <w:r>
        <w:rPr>
          <w:rFonts w:hint="eastAsia" w:ascii="宋体" w:hAnsi="宋体" w:eastAsia="宋体" w:cs="宋体"/>
          <w:spacing w:val="-46"/>
          <w:sz w:val="43"/>
          <w:szCs w:val="43"/>
          <w:highlight w:val="none"/>
          <w14:textOutline w14:w="7968" w14:cap="flat" w14:cmpd="sng">
            <w14:solidFill>
              <w14:srgbClr w14:val="000000"/>
            </w14:solidFill>
            <w14:prstDash w14:val="solid"/>
            <w14:miter w14:val="0"/>
          </w14:textOutline>
        </w:rPr>
        <w:t>目</w:t>
      </w:r>
      <w:r>
        <w:rPr>
          <w:rFonts w:hint="eastAsia" w:ascii="宋体" w:hAnsi="宋体" w:eastAsia="宋体" w:cs="宋体"/>
          <w:spacing w:val="29"/>
          <w:sz w:val="43"/>
          <w:szCs w:val="43"/>
          <w:highlight w:val="none"/>
        </w:rPr>
        <w:t xml:space="preserve"> </w:t>
      </w:r>
      <w:r>
        <w:rPr>
          <w:rFonts w:hint="eastAsia" w:ascii="宋体" w:hAnsi="宋体" w:eastAsia="宋体" w:cs="宋体"/>
          <w:spacing w:val="-46"/>
          <w:sz w:val="43"/>
          <w:szCs w:val="43"/>
          <w:highlight w:val="none"/>
          <w14:textOutline w14:w="7968" w14:cap="flat" w14:cmpd="sng">
            <w14:solidFill>
              <w14:srgbClr w14:val="000000"/>
            </w14:solidFill>
            <w14:prstDash w14:val="solid"/>
            <w14:miter w14:val="0"/>
          </w14:textOutline>
        </w:rPr>
        <w:t>录</w:t>
      </w:r>
    </w:p>
    <w:p>
      <w:pPr>
        <w:spacing w:line="378" w:lineRule="auto"/>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(以系统生成为准)</w:t>
      </w:r>
    </w:p>
    <w:p>
      <w:pPr>
        <w:tabs>
          <w:tab w:val="left" w:pos="210"/>
        </w:tabs>
        <w:spacing w:before="78" w:line="406" w:lineRule="exact"/>
        <w:ind w:left="216" w:leftChars="103" w:firstLine="621" w:firstLineChars="227"/>
        <w:rPr>
          <w:rFonts w:hint="eastAsia" w:ascii="宋体" w:hAnsi="宋体" w:eastAsia="宋体" w:cs="宋体"/>
          <w:sz w:val="28"/>
          <w:szCs w:val="28"/>
          <w:highlight w:val="none"/>
        </w:rPr>
      </w:pPr>
      <w:r>
        <w:rPr>
          <w:rFonts w:hint="eastAsia" w:ascii="宋体" w:hAnsi="宋体" w:eastAsia="宋体" w:cs="宋体"/>
          <w:spacing w:val="-3"/>
          <w:position w:val="12"/>
          <w:sz w:val="28"/>
          <w:szCs w:val="28"/>
          <w:highlight w:val="none"/>
        </w:rPr>
        <w:t>一、投标函及投标函附录</w:t>
      </w:r>
    </w:p>
    <w:p>
      <w:pPr>
        <w:tabs>
          <w:tab w:val="left" w:pos="210"/>
        </w:tabs>
        <w:spacing w:line="219" w:lineRule="auto"/>
        <w:ind w:left="216" w:leftChars="103" w:firstLine="626" w:firstLineChars="227"/>
        <w:rPr>
          <w:rFonts w:hint="eastAsia" w:ascii="宋体" w:hAnsi="宋体" w:eastAsia="宋体" w:cs="宋体"/>
          <w:sz w:val="28"/>
          <w:szCs w:val="28"/>
          <w:highlight w:val="none"/>
        </w:rPr>
      </w:pPr>
      <w:r>
        <w:rPr>
          <w:rFonts w:hint="eastAsia" w:ascii="宋体" w:hAnsi="宋体" w:eastAsia="宋体" w:cs="宋体"/>
          <w:spacing w:val="-2"/>
          <w:sz w:val="28"/>
          <w:szCs w:val="28"/>
          <w:highlight w:val="none"/>
        </w:rPr>
        <w:t>二、法定代表人身份证明</w:t>
      </w:r>
    </w:p>
    <w:p>
      <w:pPr>
        <w:tabs>
          <w:tab w:val="left" w:pos="210"/>
        </w:tabs>
        <w:spacing w:before="117" w:line="219" w:lineRule="auto"/>
        <w:ind w:left="216" w:leftChars="103" w:firstLine="626" w:firstLineChars="227"/>
        <w:rPr>
          <w:rFonts w:hint="eastAsia" w:ascii="宋体" w:hAnsi="宋体" w:eastAsia="宋体" w:cs="宋体"/>
          <w:sz w:val="28"/>
          <w:szCs w:val="28"/>
          <w:highlight w:val="none"/>
        </w:rPr>
      </w:pPr>
      <w:r>
        <w:rPr>
          <w:rFonts w:hint="eastAsia" w:ascii="宋体" w:hAnsi="宋体" w:eastAsia="宋体" w:cs="宋体"/>
          <w:spacing w:val="-2"/>
          <w:sz w:val="28"/>
          <w:szCs w:val="28"/>
          <w:highlight w:val="none"/>
        </w:rPr>
        <w:t>三、联合体协议书（如有）</w:t>
      </w:r>
    </w:p>
    <w:p>
      <w:pPr>
        <w:tabs>
          <w:tab w:val="left" w:pos="210"/>
        </w:tabs>
        <w:spacing w:before="121" w:line="220" w:lineRule="auto"/>
        <w:ind w:left="216" w:leftChars="103" w:firstLine="617" w:firstLineChars="227"/>
        <w:rPr>
          <w:rFonts w:hint="eastAsia" w:ascii="宋体" w:hAnsi="宋体" w:eastAsia="宋体" w:cs="宋体"/>
          <w:sz w:val="28"/>
          <w:szCs w:val="28"/>
          <w:highlight w:val="none"/>
        </w:rPr>
      </w:pPr>
      <w:r>
        <w:rPr>
          <w:rFonts w:hint="eastAsia" w:ascii="宋体" w:hAnsi="宋体" w:eastAsia="宋体" w:cs="宋体"/>
          <w:spacing w:val="-4"/>
          <w:sz w:val="28"/>
          <w:szCs w:val="28"/>
          <w:highlight w:val="none"/>
        </w:rPr>
        <w:t>四、投标保证金</w:t>
      </w:r>
    </w:p>
    <w:p>
      <w:pPr>
        <w:tabs>
          <w:tab w:val="left" w:pos="210"/>
        </w:tabs>
        <w:spacing w:line="219" w:lineRule="auto"/>
        <w:ind w:left="216" w:leftChars="103" w:firstLine="626" w:firstLineChars="227"/>
        <w:rPr>
          <w:rFonts w:hint="eastAsia" w:ascii="宋体" w:hAnsi="宋体" w:eastAsia="宋体" w:cs="宋体"/>
          <w:spacing w:val="-2"/>
          <w:position w:val="12"/>
          <w:sz w:val="28"/>
          <w:szCs w:val="28"/>
          <w:highlight w:val="none"/>
        </w:rPr>
      </w:pPr>
      <w:r>
        <w:rPr>
          <w:rFonts w:hint="eastAsia" w:ascii="宋体" w:hAnsi="宋体" w:eastAsia="宋体" w:cs="宋体"/>
          <w:spacing w:val="-2"/>
          <w:position w:val="12"/>
          <w:sz w:val="28"/>
          <w:szCs w:val="28"/>
          <w:highlight w:val="none"/>
        </w:rPr>
        <w:t>五、项目实施方案（施工组织设计、监理大纲）</w:t>
      </w:r>
    </w:p>
    <w:p>
      <w:pPr>
        <w:tabs>
          <w:tab w:val="left" w:pos="210"/>
        </w:tabs>
        <w:spacing w:line="219" w:lineRule="auto"/>
        <w:ind w:left="216" w:leftChars="103" w:firstLine="626" w:firstLineChars="227"/>
        <w:rPr>
          <w:rFonts w:hint="eastAsia" w:ascii="宋体" w:hAnsi="宋体" w:eastAsia="宋体" w:cs="宋体"/>
          <w:sz w:val="28"/>
          <w:szCs w:val="28"/>
          <w:highlight w:val="none"/>
        </w:rPr>
      </w:pPr>
      <w:r>
        <w:rPr>
          <w:rFonts w:hint="eastAsia" w:ascii="宋体" w:hAnsi="宋体" w:eastAsia="宋体" w:cs="宋体"/>
          <w:spacing w:val="-2"/>
          <w:sz w:val="28"/>
          <w:szCs w:val="28"/>
          <w:highlight w:val="none"/>
        </w:rPr>
        <w:t>六、资格审查资料</w:t>
      </w:r>
    </w:p>
    <w:p>
      <w:pPr>
        <w:tabs>
          <w:tab w:val="left" w:pos="210"/>
        </w:tabs>
        <w:spacing w:before="120" w:line="219" w:lineRule="auto"/>
        <w:ind w:left="216" w:leftChars="103" w:firstLine="626" w:firstLineChars="227"/>
        <w:rPr>
          <w:rFonts w:hint="eastAsia" w:ascii="宋体" w:hAnsi="宋体" w:eastAsia="宋体" w:cs="宋体"/>
          <w:sz w:val="28"/>
          <w:szCs w:val="28"/>
          <w:highlight w:val="none"/>
        </w:rPr>
      </w:pPr>
      <w:r>
        <w:rPr>
          <w:rFonts w:hint="eastAsia" w:ascii="宋体" w:hAnsi="宋体" w:eastAsia="宋体" w:cs="宋体"/>
          <w:spacing w:val="-2"/>
          <w:sz w:val="28"/>
          <w:szCs w:val="28"/>
          <w:highlight w:val="none"/>
        </w:rPr>
        <w:t>七、承诺书</w:t>
      </w:r>
    </w:p>
    <w:p>
      <w:pPr>
        <w:tabs>
          <w:tab w:val="left" w:pos="210"/>
        </w:tabs>
        <w:spacing w:before="119" w:line="219" w:lineRule="auto"/>
        <w:ind w:left="216" w:leftChars="103" w:firstLine="626" w:firstLineChars="227"/>
        <w:rPr>
          <w:rFonts w:hint="eastAsia" w:ascii="宋体" w:hAnsi="宋体" w:eastAsia="宋体" w:cs="宋体"/>
          <w:sz w:val="28"/>
          <w:szCs w:val="28"/>
          <w:highlight w:val="none"/>
        </w:rPr>
      </w:pPr>
      <w:r>
        <w:rPr>
          <w:rFonts w:hint="eastAsia" w:ascii="宋体" w:hAnsi="宋体" w:eastAsia="宋体" w:cs="宋体"/>
          <w:spacing w:val="-2"/>
          <w:sz w:val="28"/>
          <w:szCs w:val="28"/>
          <w:highlight w:val="none"/>
        </w:rPr>
        <w:t>八、其他材料</w:t>
      </w:r>
    </w:p>
    <w:p>
      <w:pPr>
        <w:tabs>
          <w:tab w:val="left" w:pos="210"/>
        </w:tabs>
        <w:spacing w:before="121" w:line="220" w:lineRule="auto"/>
        <w:ind w:left="216" w:leftChars="103" w:firstLine="621" w:firstLineChars="227"/>
        <w:rPr>
          <w:rFonts w:hint="eastAsia" w:ascii="宋体" w:hAnsi="宋体" w:eastAsia="宋体" w:cs="宋体"/>
          <w:sz w:val="28"/>
          <w:szCs w:val="28"/>
          <w:highlight w:val="none"/>
        </w:rPr>
      </w:pPr>
      <w:r>
        <w:rPr>
          <w:rFonts w:hint="eastAsia" w:ascii="宋体" w:hAnsi="宋体" w:eastAsia="宋体" w:cs="宋体"/>
          <w:spacing w:val="-3"/>
          <w:sz w:val="28"/>
          <w:szCs w:val="28"/>
          <w:highlight w:val="none"/>
        </w:rPr>
        <w:t>九、服务承诺</w:t>
      </w:r>
    </w:p>
    <w:p>
      <w:pPr>
        <w:tabs>
          <w:tab w:val="left" w:pos="210"/>
        </w:tabs>
        <w:spacing w:before="118" w:line="405" w:lineRule="exact"/>
        <w:ind w:left="216" w:leftChars="103" w:firstLine="626" w:firstLineChars="227"/>
        <w:rPr>
          <w:rFonts w:hint="eastAsia" w:ascii="宋体" w:hAnsi="宋体" w:eastAsia="宋体" w:cs="宋体"/>
          <w:sz w:val="28"/>
          <w:szCs w:val="28"/>
          <w:highlight w:val="none"/>
        </w:rPr>
      </w:pPr>
      <w:r>
        <w:rPr>
          <w:rFonts w:hint="eastAsia" w:ascii="宋体" w:hAnsi="宋体" w:eastAsia="宋体" w:cs="宋体"/>
          <w:spacing w:val="-2"/>
          <w:position w:val="12"/>
          <w:sz w:val="28"/>
          <w:szCs w:val="28"/>
          <w:highlight w:val="none"/>
        </w:rPr>
        <w:t>十、投标一览表</w:t>
      </w:r>
    </w:p>
    <w:p>
      <w:pPr>
        <w:tabs>
          <w:tab w:val="left" w:pos="210"/>
        </w:tabs>
        <w:spacing w:before="1" w:line="218" w:lineRule="auto"/>
        <w:ind w:left="216" w:leftChars="103" w:firstLine="617" w:firstLineChars="227"/>
        <w:rPr>
          <w:rFonts w:hint="eastAsia" w:ascii="宋体" w:hAnsi="宋体" w:eastAsia="宋体" w:cs="宋体"/>
          <w:sz w:val="28"/>
          <w:szCs w:val="28"/>
          <w:highlight w:val="none"/>
        </w:rPr>
      </w:pPr>
      <w:r>
        <w:rPr>
          <w:rFonts w:hint="eastAsia" w:ascii="宋体" w:hAnsi="宋体" w:eastAsia="宋体" w:cs="宋体"/>
          <w:spacing w:val="-4"/>
          <w:sz w:val="28"/>
          <w:szCs w:val="28"/>
          <w:highlight w:val="none"/>
        </w:rPr>
        <w:t>十一、承诺书</w:t>
      </w:r>
    </w:p>
    <w:p>
      <w:pPr>
        <w:tabs>
          <w:tab w:val="left" w:pos="210"/>
        </w:tabs>
        <w:bidi w:val="0"/>
        <w:ind w:left="216" w:leftChars="103" w:firstLine="631" w:firstLineChars="227"/>
        <w:rPr>
          <w:rFonts w:hint="eastAsia" w:ascii="宋体" w:hAnsi="宋体" w:eastAsia="宋体" w:cs="宋体"/>
          <w:sz w:val="28"/>
          <w:szCs w:val="28"/>
          <w:highlight w:val="none"/>
          <w:lang w:val="en-US" w:eastAsia="zh-CN"/>
        </w:rPr>
      </w:pPr>
      <w:r>
        <w:rPr>
          <w:rFonts w:hint="eastAsia" w:ascii="宋体" w:hAnsi="宋体" w:eastAsia="宋体" w:cs="宋体"/>
          <w:spacing w:val="-1"/>
          <w:sz w:val="28"/>
          <w:szCs w:val="28"/>
          <w:highlight w:val="none"/>
        </w:rPr>
        <w:t>十二、投标人认为有必要的其他资料</w:t>
      </w: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pStyle w:val="4"/>
        <w:rPr>
          <w:rFonts w:hint="eastAsia" w:ascii="宋体" w:hAnsi="宋体" w:eastAsia="宋体" w:cs="宋体"/>
          <w:sz w:val="28"/>
          <w:szCs w:val="28"/>
          <w:highlight w:val="none"/>
          <w:lang w:val="en-US" w:eastAsia="zh-CN"/>
        </w:rPr>
      </w:pPr>
    </w:p>
    <w:p>
      <w:pPr>
        <w:pStyle w:val="4"/>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spacing w:line="240" w:lineRule="auto"/>
        <w:ind w:left="2812"/>
        <w:textAlignment w:val="baseline"/>
        <w:rPr>
          <w:rFonts w:hint="eastAsia" w:ascii="宋体" w:hAnsi="宋体" w:eastAsia="宋体" w:cs="宋体"/>
          <w:sz w:val="32"/>
          <w:szCs w:val="32"/>
          <w:highlight w:val="none"/>
        </w:rPr>
      </w:pPr>
      <w: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t>一、投标函及投标函附录</w:t>
      </w:r>
    </w:p>
    <w:p>
      <w:pPr>
        <w:keepNext w:val="0"/>
        <w:keepLines w:val="0"/>
        <w:pageBreakBefore w:val="0"/>
        <w:widowControl/>
        <w:kinsoku w:val="0"/>
        <w:wordWrap/>
        <w:overflowPunct/>
        <w:topLinePunct w:val="0"/>
        <w:autoSpaceDE w:val="0"/>
        <w:autoSpaceDN w:val="0"/>
        <w:bidi w:val="0"/>
        <w:adjustRightInd w:val="0"/>
        <w:snapToGrid/>
        <w:spacing w:line="360" w:lineRule="auto"/>
        <w:ind w:left="3856"/>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14:textOutline w14:w="4354" w14:cap="flat" w14:cmpd="sng">
            <w14:solidFill>
              <w14:srgbClr w14:val="000000"/>
            </w14:solidFill>
            <w14:prstDash w14:val="solid"/>
            <w14:miter w14:val="0"/>
          </w14:textOutline>
        </w:rPr>
        <w:t>（一）投标函</w:t>
      </w:r>
    </w:p>
    <w:p>
      <w:pPr>
        <w:keepNext w:val="0"/>
        <w:keepLines w:val="0"/>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spacing w:val="0"/>
          <w:kern w:val="21"/>
          <w:position w:val="0"/>
          <w:sz w:val="24"/>
          <w:szCs w:val="24"/>
          <w:highlight w:val="none"/>
        </w:rPr>
      </w:pPr>
    </w:p>
    <w:p>
      <w:pPr>
        <w:keepNext w:val="0"/>
        <w:keepLines w:val="0"/>
        <w:pageBreakBefore w:val="0"/>
        <w:widowControl/>
        <w:tabs>
          <w:tab w:val="left" w:pos="2346"/>
        </w:tabs>
        <w:kinsoku w:val="0"/>
        <w:wordWrap/>
        <w:overflowPunct/>
        <w:topLinePunct w:val="0"/>
        <w:autoSpaceDE w:val="0"/>
        <w:autoSpaceDN w:val="0"/>
        <w:bidi w:val="0"/>
        <w:adjustRightInd w:val="0"/>
        <w:snapToGrid/>
        <w:spacing w:line="360" w:lineRule="auto"/>
        <w:ind w:left="108"/>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u w:val="single" w:color="auto"/>
        </w:rPr>
        <w:tab/>
      </w:r>
      <w:r>
        <w:rPr>
          <w:rFonts w:hint="eastAsia" w:ascii="宋体" w:hAnsi="宋体" w:eastAsia="宋体" w:cs="宋体"/>
          <w:spacing w:val="0"/>
          <w:kern w:val="21"/>
          <w:position w:val="0"/>
          <w:sz w:val="24"/>
          <w:szCs w:val="24"/>
          <w:highlight w:val="none"/>
        </w:rPr>
        <w:t xml:space="preserve"> （招标人名称）：</w:t>
      </w:r>
    </w:p>
    <w:p>
      <w:pPr>
        <w:keepNext w:val="0"/>
        <w:keepLines w:val="0"/>
        <w:pageBreakBefore w:val="0"/>
        <w:widowControl/>
        <w:kinsoku w:val="0"/>
        <w:wordWrap/>
        <w:overflowPunct/>
        <w:topLinePunct w:val="0"/>
        <w:autoSpaceDE w:val="0"/>
        <w:autoSpaceDN w:val="0"/>
        <w:bidi w:val="0"/>
        <w:adjustRightInd w:val="0"/>
        <w:snapToGrid/>
        <w:spacing w:line="360" w:lineRule="auto"/>
        <w:ind w:left="41" w:right="94" w:firstLine="554"/>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 xml:space="preserve">1.我方已仔细研究了 </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rPr>
        <w:t xml:space="preserve"> （项目名称） 招标文件的全部内容， 施工 投标报价为</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rPr>
        <w:t xml:space="preserve">，设计投标报价为 </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rPr>
        <w:t>，遵照招标文件的要求承担并完</w:t>
      </w:r>
    </w:p>
    <w:p>
      <w:pPr>
        <w:keepNext w:val="0"/>
        <w:keepLines w:val="0"/>
        <w:pageBreakBefore w:val="0"/>
        <w:widowControl/>
        <w:kinsoku w:val="0"/>
        <w:wordWrap/>
        <w:overflowPunct/>
        <w:topLinePunct w:val="0"/>
        <w:autoSpaceDE w:val="0"/>
        <w:autoSpaceDN w:val="0"/>
        <w:bidi w:val="0"/>
        <w:adjustRightInd w:val="0"/>
        <w:snapToGrid/>
        <w:spacing w:line="360" w:lineRule="auto"/>
        <w:ind w:left="40"/>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成本合同工程全部责任、义务。</w:t>
      </w:r>
    </w:p>
    <w:p>
      <w:pPr>
        <w:keepNext w:val="0"/>
        <w:keepLines w:val="0"/>
        <w:pageBreakBefore w:val="0"/>
        <w:widowControl/>
        <w:kinsoku w:val="0"/>
        <w:wordWrap/>
        <w:overflowPunct/>
        <w:topLinePunct w:val="0"/>
        <w:autoSpaceDE w:val="0"/>
        <w:autoSpaceDN w:val="0"/>
        <w:bidi w:val="0"/>
        <w:adjustRightInd w:val="0"/>
        <w:snapToGrid/>
        <w:spacing w:line="360" w:lineRule="auto"/>
        <w:ind w:left="581"/>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2．我方承诺在投标有效期60天内不修改、撤销投标文件。</w:t>
      </w:r>
    </w:p>
    <w:p>
      <w:pPr>
        <w:keepNext w:val="0"/>
        <w:keepLines w:val="0"/>
        <w:pageBreakBefore w:val="0"/>
        <w:widowControl/>
        <w:kinsoku w:val="0"/>
        <w:wordWrap/>
        <w:overflowPunct/>
        <w:topLinePunct w:val="0"/>
        <w:autoSpaceDE w:val="0"/>
        <w:autoSpaceDN w:val="0"/>
        <w:bidi w:val="0"/>
        <w:adjustRightInd w:val="0"/>
        <w:snapToGrid/>
        <w:spacing w:line="360" w:lineRule="auto"/>
        <w:ind w:left="582"/>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 xml:space="preserve">3．随同本投标函提交投标保证金一份，金额为人民币（大写） </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rPr>
        <w:t xml:space="preserve"> 元</w:t>
      </w:r>
    </w:p>
    <w:p>
      <w:pPr>
        <w:keepNext w:val="0"/>
        <w:keepLines w:val="0"/>
        <w:pageBreakBefore w:val="0"/>
        <w:widowControl/>
        <w:kinsoku w:val="0"/>
        <w:wordWrap/>
        <w:overflowPunct/>
        <w:topLinePunct w:val="0"/>
        <w:autoSpaceDE w:val="0"/>
        <w:autoSpaceDN w:val="0"/>
        <w:bidi w:val="0"/>
        <w:adjustRightInd w:val="0"/>
        <w:snapToGrid/>
        <w:spacing w:line="360" w:lineRule="auto"/>
        <w:ind w:left="164"/>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spacing w:line="360" w:lineRule="auto"/>
        <w:ind w:left="577"/>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4．如我方中标：</w:t>
      </w:r>
    </w:p>
    <w:p>
      <w:pPr>
        <w:keepNext w:val="0"/>
        <w:keepLines w:val="0"/>
        <w:pageBreakBefore w:val="0"/>
        <w:widowControl/>
        <w:kinsoku w:val="0"/>
        <w:wordWrap/>
        <w:overflowPunct/>
        <w:topLinePunct w:val="0"/>
        <w:autoSpaceDE w:val="0"/>
        <w:autoSpaceDN w:val="0"/>
        <w:bidi w:val="0"/>
        <w:adjustRightInd w:val="0"/>
        <w:snapToGrid/>
        <w:spacing w:line="360" w:lineRule="auto"/>
        <w:ind w:left="584"/>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（1）我方承诺在收到中标通知书后，在中标通知书规定的期限内与你方签订合同。</w:t>
      </w:r>
    </w:p>
    <w:p>
      <w:pPr>
        <w:keepNext w:val="0"/>
        <w:keepLines w:val="0"/>
        <w:pageBreakBefore w:val="0"/>
        <w:widowControl/>
        <w:kinsoku w:val="0"/>
        <w:wordWrap/>
        <w:overflowPunct/>
        <w:topLinePunct w:val="0"/>
        <w:autoSpaceDE w:val="0"/>
        <w:autoSpaceDN w:val="0"/>
        <w:bidi w:val="0"/>
        <w:adjustRightInd w:val="0"/>
        <w:snapToGrid/>
        <w:spacing w:line="360" w:lineRule="auto"/>
        <w:ind w:left="584"/>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（2）随同本投标函递交的投标函附录属于合同文件的组成部分。</w:t>
      </w:r>
    </w:p>
    <w:p>
      <w:pPr>
        <w:keepNext w:val="0"/>
        <w:keepLines w:val="0"/>
        <w:pageBreakBefore w:val="0"/>
        <w:widowControl/>
        <w:kinsoku w:val="0"/>
        <w:wordWrap/>
        <w:overflowPunct/>
        <w:topLinePunct w:val="0"/>
        <w:autoSpaceDE w:val="0"/>
        <w:autoSpaceDN w:val="0"/>
        <w:bidi w:val="0"/>
        <w:adjustRightInd w:val="0"/>
        <w:snapToGrid/>
        <w:spacing w:line="360" w:lineRule="auto"/>
        <w:ind w:left="584"/>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（3）我方承诺在合同约定的期限内完成并移交全部合同工程。</w:t>
      </w:r>
    </w:p>
    <w:p>
      <w:pPr>
        <w:keepNext w:val="0"/>
        <w:keepLines w:val="0"/>
        <w:pageBreakBefore w:val="0"/>
        <w:widowControl/>
        <w:kinsoku w:val="0"/>
        <w:wordWrap/>
        <w:overflowPunct/>
        <w:topLinePunct w:val="0"/>
        <w:autoSpaceDE w:val="0"/>
        <w:autoSpaceDN w:val="0"/>
        <w:bidi w:val="0"/>
        <w:adjustRightInd w:val="0"/>
        <w:snapToGrid/>
        <w:spacing w:line="360" w:lineRule="auto"/>
        <w:ind w:left="584"/>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（4）如果我们中标， 我们愿意按《中华人民共和国民法典》履行自己的全部责任。</w:t>
      </w:r>
    </w:p>
    <w:p>
      <w:pPr>
        <w:keepNext w:val="0"/>
        <w:keepLines w:val="0"/>
        <w:pageBreakBefore w:val="0"/>
        <w:widowControl/>
        <w:kinsoku w:val="0"/>
        <w:wordWrap/>
        <w:overflowPunct/>
        <w:topLinePunct w:val="0"/>
        <w:autoSpaceDE w:val="0"/>
        <w:autoSpaceDN w:val="0"/>
        <w:bidi w:val="0"/>
        <w:adjustRightInd w:val="0"/>
        <w:snapToGrid/>
        <w:spacing w:line="360" w:lineRule="auto"/>
        <w:ind w:left="584"/>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（5）我方承诺响应招标文件的所有内容。</w:t>
      </w:r>
    </w:p>
    <w:p>
      <w:pPr>
        <w:keepNext w:val="0"/>
        <w:keepLines w:val="0"/>
        <w:pageBreakBefore w:val="0"/>
        <w:widowControl/>
        <w:kinsoku w:val="0"/>
        <w:wordWrap/>
        <w:overflowPunct/>
        <w:topLinePunct w:val="0"/>
        <w:autoSpaceDE w:val="0"/>
        <w:autoSpaceDN w:val="0"/>
        <w:bidi w:val="0"/>
        <w:adjustRightInd w:val="0"/>
        <w:snapToGrid/>
        <w:spacing w:line="360" w:lineRule="auto"/>
        <w:ind w:left="522"/>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5．我方在此声明，所递交的投标文件及有关资料内容完整、真实和准确，且不存</w:t>
      </w:r>
    </w:p>
    <w:p>
      <w:pPr>
        <w:keepNext w:val="0"/>
        <w:keepLines w:val="0"/>
        <w:pageBreakBefore w:val="0"/>
        <w:widowControl/>
        <w:kinsoku w:val="0"/>
        <w:wordWrap/>
        <w:overflowPunct/>
        <w:topLinePunct w:val="0"/>
        <w:autoSpaceDE w:val="0"/>
        <w:autoSpaceDN w:val="0"/>
        <w:bidi w:val="0"/>
        <w:adjustRightInd w:val="0"/>
        <w:snapToGrid/>
        <w:spacing w:line="360" w:lineRule="auto"/>
        <w:ind w:left="37"/>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在第二章“投标人须知”正文部分第1.4.3项规定的任何一种情形。</w:t>
      </w:r>
    </w:p>
    <w:p>
      <w:pPr>
        <w:keepNext w:val="0"/>
        <w:keepLines w:val="0"/>
        <w:pageBreakBefore w:val="0"/>
        <w:widowControl/>
        <w:kinsoku w:val="0"/>
        <w:wordWrap/>
        <w:overflowPunct/>
        <w:topLinePunct w:val="0"/>
        <w:autoSpaceDE w:val="0"/>
        <w:autoSpaceDN w:val="0"/>
        <w:bidi w:val="0"/>
        <w:adjustRightInd w:val="0"/>
        <w:snapToGrid/>
        <w:spacing w:line="360" w:lineRule="auto"/>
        <w:jc w:val="right"/>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6．我方严格遵守第四章合同条款及格式规定的权利义务及第六章技术要求的规定。</w:t>
      </w:r>
    </w:p>
    <w:p>
      <w:pPr>
        <w:keepNext w:val="0"/>
        <w:keepLines w:val="0"/>
        <w:pageBreakBefore w:val="0"/>
        <w:widowControl/>
        <w:kinsoku w:val="0"/>
        <w:wordWrap/>
        <w:overflowPunct/>
        <w:topLinePunct w:val="0"/>
        <w:autoSpaceDE w:val="0"/>
        <w:autoSpaceDN w:val="0"/>
        <w:bidi w:val="0"/>
        <w:adjustRightInd w:val="0"/>
        <w:snapToGrid/>
        <w:spacing w:line="360" w:lineRule="auto"/>
        <w:ind w:left="523"/>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7．</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rPr>
        <w:t xml:space="preserve"> （其他补充说明）。</w:t>
      </w:r>
    </w:p>
    <w:p>
      <w:pPr>
        <w:keepNext w:val="0"/>
        <w:keepLines w:val="0"/>
        <w:pageBreakBefore w:val="0"/>
        <w:widowControl/>
        <w:kinsoku w:val="0"/>
        <w:wordWrap/>
        <w:overflowPunct/>
        <w:topLinePunct w:val="0"/>
        <w:autoSpaceDE w:val="0"/>
        <w:autoSpaceDN w:val="0"/>
        <w:bidi w:val="0"/>
        <w:adjustRightInd w:val="0"/>
        <w:snapToGrid/>
        <w:spacing w:line="360" w:lineRule="auto"/>
        <w:ind w:left="6231"/>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投标人：（单位电子签章）</w:t>
      </w:r>
    </w:p>
    <w:p>
      <w:pPr>
        <w:keepNext w:val="0"/>
        <w:keepLines w:val="0"/>
        <w:pageBreakBefore w:val="0"/>
        <w:widowControl/>
        <w:kinsoku w:val="0"/>
        <w:wordWrap/>
        <w:overflowPunct/>
        <w:topLinePunct w:val="0"/>
        <w:autoSpaceDE w:val="0"/>
        <w:autoSpaceDN w:val="0"/>
        <w:bidi w:val="0"/>
        <w:adjustRightInd w:val="0"/>
        <w:snapToGrid/>
        <w:spacing w:line="360" w:lineRule="auto"/>
        <w:ind w:left="3589"/>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法定代表人或委托代理人：（电子签章或电子签名）</w:t>
      </w:r>
    </w:p>
    <w:p>
      <w:pPr>
        <w:keepNext w:val="0"/>
        <w:keepLines w:val="0"/>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spacing w:val="0"/>
          <w:kern w:val="21"/>
          <w:position w:val="0"/>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spacing w:line="360" w:lineRule="auto"/>
        <w:textAlignment w:val="baseline"/>
        <w:rPr>
          <w:rFonts w:hint="eastAsia" w:ascii="宋体" w:hAnsi="宋体" w:eastAsia="宋体" w:cs="宋体"/>
          <w:spacing w:val="0"/>
          <w:kern w:val="21"/>
          <w:position w:val="0"/>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spacing w:line="360" w:lineRule="auto"/>
        <w:ind w:right="32"/>
        <w:jc w:val="right"/>
        <w:textAlignment w:val="baseline"/>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年    月    日</w:t>
      </w:r>
    </w:p>
    <w:p>
      <w:pPr>
        <w:keepNext w:val="0"/>
        <w:keepLines w:val="0"/>
        <w:pageBreakBefore w:val="0"/>
        <w:widowControl/>
        <w:kinsoku w:val="0"/>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spacing w:val="0"/>
          <w:kern w:val="21"/>
          <w:position w:val="0"/>
          <w:sz w:val="24"/>
          <w:szCs w:val="24"/>
          <w:highlight w:val="none"/>
          <w14:textOutline w14:w="4354" w14:cap="flat" w14:cmpd="sng">
            <w14:solidFill>
              <w14:srgbClr w14:val="000000"/>
            </w14:solidFill>
            <w14:prstDash w14:val="solid"/>
            <w14:miter w14:val="0"/>
          </w14:textOutline>
        </w:rPr>
      </w:pPr>
    </w:p>
    <w:p>
      <w:pPr>
        <w:bidi w:val="0"/>
        <w:rPr>
          <w:rFonts w:hint="eastAsia" w:ascii="宋体" w:hAnsi="宋体" w:eastAsia="宋体" w:cs="宋体"/>
          <w:b/>
          <w:bCs/>
          <w:highlight w:val="none"/>
          <w:lang w:val="en-US" w:eastAsia="zh-CN"/>
        </w:rPr>
      </w:pPr>
      <w:r>
        <w:rPr>
          <w:rFonts w:hint="eastAsia" w:ascii="宋体" w:hAnsi="宋体" w:eastAsia="宋体" w:cs="宋体"/>
          <w:b/>
          <w:bCs/>
          <w:highlight w:val="none"/>
        </w:rPr>
        <w:t>备注：若投标人为联合体，则须由联合体牵头人的法定代表人或其委托代理人签署，并由联合体牵头人单位电子签章。</w:t>
      </w: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spacing w:before="218" w:line="219" w:lineRule="auto"/>
        <w:ind w:left="3616"/>
        <w:rPr>
          <w:rFonts w:hint="eastAsia" w:ascii="宋体" w:hAnsi="宋体" w:eastAsia="宋体" w:cs="宋体"/>
          <w:sz w:val="24"/>
          <w:szCs w:val="24"/>
          <w:highlight w:val="none"/>
        </w:rPr>
      </w:pPr>
      <w:r>
        <w:rPr>
          <w:rFonts w:hint="eastAsia" w:ascii="宋体" w:hAnsi="宋体" w:eastAsia="宋体" w:cs="宋体"/>
          <w:spacing w:val="-15"/>
          <w:sz w:val="24"/>
          <w:szCs w:val="24"/>
          <w:highlight w:val="none"/>
          <w14:textOutline w14:w="4354" w14:cap="flat" w14:cmpd="sng">
            <w14:solidFill>
              <w14:srgbClr w14:val="000000"/>
            </w14:solidFill>
            <w14:prstDash w14:val="solid"/>
            <w14:miter w14:val="0"/>
          </w14:textOutline>
        </w:rPr>
        <w:t>（二）</w:t>
      </w:r>
      <w:r>
        <w:rPr>
          <w:rFonts w:hint="eastAsia" w:ascii="宋体" w:hAnsi="宋体" w:eastAsia="宋体" w:cs="宋体"/>
          <w:spacing w:val="-18"/>
          <w:sz w:val="24"/>
          <w:szCs w:val="24"/>
          <w:highlight w:val="none"/>
        </w:rPr>
        <w:t xml:space="preserve"> </w:t>
      </w:r>
      <w:r>
        <w:rPr>
          <w:rFonts w:hint="eastAsia" w:ascii="宋体" w:hAnsi="宋体" w:eastAsia="宋体" w:cs="宋体"/>
          <w:spacing w:val="-15"/>
          <w:sz w:val="24"/>
          <w:szCs w:val="24"/>
          <w:highlight w:val="none"/>
          <w14:textOutline w14:w="4354" w14:cap="flat" w14:cmpd="sng">
            <w14:solidFill>
              <w14:srgbClr w14:val="000000"/>
            </w14:solidFill>
            <w14:prstDash w14:val="solid"/>
            <w14:miter w14:val="0"/>
          </w14:textOutline>
        </w:rPr>
        <w:t>投标函附录</w:t>
      </w:r>
    </w:p>
    <w:p>
      <w:pPr>
        <w:spacing w:line="147" w:lineRule="exact"/>
        <w:rPr>
          <w:rFonts w:hint="eastAsia" w:ascii="宋体" w:hAnsi="宋体" w:eastAsia="宋体" w:cs="宋体"/>
          <w:highlight w:val="none"/>
        </w:rPr>
      </w:pPr>
    </w:p>
    <w:tbl>
      <w:tblPr>
        <w:tblStyle w:val="24"/>
        <w:tblW w:w="8844"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5"/>
        <w:gridCol w:w="1371"/>
        <w:gridCol w:w="941"/>
        <w:gridCol w:w="1264"/>
        <w:gridCol w:w="1403"/>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2525" w:type="dxa"/>
            <w:tcBorders>
              <w:top w:val="single" w:color="000000" w:sz="10" w:space="0"/>
              <w:left w:val="single" w:color="000000" w:sz="10" w:space="0"/>
            </w:tcBorders>
            <w:vAlign w:val="top"/>
          </w:tcPr>
          <w:p>
            <w:pPr>
              <w:pStyle w:val="23"/>
              <w:spacing w:before="196" w:line="220" w:lineRule="auto"/>
              <w:ind w:left="7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工程名称</w:t>
            </w:r>
          </w:p>
        </w:tc>
        <w:tc>
          <w:tcPr>
            <w:tcW w:w="6319" w:type="dxa"/>
            <w:gridSpan w:val="5"/>
            <w:tcBorders>
              <w:top w:val="single" w:color="000000" w:sz="10" w:space="0"/>
              <w:right w:val="single" w:color="000000" w:sz="10" w:space="0"/>
            </w:tcBorders>
            <w:vAlign w:val="top"/>
          </w:tcPr>
          <w:p>
            <w:pPr>
              <w:rPr>
                <w:rFonts w:hint="eastAsia" w:ascii="宋体" w:hAnsi="宋体" w:eastAsia="宋体" w:cs="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525" w:type="dxa"/>
            <w:tcBorders>
              <w:left w:val="single" w:color="000000" w:sz="10" w:space="0"/>
            </w:tcBorders>
            <w:vAlign w:val="top"/>
          </w:tcPr>
          <w:p>
            <w:pPr>
              <w:pStyle w:val="23"/>
              <w:spacing w:before="165" w:line="220" w:lineRule="auto"/>
              <w:ind w:left="89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投标人</w:t>
            </w:r>
          </w:p>
        </w:tc>
        <w:tc>
          <w:tcPr>
            <w:tcW w:w="6319" w:type="dxa"/>
            <w:gridSpan w:val="5"/>
            <w:tcBorders>
              <w:right w:val="single" w:color="000000" w:sz="10" w:space="0"/>
            </w:tcBorders>
            <w:vAlign w:val="top"/>
          </w:tcPr>
          <w:p>
            <w:pPr>
              <w:rPr>
                <w:rFonts w:hint="eastAsia" w:ascii="宋体" w:hAnsi="宋体" w:eastAsia="宋体" w:cs="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2525" w:type="dxa"/>
            <w:tcBorders>
              <w:left w:val="single" w:color="000000" w:sz="10" w:space="0"/>
            </w:tcBorders>
            <w:vAlign w:val="top"/>
          </w:tcPr>
          <w:p>
            <w:pPr>
              <w:pStyle w:val="23"/>
              <w:spacing w:before="167" w:line="220" w:lineRule="auto"/>
              <w:ind w:left="101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标段</w:t>
            </w:r>
          </w:p>
        </w:tc>
        <w:tc>
          <w:tcPr>
            <w:tcW w:w="6319" w:type="dxa"/>
            <w:gridSpan w:val="5"/>
            <w:tcBorders>
              <w:right w:val="single" w:color="000000" w:sz="10" w:space="0"/>
            </w:tcBorders>
            <w:vAlign w:val="top"/>
          </w:tcPr>
          <w:p>
            <w:pPr>
              <w:pStyle w:val="23"/>
              <w:spacing w:before="167" w:line="220" w:lineRule="auto"/>
              <w:ind w:left="280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一标段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525" w:type="dxa"/>
            <w:vMerge w:val="restart"/>
            <w:tcBorders>
              <w:left w:val="single" w:color="000000" w:sz="10" w:space="0"/>
              <w:bottom w:val="nil"/>
            </w:tcBorders>
            <w:vAlign w:val="top"/>
          </w:tcPr>
          <w:p>
            <w:pPr>
              <w:spacing w:line="457" w:lineRule="auto"/>
              <w:rPr>
                <w:rFonts w:hint="eastAsia" w:ascii="宋体" w:hAnsi="宋体" w:eastAsia="宋体" w:cs="宋体"/>
                <w:sz w:val="21"/>
                <w:highlight w:val="none"/>
              </w:rPr>
            </w:pPr>
          </w:p>
          <w:p>
            <w:pPr>
              <w:pStyle w:val="23"/>
              <w:spacing w:before="78" w:line="218" w:lineRule="auto"/>
              <w:ind w:left="7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投标报价</w:t>
            </w:r>
          </w:p>
        </w:tc>
        <w:tc>
          <w:tcPr>
            <w:tcW w:w="6319" w:type="dxa"/>
            <w:gridSpan w:val="5"/>
            <w:tcBorders>
              <w:right w:val="single" w:color="000000" w:sz="10" w:space="0"/>
            </w:tcBorders>
            <w:vAlign w:val="top"/>
          </w:tcPr>
          <w:p>
            <w:pPr>
              <w:pStyle w:val="23"/>
              <w:spacing w:before="166" w:line="218" w:lineRule="auto"/>
              <w:ind w:left="106"/>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施工报价：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525" w:type="dxa"/>
            <w:vMerge w:val="continue"/>
            <w:tcBorders>
              <w:top w:val="nil"/>
              <w:left w:val="single" w:color="000000" w:sz="10" w:space="0"/>
            </w:tcBorders>
            <w:vAlign w:val="top"/>
          </w:tcPr>
          <w:p>
            <w:pPr>
              <w:rPr>
                <w:rFonts w:hint="eastAsia" w:ascii="宋体" w:hAnsi="宋体" w:eastAsia="宋体" w:cs="宋体"/>
                <w:sz w:val="21"/>
                <w:highlight w:val="none"/>
              </w:rPr>
            </w:pPr>
          </w:p>
        </w:tc>
        <w:tc>
          <w:tcPr>
            <w:tcW w:w="6319" w:type="dxa"/>
            <w:gridSpan w:val="5"/>
            <w:tcBorders>
              <w:right w:val="single" w:color="000000" w:sz="10" w:space="0"/>
            </w:tcBorders>
            <w:vAlign w:val="top"/>
          </w:tcPr>
          <w:p>
            <w:pPr>
              <w:pStyle w:val="23"/>
              <w:spacing w:before="169" w:line="218" w:lineRule="auto"/>
              <w:ind w:left="111"/>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设计报价：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525" w:type="dxa"/>
            <w:tcBorders>
              <w:left w:val="single" w:color="000000" w:sz="10" w:space="0"/>
            </w:tcBorders>
            <w:vAlign w:val="top"/>
          </w:tcPr>
          <w:p>
            <w:pPr>
              <w:pStyle w:val="23"/>
              <w:spacing w:before="171" w:line="220" w:lineRule="auto"/>
              <w:ind w:left="7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投标范围</w:t>
            </w:r>
          </w:p>
        </w:tc>
        <w:tc>
          <w:tcPr>
            <w:tcW w:w="6319" w:type="dxa"/>
            <w:gridSpan w:val="5"/>
            <w:tcBorders>
              <w:right w:val="single" w:color="000000" w:sz="10" w:space="0"/>
            </w:tcBorders>
            <w:vAlign w:val="top"/>
          </w:tcPr>
          <w:p>
            <w:pPr>
              <w:rPr>
                <w:rFonts w:hint="eastAsia" w:ascii="宋体" w:hAnsi="宋体" w:eastAsia="宋体" w:cs="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525" w:type="dxa"/>
            <w:tcBorders>
              <w:left w:val="single" w:color="000000" w:sz="10" w:space="0"/>
            </w:tcBorders>
            <w:vAlign w:val="top"/>
          </w:tcPr>
          <w:p>
            <w:pPr>
              <w:pStyle w:val="23"/>
              <w:spacing w:before="175" w:line="220" w:lineRule="auto"/>
              <w:ind w:left="77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质量要求</w:t>
            </w:r>
          </w:p>
        </w:tc>
        <w:tc>
          <w:tcPr>
            <w:tcW w:w="6319" w:type="dxa"/>
            <w:gridSpan w:val="5"/>
            <w:tcBorders>
              <w:right w:val="single" w:color="000000" w:sz="10" w:space="0"/>
            </w:tcBorders>
            <w:vAlign w:val="top"/>
          </w:tcPr>
          <w:p>
            <w:pPr>
              <w:rPr>
                <w:rFonts w:hint="eastAsia" w:ascii="宋体" w:hAnsi="宋体" w:eastAsia="宋体" w:cs="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525" w:type="dxa"/>
            <w:tcBorders>
              <w:left w:val="single" w:color="000000" w:sz="10" w:space="0"/>
            </w:tcBorders>
            <w:vAlign w:val="top"/>
          </w:tcPr>
          <w:p>
            <w:pPr>
              <w:pStyle w:val="23"/>
              <w:spacing w:before="178" w:line="220" w:lineRule="auto"/>
              <w:ind w:left="77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工</w:t>
            </w:r>
            <w:r>
              <w:rPr>
                <w:rFonts w:hint="eastAsia" w:ascii="宋体" w:hAnsi="宋体" w:eastAsia="宋体" w:cs="宋体"/>
                <w:spacing w:val="3"/>
                <w:sz w:val="24"/>
                <w:szCs w:val="24"/>
                <w:highlight w:val="none"/>
              </w:rPr>
              <w:t xml:space="preserve">    </w:t>
            </w:r>
            <w:r>
              <w:rPr>
                <w:rFonts w:hint="eastAsia" w:ascii="宋体" w:hAnsi="宋体" w:eastAsia="宋体" w:cs="宋体"/>
                <w:spacing w:val="-7"/>
                <w:sz w:val="24"/>
                <w:szCs w:val="24"/>
                <w:highlight w:val="none"/>
              </w:rPr>
              <w:t>期</w:t>
            </w:r>
          </w:p>
        </w:tc>
        <w:tc>
          <w:tcPr>
            <w:tcW w:w="6319" w:type="dxa"/>
            <w:gridSpan w:val="5"/>
            <w:tcBorders>
              <w:right w:val="single" w:color="000000" w:sz="10" w:space="0"/>
            </w:tcBorders>
            <w:vAlign w:val="top"/>
          </w:tcPr>
          <w:p>
            <w:pPr>
              <w:rPr>
                <w:rFonts w:hint="eastAsia" w:ascii="宋体" w:hAnsi="宋体" w:eastAsia="宋体" w:cs="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2525" w:type="dxa"/>
            <w:tcBorders>
              <w:left w:val="single" w:color="000000" w:sz="10" w:space="0"/>
            </w:tcBorders>
            <w:vAlign w:val="top"/>
          </w:tcPr>
          <w:p>
            <w:pPr>
              <w:pStyle w:val="23"/>
              <w:spacing w:before="107" w:line="220" w:lineRule="auto"/>
              <w:ind w:left="78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项目经理</w:t>
            </w:r>
          </w:p>
          <w:p>
            <w:pPr>
              <w:pStyle w:val="23"/>
              <w:spacing w:before="135" w:line="220" w:lineRule="auto"/>
              <w:ind w:left="30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（项目总负责人）</w:t>
            </w:r>
          </w:p>
        </w:tc>
        <w:tc>
          <w:tcPr>
            <w:tcW w:w="1371" w:type="dxa"/>
            <w:tcBorders>
              <w:right w:val="single" w:color="000000" w:sz="2" w:space="0"/>
            </w:tcBorders>
            <w:vAlign w:val="top"/>
          </w:tcPr>
          <w:p>
            <w:pPr>
              <w:rPr>
                <w:rFonts w:hint="eastAsia" w:ascii="宋体" w:hAnsi="宋体" w:eastAsia="宋体" w:cs="宋体"/>
                <w:sz w:val="21"/>
                <w:highlight w:val="none"/>
              </w:rPr>
            </w:pPr>
          </w:p>
        </w:tc>
        <w:tc>
          <w:tcPr>
            <w:tcW w:w="941" w:type="dxa"/>
            <w:tcBorders>
              <w:left w:val="single" w:color="000000" w:sz="2" w:space="0"/>
              <w:right w:val="single" w:color="000000" w:sz="2" w:space="0"/>
            </w:tcBorders>
            <w:vAlign w:val="top"/>
          </w:tcPr>
          <w:p>
            <w:pPr>
              <w:pStyle w:val="23"/>
              <w:spacing w:before="319" w:line="220" w:lineRule="auto"/>
              <w:ind w:left="24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级别</w:t>
            </w:r>
          </w:p>
        </w:tc>
        <w:tc>
          <w:tcPr>
            <w:tcW w:w="1264" w:type="dxa"/>
            <w:tcBorders>
              <w:left w:val="single" w:color="000000" w:sz="2" w:space="0"/>
              <w:right w:val="single" w:color="000000" w:sz="2" w:space="0"/>
            </w:tcBorders>
            <w:vAlign w:val="top"/>
          </w:tcPr>
          <w:p>
            <w:pPr>
              <w:rPr>
                <w:rFonts w:hint="eastAsia" w:ascii="宋体" w:hAnsi="宋体" w:eastAsia="宋体" w:cs="宋体"/>
                <w:sz w:val="21"/>
                <w:highlight w:val="none"/>
              </w:rPr>
            </w:pPr>
          </w:p>
        </w:tc>
        <w:tc>
          <w:tcPr>
            <w:tcW w:w="1403" w:type="dxa"/>
            <w:tcBorders>
              <w:left w:val="single" w:color="000000" w:sz="2" w:space="0"/>
              <w:right w:val="single" w:color="000000" w:sz="2" w:space="0"/>
            </w:tcBorders>
            <w:vAlign w:val="top"/>
          </w:tcPr>
          <w:p>
            <w:pPr>
              <w:pStyle w:val="23"/>
              <w:spacing w:before="318" w:line="220" w:lineRule="auto"/>
              <w:ind w:left="23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注册编号</w:t>
            </w:r>
          </w:p>
        </w:tc>
        <w:tc>
          <w:tcPr>
            <w:tcW w:w="1340" w:type="dxa"/>
            <w:tcBorders>
              <w:left w:val="single" w:color="000000" w:sz="2" w:space="0"/>
              <w:right w:val="single" w:color="000000" w:sz="10" w:space="0"/>
            </w:tcBorders>
            <w:vAlign w:val="top"/>
          </w:tcPr>
          <w:p>
            <w:pPr>
              <w:rPr>
                <w:rFonts w:hint="eastAsia" w:ascii="宋体" w:hAnsi="宋体" w:eastAsia="宋体" w:cs="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2525" w:type="dxa"/>
            <w:tcBorders>
              <w:left w:val="single" w:color="000000" w:sz="10" w:space="0"/>
            </w:tcBorders>
            <w:vAlign w:val="top"/>
          </w:tcPr>
          <w:p>
            <w:pPr>
              <w:pStyle w:val="23"/>
              <w:spacing w:before="311" w:line="220" w:lineRule="auto"/>
              <w:ind w:left="42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设计项目负责人</w:t>
            </w:r>
          </w:p>
        </w:tc>
        <w:tc>
          <w:tcPr>
            <w:tcW w:w="1371" w:type="dxa"/>
            <w:tcBorders>
              <w:right w:val="single" w:color="000000" w:sz="2" w:space="0"/>
            </w:tcBorders>
            <w:vAlign w:val="top"/>
          </w:tcPr>
          <w:p>
            <w:pPr>
              <w:rPr>
                <w:rFonts w:hint="eastAsia" w:ascii="宋体" w:hAnsi="宋体" w:eastAsia="宋体" w:cs="宋体"/>
                <w:sz w:val="21"/>
                <w:highlight w:val="none"/>
              </w:rPr>
            </w:pPr>
          </w:p>
        </w:tc>
        <w:tc>
          <w:tcPr>
            <w:tcW w:w="941" w:type="dxa"/>
            <w:tcBorders>
              <w:left w:val="single" w:color="000000" w:sz="2" w:space="0"/>
              <w:right w:val="single" w:color="000000" w:sz="2" w:space="0"/>
            </w:tcBorders>
            <w:vAlign w:val="top"/>
          </w:tcPr>
          <w:p>
            <w:pPr>
              <w:pStyle w:val="23"/>
              <w:spacing w:before="311" w:line="220" w:lineRule="auto"/>
              <w:ind w:left="24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级别</w:t>
            </w:r>
          </w:p>
        </w:tc>
        <w:tc>
          <w:tcPr>
            <w:tcW w:w="1264" w:type="dxa"/>
            <w:tcBorders>
              <w:left w:val="single" w:color="000000" w:sz="2" w:space="0"/>
              <w:right w:val="single" w:color="000000" w:sz="2" w:space="0"/>
            </w:tcBorders>
            <w:vAlign w:val="top"/>
          </w:tcPr>
          <w:p>
            <w:pPr>
              <w:rPr>
                <w:rFonts w:hint="eastAsia" w:ascii="宋体" w:hAnsi="宋体" w:eastAsia="宋体" w:cs="宋体"/>
                <w:sz w:val="21"/>
                <w:highlight w:val="none"/>
              </w:rPr>
            </w:pPr>
          </w:p>
        </w:tc>
        <w:tc>
          <w:tcPr>
            <w:tcW w:w="1403" w:type="dxa"/>
            <w:tcBorders>
              <w:left w:val="single" w:color="000000" w:sz="2" w:space="0"/>
              <w:right w:val="single" w:color="000000" w:sz="2" w:space="0"/>
            </w:tcBorders>
            <w:vAlign w:val="top"/>
          </w:tcPr>
          <w:p>
            <w:pPr>
              <w:pStyle w:val="23"/>
              <w:spacing w:before="311" w:line="219" w:lineRule="auto"/>
              <w:ind w:left="23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证书编号</w:t>
            </w:r>
          </w:p>
        </w:tc>
        <w:tc>
          <w:tcPr>
            <w:tcW w:w="1340" w:type="dxa"/>
            <w:tcBorders>
              <w:left w:val="single" w:color="000000" w:sz="2" w:space="0"/>
              <w:right w:val="single" w:color="000000" w:sz="10" w:space="0"/>
            </w:tcBorders>
            <w:vAlign w:val="top"/>
          </w:tcPr>
          <w:p>
            <w:pPr>
              <w:rPr>
                <w:rFonts w:hint="eastAsia" w:ascii="宋体" w:hAnsi="宋体" w:eastAsia="宋体" w:cs="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525" w:type="dxa"/>
            <w:tcBorders>
              <w:left w:val="single" w:color="000000" w:sz="10" w:space="0"/>
            </w:tcBorders>
            <w:vAlign w:val="top"/>
          </w:tcPr>
          <w:p>
            <w:pPr>
              <w:pStyle w:val="23"/>
              <w:spacing w:before="261" w:line="220" w:lineRule="auto"/>
              <w:ind w:left="65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投标有效期</w:t>
            </w:r>
          </w:p>
        </w:tc>
        <w:tc>
          <w:tcPr>
            <w:tcW w:w="6319" w:type="dxa"/>
            <w:gridSpan w:val="5"/>
            <w:tcBorders>
              <w:right w:val="single" w:color="000000" w:sz="10" w:space="0"/>
            </w:tcBorders>
            <w:vAlign w:val="top"/>
          </w:tcPr>
          <w:p>
            <w:pPr>
              <w:rPr>
                <w:rFonts w:hint="eastAsia" w:ascii="宋体" w:hAnsi="宋体" w:eastAsia="宋体" w:cs="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525" w:type="dxa"/>
            <w:tcBorders>
              <w:left w:val="single" w:color="000000" w:sz="10" w:space="0"/>
              <w:bottom w:val="single" w:color="000000" w:sz="10" w:space="0"/>
            </w:tcBorders>
            <w:vAlign w:val="top"/>
          </w:tcPr>
          <w:p>
            <w:pPr>
              <w:pStyle w:val="23"/>
              <w:spacing w:before="318" w:line="221" w:lineRule="auto"/>
              <w:ind w:left="101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备注</w:t>
            </w:r>
          </w:p>
        </w:tc>
        <w:tc>
          <w:tcPr>
            <w:tcW w:w="6319" w:type="dxa"/>
            <w:gridSpan w:val="5"/>
            <w:tcBorders>
              <w:bottom w:val="single" w:color="000000" w:sz="10" w:space="0"/>
              <w:right w:val="single" w:color="000000" w:sz="10" w:space="0"/>
            </w:tcBorders>
            <w:vAlign w:val="top"/>
          </w:tcPr>
          <w:p>
            <w:pPr>
              <w:rPr>
                <w:rFonts w:hint="eastAsia" w:ascii="宋体" w:hAnsi="宋体" w:eastAsia="宋体" w:cs="宋体"/>
                <w:sz w:val="21"/>
                <w:highlight w:val="none"/>
              </w:rPr>
            </w:pPr>
          </w:p>
        </w:tc>
      </w:tr>
    </w:tbl>
    <w:p>
      <w:pPr>
        <w:spacing w:line="294" w:lineRule="auto"/>
        <w:rPr>
          <w:rFonts w:hint="eastAsia" w:ascii="宋体" w:hAnsi="宋体" w:eastAsia="宋体" w:cs="宋体"/>
          <w:sz w:val="21"/>
          <w:highlight w:val="none"/>
        </w:rPr>
      </w:pPr>
    </w:p>
    <w:p>
      <w:pPr>
        <w:spacing w:line="294" w:lineRule="auto"/>
        <w:rPr>
          <w:rFonts w:hint="eastAsia" w:ascii="宋体" w:hAnsi="宋体" w:eastAsia="宋体" w:cs="宋体"/>
          <w:sz w:val="21"/>
          <w:highlight w:val="none"/>
        </w:rPr>
      </w:pPr>
    </w:p>
    <w:p>
      <w:pPr>
        <w:spacing w:before="78" w:line="480" w:lineRule="exact"/>
        <w:ind w:left="6231"/>
        <w:rPr>
          <w:rFonts w:hint="eastAsia" w:ascii="宋体" w:hAnsi="宋体" w:eastAsia="宋体" w:cs="宋体"/>
          <w:sz w:val="24"/>
          <w:szCs w:val="24"/>
          <w:highlight w:val="none"/>
        </w:rPr>
      </w:pPr>
      <w:r>
        <w:rPr>
          <w:rFonts w:hint="eastAsia" w:ascii="宋体" w:hAnsi="宋体" w:eastAsia="宋体" w:cs="宋体"/>
          <w:spacing w:val="-3"/>
          <w:position w:val="18"/>
          <w:sz w:val="24"/>
          <w:szCs w:val="24"/>
          <w:highlight w:val="none"/>
        </w:rPr>
        <w:t>投标人</w:t>
      </w:r>
      <w:r>
        <w:rPr>
          <w:rFonts w:hint="eastAsia" w:ascii="宋体" w:hAnsi="宋体" w:eastAsia="宋体" w:cs="宋体"/>
          <w:spacing w:val="1"/>
          <w:position w:val="18"/>
          <w:sz w:val="24"/>
          <w:szCs w:val="24"/>
          <w:highlight w:val="none"/>
        </w:rPr>
        <w:t>：（</w:t>
      </w:r>
      <w:r>
        <w:rPr>
          <w:rFonts w:hint="eastAsia" w:ascii="宋体" w:hAnsi="宋体" w:eastAsia="宋体" w:cs="宋体"/>
          <w:spacing w:val="-3"/>
          <w:position w:val="18"/>
          <w:sz w:val="24"/>
          <w:szCs w:val="24"/>
          <w:highlight w:val="none"/>
        </w:rPr>
        <w:t>单位电子签章）</w:t>
      </w:r>
    </w:p>
    <w:p>
      <w:pPr>
        <w:spacing w:before="1" w:line="218" w:lineRule="auto"/>
        <w:ind w:left="35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法定代表人或委托代理人</w:t>
      </w:r>
      <w:r>
        <w:rPr>
          <w:rFonts w:hint="eastAsia" w:ascii="宋体" w:hAnsi="宋体" w:eastAsia="宋体" w:cs="宋体"/>
          <w:spacing w:val="5"/>
          <w:sz w:val="24"/>
          <w:szCs w:val="24"/>
          <w:highlight w:val="none"/>
        </w:rPr>
        <w:t>：（</w:t>
      </w:r>
      <w:r>
        <w:rPr>
          <w:rFonts w:hint="eastAsia" w:ascii="宋体" w:hAnsi="宋体" w:eastAsia="宋体" w:cs="宋体"/>
          <w:spacing w:val="-1"/>
          <w:sz w:val="24"/>
          <w:szCs w:val="24"/>
          <w:highlight w:val="none"/>
        </w:rPr>
        <w:t>电子签章或电子签名）</w:t>
      </w:r>
    </w:p>
    <w:p>
      <w:pPr>
        <w:spacing w:before="194" w:line="220" w:lineRule="auto"/>
        <w:ind w:right="12"/>
        <w:jc w:val="right"/>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年</w:t>
      </w:r>
      <w:r>
        <w:rPr>
          <w:rFonts w:hint="eastAsia" w:ascii="宋体" w:hAnsi="宋体" w:eastAsia="宋体" w:cs="宋体"/>
          <w:spacing w:val="3"/>
          <w:sz w:val="24"/>
          <w:szCs w:val="24"/>
          <w:highlight w:val="none"/>
        </w:rPr>
        <w:t xml:space="preserve">    </w:t>
      </w:r>
      <w:r>
        <w:rPr>
          <w:rFonts w:hint="eastAsia" w:ascii="宋体" w:hAnsi="宋体" w:eastAsia="宋体" w:cs="宋体"/>
          <w:spacing w:val="-9"/>
          <w:sz w:val="24"/>
          <w:szCs w:val="24"/>
          <w:highlight w:val="none"/>
        </w:rPr>
        <w:t>月</w:t>
      </w:r>
      <w:r>
        <w:rPr>
          <w:rFonts w:hint="eastAsia" w:ascii="宋体" w:hAnsi="宋体" w:eastAsia="宋体" w:cs="宋体"/>
          <w:spacing w:val="13"/>
          <w:sz w:val="24"/>
          <w:szCs w:val="24"/>
          <w:highlight w:val="none"/>
        </w:rPr>
        <w:t xml:space="preserve">    </w:t>
      </w:r>
      <w:r>
        <w:rPr>
          <w:rFonts w:hint="eastAsia" w:ascii="宋体" w:hAnsi="宋体" w:eastAsia="宋体" w:cs="宋体"/>
          <w:spacing w:val="-9"/>
          <w:sz w:val="24"/>
          <w:szCs w:val="24"/>
          <w:highlight w:val="none"/>
        </w:rPr>
        <w:t>日</w:t>
      </w:r>
    </w:p>
    <w:p>
      <w:pPr>
        <w:spacing w:line="435" w:lineRule="auto"/>
        <w:rPr>
          <w:rFonts w:hint="eastAsia" w:ascii="宋体" w:hAnsi="宋体" w:eastAsia="宋体" w:cs="宋体"/>
          <w:sz w:val="21"/>
          <w:highlight w:val="none"/>
        </w:rPr>
      </w:pPr>
    </w:p>
    <w:p>
      <w:pPr>
        <w:bidi w:val="0"/>
        <w:rPr>
          <w:rFonts w:hint="eastAsia" w:ascii="宋体" w:hAnsi="宋体" w:eastAsia="宋体" w:cs="宋体"/>
          <w:b/>
          <w:bCs/>
          <w:highlight w:val="none"/>
          <w:lang w:val="en-US" w:eastAsia="zh-CN"/>
        </w:rPr>
      </w:pPr>
      <w:r>
        <w:rPr>
          <w:rFonts w:hint="eastAsia" w:ascii="宋体" w:hAnsi="宋体" w:eastAsia="宋体" w:cs="宋体"/>
          <w:b/>
          <w:bCs/>
          <w:highlight w:val="none"/>
        </w:rPr>
        <w:t>备注：若投标人为联合体，则须由联合体牵头人的法定代表人或其委托代理人签署，并由联合体牵头人单位电子签章。</w:t>
      </w:r>
    </w:p>
    <w:p>
      <w:pPr>
        <w:bidi w:val="0"/>
        <w:ind w:left="0" w:leftChars="0" w:firstLine="638" w:firstLineChars="228"/>
        <w:rPr>
          <w:rFonts w:hint="eastAsia" w:ascii="宋体" w:hAnsi="宋体" w:eastAsia="宋体" w:cs="宋体"/>
          <w:sz w:val="28"/>
          <w:szCs w:val="28"/>
          <w:highlight w:val="none"/>
          <w:lang w:val="en-US" w:eastAsia="zh-CN"/>
        </w:rPr>
      </w:pPr>
    </w:p>
    <w:p>
      <w:pPr>
        <w:spacing w:before="232" w:line="608" w:lineRule="exact"/>
        <w:jc w:val="center"/>
        <w:rPr>
          <w:rFonts w:hint="eastAsia" w:ascii="宋体" w:hAnsi="宋体" w:eastAsia="宋体" w:cs="宋体"/>
          <w:sz w:val="31"/>
          <w:szCs w:val="31"/>
          <w:highlight w:val="none"/>
        </w:rPr>
      </w:pPr>
      <w: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t>二、法定代表人身份证明及授权委托书</w:t>
      </w:r>
    </w:p>
    <w:p>
      <w:pPr>
        <w:bidi w:val="0"/>
        <w:jc w:val="center"/>
        <w:rPr>
          <w:rFonts w:hint="eastAsia" w:ascii="宋体" w:hAnsi="宋体" w:eastAsia="宋体" w:cs="宋体"/>
          <w:spacing w:val="-1"/>
          <w:sz w:val="24"/>
          <w:szCs w:val="24"/>
          <w:highlight w:val="none"/>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highlight w:val="none"/>
          <w14:textOutline w14:w="4354" w14:cap="flat" w14:cmpd="sng">
            <w14:solidFill>
              <w14:srgbClr w14:val="000000"/>
            </w14:solidFill>
            <w14:prstDash w14:val="solid"/>
            <w14:miter w14:val="0"/>
          </w14:textOutline>
        </w:rPr>
        <w:t>（一）法定代表人身份证明</w:t>
      </w:r>
    </w:p>
    <w:p>
      <w:pPr>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投 标 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单位性质：</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地    址：</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成立时间：</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年</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月</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日</w:t>
      </w:r>
    </w:p>
    <w:p>
      <w:pPr>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经营期限：</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姓    名：</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性    别：</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年    龄：</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职    务：</w:t>
      </w:r>
      <w:r>
        <w:rPr>
          <w:rFonts w:hint="eastAsia" w:ascii="宋体" w:hAnsi="宋体" w:eastAsia="宋体" w:cs="宋体"/>
          <w:sz w:val="28"/>
          <w:szCs w:val="28"/>
          <w:highlight w:val="none"/>
          <w:u w:val="single"/>
          <w:lang w:val="en-US" w:eastAsia="zh-CN"/>
        </w:rPr>
        <w:t xml:space="preserve">            </w:t>
      </w:r>
    </w:p>
    <w:p>
      <w:pPr>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系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（投标人名称）的法定代表人。</w:t>
      </w: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特此证明。</w:t>
      </w: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jc w:val="righ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投标人：（单位电子签章）</w:t>
      </w:r>
    </w:p>
    <w:p>
      <w:pPr>
        <w:bidi w:val="0"/>
        <w:jc w:val="righ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年    月    日</w:t>
      </w: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spacing w:before="79" w:line="468" w:lineRule="exact"/>
        <w:jc w:val="center"/>
        <w:rPr>
          <w:rFonts w:hint="eastAsia" w:ascii="宋体" w:hAnsi="宋体" w:eastAsia="宋体" w:cs="宋体"/>
          <w:spacing w:val="-7"/>
          <w:position w:val="17"/>
          <w:sz w:val="24"/>
          <w:szCs w:val="24"/>
          <w:highlight w:val="none"/>
          <w:lang w:val="en-US" w:eastAsia="zh-CN"/>
          <w14:textOutline w14:w="4354" w14:cap="flat" w14:cmpd="sng">
            <w14:solidFill>
              <w14:srgbClr w14:val="000000"/>
            </w14:solidFill>
            <w14:prstDash w14:val="solid"/>
            <w14:miter w14:val="0"/>
          </w14:textOutline>
        </w:rPr>
      </w:pPr>
      <w:r>
        <w:rPr>
          <w:rFonts w:hint="eastAsia" w:ascii="宋体" w:hAnsi="宋体" w:eastAsia="宋体" w:cs="宋体"/>
          <w:b/>
          <w:bCs/>
          <w:highlight w:val="none"/>
          <w:lang w:val="en-US" w:eastAsia="zh-CN"/>
        </w:rPr>
        <w:t>备注： 若投标人为联合体，由联合体牵头人出具。</w:t>
      </w: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spacing w:before="218" w:line="219" w:lineRule="auto"/>
        <w:ind w:left="2169"/>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14:textOutline w14:w="4354" w14:cap="flat" w14:cmpd="sng">
            <w14:solidFill>
              <w14:srgbClr w14:val="000000"/>
            </w14:solidFill>
            <w14:prstDash w14:val="solid"/>
            <w14:miter w14:val="0"/>
          </w14:textOutline>
        </w:rPr>
        <w:t>（二）</w:t>
      </w:r>
      <w:r>
        <w:rPr>
          <w:rFonts w:hint="eastAsia" w:ascii="宋体" w:hAnsi="宋体" w:eastAsia="宋体" w:cs="宋体"/>
          <w:spacing w:val="0"/>
          <w:kern w:val="21"/>
          <w:position w:val="0"/>
          <w:sz w:val="24"/>
          <w:szCs w:val="24"/>
          <w:highlight w:val="none"/>
        </w:rPr>
        <w:t xml:space="preserve"> </w:t>
      </w:r>
      <w:r>
        <w:rPr>
          <w:rFonts w:hint="eastAsia" w:ascii="宋体" w:hAnsi="宋体" w:eastAsia="宋体" w:cs="宋体"/>
          <w:spacing w:val="0"/>
          <w:kern w:val="21"/>
          <w:position w:val="0"/>
          <w:sz w:val="24"/>
          <w:szCs w:val="24"/>
          <w:highlight w:val="none"/>
          <w14:textOutline w14:w="4354" w14:cap="flat" w14:cmpd="sng">
            <w14:solidFill>
              <w14:srgbClr w14:val="000000"/>
            </w14:solidFill>
            <w14:prstDash w14:val="solid"/>
            <w14:miter w14:val="0"/>
          </w14:textOutline>
        </w:rPr>
        <w:t>附有法定代表人身份证明的授权委托书</w:t>
      </w:r>
    </w:p>
    <w:p>
      <w:pPr>
        <w:tabs>
          <w:tab w:val="left" w:pos="1108"/>
        </w:tabs>
        <w:spacing w:before="295" w:line="369" w:lineRule="auto"/>
        <w:ind w:left="28" w:right="17" w:firstLine="466"/>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本人</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rPr>
        <w:t>（姓名）系</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rPr>
        <w:t>（投标人名称）的法定代表人，现委托</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u w:val="single" w:color="auto"/>
          <w:lang w:val="en-US" w:eastAsia="zh-CN"/>
        </w:rPr>
        <w:t xml:space="preserve">    </w:t>
      </w:r>
      <w:r>
        <w:rPr>
          <w:rFonts w:hint="eastAsia" w:ascii="宋体" w:hAnsi="宋体" w:eastAsia="宋体" w:cs="宋体"/>
          <w:spacing w:val="0"/>
          <w:kern w:val="21"/>
          <w:position w:val="0"/>
          <w:sz w:val="24"/>
          <w:szCs w:val="24"/>
          <w:highlight w:val="none"/>
          <w:u w:val="single" w:color="auto"/>
        </w:rPr>
        <w:tab/>
      </w:r>
      <w:r>
        <w:rPr>
          <w:rFonts w:hint="eastAsia" w:ascii="宋体" w:hAnsi="宋体" w:eastAsia="宋体" w:cs="宋体"/>
          <w:spacing w:val="0"/>
          <w:kern w:val="21"/>
          <w:position w:val="0"/>
          <w:sz w:val="24"/>
          <w:szCs w:val="24"/>
          <w:highlight w:val="none"/>
        </w:rPr>
        <w:t>（姓名）为我方代理人。代理人根据授权，以我方名义签署、澄清、说明、补正、 递交、撤回、修改</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u w:val="single" w:color="auto"/>
          <w:lang w:val="en-US" w:eastAsia="zh-CN"/>
        </w:rPr>
        <w:t xml:space="preserve">  </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rPr>
        <w:t xml:space="preserve"> （项目名称） </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u w:val="single" w:color="auto"/>
          <w:lang w:val="en-US" w:eastAsia="zh-CN"/>
        </w:rPr>
        <w:t xml:space="preserve">   </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rPr>
        <w:t xml:space="preserve"> 标段投标文件、签订合同和处理有关</w:t>
      </w:r>
    </w:p>
    <w:p>
      <w:pPr>
        <w:spacing w:line="219" w:lineRule="auto"/>
        <w:ind w:left="38"/>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事宜，其法律后果由我方承担。</w:t>
      </w:r>
    </w:p>
    <w:p>
      <w:pPr>
        <w:spacing w:before="275" w:line="219" w:lineRule="auto"/>
        <w:ind w:left="493"/>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委托期限：本授权书至投标有效期结束前始终有效。</w:t>
      </w:r>
    </w:p>
    <w:p>
      <w:pPr>
        <w:spacing w:before="274" w:line="220" w:lineRule="auto"/>
        <w:ind w:left="493"/>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代理人无转委托权。</w:t>
      </w:r>
    </w:p>
    <w:p>
      <w:pPr>
        <w:spacing w:before="274" w:line="219" w:lineRule="auto"/>
        <w:ind w:left="512"/>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附：法定代表人和授权委托人的身份证扫描件</w:t>
      </w:r>
    </w:p>
    <w:p>
      <w:pPr>
        <w:spacing w:line="248" w:lineRule="auto"/>
        <w:rPr>
          <w:rFonts w:hint="eastAsia" w:ascii="宋体" w:hAnsi="宋体" w:eastAsia="宋体" w:cs="宋体"/>
          <w:spacing w:val="0"/>
          <w:kern w:val="21"/>
          <w:position w:val="0"/>
          <w:sz w:val="21"/>
          <w:highlight w:val="none"/>
        </w:rPr>
      </w:pPr>
    </w:p>
    <w:p>
      <w:pPr>
        <w:spacing w:line="248" w:lineRule="auto"/>
        <w:rPr>
          <w:rFonts w:hint="eastAsia" w:ascii="宋体" w:hAnsi="宋体" w:eastAsia="宋体" w:cs="宋体"/>
          <w:spacing w:val="0"/>
          <w:kern w:val="21"/>
          <w:position w:val="0"/>
          <w:sz w:val="21"/>
          <w:highlight w:val="none"/>
        </w:rPr>
      </w:pPr>
    </w:p>
    <w:p>
      <w:pPr>
        <w:spacing w:line="248" w:lineRule="auto"/>
        <w:rPr>
          <w:rFonts w:hint="eastAsia" w:ascii="宋体" w:hAnsi="宋体" w:eastAsia="宋体" w:cs="宋体"/>
          <w:spacing w:val="0"/>
          <w:kern w:val="21"/>
          <w:position w:val="0"/>
          <w:sz w:val="21"/>
          <w:highlight w:val="none"/>
        </w:rPr>
      </w:pPr>
    </w:p>
    <w:p>
      <w:pPr>
        <w:spacing w:line="248" w:lineRule="auto"/>
        <w:rPr>
          <w:rFonts w:hint="eastAsia" w:ascii="宋体" w:hAnsi="宋体" w:eastAsia="宋体" w:cs="宋体"/>
          <w:spacing w:val="0"/>
          <w:kern w:val="21"/>
          <w:position w:val="0"/>
          <w:sz w:val="21"/>
          <w:highlight w:val="none"/>
        </w:rPr>
      </w:pPr>
    </w:p>
    <w:p>
      <w:pPr>
        <w:spacing w:line="249" w:lineRule="auto"/>
        <w:rPr>
          <w:rFonts w:hint="eastAsia" w:ascii="宋体" w:hAnsi="宋体" w:eastAsia="宋体" w:cs="宋体"/>
          <w:spacing w:val="0"/>
          <w:kern w:val="21"/>
          <w:position w:val="0"/>
          <w:sz w:val="21"/>
          <w:highlight w:val="none"/>
        </w:rPr>
      </w:pPr>
    </w:p>
    <w:p>
      <w:pPr>
        <w:spacing w:line="249" w:lineRule="auto"/>
        <w:rPr>
          <w:rFonts w:hint="eastAsia" w:ascii="宋体" w:hAnsi="宋体" w:eastAsia="宋体" w:cs="宋体"/>
          <w:spacing w:val="0"/>
          <w:kern w:val="21"/>
          <w:position w:val="0"/>
          <w:sz w:val="21"/>
          <w:highlight w:val="none"/>
        </w:rPr>
      </w:pPr>
    </w:p>
    <w:p>
      <w:pPr>
        <w:spacing w:line="249" w:lineRule="auto"/>
        <w:rPr>
          <w:rFonts w:hint="eastAsia" w:ascii="宋体" w:hAnsi="宋体" w:eastAsia="宋体" w:cs="宋体"/>
          <w:spacing w:val="0"/>
          <w:kern w:val="21"/>
          <w:position w:val="0"/>
          <w:sz w:val="21"/>
          <w:highlight w:val="none"/>
        </w:rPr>
      </w:pPr>
    </w:p>
    <w:p>
      <w:pPr>
        <w:spacing w:line="249" w:lineRule="auto"/>
        <w:rPr>
          <w:rFonts w:hint="eastAsia" w:ascii="宋体" w:hAnsi="宋体" w:eastAsia="宋体" w:cs="宋体"/>
          <w:spacing w:val="0"/>
          <w:kern w:val="21"/>
          <w:position w:val="0"/>
          <w:sz w:val="21"/>
          <w:highlight w:val="none"/>
        </w:rPr>
      </w:pPr>
    </w:p>
    <w:p>
      <w:pPr>
        <w:spacing w:line="249" w:lineRule="auto"/>
        <w:rPr>
          <w:rFonts w:hint="eastAsia" w:ascii="宋体" w:hAnsi="宋体" w:eastAsia="宋体" w:cs="宋体"/>
          <w:spacing w:val="0"/>
          <w:kern w:val="21"/>
          <w:position w:val="0"/>
          <w:sz w:val="21"/>
          <w:highlight w:val="none"/>
        </w:rPr>
      </w:pPr>
    </w:p>
    <w:p>
      <w:pPr>
        <w:bidi w:val="0"/>
        <w:spacing w:line="480" w:lineRule="auto"/>
        <w:ind w:left="0" w:leftChars="0" w:firstLine="4200" w:firstLineChars="175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投标人：（单位电子签章）</w:t>
      </w:r>
    </w:p>
    <w:p>
      <w:pPr>
        <w:bidi w:val="0"/>
        <w:spacing w:line="480" w:lineRule="auto"/>
        <w:ind w:left="0" w:leftChars="0" w:firstLine="4200" w:firstLineChars="175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法定代表人：（电子签章或电子签名）</w:t>
      </w:r>
    </w:p>
    <w:p>
      <w:pPr>
        <w:bidi w:val="0"/>
        <w:spacing w:line="480" w:lineRule="auto"/>
        <w:ind w:left="0" w:leftChars="0" w:firstLine="4200" w:firstLineChars="175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法定代表人身份证号码：</w:t>
      </w:r>
    </w:p>
    <w:p>
      <w:pPr>
        <w:bidi w:val="0"/>
        <w:spacing w:line="480" w:lineRule="auto"/>
        <w:ind w:left="0" w:leftChars="0" w:firstLine="4200" w:firstLineChars="175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委托代理人身份证号码：</w:t>
      </w:r>
    </w:p>
    <w:p>
      <w:pPr>
        <w:bidi w:val="0"/>
        <w:spacing w:line="480" w:lineRule="auto"/>
        <w:ind w:left="0" w:leftChars="0" w:firstLine="4200" w:firstLineChars="175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spacing w:line="300" w:lineRule="auto"/>
        <w:rPr>
          <w:rFonts w:hint="eastAsia" w:ascii="宋体" w:hAnsi="宋体" w:eastAsia="宋体" w:cs="宋体"/>
          <w:spacing w:val="0"/>
          <w:kern w:val="21"/>
          <w:position w:val="0"/>
          <w:sz w:val="21"/>
          <w:highlight w:val="none"/>
        </w:rPr>
      </w:pPr>
    </w:p>
    <w:p>
      <w:pPr>
        <w:spacing w:line="300" w:lineRule="auto"/>
        <w:rPr>
          <w:rFonts w:hint="eastAsia" w:ascii="宋体" w:hAnsi="宋体" w:eastAsia="宋体" w:cs="宋体"/>
          <w:spacing w:val="0"/>
          <w:kern w:val="21"/>
          <w:position w:val="0"/>
          <w:sz w:val="21"/>
          <w:highlight w:val="none"/>
        </w:rPr>
      </w:pPr>
    </w:p>
    <w:p>
      <w:pPr>
        <w:spacing w:line="301" w:lineRule="auto"/>
        <w:rPr>
          <w:rFonts w:hint="eastAsia" w:ascii="宋体" w:hAnsi="宋体" w:eastAsia="宋体" w:cs="宋体"/>
          <w:spacing w:val="0"/>
          <w:kern w:val="21"/>
          <w:position w:val="0"/>
          <w:sz w:val="21"/>
          <w:highlight w:val="none"/>
        </w:rPr>
      </w:pPr>
    </w:p>
    <w:p>
      <w:pPr>
        <w:spacing w:before="79" w:line="468" w:lineRule="exact"/>
        <w:jc w:val="center"/>
        <w:rPr>
          <w:rFonts w:hint="eastAsia" w:ascii="宋体" w:hAnsi="宋体" w:eastAsia="宋体" w:cs="宋体"/>
          <w:b/>
          <w:bCs/>
          <w:spacing w:val="0"/>
          <w:kern w:val="21"/>
          <w:position w:val="0"/>
          <w:highlight w:val="none"/>
          <w:lang w:val="en-US" w:eastAsia="zh-CN"/>
        </w:rPr>
      </w:pPr>
      <w:r>
        <w:rPr>
          <w:rFonts w:hint="eastAsia" w:ascii="宋体" w:hAnsi="宋体" w:eastAsia="宋体" w:cs="宋体"/>
          <w:b/>
          <w:bCs/>
          <w:spacing w:val="0"/>
          <w:kern w:val="21"/>
          <w:position w:val="0"/>
          <w:highlight w:val="none"/>
          <w:lang w:val="en-US" w:eastAsia="zh-CN"/>
        </w:rPr>
        <w:t>注：若投标人为联合体， 由联合体牵头人出具。</w:t>
      </w:r>
    </w:p>
    <w:p>
      <w:pPr>
        <w:spacing w:before="79" w:line="468" w:lineRule="exact"/>
        <w:jc w:val="center"/>
        <w:rPr>
          <w:rFonts w:hint="eastAsia" w:ascii="宋体" w:hAnsi="宋体" w:eastAsia="宋体" w:cs="宋体"/>
          <w:b/>
          <w:bCs/>
          <w:spacing w:val="0"/>
          <w:kern w:val="21"/>
          <w:position w:val="0"/>
          <w:highlight w:val="none"/>
          <w:lang w:val="en-US" w:eastAsia="zh-CN"/>
        </w:rPr>
      </w:pPr>
    </w:p>
    <w:p>
      <w:pPr>
        <w:spacing w:before="79" w:line="468" w:lineRule="exact"/>
        <w:jc w:val="center"/>
        <w:rPr>
          <w:rFonts w:hint="eastAsia" w:ascii="宋体" w:hAnsi="宋体" w:eastAsia="宋体" w:cs="宋体"/>
          <w:b/>
          <w:bCs/>
          <w:spacing w:val="0"/>
          <w:kern w:val="21"/>
          <w:position w:val="0"/>
          <w:highlight w:val="none"/>
          <w:lang w:val="en-US" w:eastAsia="zh-CN"/>
        </w:rPr>
      </w:pPr>
    </w:p>
    <w:p>
      <w:pPr>
        <w:spacing w:before="79" w:line="468" w:lineRule="exact"/>
        <w:jc w:val="center"/>
        <w:rPr>
          <w:rFonts w:hint="eastAsia" w:ascii="宋体" w:hAnsi="宋体" w:eastAsia="宋体" w:cs="宋体"/>
          <w:b/>
          <w:bCs/>
          <w:spacing w:val="0"/>
          <w:kern w:val="21"/>
          <w:position w:val="0"/>
          <w:highlight w:val="none"/>
          <w:lang w:val="en-US" w:eastAsia="zh-CN"/>
        </w:rPr>
      </w:pPr>
    </w:p>
    <w:p>
      <w:pPr>
        <w:spacing w:before="79" w:line="240" w:lineRule="auto"/>
        <w:jc w:val="cente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79" w:line="240" w:lineRule="auto"/>
        <w:jc w:val="center"/>
        <w:rPr>
          <w:rFonts w:hint="eastAsia" w:ascii="宋体" w:hAnsi="宋体" w:eastAsia="宋体" w:cs="宋体"/>
          <w:b/>
          <w:bCs/>
          <w:spacing w:val="0"/>
          <w:kern w:val="21"/>
          <w:position w:val="0"/>
          <w:highlight w:val="none"/>
          <w:lang w:val="en-US" w:eastAsia="zh-CN"/>
        </w:rPr>
      </w:pPr>
      <w: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t>三、联合体协议书</w:t>
      </w: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牵头人名称：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法定住所：</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成员名称：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法定住所：</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bidi w:val="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鉴于上述各成员单位经过友好协商，自愿组成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（联合体名称）联合体，共</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同参加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（招标人名称） （以下简称招标人）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（项目名称） （以下 简称本工程） 的投标并争取赢得本工程承包合同（以下简称合同） 。现就联合体投标事</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宜订立如下协议：</w:t>
      </w:r>
    </w:p>
    <w:p>
      <w:pPr>
        <w:numPr>
          <w:ilvl w:val="0"/>
          <w:numId w:val="0"/>
        </w:numPr>
        <w:bidi w:val="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（某成员单位名称）为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（联合体名称）牵头人。</w:t>
      </w:r>
    </w:p>
    <w:p>
      <w:pPr>
        <w:bidi w:val="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2．在本工程投标阶段，联合体牵头人合法代表联合体各成员负责本工程投标文件编制活动，代表联合体提交和接收相关的资料、信息及指示，并处理与投标和中标有关 的一切事务；联合体中标后，联合体牵头人负责合同订立和合同实施阶段的主办、组织和协调工作。</w:t>
      </w:r>
    </w:p>
    <w:p>
      <w:pPr>
        <w:bidi w:val="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3．联合体将严格按照招标文件的各项要求，递交投标文件，履行投标义务和中标 后的合同，共同承担合同规定的一切义务和责任，联合体各成员单位按照内部职责的划分，承担各自所负的责任和风险，并向招标人承担连带责任。</w:t>
      </w:r>
    </w:p>
    <w:p>
      <w:pPr>
        <w:bidi w:val="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4．联合体各成员单位内部的职责分工如下：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。按照本条上述分工。</w:t>
      </w:r>
    </w:p>
    <w:p>
      <w:pPr>
        <w:bidi w:val="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5．投标工作和联合体在中标后工程实施过程中的有关费用按各自承担的工作量分</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摊。</w:t>
      </w:r>
    </w:p>
    <w:p>
      <w:pPr>
        <w:bidi w:val="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6．联合体中标后，本联合体协议是合同的附件，对联合体各成员单位有合同约束 力。</w:t>
      </w:r>
    </w:p>
    <w:p>
      <w:pPr>
        <w:bidi w:val="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7．本协议书自签署之日起生效，联合体未中标或者中标时合同履行完毕后自动失效。</w:t>
      </w:r>
    </w:p>
    <w:p>
      <w:pPr>
        <w:bidi w:val="0"/>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．本协议书一式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份，联合体成员和招标人各执一份。</w:t>
      </w:r>
    </w:p>
    <w:p>
      <w:pPr>
        <w:bidi w:val="0"/>
        <w:rPr>
          <w:rFonts w:hint="eastAsia" w:ascii="宋体" w:hAnsi="宋体" w:eastAsia="宋体" w:cs="宋体"/>
          <w:sz w:val="24"/>
          <w:szCs w:val="24"/>
          <w:highlight w:val="none"/>
          <w:lang w:val="en-US" w:eastAsia="zh-CN"/>
        </w:rPr>
      </w:pPr>
    </w:p>
    <w:p>
      <w:pPr>
        <w:bidi w:val="0"/>
        <w:rPr>
          <w:rFonts w:hint="eastAsia" w:ascii="宋体" w:hAnsi="宋体" w:eastAsia="宋体" w:cs="宋体"/>
          <w:sz w:val="24"/>
          <w:szCs w:val="24"/>
          <w:highlight w:val="none"/>
          <w:lang w:val="en-US" w:eastAsia="zh-CN"/>
        </w:rPr>
      </w:pPr>
    </w:p>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牵头人名称：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（盖单位公章） </w:t>
      </w:r>
    </w:p>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法定代表人：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（法定代表人签字或盖章） </w:t>
      </w:r>
    </w:p>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成员名称：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（盖单位公章）</w:t>
      </w:r>
    </w:p>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法定代表人：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（法定代表人签字或盖章）</w:t>
      </w:r>
    </w:p>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p>
      <w:pPr>
        <w:bidi w:val="0"/>
        <w:rPr>
          <w:rFonts w:hint="eastAsia" w:ascii="宋体" w:hAnsi="宋体" w:eastAsia="宋体" w:cs="宋体"/>
          <w:sz w:val="24"/>
          <w:szCs w:val="24"/>
          <w:highlight w:val="none"/>
          <w:lang w:val="en-US" w:eastAsia="zh-CN"/>
        </w:rPr>
      </w:pPr>
    </w:p>
    <w:p>
      <w:pPr>
        <w:bidi w:val="0"/>
        <w:rPr>
          <w:rFonts w:hint="eastAsia" w:ascii="宋体" w:hAnsi="宋体" w:eastAsia="宋体" w:cs="宋体"/>
          <w:sz w:val="24"/>
          <w:szCs w:val="24"/>
          <w:highlight w:val="none"/>
          <w:lang w:val="en-US" w:eastAsia="zh-CN"/>
        </w:rPr>
      </w:pPr>
    </w:p>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u w:val="single"/>
          <w:lang w:val="en-US" w:eastAsia="zh-CN"/>
        </w:rPr>
        <w:tab/>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日</w:t>
      </w:r>
    </w:p>
    <w:p>
      <w:pPr>
        <w:bidi w:val="0"/>
        <w:rPr>
          <w:rFonts w:hint="eastAsia" w:ascii="宋体" w:hAnsi="宋体" w:eastAsia="宋体" w:cs="宋体"/>
          <w:sz w:val="24"/>
          <w:szCs w:val="24"/>
          <w:highlight w:val="none"/>
          <w:lang w:val="en-US" w:eastAsia="zh-CN"/>
        </w:rPr>
      </w:pPr>
    </w:p>
    <w:p>
      <w:pPr>
        <w:bidi w:val="0"/>
        <w:rPr>
          <w:rFonts w:hint="eastAsia" w:ascii="宋体" w:hAnsi="宋体" w:eastAsia="宋体" w:cs="宋体"/>
          <w:sz w:val="24"/>
          <w:szCs w:val="24"/>
          <w:highlight w:val="none"/>
          <w:lang w:val="en-US" w:eastAsia="zh-CN"/>
        </w:rPr>
      </w:pPr>
    </w:p>
    <w:p>
      <w:pPr>
        <w:bidi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注：1.联合投标时需签本协议，联合体各方成员应在本协议上共同盖章或电子签章确认。</w:t>
      </w:r>
    </w:p>
    <w:p>
      <w:pPr>
        <w:numPr>
          <w:ilvl w:val="0"/>
          <w:numId w:val="3"/>
        </w:numPr>
        <w:bidi w:val="0"/>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本协议书格式仅供参考，具体内容或格式以联合体成员签订的协议书为准。</w:t>
      </w:r>
    </w:p>
    <w:p>
      <w:pPr>
        <w:numPr>
          <w:ilvl w:val="0"/>
          <w:numId w:val="0"/>
        </w:numPr>
        <w:kinsoku w:val="0"/>
        <w:autoSpaceDE w:val="0"/>
        <w:autoSpaceDN w:val="0"/>
        <w:bidi w:val="0"/>
        <w:adjustRightInd w:val="0"/>
        <w:snapToGrid w:val="0"/>
        <w:spacing w:line="240" w:lineRule="auto"/>
        <w:ind w:firstLine="482" w:firstLineChars="200"/>
        <w:jc w:val="left"/>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3.若非联合体，此页内容可填无或“/</w:t>
      </w:r>
      <w:r>
        <w:rPr>
          <w:rFonts w:hint="default"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w:t>
      </w: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b/>
          <w:bCs/>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b/>
          <w:bCs/>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b/>
          <w:bCs/>
          <w:sz w:val="24"/>
          <w:szCs w:val="24"/>
          <w:highlight w:val="none"/>
          <w:lang w:val="en-US" w:eastAsia="zh-CN"/>
        </w:rPr>
      </w:pPr>
    </w:p>
    <w:p>
      <w:pPr>
        <w:spacing w:before="79" w:line="240" w:lineRule="auto"/>
        <w:jc w:val="center"/>
        <w:rPr>
          <w:rFonts w:hint="eastAsia" w:ascii="宋体" w:hAnsi="宋体" w:eastAsia="宋体" w:cs="宋体"/>
          <w:spacing w:val="9"/>
          <w:sz w:val="31"/>
          <w:szCs w:val="31"/>
          <w:highlight w:val="none"/>
          <w14:textOutline w14:w="5791" w14:cap="flat" w14:cmpd="sng">
            <w14:solidFill>
              <w14:srgbClr w14:val="000000"/>
            </w14:solidFill>
            <w14:prstDash w14:val="solid"/>
            <w14:miter w14:val="0"/>
          </w14:textOutline>
        </w:rPr>
      </w:pPr>
      <w: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t>四、投标保证金</w:t>
      </w:r>
    </w:p>
    <w:p>
      <w:pPr>
        <w:bidi w:val="0"/>
        <w:ind w:firstLine="480" w:firstLineChars="200"/>
        <w:rPr>
          <w:rFonts w:hint="eastAsia" w:ascii="宋体" w:hAnsi="宋体" w:eastAsia="宋体" w:cs="宋体"/>
          <w:sz w:val="24"/>
          <w:szCs w:val="24"/>
          <w:highlight w:val="none"/>
          <w:lang w:val="en-US" w:eastAsia="zh-CN"/>
        </w:rPr>
      </w:pPr>
    </w:p>
    <w:p>
      <w:pPr>
        <w:bidi w:val="0"/>
        <w:ind w:firstLine="480" w:firstLineChars="200"/>
        <w:rPr>
          <w:rFonts w:hint="eastAsia" w:ascii="宋体" w:hAnsi="宋体" w:eastAsia="宋体" w:cs="宋体"/>
          <w:sz w:val="24"/>
          <w:szCs w:val="24"/>
          <w:highlight w:val="none"/>
          <w:lang w:val="en-US" w:eastAsia="zh-CN"/>
        </w:rPr>
      </w:pPr>
    </w:p>
    <w:p>
      <w:pPr>
        <w:bidi w:val="0"/>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1.附投标人开户许可证和投标保证金支付回执单复印件（联合体投标的，其投标保证金由牵头人递交）</w:t>
      </w:r>
    </w:p>
    <w:p>
      <w:pPr>
        <w:bidi w:val="0"/>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2.投标担保:投标单位拟开具电子保函的，请按照电子保函系统操作要求，自主选  择保证人。电子保函的相关操作方法请查看新郑市公共资源交易中心网站--办事指南--服务指南《电子保函申请操作手册》。</w:t>
      </w:r>
    </w:p>
    <w:p>
      <w:pPr>
        <w:bidi w:val="0"/>
        <w:rPr>
          <w:rFonts w:hint="eastAsia" w:ascii="宋体" w:hAnsi="宋体" w:eastAsia="宋体" w:cs="宋体"/>
          <w:sz w:val="24"/>
          <w:szCs w:val="24"/>
          <w:highlight w:val="none"/>
          <w:lang w:val="en-US" w:eastAsia="zh-CN"/>
        </w:rPr>
      </w:pPr>
    </w:p>
    <w:p>
      <w:pPr>
        <w:bidi w:val="0"/>
        <w:rPr>
          <w:rFonts w:hint="eastAsia" w:ascii="宋体" w:hAnsi="宋体" w:eastAsia="宋体" w:cs="宋体"/>
          <w:sz w:val="24"/>
          <w:szCs w:val="24"/>
          <w:highlight w:val="none"/>
          <w:lang w:val="en-US" w:eastAsia="zh-CN"/>
        </w:rPr>
      </w:pPr>
    </w:p>
    <w:p>
      <w:pPr>
        <w:bidi w:val="0"/>
        <w:rPr>
          <w:rFonts w:hint="eastAsia" w:ascii="宋体" w:hAnsi="宋体" w:eastAsia="宋体" w:cs="宋体"/>
          <w:sz w:val="24"/>
          <w:szCs w:val="24"/>
          <w:highlight w:val="none"/>
          <w:lang w:val="en-US" w:eastAsia="zh-CN"/>
        </w:rPr>
      </w:pPr>
    </w:p>
    <w:p>
      <w:pPr>
        <w:bidi w:val="0"/>
        <w:rPr>
          <w:rFonts w:hint="eastAsia" w:ascii="宋体" w:hAnsi="宋体" w:eastAsia="宋体" w:cs="宋体"/>
          <w:sz w:val="24"/>
          <w:szCs w:val="24"/>
          <w:highlight w:val="none"/>
          <w:lang w:val="en-US" w:eastAsia="zh-CN"/>
        </w:rPr>
      </w:pPr>
    </w:p>
    <w:p>
      <w:pPr>
        <w:bidi w:val="0"/>
        <w:rPr>
          <w:rFonts w:hint="eastAsia" w:ascii="宋体" w:hAnsi="宋体" w:eastAsia="宋体" w:cs="宋体"/>
          <w:sz w:val="24"/>
          <w:szCs w:val="24"/>
          <w:highlight w:val="none"/>
          <w:lang w:val="en-US" w:eastAsia="zh-CN"/>
        </w:rPr>
      </w:pPr>
    </w:p>
    <w:p>
      <w:pPr>
        <w:bidi w:val="0"/>
        <w:rPr>
          <w:rFonts w:hint="eastAsia" w:ascii="宋体" w:hAnsi="宋体" w:eastAsia="宋体" w:cs="宋体"/>
          <w:sz w:val="24"/>
          <w:szCs w:val="24"/>
          <w:highlight w:val="none"/>
          <w:lang w:val="en-US" w:eastAsia="zh-CN"/>
        </w:rPr>
      </w:pPr>
    </w:p>
    <w:p>
      <w:pPr>
        <w:bidi w:val="0"/>
        <w:rPr>
          <w:rFonts w:hint="eastAsia" w:ascii="宋体" w:hAnsi="宋体" w:eastAsia="宋体" w:cs="宋体"/>
          <w:sz w:val="24"/>
          <w:szCs w:val="24"/>
          <w:highlight w:val="none"/>
          <w:lang w:val="en-US" w:eastAsia="zh-CN"/>
        </w:rPr>
      </w:pPr>
    </w:p>
    <w:p>
      <w:pPr>
        <w:bidi w:val="0"/>
        <w:rPr>
          <w:rFonts w:hint="eastAsia" w:ascii="宋体" w:hAnsi="宋体" w:eastAsia="宋体" w:cs="宋体"/>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注：若投标人为联合体， 由联合体牵头人出具。</w:t>
      </w: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bidi w:val="0"/>
        <w:ind w:firstLine="482" w:firstLineChars="200"/>
        <w:rPr>
          <w:rFonts w:hint="eastAsia" w:ascii="宋体" w:hAnsi="宋体" w:eastAsia="宋体" w:cs="宋体"/>
          <w:b/>
          <w:bCs/>
          <w:sz w:val="24"/>
          <w:szCs w:val="24"/>
          <w:highlight w:val="none"/>
          <w:lang w:val="en-US" w:eastAsia="zh-CN"/>
        </w:rPr>
      </w:pPr>
    </w:p>
    <w:p>
      <w:pPr>
        <w:spacing w:before="79" w:line="240" w:lineRule="auto"/>
        <w:jc w:val="center"/>
        <w:rPr>
          <w:rFonts w:hint="eastAsia" w:ascii="宋体" w:hAnsi="宋体" w:eastAsia="宋体" w:cs="宋体"/>
          <w:spacing w:val="9"/>
          <w:sz w:val="31"/>
          <w:szCs w:val="31"/>
          <w:highlight w:val="none"/>
          <w14:textOutline w14:w="5791" w14:cap="flat" w14:cmpd="sng">
            <w14:solidFill>
              <w14:srgbClr w14:val="000000"/>
            </w14:solidFill>
            <w14:prstDash w14:val="solid"/>
            <w14:miter w14:val="0"/>
          </w14:textOutline>
        </w:rPr>
      </w:pPr>
      <w:bookmarkStart w:id="59" w:name="bookmark23"/>
      <w:bookmarkEnd w:id="59"/>
      <w:bookmarkStart w:id="60" w:name="bookmark52"/>
      <w:bookmarkEnd w:id="60"/>
      <w: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t>五、项目实施方案（施工组织设计、监理大纲）</w:t>
      </w: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（一）设计方案 （格式自拟）</w:t>
      </w: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numPr>
          <w:ilvl w:val="0"/>
          <w:numId w:val="4"/>
        </w:num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施工组织设计 （格式自拟）</w:t>
      </w: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spacing w:before="232" w:line="224" w:lineRule="auto"/>
        <w:ind w:left="3524"/>
        <w:outlineLvl w:val="6"/>
        <w:rPr>
          <w:rFonts w:hint="eastAsia" w:ascii="宋体" w:hAnsi="宋体" w:eastAsia="宋体" w:cs="宋体"/>
          <w:sz w:val="31"/>
          <w:szCs w:val="31"/>
          <w:highlight w:val="none"/>
        </w:rPr>
      </w:pPr>
      <w:bookmarkStart w:id="61" w:name="bookmark24"/>
      <w:bookmarkEnd w:id="61"/>
      <w:bookmarkStart w:id="62" w:name="bookmark53"/>
      <w:bookmarkEnd w:id="62"/>
      <w: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t>六、项目管理机构</w:t>
      </w:r>
    </w:p>
    <w:tbl>
      <w:tblPr>
        <w:tblStyle w:val="24"/>
        <w:tblW w:w="9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1531"/>
        <w:gridCol w:w="1108"/>
        <w:gridCol w:w="1185"/>
        <w:gridCol w:w="1590"/>
        <w:gridCol w:w="1003"/>
        <w:gridCol w:w="1245"/>
        <w:gridCol w:w="1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37" w:type="dxa"/>
            <w:vMerge w:val="restart"/>
            <w:tcBorders>
              <w:bottom w:val="nil"/>
            </w:tcBorders>
            <w:vAlign w:val="top"/>
          </w:tcPr>
          <w:p>
            <w:pPr>
              <w:spacing w:line="277" w:lineRule="auto"/>
              <w:rPr>
                <w:rFonts w:hint="eastAsia" w:ascii="宋体" w:hAnsi="宋体" w:eastAsia="宋体" w:cs="宋体"/>
                <w:sz w:val="21"/>
                <w:highlight w:val="none"/>
              </w:rPr>
            </w:pPr>
          </w:p>
          <w:p>
            <w:pPr>
              <w:spacing w:line="277" w:lineRule="auto"/>
              <w:rPr>
                <w:rFonts w:hint="eastAsia" w:ascii="宋体" w:hAnsi="宋体" w:eastAsia="宋体" w:cs="宋体"/>
                <w:sz w:val="21"/>
                <w:highlight w:val="none"/>
              </w:rPr>
            </w:pPr>
          </w:p>
          <w:p>
            <w:pPr>
              <w:pStyle w:val="23"/>
              <w:spacing w:before="78" w:line="221" w:lineRule="auto"/>
              <w:ind w:left="18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序号</w:t>
            </w:r>
          </w:p>
        </w:tc>
        <w:tc>
          <w:tcPr>
            <w:tcW w:w="1531" w:type="dxa"/>
            <w:vMerge w:val="restart"/>
            <w:tcBorders>
              <w:bottom w:val="nil"/>
            </w:tcBorders>
            <w:vAlign w:val="top"/>
          </w:tcPr>
          <w:p>
            <w:pPr>
              <w:spacing w:line="277" w:lineRule="auto"/>
              <w:rPr>
                <w:rFonts w:hint="eastAsia" w:ascii="宋体" w:hAnsi="宋体" w:eastAsia="宋体" w:cs="宋体"/>
                <w:sz w:val="21"/>
                <w:highlight w:val="none"/>
              </w:rPr>
            </w:pPr>
          </w:p>
          <w:p>
            <w:pPr>
              <w:spacing w:line="277" w:lineRule="auto"/>
              <w:rPr>
                <w:rFonts w:hint="eastAsia" w:ascii="宋体" w:hAnsi="宋体" w:eastAsia="宋体" w:cs="宋体"/>
                <w:sz w:val="21"/>
                <w:highlight w:val="none"/>
              </w:rPr>
            </w:pPr>
          </w:p>
          <w:p>
            <w:pPr>
              <w:pStyle w:val="23"/>
              <w:spacing w:before="78" w:line="220" w:lineRule="auto"/>
              <w:ind w:left="52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职务</w:t>
            </w:r>
          </w:p>
        </w:tc>
        <w:tc>
          <w:tcPr>
            <w:tcW w:w="1108" w:type="dxa"/>
            <w:vMerge w:val="restart"/>
            <w:tcBorders>
              <w:bottom w:val="nil"/>
            </w:tcBorders>
            <w:vAlign w:val="top"/>
          </w:tcPr>
          <w:p>
            <w:pPr>
              <w:spacing w:line="277" w:lineRule="auto"/>
              <w:rPr>
                <w:rFonts w:hint="eastAsia" w:ascii="宋体" w:hAnsi="宋体" w:eastAsia="宋体" w:cs="宋体"/>
                <w:sz w:val="21"/>
                <w:highlight w:val="none"/>
              </w:rPr>
            </w:pPr>
          </w:p>
          <w:p>
            <w:pPr>
              <w:spacing w:line="277" w:lineRule="auto"/>
              <w:rPr>
                <w:rFonts w:hint="eastAsia" w:ascii="宋体" w:hAnsi="宋体" w:eastAsia="宋体" w:cs="宋体"/>
                <w:sz w:val="21"/>
                <w:highlight w:val="none"/>
              </w:rPr>
            </w:pPr>
          </w:p>
          <w:p>
            <w:pPr>
              <w:pStyle w:val="23"/>
              <w:spacing w:before="78" w:line="220" w:lineRule="auto"/>
              <w:ind w:left="32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姓名</w:t>
            </w:r>
          </w:p>
        </w:tc>
        <w:tc>
          <w:tcPr>
            <w:tcW w:w="1185" w:type="dxa"/>
            <w:vMerge w:val="restart"/>
            <w:tcBorders>
              <w:bottom w:val="nil"/>
            </w:tcBorders>
            <w:vAlign w:val="top"/>
          </w:tcPr>
          <w:p>
            <w:pPr>
              <w:spacing w:line="277" w:lineRule="auto"/>
              <w:rPr>
                <w:rFonts w:hint="eastAsia" w:ascii="宋体" w:hAnsi="宋体" w:eastAsia="宋体" w:cs="宋体"/>
                <w:sz w:val="21"/>
                <w:highlight w:val="none"/>
              </w:rPr>
            </w:pPr>
          </w:p>
          <w:p>
            <w:pPr>
              <w:spacing w:line="277" w:lineRule="auto"/>
              <w:rPr>
                <w:rFonts w:hint="eastAsia" w:ascii="宋体" w:hAnsi="宋体" w:eastAsia="宋体" w:cs="宋体"/>
                <w:sz w:val="21"/>
                <w:highlight w:val="none"/>
              </w:rPr>
            </w:pPr>
          </w:p>
          <w:p>
            <w:pPr>
              <w:pStyle w:val="23"/>
              <w:spacing w:before="78" w:line="222" w:lineRule="auto"/>
              <w:ind w:left="36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职称</w:t>
            </w:r>
          </w:p>
        </w:tc>
        <w:tc>
          <w:tcPr>
            <w:tcW w:w="3838" w:type="dxa"/>
            <w:gridSpan w:val="3"/>
            <w:vAlign w:val="top"/>
          </w:tcPr>
          <w:p>
            <w:pPr>
              <w:pStyle w:val="23"/>
              <w:spacing w:before="217" w:line="220" w:lineRule="auto"/>
              <w:ind w:left="84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执业或职业资格证明</w:t>
            </w:r>
          </w:p>
        </w:tc>
        <w:tc>
          <w:tcPr>
            <w:tcW w:w="1085" w:type="dxa"/>
            <w:vAlign w:val="top"/>
          </w:tcPr>
          <w:p>
            <w:pPr>
              <w:pStyle w:val="23"/>
              <w:spacing w:before="218" w:line="221" w:lineRule="auto"/>
              <w:ind w:left="31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837" w:type="dxa"/>
            <w:vMerge w:val="continue"/>
            <w:tcBorders>
              <w:top w:val="nil"/>
            </w:tcBorders>
            <w:vAlign w:val="top"/>
          </w:tcPr>
          <w:p>
            <w:pPr>
              <w:rPr>
                <w:rFonts w:hint="eastAsia" w:ascii="宋体" w:hAnsi="宋体" w:eastAsia="宋体" w:cs="宋体"/>
                <w:sz w:val="21"/>
                <w:highlight w:val="none"/>
              </w:rPr>
            </w:pPr>
          </w:p>
        </w:tc>
        <w:tc>
          <w:tcPr>
            <w:tcW w:w="1531" w:type="dxa"/>
            <w:vMerge w:val="continue"/>
            <w:tcBorders>
              <w:top w:val="nil"/>
            </w:tcBorders>
            <w:vAlign w:val="top"/>
          </w:tcPr>
          <w:p>
            <w:pPr>
              <w:rPr>
                <w:rFonts w:hint="eastAsia" w:ascii="宋体" w:hAnsi="宋体" w:eastAsia="宋体" w:cs="宋体"/>
                <w:sz w:val="21"/>
                <w:highlight w:val="none"/>
              </w:rPr>
            </w:pPr>
          </w:p>
        </w:tc>
        <w:tc>
          <w:tcPr>
            <w:tcW w:w="1108" w:type="dxa"/>
            <w:vMerge w:val="continue"/>
            <w:tcBorders>
              <w:top w:val="nil"/>
            </w:tcBorders>
            <w:vAlign w:val="top"/>
          </w:tcPr>
          <w:p>
            <w:pPr>
              <w:rPr>
                <w:rFonts w:hint="eastAsia" w:ascii="宋体" w:hAnsi="宋体" w:eastAsia="宋体" w:cs="宋体"/>
                <w:sz w:val="21"/>
                <w:highlight w:val="none"/>
              </w:rPr>
            </w:pPr>
          </w:p>
        </w:tc>
        <w:tc>
          <w:tcPr>
            <w:tcW w:w="1185" w:type="dxa"/>
            <w:vMerge w:val="continue"/>
            <w:tcBorders>
              <w:top w:val="nil"/>
            </w:tcBorders>
            <w:vAlign w:val="top"/>
          </w:tcPr>
          <w:p>
            <w:pPr>
              <w:rPr>
                <w:rFonts w:hint="eastAsia" w:ascii="宋体" w:hAnsi="宋体" w:eastAsia="宋体" w:cs="宋体"/>
                <w:sz w:val="21"/>
                <w:highlight w:val="none"/>
              </w:rPr>
            </w:pPr>
          </w:p>
        </w:tc>
        <w:tc>
          <w:tcPr>
            <w:tcW w:w="1590" w:type="dxa"/>
            <w:vAlign w:val="top"/>
          </w:tcPr>
          <w:p>
            <w:pPr>
              <w:pStyle w:val="23"/>
              <w:spacing w:before="213" w:line="219" w:lineRule="auto"/>
              <w:ind w:left="32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证书名称</w:t>
            </w:r>
          </w:p>
        </w:tc>
        <w:tc>
          <w:tcPr>
            <w:tcW w:w="1003" w:type="dxa"/>
            <w:vAlign w:val="top"/>
          </w:tcPr>
          <w:p>
            <w:pPr>
              <w:pStyle w:val="23"/>
              <w:spacing w:before="213" w:line="221" w:lineRule="auto"/>
              <w:ind w:left="26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证号</w:t>
            </w:r>
          </w:p>
        </w:tc>
        <w:tc>
          <w:tcPr>
            <w:tcW w:w="1245" w:type="dxa"/>
            <w:vAlign w:val="top"/>
          </w:tcPr>
          <w:p>
            <w:pPr>
              <w:pStyle w:val="23"/>
              <w:spacing w:before="213" w:line="220" w:lineRule="auto"/>
              <w:ind w:left="39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专业</w:t>
            </w:r>
          </w:p>
        </w:tc>
        <w:tc>
          <w:tcPr>
            <w:tcW w:w="1085"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837" w:type="dxa"/>
            <w:vAlign w:val="top"/>
          </w:tcPr>
          <w:p>
            <w:pPr>
              <w:pStyle w:val="23"/>
              <w:spacing w:before="294" w:line="182" w:lineRule="auto"/>
              <w:ind w:left="382"/>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31" w:type="dxa"/>
            <w:vAlign w:val="top"/>
          </w:tcPr>
          <w:p>
            <w:pPr>
              <w:pStyle w:val="23"/>
              <w:spacing w:before="255" w:line="220" w:lineRule="auto"/>
              <w:ind w:left="29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项目经理</w:t>
            </w:r>
          </w:p>
        </w:tc>
        <w:tc>
          <w:tcPr>
            <w:tcW w:w="1108" w:type="dxa"/>
            <w:vAlign w:val="top"/>
          </w:tcPr>
          <w:p>
            <w:pPr>
              <w:rPr>
                <w:rFonts w:hint="eastAsia" w:ascii="宋体" w:hAnsi="宋体" w:eastAsia="宋体" w:cs="宋体"/>
                <w:sz w:val="21"/>
                <w:highlight w:val="none"/>
              </w:rPr>
            </w:pPr>
          </w:p>
        </w:tc>
        <w:tc>
          <w:tcPr>
            <w:tcW w:w="1185" w:type="dxa"/>
            <w:vAlign w:val="top"/>
          </w:tcPr>
          <w:p>
            <w:pPr>
              <w:rPr>
                <w:rFonts w:hint="eastAsia" w:ascii="宋体" w:hAnsi="宋体" w:eastAsia="宋体" w:cs="宋体"/>
                <w:sz w:val="21"/>
                <w:highlight w:val="none"/>
              </w:rPr>
            </w:pPr>
          </w:p>
        </w:tc>
        <w:tc>
          <w:tcPr>
            <w:tcW w:w="1590" w:type="dxa"/>
            <w:vAlign w:val="top"/>
          </w:tcPr>
          <w:p>
            <w:pPr>
              <w:rPr>
                <w:rFonts w:hint="eastAsia" w:ascii="宋体" w:hAnsi="宋体" w:eastAsia="宋体" w:cs="宋体"/>
                <w:sz w:val="21"/>
                <w:highlight w:val="none"/>
              </w:rPr>
            </w:pPr>
          </w:p>
        </w:tc>
        <w:tc>
          <w:tcPr>
            <w:tcW w:w="1003" w:type="dxa"/>
            <w:vAlign w:val="top"/>
          </w:tcPr>
          <w:p>
            <w:pPr>
              <w:rPr>
                <w:rFonts w:hint="eastAsia" w:ascii="宋体" w:hAnsi="宋体" w:eastAsia="宋体" w:cs="宋体"/>
                <w:sz w:val="21"/>
                <w:highlight w:val="none"/>
              </w:rPr>
            </w:pPr>
          </w:p>
        </w:tc>
        <w:tc>
          <w:tcPr>
            <w:tcW w:w="1245" w:type="dxa"/>
            <w:vAlign w:val="top"/>
          </w:tcPr>
          <w:p>
            <w:pPr>
              <w:rPr>
                <w:rFonts w:hint="eastAsia" w:ascii="宋体" w:hAnsi="宋体" w:eastAsia="宋体" w:cs="宋体"/>
                <w:sz w:val="21"/>
                <w:highlight w:val="none"/>
              </w:rPr>
            </w:pPr>
          </w:p>
        </w:tc>
        <w:tc>
          <w:tcPr>
            <w:tcW w:w="1085"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837" w:type="dxa"/>
            <w:vAlign w:val="top"/>
          </w:tcPr>
          <w:p>
            <w:pPr>
              <w:spacing w:line="267" w:lineRule="auto"/>
              <w:rPr>
                <w:rFonts w:hint="eastAsia" w:ascii="宋体" w:hAnsi="宋体" w:eastAsia="宋体" w:cs="宋体"/>
                <w:sz w:val="21"/>
                <w:highlight w:val="none"/>
              </w:rPr>
            </w:pPr>
          </w:p>
          <w:p>
            <w:pPr>
              <w:pStyle w:val="23"/>
              <w:spacing w:before="78" w:line="181" w:lineRule="auto"/>
              <w:ind w:left="367"/>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531" w:type="dxa"/>
            <w:vAlign w:val="top"/>
          </w:tcPr>
          <w:p>
            <w:pPr>
              <w:pStyle w:val="23"/>
              <w:spacing w:before="305" w:line="220" w:lineRule="auto"/>
              <w:ind w:left="17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设计负责人</w:t>
            </w:r>
          </w:p>
        </w:tc>
        <w:tc>
          <w:tcPr>
            <w:tcW w:w="1108" w:type="dxa"/>
            <w:vAlign w:val="top"/>
          </w:tcPr>
          <w:p>
            <w:pPr>
              <w:rPr>
                <w:rFonts w:hint="eastAsia" w:ascii="宋体" w:hAnsi="宋体" w:eastAsia="宋体" w:cs="宋体"/>
                <w:sz w:val="21"/>
                <w:highlight w:val="none"/>
              </w:rPr>
            </w:pPr>
          </w:p>
        </w:tc>
        <w:tc>
          <w:tcPr>
            <w:tcW w:w="1185" w:type="dxa"/>
            <w:vAlign w:val="top"/>
          </w:tcPr>
          <w:p>
            <w:pPr>
              <w:rPr>
                <w:rFonts w:hint="eastAsia" w:ascii="宋体" w:hAnsi="宋体" w:eastAsia="宋体" w:cs="宋体"/>
                <w:sz w:val="21"/>
                <w:highlight w:val="none"/>
              </w:rPr>
            </w:pPr>
          </w:p>
        </w:tc>
        <w:tc>
          <w:tcPr>
            <w:tcW w:w="1590" w:type="dxa"/>
            <w:vAlign w:val="top"/>
          </w:tcPr>
          <w:p>
            <w:pPr>
              <w:rPr>
                <w:rFonts w:hint="eastAsia" w:ascii="宋体" w:hAnsi="宋体" w:eastAsia="宋体" w:cs="宋体"/>
                <w:sz w:val="21"/>
                <w:highlight w:val="none"/>
              </w:rPr>
            </w:pPr>
          </w:p>
        </w:tc>
        <w:tc>
          <w:tcPr>
            <w:tcW w:w="1003" w:type="dxa"/>
            <w:vAlign w:val="top"/>
          </w:tcPr>
          <w:p>
            <w:pPr>
              <w:rPr>
                <w:rFonts w:hint="eastAsia" w:ascii="宋体" w:hAnsi="宋体" w:eastAsia="宋体" w:cs="宋体"/>
                <w:sz w:val="21"/>
                <w:highlight w:val="none"/>
              </w:rPr>
            </w:pPr>
          </w:p>
        </w:tc>
        <w:tc>
          <w:tcPr>
            <w:tcW w:w="1245" w:type="dxa"/>
            <w:vAlign w:val="top"/>
          </w:tcPr>
          <w:p>
            <w:pPr>
              <w:rPr>
                <w:rFonts w:hint="eastAsia" w:ascii="宋体" w:hAnsi="宋体" w:eastAsia="宋体" w:cs="宋体"/>
                <w:sz w:val="21"/>
                <w:highlight w:val="none"/>
              </w:rPr>
            </w:pPr>
          </w:p>
        </w:tc>
        <w:tc>
          <w:tcPr>
            <w:tcW w:w="1085"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837" w:type="dxa"/>
            <w:vAlign w:val="top"/>
          </w:tcPr>
          <w:p>
            <w:pPr>
              <w:spacing w:line="267" w:lineRule="auto"/>
              <w:rPr>
                <w:rFonts w:hint="eastAsia" w:ascii="宋体" w:hAnsi="宋体" w:eastAsia="宋体" w:cs="宋体"/>
                <w:sz w:val="21"/>
                <w:highlight w:val="none"/>
              </w:rPr>
            </w:pPr>
          </w:p>
          <w:p>
            <w:pPr>
              <w:pStyle w:val="23"/>
              <w:spacing w:before="78" w:line="181" w:lineRule="auto"/>
              <w:ind w:left="369"/>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531" w:type="dxa"/>
            <w:vAlign w:val="top"/>
          </w:tcPr>
          <w:p>
            <w:pPr>
              <w:rPr>
                <w:rFonts w:hint="eastAsia" w:ascii="宋体" w:hAnsi="宋体" w:eastAsia="宋体" w:cs="宋体"/>
                <w:sz w:val="21"/>
                <w:highlight w:val="none"/>
              </w:rPr>
            </w:pPr>
          </w:p>
        </w:tc>
        <w:tc>
          <w:tcPr>
            <w:tcW w:w="1108" w:type="dxa"/>
            <w:vAlign w:val="top"/>
          </w:tcPr>
          <w:p>
            <w:pPr>
              <w:rPr>
                <w:rFonts w:hint="eastAsia" w:ascii="宋体" w:hAnsi="宋体" w:eastAsia="宋体" w:cs="宋体"/>
                <w:sz w:val="21"/>
                <w:highlight w:val="none"/>
              </w:rPr>
            </w:pPr>
          </w:p>
        </w:tc>
        <w:tc>
          <w:tcPr>
            <w:tcW w:w="1185" w:type="dxa"/>
            <w:vAlign w:val="top"/>
          </w:tcPr>
          <w:p>
            <w:pPr>
              <w:rPr>
                <w:rFonts w:hint="eastAsia" w:ascii="宋体" w:hAnsi="宋体" w:eastAsia="宋体" w:cs="宋体"/>
                <w:sz w:val="21"/>
                <w:highlight w:val="none"/>
              </w:rPr>
            </w:pPr>
          </w:p>
        </w:tc>
        <w:tc>
          <w:tcPr>
            <w:tcW w:w="1590" w:type="dxa"/>
            <w:vAlign w:val="top"/>
          </w:tcPr>
          <w:p>
            <w:pPr>
              <w:rPr>
                <w:rFonts w:hint="eastAsia" w:ascii="宋体" w:hAnsi="宋体" w:eastAsia="宋体" w:cs="宋体"/>
                <w:sz w:val="21"/>
                <w:highlight w:val="none"/>
              </w:rPr>
            </w:pPr>
          </w:p>
        </w:tc>
        <w:tc>
          <w:tcPr>
            <w:tcW w:w="1003" w:type="dxa"/>
            <w:vAlign w:val="top"/>
          </w:tcPr>
          <w:p>
            <w:pPr>
              <w:rPr>
                <w:rFonts w:hint="eastAsia" w:ascii="宋体" w:hAnsi="宋体" w:eastAsia="宋体" w:cs="宋体"/>
                <w:sz w:val="21"/>
                <w:highlight w:val="none"/>
              </w:rPr>
            </w:pPr>
          </w:p>
        </w:tc>
        <w:tc>
          <w:tcPr>
            <w:tcW w:w="1245" w:type="dxa"/>
            <w:vAlign w:val="top"/>
          </w:tcPr>
          <w:p>
            <w:pPr>
              <w:rPr>
                <w:rFonts w:hint="eastAsia" w:ascii="宋体" w:hAnsi="宋体" w:eastAsia="宋体" w:cs="宋体"/>
                <w:sz w:val="21"/>
                <w:highlight w:val="none"/>
              </w:rPr>
            </w:pPr>
          </w:p>
        </w:tc>
        <w:tc>
          <w:tcPr>
            <w:tcW w:w="1085"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37" w:type="dxa"/>
            <w:vAlign w:val="top"/>
          </w:tcPr>
          <w:p>
            <w:pPr>
              <w:pStyle w:val="23"/>
              <w:spacing w:before="239" w:line="181" w:lineRule="auto"/>
              <w:ind w:left="363"/>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531" w:type="dxa"/>
            <w:vAlign w:val="top"/>
          </w:tcPr>
          <w:p>
            <w:pPr>
              <w:rPr>
                <w:rFonts w:hint="eastAsia" w:ascii="宋体" w:hAnsi="宋体" w:eastAsia="宋体" w:cs="宋体"/>
                <w:sz w:val="21"/>
                <w:highlight w:val="none"/>
              </w:rPr>
            </w:pPr>
          </w:p>
        </w:tc>
        <w:tc>
          <w:tcPr>
            <w:tcW w:w="1108" w:type="dxa"/>
            <w:vAlign w:val="top"/>
          </w:tcPr>
          <w:p>
            <w:pPr>
              <w:rPr>
                <w:rFonts w:hint="eastAsia" w:ascii="宋体" w:hAnsi="宋体" w:eastAsia="宋体" w:cs="宋体"/>
                <w:sz w:val="21"/>
                <w:highlight w:val="none"/>
              </w:rPr>
            </w:pPr>
          </w:p>
        </w:tc>
        <w:tc>
          <w:tcPr>
            <w:tcW w:w="1185" w:type="dxa"/>
            <w:vAlign w:val="top"/>
          </w:tcPr>
          <w:p>
            <w:pPr>
              <w:rPr>
                <w:rFonts w:hint="eastAsia" w:ascii="宋体" w:hAnsi="宋体" w:eastAsia="宋体" w:cs="宋体"/>
                <w:sz w:val="21"/>
                <w:highlight w:val="none"/>
              </w:rPr>
            </w:pPr>
          </w:p>
        </w:tc>
        <w:tc>
          <w:tcPr>
            <w:tcW w:w="1590" w:type="dxa"/>
            <w:vAlign w:val="top"/>
          </w:tcPr>
          <w:p>
            <w:pPr>
              <w:rPr>
                <w:rFonts w:hint="eastAsia" w:ascii="宋体" w:hAnsi="宋体" w:eastAsia="宋体" w:cs="宋体"/>
                <w:sz w:val="21"/>
                <w:highlight w:val="none"/>
              </w:rPr>
            </w:pPr>
          </w:p>
        </w:tc>
        <w:tc>
          <w:tcPr>
            <w:tcW w:w="1003" w:type="dxa"/>
            <w:vAlign w:val="top"/>
          </w:tcPr>
          <w:p>
            <w:pPr>
              <w:rPr>
                <w:rFonts w:hint="eastAsia" w:ascii="宋体" w:hAnsi="宋体" w:eastAsia="宋体" w:cs="宋体"/>
                <w:sz w:val="21"/>
                <w:highlight w:val="none"/>
              </w:rPr>
            </w:pPr>
          </w:p>
        </w:tc>
        <w:tc>
          <w:tcPr>
            <w:tcW w:w="1245" w:type="dxa"/>
            <w:vAlign w:val="top"/>
          </w:tcPr>
          <w:p>
            <w:pPr>
              <w:rPr>
                <w:rFonts w:hint="eastAsia" w:ascii="宋体" w:hAnsi="宋体" w:eastAsia="宋体" w:cs="宋体"/>
                <w:sz w:val="21"/>
                <w:highlight w:val="none"/>
              </w:rPr>
            </w:pPr>
          </w:p>
        </w:tc>
        <w:tc>
          <w:tcPr>
            <w:tcW w:w="1085"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837" w:type="dxa"/>
            <w:tcBorders>
              <w:bottom w:val="single" w:color="000000" w:sz="4" w:space="0"/>
            </w:tcBorders>
            <w:vAlign w:val="top"/>
          </w:tcPr>
          <w:p>
            <w:pPr>
              <w:rPr>
                <w:rFonts w:hint="eastAsia" w:ascii="宋体" w:hAnsi="宋体" w:eastAsia="宋体" w:cs="宋体"/>
                <w:sz w:val="21"/>
                <w:highlight w:val="none"/>
              </w:rPr>
            </w:pPr>
          </w:p>
        </w:tc>
        <w:tc>
          <w:tcPr>
            <w:tcW w:w="1531" w:type="dxa"/>
            <w:tcBorders>
              <w:bottom w:val="single" w:color="000000" w:sz="4" w:space="0"/>
            </w:tcBorders>
            <w:vAlign w:val="top"/>
          </w:tcPr>
          <w:p>
            <w:pPr>
              <w:rPr>
                <w:rFonts w:hint="eastAsia" w:ascii="宋体" w:hAnsi="宋体" w:eastAsia="宋体" w:cs="宋体"/>
                <w:sz w:val="21"/>
                <w:highlight w:val="none"/>
              </w:rPr>
            </w:pPr>
          </w:p>
        </w:tc>
        <w:tc>
          <w:tcPr>
            <w:tcW w:w="1108" w:type="dxa"/>
            <w:tcBorders>
              <w:bottom w:val="single" w:color="000000" w:sz="4" w:space="0"/>
            </w:tcBorders>
            <w:vAlign w:val="top"/>
          </w:tcPr>
          <w:p>
            <w:pPr>
              <w:rPr>
                <w:rFonts w:hint="eastAsia" w:ascii="宋体" w:hAnsi="宋体" w:eastAsia="宋体" w:cs="宋体"/>
                <w:sz w:val="21"/>
                <w:highlight w:val="none"/>
              </w:rPr>
            </w:pPr>
          </w:p>
        </w:tc>
        <w:tc>
          <w:tcPr>
            <w:tcW w:w="1185" w:type="dxa"/>
            <w:tcBorders>
              <w:bottom w:val="single" w:color="000000" w:sz="4" w:space="0"/>
            </w:tcBorders>
            <w:vAlign w:val="top"/>
          </w:tcPr>
          <w:p>
            <w:pPr>
              <w:rPr>
                <w:rFonts w:hint="eastAsia" w:ascii="宋体" w:hAnsi="宋体" w:eastAsia="宋体" w:cs="宋体"/>
                <w:sz w:val="21"/>
                <w:highlight w:val="none"/>
              </w:rPr>
            </w:pPr>
          </w:p>
        </w:tc>
        <w:tc>
          <w:tcPr>
            <w:tcW w:w="1590" w:type="dxa"/>
            <w:tcBorders>
              <w:bottom w:val="single" w:color="000000" w:sz="4" w:space="0"/>
            </w:tcBorders>
            <w:vAlign w:val="top"/>
          </w:tcPr>
          <w:p>
            <w:pPr>
              <w:rPr>
                <w:rFonts w:hint="eastAsia" w:ascii="宋体" w:hAnsi="宋体" w:eastAsia="宋体" w:cs="宋体"/>
                <w:sz w:val="21"/>
                <w:highlight w:val="none"/>
              </w:rPr>
            </w:pPr>
          </w:p>
        </w:tc>
        <w:tc>
          <w:tcPr>
            <w:tcW w:w="1003" w:type="dxa"/>
            <w:tcBorders>
              <w:bottom w:val="single" w:color="000000" w:sz="4" w:space="0"/>
            </w:tcBorders>
            <w:vAlign w:val="top"/>
          </w:tcPr>
          <w:p>
            <w:pPr>
              <w:rPr>
                <w:rFonts w:hint="eastAsia" w:ascii="宋体" w:hAnsi="宋体" w:eastAsia="宋体" w:cs="宋体"/>
                <w:sz w:val="21"/>
                <w:highlight w:val="none"/>
              </w:rPr>
            </w:pPr>
          </w:p>
        </w:tc>
        <w:tc>
          <w:tcPr>
            <w:tcW w:w="1245" w:type="dxa"/>
            <w:tcBorders>
              <w:bottom w:val="single" w:color="000000" w:sz="4" w:space="0"/>
            </w:tcBorders>
            <w:vAlign w:val="top"/>
          </w:tcPr>
          <w:p>
            <w:pPr>
              <w:rPr>
                <w:rFonts w:hint="eastAsia" w:ascii="宋体" w:hAnsi="宋体" w:eastAsia="宋体" w:cs="宋体"/>
                <w:sz w:val="21"/>
                <w:highlight w:val="none"/>
              </w:rPr>
            </w:pPr>
          </w:p>
        </w:tc>
        <w:tc>
          <w:tcPr>
            <w:tcW w:w="1085" w:type="dxa"/>
            <w:tcBorders>
              <w:bottom w:val="single" w:color="000000" w:sz="4" w:space="0"/>
            </w:tcBorders>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37" w:type="dxa"/>
            <w:tcBorders>
              <w:top w:val="single" w:color="000000" w:sz="4" w:space="0"/>
            </w:tcBorders>
            <w:vAlign w:val="top"/>
          </w:tcPr>
          <w:p>
            <w:pPr>
              <w:rPr>
                <w:rFonts w:hint="eastAsia" w:ascii="宋体" w:hAnsi="宋体" w:eastAsia="宋体" w:cs="宋体"/>
                <w:sz w:val="21"/>
                <w:highlight w:val="none"/>
              </w:rPr>
            </w:pPr>
          </w:p>
        </w:tc>
        <w:tc>
          <w:tcPr>
            <w:tcW w:w="1531" w:type="dxa"/>
            <w:tcBorders>
              <w:top w:val="single" w:color="000000" w:sz="4" w:space="0"/>
            </w:tcBorders>
            <w:vAlign w:val="top"/>
          </w:tcPr>
          <w:p>
            <w:pPr>
              <w:rPr>
                <w:rFonts w:hint="eastAsia" w:ascii="宋体" w:hAnsi="宋体" w:eastAsia="宋体" w:cs="宋体"/>
                <w:sz w:val="21"/>
                <w:highlight w:val="none"/>
              </w:rPr>
            </w:pPr>
          </w:p>
        </w:tc>
        <w:tc>
          <w:tcPr>
            <w:tcW w:w="1108" w:type="dxa"/>
            <w:tcBorders>
              <w:top w:val="single" w:color="000000" w:sz="4" w:space="0"/>
            </w:tcBorders>
            <w:vAlign w:val="top"/>
          </w:tcPr>
          <w:p>
            <w:pPr>
              <w:rPr>
                <w:rFonts w:hint="eastAsia" w:ascii="宋体" w:hAnsi="宋体" w:eastAsia="宋体" w:cs="宋体"/>
                <w:sz w:val="21"/>
                <w:highlight w:val="none"/>
              </w:rPr>
            </w:pPr>
          </w:p>
        </w:tc>
        <w:tc>
          <w:tcPr>
            <w:tcW w:w="1185" w:type="dxa"/>
            <w:tcBorders>
              <w:top w:val="single" w:color="000000" w:sz="4" w:space="0"/>
            </w:tcBorders>
            <w:vAlign w:val="top"/>
          </w:tcPr>
          <w:p>
            <w:pPr>
              <w:rPr>
                <w:rFonts w:hint="eastAsia" w:ascii="宋体" w:hAnsi="宋体" w:eastAsia="宋体" w:cs="宋体"/>
                <w:sz w:val="21"/>
                <w:highlight w:val="none"/>
              </w:rPr>
            </w:pPr>
          </w:p>
        </w:tc>
        <w:tc>
          <w:tcPr>
            <w:tcW w:w="1590" w:type="dxa"/>
            <w:tcBorders>
              <w:top w:val="single" w:color="000000" w:sz="4" w:space="0"/>
            </w:tcBorders>
            <w:vAlign w:val="top"/>
          </w:tcPr>
          <w:p>
            <w:pPr>
              <w:rPr>
                <w:rFonts w:hint="eastAsia" w:ascii="宋体" w:hAnsi="宋体" w:eastAsia="宋体" w:cs="宋体"/>
                <w:sz w:val="21"/>
                <w:highlight w:val="none"/>
              </w:rPr>
            </w:pPr>
          </w:p>
        </w:tc>
        <w:tc>
          <w:tcPr>
            <w:tcW w:w="1003" w:type="dxa"/>
            <w:tcBorders>
              <w:top w:val="single" w:color="000000" w:sz="4" w:space="0"/>
            </w:tcBorders>
            <w:vAlign w:val="top"/>
          </w:tcPr>
          <w:p>
            <w:pPr>
              <w:rPr>
                <w:rFonts w:hint="eastAsia" w:ascii="宋体" w:hAnsi="宋体" w:eastAsia="宋体" w:cs="宋体"/>
                <w:sz w:val="21"/>
                <w:highlight w:val="none"/>
              </w:rPr>
            </w:pPr>
          </w:p>
        </w:tc>
        <w:tc>
          <w:tcPr>
            <w:tcW w:w="1245" w:type="dxa"/>
            <w:tcBorders>
              <w:top w:val="single" w:color="000000" w:sz="4" w:space="0"/>
            </w:tcBorders>
            <w:vAlign w:val="top"/>
          </w:tcPr>
          <w:p>
            <w:pPr>
              <w:rPr>
                <w:rFonts w:hint="eastAsia" w:ascii="宋体" w:hAnsi="宋体" w:eastAsia="宋体" w:cs="宋体"/>
                <w:sz w:val="21"/>
                <w:highlight w:val="none"/>
              </w:rPr>
            </w:pPr>
          </w:p>
        </w:tc>
        <w:tc>
          <w:tcPr>
            <w:tcW w:w="1085" w:type="dxa"/>
            <w:tcBorders>
              <w:top w:val="single" w:color="000000" w:sz="4" w:space="0"/>
            </w:tcBorders>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837" w:type="dxa"/>
            <w:vAlign w:val="top"/>
          </w:tcPr>
          <w:p>
            <w:pPr>
              <w:rPr>
                <w:rFonts w:hint="eastAsia" w:ascii="宋体" w:hAnsi="宋体" w:eastAsia="宋体" w:cs="宋体"/>
                <w:sz w:val="21"/>
                <w:highlight w:val="none"/>
              </w:rPr>
            </w:pPr>
          </w:p>
        </w:tc>
        <w:tc>
          <w:tcPr>
            <w:tcW w:w="1531" w:type="dxa"/>
            <w:vAlign w:val="top"/>
          </w:tcPr>
          <w:p>
            <w:pPr>
              <w:rPr>
                <w:rFonts w:hint="eastAsia" w:ascii="宋体" w:hAnsi="宋体" w:eastAsia="宋体" w:cs="宋体"/>
                <w:sz w:val="21"/>
                <w:highlight w:val="none"/>
              </w:rPr>
            </w:pPr>
          </w:p>
        </w:tc>
        <w:tc>
          <w:tcPr>
            <w:tcW w:w="1108" w:type="dxa"/>
            <w:vAlign w:val="top"/>
          </w:tcPr>
          <w:p>
            <w:pPr>
              <w:rPr>
                <w:rFonts w:hint="eastAsia" w:ascii="宋体" w:hAnsi="宋体" w:eastAsia="宋体" w:cs="宋体"/>
                <w:sz w:val="21"/>
                <w:highlight w:val="none"/>
              </w:rPr>
            </w:pPr>
          </w:p>
        </w:tc>
        <w:tc>
          <w:tcPr>
            <w:tcW w:w="1185" w:type="dxa"/>
            <w:vAlign w:val="top"/>
          </w:tcPr>
          <w:p>
            <w:pPr>
              <w:rPr>
                <w:rFonts w:hint="eastAsia" w:ascii="宋体" w:hAnsi="宋体" w:eastAsia="宋体" w:cs="宋体"/>
                <w:sz w:val="21"/>
                <w:highlight w:val="none"/>
              </w:rPr>
            </w:pPr>
          </w:p>
        </w:tc>
        <w:tc>
          <w:tcPr>
            <w:tcW w:w="1590" w:type="dxa"/>
            <w:vAlign w:val="top"/>
          </w:tcPr>
          <w:p>
            <w:pPr>
              <w:rPr>
                <w:rFonts w:hint="eastAsia" w:ascii="宋体" w:hAnsi="宋体" w:eastAsia="宋体" w:cs="宋体"/>
                <w:sz w:val="21"/>
                <w:highlight w:val="none"/>
              </w:rPr>
            </w:pPr>
          </w:p>
        </w:tc>
        <w:tc>
          <w:tcPr>
            <w:tcW w:w="1003" w:type="dxa"/>
            <w:vAlign w:val="top"/>
          </w:tcPr>
          <w:p>
            <w:pPr>
              <w:rPr>
                <w:rFonts w:hint="eastAsia" w:ascii="宋体" w:hAnsi="宋体" w:eastAsia="宋体" w:cs="宋体"/>
                <w:sz w:val="21"/>
                <w:highlight w:val="none"/>
              </w:rPr>
            </w:pPr>
          </w:p>
        </w:tc>
        <w:tc>
          <w:tcPr>
            <w:tcW w:w="1245" w:type="dxa"/>
            <w:vAlign w:val="top"/>
          </w:tcPr>
          <w:p>
            <w:pPr>
              <w:rPr>
                <w:rFonts w:hint="eastAsia" w:ascii="宋体" w:hAnsi="宋体" w:eastAsia="宋体" w:cs="宋体"/>
                <w:sz w:val="21"/>
                <w:highlight w:val="none"/>
              </w:rPr>
            </w:pPr>
          </w:p>
        </w:tc>
        <w:tc>
          <w:tcPr>
            <w:tcW w:w="1085"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37" w:type="dxa"/>
            <w:vAlign w:val="top"/>
          </w:tcPr>
          <w:p>
            <w:pPr>
              <w:rPr>
                <w:rFonts w:hint="eastAsia" w:ascii="宋体" w:hAnsi="宋体" w:eastAsia="宋体" w:cs="宋体"/>
                <w:sz w:val="21"/>
                <w:highlight w:val="none"/>
              </w:rPr>
            </w:pPr>
          </w:p>
        </w:tc>
        <w:tc>
          <w:tcPr>
            <w:tcW w:w="1531" w:type="dxa"/>
            <w:vAlign w:val="top"/>
          </w:tcPr>
          <w:p>
            <w:pPr>
              <w:rPr>
                <w:rFonts w:hint="eastAsia" w:ascii="宋体" w:hAnsi="宋体" w:eastAsia="宋体" w:cs="宋体"/>
                <w:sz w:val="21"/>
                <w:highlight w:val="none"/>
              </w:rPr>
            </w:pPr>
          </w:p>
        </w:tc>
        <w:tc>
          <w:tcPr>
            <w:tcW w:w="1108" w:type="dxa"/>
            <w:vAlign w:val="top"/>
          </w:tcPr>
          <w:p>
            <w:pPr>
              <w:rPr>
                <w:rFonts w:hint="eastAsia" w:ascii="宋体" w:hAnsi="宋体" w:eastAsia="宋体" w:cs="宋体"/>
                <w:sz w:val="21"/>
                <w:highlight w:val="none"/>
              </w:rPr>
            </w:pPr>
          </w:p>
        </w:tc>
        <w:tc>
          <w:tcPr>
            <w:tcW w:w="1185" w:type="dxa"/>
            <w:vAlign w:val="top"/>
          </w:tcPr>
          <w:p>
            <w:pPr>
              <w:rPr>
                <w:rFonts w:hint="eastAsia" w:ascii="宋体" w:hAnsi="宋体" w:eastAsia="宋体" w:cs="宋体"/>
                <w:sz w:val="21"/>
                <w:highlight w:val="none"/>
              </w:rPr>
            </w:pPr>
          </w:p>
        </w:tc>
        <w:tc>
          <w:tcPr>
            <w:tcW w:w="1590" w:type="dxa"/>
            <w:vAlign w:val="top"/>
          </w:tcPr>
          <w:p>
            <w:pPr>
              <w:rPr>
                <w:rFonts w:hint="eastAsia" w:ascii="宋体" w:hAnsi="宋体" w:eastAsia="宋体" w:cs="宋体"/>
                <w:sz w:val="21"/>
                <w:highlight w:val="none"/>
              </w:rPr>
            </w:pPr>
          </w:p>
        </w:tc>
        <w:tc>
          <w:tcPr>
            <w:tcW w:w="1003" w:type="dxa"/>
            <w:vAlign w:val="top"/>
          </w:tcPr>
          <w:p>
            <w:pPr>
              <w:rPr>
                <w:rFonts w:hint="eastAsia" w:ascii="宋体" w:hAnsi="宋体" w:eastAsia="宋体" w:cs="宋体"/>
                <w:sz w:val="21"/>
                <w:highlight w:val="none"/>
              </w:rPr>
            </w:pPr>
          </w:p>
        </w:tc>
        <w:tc>
          <w:tcPr>
            <w:tcW w:w="1245" w:type="dxa"/>
            <w:vAlign w:val="top"/>
          </w:tcPr>
          <w:p>
            <w:pPr>
              <w:rPr>
                <w:rFonts w:hint="eastAsia" w:ascii="宋体" w:hAnsi="宋体" w:eastAsia="宋体" w:cs="宋体"/>
                <w:sz w:val="21"/>
                <w:highlight w:val="none"/>
              </w:rPr>
            </w:pPr>
          </w:p>
        </w:tc>
        <w:tc>
          <w:tcPr>
            <w:tcW w:w="1085"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837" w:type="dxa"/>
            <w:vAlign w:val="top"/>
          </w:tcPr>
          <w:p>
            <w:pPr>
              <w:rPr>
                <w:rFonts w:hint="eastAsia" w:ascii="宋体" w:hAnsi="宋体" w:eastAsia="宋体" w:cs="宋体"/>
                <w:sz w:val="21"/>
                <w:highlight w:val="none"/>
              </w:rPr>
            </w:pPr>
          </w:p>
        </w:tc>
        <w:tc>
          <w:tcPr>
            <w:tcW w:w="1531" w:type="dxa"/>
            <w:vAlign w:val="top"/>
          </w:tcPr>
          <w:p>
            <w:pPr>
              <w:rPr>
                <w:rFonts w:hint="eastAsia" w:ascii="宋体" w:hAnsi="宋体" w:eastAsia="宋体" w:cs="宋体"/>
                <w:sz w:val="21"/>
                <w:highlight w:val="none"/>
              </w:rPr>
            </w:pPr>
          </w:p>
        </w:tc>
        <w:tc>
          <w:tcPr>
            <w:tcW w:w="1108" w:type="dxa"/>
            <w:vAlign w:val="top"/>
          </w:tcPr>
          <w:p>
            <w:pPr>
              <w:rPr>
                <w:rFonts w:hint="eastAsia" w:ascii="宋体" w:hAnsi="宋体" w:eastAsia="宋体" w:cs="宋体"/>
                <w:sz w:val="21"/>
                <w:highlight w:val="none"/>
              </w:rPr>
            </w:pPr>
          </w:p>
        </w:tc>
        <w:tc>
          <w:tcPr>
            <w:tcW w:w="1185" w:type="dxa"/>
            <w:vAlign w:val="top"/>
          </w:tcPr>
          <w:p>
            <w:pPr>
              <w:rPr>
                <w:rFonts w:hint="eastAsia" w:ascii="宋体" w:hAnsi="宋体" w:eastAsia="宋体" w:cs="宋体"/>
                <w:sz w:val="21"/>
                <w:highlight w:val="none"/>
              </w:rPr>
            </w:pPr>
          </w:p>
        </w:tc>
        <w:tc>
          <w:tcPr>
            <w:tcW w:w="1590" w:type="dxa"/>
            <w:vAlign w:val="top"/>
          </w:tcPr>
          <w:p>
            <w:pPr>
              <w:rPr>
                <w:rFonts w:hint="eastAsia" w:ascii="宋体" w:hAnsi="宋体" w:eastAsia="宋体" w:cs="宋体"/>
                <w:sz w:val="21"/>
                <w:highlight w:val="none"/>
              </w:rPr>
            </w:pPr>
          </w:p>
        </w:tc>
        <w:tc>
          <w:tcPr>
            <w:tcW w:w="1003" w:type="dxa"/>
            <w:vAlign w:val="top"/>
          </w:tcPr>
          <w:p>
            <w:pPr>
              <w:rPr>
                <w:rFonts w:hint="eastAsia" w:ascii="宋体" w:hAnsi="宋体" w:eastAsia="宋体" w:cs="宋体"/>
                <w:sz w:val="21"/>
                <w:highlight w:val="none"/>
              </w:rPr>
            </w:pPr>
          </w:p>
        </w:tc>
        <w:tc>
          <w:tcPr>
            <w:tcW w:w="1245" w:type="dxa"/>
            <w:vAlign w:val="top"/>
          </w:tcPr>
          <w:p>
            <w:pPr>
              <w:rPr>
                <w:rFonts w:hint="eastAsia" w:ascii="宋体" w:hAnsi="宋体" w:eastAsia="宋体" w:cs="宋体"/>
                <w:sz w:val="21"/>
                <w:highlight w:val="none"/>
              </w:rPr>
            </w:pPr>
          </w:p>
        </w:tc>
        <w:tc>
          <w:tcPr>
            <w:tcW w:w="1085" w:type="dxa"/>
            <w:vAlign w:val="top"/>
          </w:tcPr>
          <w:p>
            <w:pPr>
              <w:rPr>
                <w:rFonts w:hint="eastAsia" w:ascii="宋体" w:hAnsi="宋体" w:eastAsia="宋体" w:cs="宋体"/>
                <w:sz w:val="21"/>
                <w:highlight w:val="none"/>
              </w:rPr>
            </w:pPr>
          </w:p>
        </w:tc>
      </w:tr>
    </w:tbl>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spacing w:before="232" w:line="224" w:lineRule="auto"/>
        <w:ind w:left="3524"/>
        <w:outlineLvl w:val="6"/>
        <w:rPr>
          <w:rFonts w:hint="eastAsia" w:ascii="宋体" w:hAnsi="宋体" w:eastAsia="宋体" w:cs="宋体"/>
          <w:spacing w:val="8"/>
          <w:position w:val="22"/>
          <w:sz w:val="32"/>
          <w:szCs w:val="32"/>
          <w:highlight w:val="none"/>
          <w:lang w:val="en-US" w:eastAsia="zh-CN"/>
          <w14:textOutline w14:w="5791" w14:cap="flat" w14:cmpd="sng">
            <w14:solidFill>
              <w14:srgbClr w14:val="000000"/>
            </w14:solidFill>
            <w14:prstDash w14:val="solid"/>
            <w14:miter w14:val="0"/>
          </w14:textOutline>
        </w:rPr>
      </w:pPr>
      <w: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t>七、资格审查资料</w:t>
      </w: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&lt;注： 格式以系统生成格式为准&gt;</w:t>
      </w: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spacing w:before="101" w:line="224" w:lineRule="auto"/>
        <w:ind w:left="2826"/>
        <w:outlineLvl w:val="6"/>
        <w:rPr>
          <w:rFonts w:hint="eastAsia" w:ascii="宋体" w:hAnsi="宋体" w:eastAsia="宋体" w:cs="宋体"/>
          <w:sz w:val="31"/>
          <w:szCs w:val="31"/>
          <w:highlight w:val="none"/>
        </w:rPr>
      </w:pPr>
      <w: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t>八、投标人廉洁自律承诺书</w:t>
      </w:r>
    </w:p>
    <w:p>
      <w:pPr>
        <w:spacing w:line="329" w:lineRule="auto"/>
        <w:rPr>
          <w:rFonts w:hint="eastAsia" w:ascii="宋体" w:hAnsi="宋体" w:eastAsia="宋体" w:cs="宋体"/>
          <w:sz w:val="21"/>
          <w:highlight w:val="none"/>
        </w:rPr>
      </w:pPr>
    </w:p>
    <w:p>
      <w:pPr>
        <w:bidi w:val="0"/>
        <w:spacing w:line="360" w:lineRule="auto"/>
        <w:ind w:firstLine="480" w:firstLineChars="200"/>
        <w:rPr>
          <w:rFonts w:hint="eastAsia" w:ascii="宋体" w:hAnsi="宋体" w:eastAsia="宋体" w:cs="宋体"/>
          <w:sz w:val="24"/>
          <w:szCs w:val="24"/>
          <w:highlight w:val="none"/>
        </w:rPr>
      </w:pP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为确保公共资源交易活动合法、合规、公平、公正、公开， 我单位在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标段投标活动中承诺如下事项：</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一、严格执行招标投标法、政府采购法等各项法律、法规及制度，主动接受相关部门和社会的监督。</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二、不与采购人、代理机构串通投标；不与其他投标人相互串通投标，不排挤其他投标人的公平竞争。</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三、不向招标代理机构、评委和招标单位人员进行任何形式的商业贿赂以谋取中标机会。</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四、保证提供的投标资料真实、准确、合法，不以任何形式弄虚作假骗取中标。</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五、不以低于成本的报价竞标，不以他人名义投标，不以任何方式转包和违法分包。不以投诉为名排挤竞争对手，不进行虚假、恶意投诉，阻碍招标投标活动的正常进行。</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六、中标后，在规定时间内与采购人签订合同并依法履行合同。</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七、违反上述承诺或有其他违法违规行为，愿意接受被没收投标保证金，以及按照国家法律、法规和相应规章制度规定接受处罚，愿意承担一切法律责任。</w:t>
      </w: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投标人：（单位电子签章）</w:t>
      </w:r>
    </w:p>
    <w:p>
      <w:pPr>
        <w:bidi w:val="0"/>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法定代表人或委托代理人：（电子签章或电子签名）</w:t>
      </w:r>
    </w:p>
    <w:p>
      <w:pPr>
        <w:bidi w:val="0"/>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注:联合体投标， 由联合体牵头人提供。</w:t>
      </w:r>
    </w:p>
    <w:p>
      <w:pPr>
        <w:bidi w:val="0"/>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14:textOutline w14:w="5791" w14:cap="flat" w14:cmpd="sng">
            <w14:solidFill>
              <w14:srgbClr w14:val="000000"/>
            </w14:solidFill>
            <w14:prstDash w14:val="solid"/>
            <w14:miter w14:val="0"/>
          </w14:textOutline>
        </w:rPr>
      </w:pPr>
      <w:r>
        <w:rPr>
          <w:rFonts w:hint="eastAsia" w:ascii="宋体" w:hAnsi="宋体" w:eastAsia="宋体" w:cs="宋体"/>
          <w:spacing w:val="8"/>
          <w:position w:val="22"/>
          <w:sz w:val="32"/>
          <w:szCs w:val="32"/>
          <w:highlight w:val="none"/>
          <w:lang w:val="en-US" w:eastAsia="zh-CN"/>
          <w14:textOutline w14:w="5791" w14:cap="flat" w14:cmpd="sng">
            <w14:solidFill>
              <w14:srgbClr w14:val="000000"/>
            </w14:solidFill>
            <w14:prstDash w14:val="solid"/>
            <w14:miter w14:val="0"/>
          </w14:textOutline>
        </w:rPr>
        <w:t>九、</w:t>
      </w:r>
      <w: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t>服务承诺</w:t>
      </w: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31"/>
          <w:szCs w:val="31"/>
          <w:highlight w:val="none"/>
          <w:lang w:val="en-US" w:eastAsia="zh-CN"/>
          <w14:textOutline w14:w="5791" w14:cap="flat" w14:cmpd="sng">
            <w14:solidFill>
              <w14:srgbClr w14:val="000000"/>
            </w14:solidFill>
            <w14:prstDash w14:val="solid"/>
            <w14:miter w14:val="0"/>
          </w14:textOutline>
        </w:rPr>
      </w:pPr>
    </w:p>
    <w:p>
      <w:pPr>
        <w:spacing w:before="101" w:line="226" w:lineRule="auto"/>
        <w:ind w:left="3623"/>
        <w:rPr>
          <w:rFonts w:hint="eastAsia" w:ascii="宋体" w:hAnsi="宋体" w:eastAsia="宋体" w:cs="宋体"/>
          <w:sz w:val="31"/>
          <w:szCs w:val="31"/>
          <w:highlight w:val="none"/>
        </w:rPr>
      </w:pPr>
      <w: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t>十、投标一览表</w:t>
      </w: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&lt;注： 格式以系统生成格式为准&gt;</w:t>
      </w: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5"/>
          <w:sz w:val="31"/>
          <w:szCs w:val="31"/>
          <w:highlight w:val="none"/>
          <w14:textOutline w14:w="5791" w14:cap="flat" w14:cmpd="sng">
            <w14:solidFill>
              <w14:srgbClr w14:val="000000"/>
            </w14:solidFill>
            <w14:prstDash w14:val="solid"/>
            <w14:miter w14:val="0"/>
          </w14:textOutline>
        </w:rPr>
      </w:pPr>
      <w: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t>十一、承诺书</w:t>
      </w:r>
    </w:p>
    <w:p>
      <w:pPr>
        <w:bidi w:val="0"/>
        <w:spacing w:line="360" w:lineRule="auto"/>
        <w:jc w:val="center"/>
        <w:rPr>
          <w:rFonts w:hint="eastAsia" w:ascii="宋体" w:hAnsi="宋体" w:eastAsia="宋体" w:cs="宋体"/>
          <w:sz w:val="24"/>
          <w:szCs w:val="24"/>
          <w:highlight w:val="none"/>
        </w:rPr>
      </w:pPr>
    </w:p>
    <w:p>
      <w:pPr>
        <w:bidi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（一）新郑市房屋建筑和市政基础设施工程项目招标投标活动承诺书</w:t>
      </w:r>
    </w:p>
    <w:p>
      <w:pPr>
        <w:bidi w:val="0"/>
        <w:spacing w:line="360" w:lineRule="auto"/>
        <w:rPr>
          <w:rFonts w:hint="eastAsia" w:ascii="宋体" w:hAnsi="宋体" w:eastAsia="宋体" w:cs="宋体"/>
          <w:sz w:val="24"/>
          <w:szCs w:val="24"/>
          <w:highlight w:val="none"/>
        </w:rPr>
      </w:pPr>
    </w:p>
    <w:p>
      <w:pPr>
        <w:bidi w:val="0"/>
        <w:spacing w:line="360" w:lineRule="auto"/>
        <w:rPr>
          <w:rFonts w:hint="eastAsia" w:ascii="宋体" w:hAnsi="宋体" w:eastAsia="宋体" w:cs="宋体"/>
          <w:sz w:val="24"/>
          <w:szCs w:val="24"/>
          <w:highlight w:val="none"/>
        </w:rPr>
      </w:pPr>
    </w:p>
    <w:p>
      <w:pPr>
        <w:bidi w:val="0"/>
        <w:spacing w:line="360" w:lineRule="auto"/>
        <w:rPr>
          <w:rFonts w:hint="eastAsia" w:ascii="宋体" w:hAnsi="宋体" w:eastAsia="宋体" w:cs="宋体"/>
          <w:sz w:val="24"/>
          <w:szCs w:val="24"/>
          <w:highlight w:val="none"/>
        </w:rPr>
      </w:pP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我单位承诺， 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招投标活动中， 自觉遵守《中华人民共和国招标 投标法》、《中华人民共和国招标投标法实施条例》、河南省实施《中华人民共和国招标</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投标法》办法等招标投标相关法律、法规和制度规定，如有违反，愿承担相关法律责任。</w:t>
      </w:r>
    </w:p>
    <w:p>
      <w:pPr>
        <w:bidi w:val="0"/>
        <w:spacing w:line="360" w:lineRule="auto"/>
        <w:rPr>
          <w:rFonts w:hint="eastAsia" w:ascii="宋体" w:hAnsi="宋体" w:eastAsia="宋体" w:cs="宋体"/>
          <w:sz w:val="24"/>
          <w:szCs w:val="24"/>
          <w:highlight w:val="none"/>
        </w:rPr>
      </w:pP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承诺人（法人或委托代理人）（电子签章或电子签名）：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bidi w:val="0"/>
        <w:spacing w:line="360" w:lineRule="auto"/>
        <w:rPr>
          <w:rFonts w:hint="eastAsia" w:ascii="宋体" w:hAnsi="宋体" w:eastAsia="宋体" w:cs="宋体"/>
          <w:sz w:val="24"/>
          <w:szCs w:val="24"/>
          <w:highlight w:val="none"/>
        </w:rPr>
      </w:pPr>
    </w:p>
    <w:p>
      <w:pPr>
        <w:bidi w:val="0"/>
        <w:spacing w:line="360" w:lineRule="auto"/>
        <w:rPr>
          <w:rFonts w:hint="eastAsia" w:ascii="宋体" w:hAnsi="宋体" w:eastAsia="宋体" w:cs="宋体"/>
          <w:sz w:val="24"/>
          <w:szCs w:val="24"/>
          <w:highlight w:val="none"/>
        </w:rPr>
      </w:pPr>
    </w:p>
    <w:p>
      <w:pPr>
        <w:bidi w:val="0"/>
        <w:spacing w:line="360" w:lineRule="auto"/>
        <w:rPr>
          <w:rFonts w:hint="eastAsia" w:ascii="宋体" w:hAnsi="宋体" w:eastAsia="宋体" w:cs="宋体"/>
          <w:sz w:val="24"/>
          <w:szCs w:val="24"/>
          <w:highlight w:val="none"/>
        </w:rPr>
      </w:pP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注:联合体投标， 由联合体牵头人提供。</w:t>
      </w: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spacing w:val="-7"/>
          <w:sz w:val="21"/>
          <w:szCs w:val="21"/>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 反商业贿赂承诺书</w:t>
      </w: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我公司承诺：</w:t>
      </w:r>
    </w:p>
    <w:p>
      <w:pPr>
        <w:numPr>
          <w:ilvl w:val="0"/>
          <w:numId w:val="0"/>
        </w:numPr>
        <w:kinsoku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（项目名称）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标段招标活动中，我公司保证做到：</w:t>
      </w:r>
    </w:p>
    <w:p>
      <w:pPr>
        <w:numPr>
          <w:ilvl w:val="0"/>
          <w:numId w:val="0"/>
        </w:numPr>
        <w:kinsoku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一、公平竞争参见本次招标活动。</w:t>
      </w:r>
    </w:p>
    <w:p>
      <w:pPr>
        <w:numPr>
          <w:ilvl w:val="0"/>
          <w:numId w:val="0"/>
        </w:numPr>
        <w:kinsoku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二、杜绝任何形式的商业贿赂行为。不向国家工作人员、招标代理机构工作人员、评 审专家及亲属提供礼品礼金、有价证券、购物券、回扣、佣金、咨询费、劳务费、资助费、</w:t>
      </w: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宣传费、宴请；不为其报销各种消费凭证，不支付其旅游、娱乐等费用。</w:t>
      </w:r>
    </w:p>
    <w:p>
      <w:pPr>
        <w:numPr>
          <w:ilvl w:val="0"/>
          <w:numId w:val="0"/>
        </w:numPr>
        <w:kinsoku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三、若出现上述行为， 我公司及参与投标的工作人员愿意接受按照国家法律法规等有</w:t>
      </w: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关规定给予的处罚。</w:t>
      </w: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360" w:lineRule="auto"/>
        <w:jc w:val="righ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投标人：（单位电子签章）</w:t>
      </w:r>
    </w:p>
    <w:p>
      <w:pPr>
        <w:numPr>
          <w:ilvl w:val="0"/>
          <w:numId w:val="0"/>
        </w:numPr>
        <w:kinsoku w:val="0"/>
        <w:autoSpaceDE w:val="0"/>
        <w:autoSpaceDN w:val="0"/>
        <w:bidi w:val="0"/>
        <w:adjustRightInd w:val="0"/>
        <w:snapToGrid w:val="0"/>
        <w:spacing w:line="360" w:lineRule="auto"/>
        <w:jc w:val="righ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法定代表人或委托代理人：（电子签章或电子签名）</w:t>
      </w:r>
    </w:p>
    <w:p>
      <w:pPr>
        <w:numPr>
          <w:ilvl w:val="0"/>
          <w:numId w:val="0"/>
        </w:numPr>
        <w:kinsoku w:val="0"/>
        <w:autoSpaceDE w:val="0"/>
        <w:autoSpaceDN w:val="0"/>
        <w:bidi w:val="0"/>
        <w:adjustRightInd w:val="0"/>
        <w:snapToGrid w:val="0"/>
        <w:spacing w:line="360" w:lineRule="auto"/>
        <w:jc w:val="righ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年    月    日</w:t>
      </w: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bidi w:val="0"/>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注:联合体投标， 由联合体牵头人提供。</w:t>
      </w: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bidi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 企业投标诚信承诺书</w:t>
      </w:r>
    </w:p>
    <w:p>
      <w:pPr>
        <w:bidi w:val="0"/>
        <w:spacing w:line="360" w:lineRule="auto"/>
        <w:rPr>
          <w:rFonts w:hint="eastAsia" w:ascii="宋体" w:hAnsi="宋体" w:eastAsia="宋体" w:cs="宋体"/>
          <w:sz w:val="24"/>
          <w:szCs w:val="24"/>
          <w:highlight w:val="none"/>
        </w:rPr>
      </w:pP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本企业郑重承诺：</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一、遵循公开、公平、公正和诚实信用的原则参加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标段投标；</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二、所提供的一切材料都是真实、有效、合法的；</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三、不与其他投标人相互串通投标报价， 不排挤其他投标人的公平竞争， 损害招标人</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或其他投标人的合法权益；</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四、不与招标人或招标代理机构串通投标， 损害国家利益、社会公共利益或者他人的</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合法权益；</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五、不向招标人或者评标委员会成员行贿以牟取中标；</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六、不以他人名义投标或者以其他方式弄虚作假，骗取中标；</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七、不出卖资质，让他人挂靠投标；</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八、不恶意压低或抬高投标报价；</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九、不扰乱招投标市场秩序；</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十、不在开标后进行虚假恶意投诉。</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本公司若有违反本承诺内容的行为， 愿意承担法律责任， 包括： 愿意接受相关行政主</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管部门作出的处罚和处理。</w:t>
      </w:r>
    </w:p>
    <w:p>
      <w:pPr>
        <w:bidi w:val="0"/>
        <w:spacing w:line="360" w:lineRule="auto"/>
        <w:jc w:val="right"/>
        <w:rPr>
          <w:rFonts w:hint="eastAsia" w:ascii="宋体" w:hAnsi="宋体" w:eastAsia="宋体" w:cs="宋体"/>
          <w:sz w:val="24"/>
          <w:szCs w:val="24"/>
          <w:highlight w:val="none"/>
        </w:rPr>
      </w:pPr>
    </w:p>
    <w:p>
      <w:pPr>
        <w:bidi w:val="0"/>
        <w:spacing w:line="360" w:lineRule="auto"/>
        <w:jc w:val="right"/>
        <w:rPr>
          <w:rFonts w:hint="eastAsia" w:ascii="宋体" w:hAnsi="宋体" w:eastAsia="宋体" w:cs="宋体"/>
          <w:sz w:val="24"/>
          <w:szCs w:val="24"/>
          <w:highlight w:val="none"/>
        </w:rPr>
      </w:pPr>
    </w:p>
    <w:p>
      <w:pPr>
        <w:bidi w:val="0"/>
        <w:spacing w:line="360" w:lineRule="auto"/>
        <w:jc w:val="right"/>
        <w:rPr>
          <w:rFonts w:hint="eastAsia" w:ascii="宋体" w:hAnsi="宋体" w:eastAsia="宋体" w:cs="宋体"/>
          <w:sz w:val="24"/>
          <w:szCs w:val="24"/>
          <w:highlight w:val="none"/>
        </w:rPr>
      </w:pPr>
    </w:p>
    <w:p>
      <w:pPr>
        <w:bidi w:val="0"/>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投标人：（单位电子签章）</w:t>
      </w:r>
    </w:p>
    <w:p>
      <w:pPr>
        <w:bidi w:val="0"/>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法定代表人或委托代理人：（电子签章或电子签名）</w:t>
      </w:r>
    </w:p>
    <w:p>
      <w:pPr>
        <w:bidi w:val="0"/>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bidi w:val="0"/>
        <w:spacing w:line="360" w:lineRule="auto"/>
        <w:rPr>
          <w:rFonts w:hint="eastAsia" w:ascii="宋体" w:hAnsi="宋体" w:eastAsia="宋体" w:cs="宋体"/>
          <w:sz w:val="24"/>
          <w:szCs w:val="24"/>
          <w:highlight w:val="none"/>
        </w:rPr>
      </w:pPr>
    </w:p>
    <w:p>
      <w:pPr>
        <w:bidi w:val="0"/>
        <w:spacing w:line="360" w:lineRule="auto"/>
        <w:rPr>
          <w:rFonts w:hint="eastAsia" w:ascii="宋体" w:hAnsi="宋体" w:eastAsia="宋体" w:cs="宋体"/>
          <w:sz w:val="24"/>
          <w:szCs w:val="24"/>
          <w:highlight w:val="none"/>
        </w:rPr>
      </w:pPr>
    </w:p>
    <w:p>
      <w:pPr>
        <w:bidi w:val="0"/>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注:联合体投标， 由联合体牵头人提供。</w:t>
      </w: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 无违法违规、无拖欠农民工工资承诺</w:t>
      </w: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本企业郑重承诺：</w:t>
      </w:r>
    </w:p>
    <w:p>
      <w:pPr>
        <w:numPr>
          <w:ilvl w:val="0"/>
          <w:numId w:val="0"/>
        </w:numPr>
        <w:kinsoku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我公司参加政府采购活动近三年内， 在经营活动中无重大违法记录、无违规记录、在 经营活动中没有因违法经营受到刑事处罚或者责令停产、停业、吊销许可证或者执照、较</w:t>
      </w: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大数额罚款等行政处罚，或者投标资格被取消，无拖欠农民工工资记录。</w:t>
      </w: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360" w:lineRule="auto"/>
        <w:jc w:val="righ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投标人：（单位电子签章）</w:t>
      </w:r>
    </w:p>
    <w:p>
      <w:pPr>
        <w:numPr>
          <w:ilvl w:val="0"/>
          <w:numId w:val="0"/>
        </w:numPr>
        <w:kinsoku w:val="0"/>
        <w:autoSpaceDE w:val="0"/>
        <w:autoSpaceDN w:val="0"/>
        <w:bidi w:val="0"/>
        <w:adjustRightInd w:val="0"/>
        <w:snapToGrid w:val="0"/>
        <w:spacing w:line="360" w:lineRule="auto"/>
        <w:jc w:val="righ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法定代表人或委托代理人：（电子签章或电子签名）</w:t>
      </w:r>
    </w:p>
    <w:p>
      <w:pPr>
        <w:numPr>
          <w:ilvl w:val="0"/>
          <w:numId w:val="0"/>
        </w:numPr>
        <w:kinsoku w:val="0"/>
        <w:autoSpaceDE w:val="0"/>
        <w:autoSpaceDN w:val="0"/>
        <w:bidi w:val="0"/>
        <w:adjustRightInd w:val="0"/>
        <w:snapToGrid w:val="0"/>
        <w:spacing w:line="360" w:lineRule="auto"/>
        <w:jc w:val="righ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年    月    日</w:t>
      </w: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360" w:lineRule="auto"/>
        <w:jc w:val="left"/>
        <w:textAlignment w:val="baseline"/>
        <w:rPr>
          <w:rFonts w:hint="eastAsia" w:ascii="宋体" w:hAnsi="宋体" w:eastAsia="宋体" w:cs="宋体"/>
          <w:sz w:val="24"/>
          <w:szCs w:val="24"/>
          <w:highlight w:val="none"/>
          <w:lang w:val="en-US" w:eastAsia="zh-CN"/>
        </w:rPr>
      </w:pPr>
    </w:p>
    <w:p>
      <w:pPr>
        <w:bidi w:val="0"/>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注:联合体投标的，由联合体牵头人提供。</w:t>
      </w: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numPr>
          <w:ilvl w:val="0"/>
          <w:numId w:val="0"/>
        </w:numPr>
        <w:kinsoku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lang w:val="en-US" w:eastAsia="zh-CN"/>
        </w:rPr>
      </w:pPr>
    </w:p>
    <w:p>
      <w:pPr>
        <w:bidi w:val="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（五） 无在建承诺书</w:t>
      </w: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（招标人名称） ：</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我方在此声明，我方拟派往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（项目名称）（以下简称“本工程”）</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的项目经理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（项目经理姓名） 现阶段没有在任何在施建设工程项目任职。</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我方保证上述信息的真实和准确，并愿意承担因我方就此弄虚作假引起的一切法律后</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果。</w:t>
      </w:r>
    </w:p>
    <w:p>
      <w:pPr>
        <w:bidi w:val="0"/>
        <w:spacing w:line="360" w:lineRule="auto"/>
        <w:rPr>
          <w:rFonts w:hint="eastAsia" w:ascii="宋体" w:hAnsi="宋体" w:eastAsia="宋体" w:cs="宋体"/>
          <w:sz w:val="24"/>
          <w:szCs w:val="24"/>
          <w:highlight w:val="none"/>
        </w:rPr>
      </w:pP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bidi w:val="0"/>
        <w:spacing w:line="360" w:lineRule="auto"/>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投标人：（单位电子签章）</w:t>
      </w:r>
    </w:p>
    <w:p>
      <w:pPr>
        <w:bidi w:val="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法定代表人或委托代理人：（电子签章或电子签名）</w:t>
      </w:r>
    </w:p>
    <w:p>
      <w:pPr>
        <w:bidi w:val="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注:联合体投标，由联合体牵头人提供。</w:t>
      </w:r>
    </w:p>
    <w:p>
      <w:pPr>
        <w:bidi w:val="0"/>
        <w:rPr>
          <w:rFonts w:hint="eastAsia" w:ascii="宋体" w:hAnsi="宋体" w:eastAsia="宋体" w:cs="宋体"/>
          <w:b/>
          <w:bCs/>
          <w:sz w:val="24"/>
          <w:szCs w:val="24"/>
          <w:highlight w:val="none"/>
        </w:rPr>
      </w:pPr>
    </w:p>
    <w:p>
      <w:pPr>
        <w:bidi w:val="0"/>
        <w:rPr>
          <w:rFonts w:hint="eastAsia" w:ascii="宋体" w:hAnsi="宋体" w:eastAsia="宋体" w:cs="宋体"/>
          <w:b/>
          <w:bCs/>
          <w:sz w:val="24"/>
          <w:szCs w:val="24"/>
          <w:highlight w:val="none"/>
        </w:rPr>
      </w:pPr>
    </w:p>
    <w:p>
      <w:pPr>
        <w:bidi w:val="0"/>
        <w:rPr>
          <w:rFonts w:hint="eastAsia" w:ascii="宋体" w:hAnsi="宋体" w:eastAsia="宋体" w:cs="宋体"/>
          <w:b/>
          <w:bCs/>
          <w:sz w:val="24"/>
          <w:szCs w:val="24"/>
          <w:highlight w:val="none"/>
        </w:rPr>
      </w:pPr>
    </w:p>
    <w:p>
      <w:pPr>
        <w:bidi w:val="0"/>
        <w:rPr>
          <w:rFonts w:hint="eastAsia" w:ascii="宋体" w:hAnsi="宋体" w:eastAsia="宋体" w:cs="宋体"/>
          <w:b/>
          <w:bCs/>
          <w:sz w:val="24"/>
          <w:szCs w:val="24"/>
          <w:highlight w:val="none"/>
        </w:rPr>
      </w:pPr>
    </w:p>
    <w:p>
      <w:pPr>
        <w:bidi w:val="0"/>
        <w:rPr>
          <w:rFonts w:hint="eastAsia" w:ascii="宋体" w:hAnsi="宋体" w:eastAsia="宋体" w:cs="宋体"/>
          <w:b/>
          <w:bCs/>
          <w:sz w:val="24"/>
          <w:szCs w:val="24"/>
          <w:highlight w:val="none"/>
        </w:rPr>
      </w:pPr>
    </w:p>
    <w:p>
      <w:pPr>
        <w:bidi w:val="0"/>
        <w:rPr>
          <w:rFonts w:hint="eastAsia" w:ascii="宋体" w:hAnsi="宋体" w:eastAsia="宋体" w:cs="宋体"/>
          <w:b/>
          <w:bCs/>
          <w:sz w:val="24"/>
          <w:szCs w:val="24"/>
          <w:highlight w:val="none"/>
        </w:rPr>
      </w:pPr>
    </w:p>
    <w:p>
      <w:pPr>
        <w:bidi w:val="0"/>
        <w:rPr>
          <w:rFonts w:hint="eastAsia" w:ascii="宋体" w:hAnsi="宋体" w:eastAsia="宋体" w:cs="宋体"/>
          <w:b/>
          <w:bCs/>
          <w:sz w:val="24"/>
          <w:szCs w:val="24"/>
          <w:highlight w:val="none"/>
        </w:rPr>
      </w:pPr>
    </w:p>
    <w:p>
      <w:pPr>
        <w:bidi w:val="0"/>
        <w:rPr>
          <w:rFonts w:hint="eastAsia" w:ascii="宋体" w:hAnsi="宋体" w:eastAsia="宋体" w:cs="宋体"/>
          <w:b/>
          <w:bCs/>
          <w:sz w:val="24"/>
          <w:szCs w:val="24"/>
          <w:highlight w:val="none"/>
        </w:rPr>
      </w:pPr>
    </w:p>
    <w:p>
      <w:pPr>
        <w:bidi w:val="0"/>
        <w:rPr>
          <w:rFonts w:hint="eastAsia" w:ascii="宋体" w:hAnsi="宋体" w:eastAsia="宋体" w:cs="宋体"/>
          <w:b/>
          <w:bCs/>
          <w:sz w:val="24"/>
          <w:szCs w:val="24"/>
          <w:highlight w:val="none"/>
        </w:rPr>
      </w:pPr>
    </w:p>
    <w:p>
      <w:pPr>
        <w:bidi w:val="0"/>
        <w:rPr>
          <w:rFonts w:hint="eastAsia" w:ascii="宋体" w:hAnsi="宋体" w:eastAsia="宋体" w:cs="宋体"/>
          <w:b/>
          <w:bCs/>
          <w:sz w:val="24"/>
          <w:szCs w:val="24"/>
          <w:highlight w:val="none"/>
        </w:rPr>
      </w:pPr>
    </w:p>
    <w:p>
      <w:pPr>
        <w:bidi w:val="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（六）农民工工资支付承诺书</w:t>
      </w:r>
    </w:p>
    <w:p>
      <w:pPr>
        <w:pStyle w:val="2"/>
        <w:keepNext/>
        <w:keepLines/>
        <w:widowControl w:val="0"/>
        <w:numPr>
          <w:ilvl w:val="0"/>
          <w:numId w:val="0"/>
        </w:numPr>
        <w:spacing w:before="100" w:after="90" w:line="360" w:lineRule="auto"/>
        <w:jc w:val="both"/>
        <w:outlineLvl w:val="0"/>
        <w:rPr>
          <w:rFonts w:hint="eastAsia" w:ascii="宋体" w:hAnsi="宋体" w:eastAsia="宋体" w:cs="宋体"/>
          <w:b w:val="0"/>
          <w:bCs w:val="0"/>
          <w:sz w:val="21"/>
          <w:szCs w:val="21"/>
        </w:rPr>
      </w:pPr>
    </w:p>
    <w:p>
      <w:pPr>
        <w:pStyle w:val="2"/>
        <w:keepNext/>
        <w:keepLines/>
        <w:widowControl w:val="0"/>
        <w:numPr>
          <w:ilvl w:val="0"/>
          <w:numId w:val="0"/>
        </w:numPr>
        <w:spacing w:before="100" w:after="90" w:line="360" w:lineRule="auto"/>
        <w:jc w:val="both"/>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致:</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(招标人名称)</w:t>
      </w:r>
    </w:p>
    <w:p>
      <w:pPr>
        <w:pStyle w:val="2"/>
        <w:keepNext/>
        <w:keepLines/>
        <w:widowControl w:val="0"/>
        <w:numPr>
          <w:ilvl w:val="0"/>
          <w:numId w:val="0"/>
        </w:numPr>
        <w:spacing w:before="100" w:after="90" w:line="360" w:lineRule="auto"/>
        <w:ind w:firstLine="420"/>
        <w:jc w:val="center"/>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我方在</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项目名称)中做出如下承诺:如我方中标，我方将严格按照国务院《保障农民工工资支付条例》、人社部《工程建设领域农民工工资保证金规定》、《河南省工程建设领域农民工工资保证金实施办法》等相关文件的规定及新郑市人力资源和社会保障局的要求，按时足</w:t>
      </w:r>
    </w:p>
    <w:p>
      <w:pPr>
        <w:pStyle w:val="2"/>
        <w:keepNext/>
        <w:keepLines/>
        <w:widowControl w:val="0"/>
        <w:numPr>
          <w:ilvl w:val="0"/>
          <w:numId w:val="0"/>
        </w:numPr>
        <w:spacing w:before="100" w:after="90" w:line="360" w:lineRule="auto"/>
        <w:ind w:left="0" w:leftChars="0" w:firstLine="0" w:firstLineChars="0"/>
        <w:jc w:val="left"/>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额存储农民工工资保证金，在工程实施中不拖欠农民工工资，保证按时支付。</w:t>
      </w:r>
    </w:p>
    <w:p>
      <w:pPr>
        <w:pStyle w:val="2"/>
        <w:keepNext/>
        <w:keepLines/>
        <w:widowControl w:val="0"/>
        <w:numPr>
          <w:ilvl w:val="0"/>
          <w:numId w:val="0"/>
        </w:numPr>
        <w:spacing w:before="100" w:after="90" w:line="360" w:lineRule="auto"/>
        <w:jc w:val="center"/>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上述承诺内容如有不实，我方愿意按弄虚作假接受处理，承担由此造成的一切法律责任。</w:t>
      </w:r>
    </w:p>
    <w:p>
      <w:pPr>
        <w:pStyle w:val="2"/>
        <w:keepNext/>
        <w:keepLines/>
        <w:widowControl w:val="0"/>
        <w:numPr>
          <w:ilvl w:val="0"/>
          <w:numId w:val="0"/>
        </w:numPr>
        <w:spacing w:before="100" w:after="90" w:line="360" w:lineRule="auto"/>
        <w:jc w:val="center"/>
        <w:outlineLvl w:val="0"/>
        <w:rPr>
          <w:rFonts w:hint="eastAsia" w:ascii="宋体" w:hAnsi="宋体" w:eastAsia="宋体" w:cs="宋体"/>
          <w:b w:val="0"/>
          <w:bCs w:val="0"/>
          <w:sz w:val="21"/>
          <w:szCs w:val="21"/>
        </w:rPr>
      </w:pPr>
    </w:p>
    <w:p>
      <w:pPr>
        <w:pStyle w:val="2"/>
        <w:keepNext/>
        <w:keepLines/>
        <w:widowControl w:val="0"/>
        <w:numPr>
          <w:ilvl w:val="0"/>
          <w:numId w:val="0"/>
        </w:numPr>
        <w:spacing w:before="100" w:after="90" w:line="360" w:lineRule="auto"/>
        <w:ind w:firstLine="840" w:firstLineChars="400"/>
        <w:jc w:val="both"/>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特此承诺。</w:t>
      </w:r>
    </w:p>
    <w:p>
      <w:pPr>
        <w:pStyle w:val="2"/>
        <w:keepNext/>
        <w:keepLines/>
        <w:widowControl w:val="0"/>
        <w:numPr>
          <w:ilvl w:val="0"/>
          <w:numId w:val="0"/>
        </w:numPr>
        <w:spacing w:before="100" w:after="90" w:line="360" w:lineRule="auto"/>
        <w:jc w:val="center"/>
        <w:outlineLvl w:val="0"/>
        <w:rPr>
          <w:rFonts w:hint="eastAsia" w:ascii="宋体" w:hAnsi="宋体" w:eastAsia="宋体" w:cs="宋体"/>
          <w:b w:val="0"/>
          <w:bCs w:val="0"/>
          <w:sz w:val="21"/>
          <w:szCs w:val="21"/>
        </w:rPr>
      </w:pPr>
    </w:p>
    <w:p>
      <w:pPr>
        <w:rPr>
          <w:rFonts w:hint="eastAsia" w:ascii="宋体" w:hAnsi="宋体" w:eastAsia="宋体" w:cs="宋体"/>
          <w:b w:val="0"/>
          <w:bCs w:val="0"/>
          <w:sz w:val="21"/>
          <w:szCs w:val="21"/>
        </w:rPr>
      </w:pPr>
    </w:p>
    <w:p>
      <w:pPr>
        <w:pStyle w:val="2"/>
        <w:rPr>
          <w:rFonts w:hint="eastAsia" w:ascii="宋体" w:hAnsi="宋体" w:eastAsia="宋体" w:cs="宋体"/>
          <w:b w:val="0"/>
          <w:bCs w:val="0"/>
          <w:sz w:val="21"/>
          <w:szCs w:val="21"/>
        </w:rPr>
      </w:pPr>
    </w:p>
    <w:p>
      <w:pPr>
        <w:rPr>
          <w:rFonts w:hint="eastAsia"/>
        </w:rPr>
      </w:pPr>
    </w:p>
    <w:p>
      <w:pPr>
        <w:bidi w:val="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投标人：（单位电子签章）</w:t>
      </w:r>
    </w:p>
    <w:p>
      <w:pPr>
        <w:bidi w:val="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法定代表人或委托代理人：（电子签章或电子签名）</w:t>
      </w:r>
    </w:p>
    <w:p>
      <w:pPr>
        <w:bidi w:val="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注:联合体投标，由联合体牵头人提供。</w:t>
      </w:r>
    </w:p>
    <w:p>
      <w:pPr>
        <w:bidi w:val="0"/>
        <w:jc w:val="cente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bidi w:val="0"/>
        <w:jc w:val="cente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pStyle w:val="2"/>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pStyle w:val="2"/>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rPr>
          <w:rFonts w:hint="eastAsia"/>
        </w:rPr>
      </w:pPr>
    </w:p>
    <w:p>
      <w:pPr>
        <w:bidi w:val="0"/>
        <w:jc w:val="cente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bidi w:val="0"/>
        <w:jc w:val="cente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bidi w:val="0"/>
        <w:jc w:val="center"/>
        <w:rPr>
          <w:rFonts w:hint="eastAsia" w:ascii="宋体" w:hAnsi="宋体" w:eastAsia="宋体" w:cs="宋体"/>
          <w:b/>
          <w:bCs/>
          <w:sz w:val="24"/>
          <w:szCs w:val="24"/>
          <w:highlight w:val="none"/>
          <w:lang w:val="en-US" w:eastAsia="zh-CN"/>
        </w:rPr>
      </w:pPr>
      <w: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t>十二、投标人认为有必要的其他资料</w:t>
      </w:r>
    </w:p>
    <w:sectPr>
      <w:footerReference r:id="rId6" w:type="default"/>
      <w:pgSz w:w="11906" w:h="16838"/>
      <w:pgMar w:top="1440" w:right="1134" w:bottom="1440" w:left="1134"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33E0B2"/>
    <w:multiLevelType w:val="singleLevel"/>
    <w:tmpl w:val="D233E0B2"/>
    <w:lvl w:ilvl="0" w:tentative="0">
      <w:start w:val="2"/>
      <w:numFmt w:val="chineseCounting"/>
      <w:suff w:val="nothing"/>
      <w:lvlText w:val="（%1）"/>
      <w:lvlJc w:val="left"/>
      <w:rPr>
        <w:rFonts w:hint="eastAsia"/>
      </w:rPr>
    </w:lvl>
  </w:abstractNum>
  <w:abstractNum w:abstractNumId="1">
    <w:nsid w:val="EA31CD26"/>
    <w:multiLevelType w:val="singleLevel"/>
    <w:tmpl w:val="EA31CD26"/>
    <w:lvl w:ilvl="0" w:tentative="0">
      <w:start w:val="2"/>
      <w:numFmt w:val="decimal"/>
      <w:lvlText w:val="%1."/>
      <w:lvlJc w:val="left"/>
      <w:pPr>
        <w:tabs>
          <w:tab w:val="left" w:pos="312"/>
        </w:tabs>
      </w:pPr>
    </w:lvl>
  </w:abstractNum>
  <w:abstractNum w:abstractNumId="2">
    <w:nsid w:val="4328F954"/>
    <w:multiLevelType w:val="singleLevel"/>
    <w:tmpl w:val="4328F954"/>
    <w:lvl w:ilvl="0" w:tentative="0">
      <w:start w:val="1"/>
      <w:numFmt w:val="decimal"/>
      <w:suff w:val="nothing"/>
      <w:lvlText w:val="（%1）"/>
      <w:lvlJc w:val="left"/>
    </w:lvl>
  </w:abstractNum>
  <w:abstractNum w:abstractNumId="3">
    <w:nsid w:val="6E87019F"/>
    <w:multiLevelType w:val="multilevel"/>
    <w:tmpl w:val="6E87019F"/>
    <w:lvl w:ilvl="0" w:tentative="0">
      <w:start w:val="1"/>
      <w:numFmt w:val="chineseCountingThousand"/>
      <w:pStyle w:val="27"/>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ZGNmZTRlYTc5MzliZWRiM2UyY2Q1YmQ4ZTE5YzQifQ=="/>
  </w:docVars>
  <w:rsids>
    <w:rsidRoot w:val="00172A27"/>
    <w:rsid w:val="021F1C76"/>
    <w:rsid w:val="06612F96"/>
    <w:rsid w:val="06F95943"/>
    <w:rsid w:val="07FE491D"/>
    <w:rsid w:val="08F17FDE"/>
    <w:rsid w:val="0C4D04B6"/>
    <w:rsid w:val="0D181FDD"/>
    <w:rsid w:val="16381638"/>
    <w:rsid w:val="1D3C0069"/>
    <w:rsid w:val="22E51A85"/>
    <w:rsid w:val="23490CEA"/>
    <w:rsid w:val="2416267B"/>
    <w:rsid w:val="279F3844"/>
    <w:rsid w:val="2B913EF2"/>
    <w:rsid w:val="2B9176D3"/>
    <w:rsid w:val="2E163EBF"/>
    <w:rsid w:val="2E6A1DF3"/>
    <w:rsid w:val="2E9C43C4"/>
    <w:rsid w:val="2EE1627B"/>
    <w:rsid w:val="2FB90CB6"/>
    <w:rsid w:val="3151691B"/>
    <w:rsid w:val="33E00D5C"/>
    <w:rsid w:val="361D4EFA"/>
    <w:rsid w:val="39863327"/>
    <w:rsid w:val="39E07730"/>
    <w:rsid w:val="3B474BAB"/>
    <w:rsid w:val="3E8C4845"/>
    <w:rsid w:val="40E67C70"/>
    <w:rsid w:val="41986C6D"/>
    <w:rsid w:val="440A1978"/>
    <w:rsid w:val="46376E3B"/>
    <w:rsid w:val="46490EA2"/>
    <w:rsid w:val="469519CD"/>
    <w:rsid w:val="49230BE0"/>
    <w:rsid w:val="4DA70238"/>
    <w:rsid w:val="4DCF1B20"/>
    <w:rsid w:val="4F876573"/>
    <w:rsid w:val="504B0302"/>
    <w:rsid w:val="51FE5112"/>
    <w:rsid w:val="53235215"/>
    <w:rsid w:val="53B71964"/>
    <w:rsid w:val="54472315"/>
    <w:rsid w:val="54C76E2A"/>
    <w:rsid w:val="559B3CF7"/>
    <w:rsid w:val="55CB7CD6"/>
    <w:rsid w:val="56C20679"/>
    <w:rsid w:val="57560F2D"/>
    <w:rsid w:val="57C72621"/>
    <w:rsid w:val="598976B2"/>
    <w:rsid w:val="5C4D625A"/>
    <w:rsid w:val="5EF7674D"/>
    <w:rsid w:val="5F571ABE"/>
    <w:rsid w:val="60223600"/>
    <w:rsid w:val="60D8309D"/>
    <w:rsid w:val="61A4201D"/>
    <w:rsid w:val="638E0FDA"/>
    <w:rsid w:val="65E93F4F"/>
    <w:rsid w:val="67953428"/>
    <w:rsid w:val="69345E84"/>
    <w:rsid w:val="693764BC"/>
    <w:rsid w:val="72D6492D"/>
    <w:rsid w:val="75385A96"/>
    <w:rsid w:val="7919798C"/>
    <w:rsid w:val="7A317A1E"/>
    <w:rsid w:val="7A502688"/>
    <w:rsid w:val="7B965AB3"/>
    <w:rsid w:val="7F45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adjustRightInd w:val="0"/>
      <w:snapToGrid w:val="0"/>
      <w:spacing w:line="360" w:lineRule="auto"/>
      <w:jc w:val="center"/>
      <w:outlineLvl w:val="0"/>
    </w:pPr>
    <w:rPr>
      <w:rFonts w:ascii="Times New Roman" w:hAnsi="Times New Roman" w:eastAsia="宋体" w:cs="Times New Roman"/>
      <w:b/>
      <w:kern w:val="44"/>
      <w:sz w:val="30"/>
      <w:szCs w:val="22"/>
      <w:lang w:val="en-US" w:eastAsia="zh-CN" w:bidi="ar-SA"/>
    </w:rPr>
  </w:style>
  <w:style w:type="paragraph" w:styleId="3">
    <w:name w:val="heading 2"/>
    <w:basedOn w:val="1"/>
    <w:next w:val="1"/>
    <w:qFormat/>
    <w:uiPriority w:val="9"/>
    <w:pPr>
      <w:keepNext/>
      <w:keepLines/>
      <w:spacing w:line="413" w:lineRule="auto"/>
      <w:outlineLvl w:val="1"/>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00" w:lineRule="auto"/>
      <w:ind w:firstLine="420"/>
    </w:pPr>
    <w:rPr>
      <w:rFonts w:ascii="宋体"/>
      <w:sz w:val="24"/>
      <w:szCs w:val="20"/>
    </w:rPr>
  </w:style>
  <w:style w:type="paragraph" w:styleId="5">
    <w:name w:val="Body Text"/>
    <w:basedOn w:val="1"/>
    <w:autoRedefine/>
    <w:unhideWhenUsed/>
    <w:qFormat/>
    <w:uiPriority w:val="99"/>
  </w:style>
  <w:style w:type="paragraph" w:styleId="6">
    <w:name w:val="footer"/>
    <w:autoRedefine/>
    <w:unhideWhenUsed/>
    <w:qFormat/>
    <w:uiPriority w:val="99"/>
    <w:pPr>
      <w:tabs>
        <w:tab w:val="center" w:pos="4153"/>
        <w:tab w:val="right" w:pos="8306"/>
      </w:tabs>
      <w:jc w:val="center"/>
    </w:pPr>
    <w:rPr>
      <w:rFonts w:ascii="宋体" w:hAnsi="宋体" w:eastAsia="宋体" w:cs="Times New Roman"/>
      <w:kern w:val="2"/>
      <w:sz w:val="18"/>
      <w:szCs w:val="18"/>
      <w:lang w:val="en-US" w:eastAsia="zh-CN" w:bidi="ar-SA"/>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bCs/>
    </w:rPr>
  </w:style>
  <w:style w:type="character" w:styleId="12">
    <w:name w:val="FollowedHyperlink"/>
    <w:basedOn w:val="10"/>
    <w:autoRedefine/>
    <w:qFormat/>
    <w:uiPriority w:val="0"/>
    <w:rPr>
      <w:color w:val="800080"/>
      <w:u w:val="none"/>
    </w:rPr>
  </w:style>
  <w:style w:type="character" w:styleId="13">
    <w:name w:val="Emphasis"/>
    <w:basedOn w:val="10"/>
    <w:autoRedefine/>
    <w:qFormat/>
    <w:uiPriority w:val="0"/>
    <w:rPr>
      <w:b/>
      <w:bCs/>
    </w:rPr>
  </w:style>
  <w:style w:type="character" w:styleId="14">
    <w:name w:val="HTML Definition"/>
    <w:basedOn w:val="10"/>
    <w:autoRedefine/>
    <w:qFormat/>
    <w:uiPriority w:val="0"/>
  </w:style>
  <w:style w:type="character" w:styleId="15">
    <w:name w:val="HTML Typewriter"/>
    <w:basedOn w:val="10"/>
    <w:autoRedefine/>
    <w:qFormat/>
    <w:uiPriority w:val="0"/>
    <w:rPr>
      <w:rFonts w:hint="default"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0000FF"/>
      <w:u w:val="none"/>
    </w:rPr>
  </w:style>
  <w:style w:type="character" w:styleId="19">
    <w:name w:val="HTML Code"/>
    <w:basedOn w:val="10"/>
    <w:autoRedefine/>
    <w:qFormat/>
    <w:uiPriority w:val="0"/>
    <w:rPr>
      <w:rFonts w:hint="default" w:ascii="monospace" w:hAnsi="monospace" w:eastAsia="monospace" w:cs="monospace"/>
      <w:sz w:val="20"/>
    </w:rPr>
  </w:style>
  <w:style w:type="character" w:styleId="20">
    <w:name w:val="HTML Cite"/>
    <w:basedOn w:val="10"/>
    <w:autoRedefine/>
    <w:qFormat/>
    <w:uiPriority w:val="0"/>
  </w:style>
  <w:style w:type="character" w:styleId="21">
    <w:name w:val="HTML Keyboard"/>
    <w:basedOn w:val="10"/>
    <w:autoRedefine/>
    <w:qFormat/>
    <w:uiPriority w:val="0"/>
    <w:rPr>
      <w:rFonts w:hint="default" w:ascii="monospace" w:hAnsi="monospace" w:eastAsia="monospace" w:cs="monospace"/>
      <w:sz w:val="20"/>
    </w:rPr>
  </w:style>
  <w:style w:type="character" w:styleId="22">
    <w:name w:val="HTML Sample"/>
    <w:basedOn w:val="10"/>
    <w:autoRedefine/>
    <w:qFormat/>
    <w:uiPriority w:val="0"/>
    <w:rPr>
      <w:rFonts w:ascii="monospace" w:hAnsi="monospace" w:eastAsia="monospace" w:cs="monospace"/>
    </w:rPr>
  </w:style>
  <w:style w:type="paragraph" w:customStyle="1" w:styleId="23">
    <w:name w:val="Table Text"/>
    <w:basedOn w:val="1"/>
    <w:autoRedefine/>
    <w:semiHidden/>
    <w:qFormat/>
    <w:uiPriority w:val="0"/>
    <w:rPr>
      <w:rFonts w:ascii="宋体" w:hAnsi="宋体" w:eastAsia="宋体" w:cs="宋体"/>
      <w:sz w:val="21"/>
      <w:szCs w:val="21"/>
      <w:lang w:val="en-US" w:eastAsia="en-US" w:bidi="ar-SA"/>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Main Title"/>
    <w:next w:val="1"/>
    <w:autoRedefine/>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26">
    <w:name w:val="TOC 标题2"/>
    <w:basedOn w:val="2"/>
    <w:next w:val="1"/>
    <w:autoRedefine/>
    <w:qFormat/>
    <w:uiPriority w:val="0"/>
    <w:pPr>
      <w:keepNext/>
      <w:keepLines/>
      <w:widowControl w:val="0"/>
      <w:adjustRightInd/>
      <w:snapToGrid/>
      <w:spacing w:before="260" w:after="260" w:line="413" w:lineRule="auto"/>
    </w:pPr>
    <w:rPr>
      <w:rFonts w:ascii="宋体" w:hAnsi="宋体" w:eastAsia="宋体" w:cs="Times New Roman"/>
      <w:bCs/>
      <w:sz w:val="36"/>
      <w:szCs w:val="44"/>
      <w:lang w:val="zh-CN"/>
    </w:rPr>
  </w:style>
  <w:style w:type="paragraph" w:customStyle="1" w:styleId="27">
    <w:name w:val="协议书标题2"/>
    <w:basedOn w:val="3"/>
    <w:next w:val="1"/>
    <w:autoRedefine/>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 w:type="paragraph" w:customStyle="1" w:styleId="28">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29">
    <w:name w:val="专用标题2"/>
    <w:basedOn w:val="3"/>
    <w:next w:val="1"/>
    <w:autoRedefine/>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3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31">
    <w:name w:val="mini-tree-nodetext2"/>
    <w:basedOn w:val="10"/>
    <w:autoRedefine/>
    <w:qFormat/>
    <w:uiPriority w:val="0"/>
  </w:style>
  <w:style w:type="character" w:customStyle="1" w:styleId="32">
    <w:name w:val="mini-tree-nodetext3"/>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2024-01-07T03:17:00Z</dcterms:created>
  <dc:creator>肖肖</dc:creator>
  <cp:lastModifiedBy>肖肖</cp:lastModifiedBy>
  <dcterms:modified xsi:type="dcterms:W3CDTF">2024-01-31T11:00:55Z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DB3CF70C597A4B7791965C951AAE5584_13</vt:lpwstr>
  </property>
</Properties>
</file>