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afterLines="0"/>
        <w:ind w:firstLine="0" w:firstLineChars="0"/>
        <w:jc w:val="center"/>
        <w:rPr>
          <w:rFonts w:hint="eastAsia" w:ascii="宋体" w:hAnsi="宋体" w:eastAsia="宋体" w:cs="宋体"/>
          <w:color w:val="auto"/>
          <w:kern w:val="0"/>
          <w:sz w:val="24"/>
          <w:szCs w:val="22"/>
          <w:lang w:val="zh-CN" w:eastAsia="zh-CN" w:bidi="zh-CN"/>
        </w:rPr>
      </w:pPr>
      <w:bookmarkStart w:id="0" w:name="_Toc490667779"/>
      <w:bookmarkStart w:id="1" w:name="_Toc152042287"/>
      <w:bookmarkStart w:id="2" w:name="_Toc144974479"/>
      <w:bookmarkStart w:id="3" w:name="_Toc152045511"/>
      <w:r>
        <w:rPr>
          <w:rFonts w:hint="eastAsia" w:ascii="宋体" w:hAnsi="宋体" w:cs="宋体"/>
          <w:b/>
          <w:bCs/>
          <w:color w:val="auto"/>
          <w:kern w:val="0"/>
          <w:sz w:val="52"/>
          <w:szCs w:val="52"/>
          <w:lang w:val="en-US" w:eastAsia="zh-CN" w:bidi="zh-CN"/>
        </w:rPr>
        <w:t>信阳农林学院餐饮服务商项目</w:t>
      </w:r>
    </w:p>
    <w:p>
      <w:pPr>
        <w:widowControl w:val="0"/>
        <w:autoSpaceDE w:val="0"/>
        <w:autoSpaceDN w:val="0"/>
        <w:spacing w:after="100" w:afterLines="100"/>
        <w:rPr>
          <w:rFonts w:hint="eastAsia" w:ascii="宋体" w:hAnsi="宋体" w:eastAsia="宋体" w:cs="宋体"/>
          <w:color w:val="auto"/>
          <w:sz w:val="24"/>
          <w:szCs w:val="22"/>
          <w:lang w:val="zh-CN" w:eastAsia="zh-CN" w:bidi="zh-CN"/>
        </w:rPr>
      </w:pPr>
    </w:p>
    <w:p>
      <w:pPr>
        <w:autoSpaceDE w:val="0"/>
        <w:autoSpaceDN w:val="0"/>
        <w:spacing w:after="100" w:afterLines="100"/>
        <w:jc w:val="left"/>
        <w:rPr>
          <w:rFonts w:hint="eastAsia" w:ascii="宋体" w:hAnsi="宋体" w:eastAsia="宋体" w:cs="宋体"/>
          <w:color w:val="auto"/>
          <w:kern w:val="0"/>
          <w:sz w:val="24"/>
          <w:szCs w:val="22"/>
          <w:lang w:val="zh-CN" w:eastAsia="zh-CN" w:bidi="zh-CN"/>
        </w:rPr>
      </w:pPr>
    </w:p>
    <w:p>
      <w:pPr>
        <w:autoSpaceDE w:val="0"/>
        <w:autoSpaceDN w:val="0"/>
        <w:spacing w:after="100" w:afterLines="0"/>
        <w:ind w:firstLine="0" w:firstLineChars="0"/>
        <w:jc w:val="center"/>
        <w:rPr>
          <w:rFonts w:hint="eastAsia" w:ascii="宋体" w:hAnsi="宋体" w:eastAsia="宋体" w:cs="宋体"/>
          <w:color w:val="auto"/>
          <w:kern w:val="0"/>
          <w:sz w:val="21"/>
          <w:szCs w:val="20"/>
          <w:lang w:val="zh-CN" w:eastAsia="zh-CN" w:bidi="zh-CN"/>
        </w:rPr>
      </w:pPr>
      <w:r>
        <w:rPr>
          <w:rFonts w:hint="eastAsia" w:ascii="宋体" w:hAnsi="宋体" w:eastAsia="宋体" w:cs="宋体"/>
          <w:b/>
          <w:bCs/>
          <w:color w:val="auto"/>
          <w:kern w:val="0"/>
          <w:sz w:val="56"/>
          <w:szCs w:val="56"/>
          <w:lang w:val="zh-CN" w:bidi="zh-CN"/>
        </w:rPr>
        <w:t>竞争性磋商文件</w:t>
      </w:r>
    </w:p>
    <w:p>
      <w:pPr>
        <w:autoSpaceDE w:val="0"/>
        <w:autoSpaceDN w:val="0"/>
        <w:spacing w:after="100" w:afterLines="0"/>
        <w:ind w:firstLine="0" w:firstLineChars="0"/>
        <w:jc w:val="center"/>
        <w:rPr>
          <w:rFonts w:hint="default" w:ascii="宋体" w:hAnsi="宋体" w:cs="宋体"/>
          <w:b/>
          <w:bCs/>
          <w:color w:val="auto"/>
          <w:kern w:val="0"/>
          <w:sz w:val="32"/>
          <w:szCs w:val="28"/>
          <w:lang w:val="en-US" w:bidi="zh-CN"/>
        </w:rPr>
      </w:pPr>
      <w:r>
        <w:rPr>
          <w:rFonts w:hint="eastAsia" w:ascii="宋体" w:hAnsi="宋体" w:eastAsia="宋体" w:cs="宋体"/>
          <w:b/>
          <w:bCs/>
          <w:color w:val="auto"/>
          <w:kern w:val="0"/>
          <w:sz w:val="32"/>
          <w:szCs w:val="28"/>
          <w:lang w:val="zh-CN" w:eastAsia="zh-CN" w:bidi="zh-CN"/>
        </w:rPr>
        <w:t>项目</w:t>
      </w:r>
      <w:r>
        <w:rPr>
          <w:rFonts w:hint="eastAsia" w:ascii="宋体" w:hAnsi="宋体" w:eastAsia="宋体" w:cs="宋体"/>
          <w:b/>
          <w:bCs/>
          <w:color w:val="auto"/>
          <w:kern w:val="0"/>
          <w:sz w:val="32"/>
          <w:szCs w:val="28"/>
          <w:lang w:val="zh-CN" w:bidi="zh-CN"/>
        </w:rPr>
        <w:t>编号：</w:t>
      </w:r>
      <w:r>
        <w:rPr>
          <w:rFonts w:hint="eastAsia" w:ascii="宋体" w:hAnsi="宋体" w:cs="宋体"/>
          <w:b/>
          <w:bCs/>
          <w:color w:val="auto"/>
          <w:kern w:val="0"/>
          <w:sz w:val="32"/>
          <w:szCs w:val="28"/>
          <w:lang w:val="zh-CN" w:bidi="zh-CN"/>
        </w:rPr>
        <w:t>信财磋商采购</w:t>
      </w:r>
      <w:r>
        <w:rPr>
          <w:rFonts w:hint="eastAsia" w:ascii="宋体" w:hAnsi="宋体" w:cs="宋体"/>
          <w:b/>
          <w:bCs/>
          <w:color w:val="auto"/>
          <w:kern w:val="0"/>
          <w:sz w:val="32"/>
          <w:szCs w:val="28"/>
          <w:lang w:val="en-US" w:bidi="zh-CN"/>
        </w:rPr>
        <w:t>-2023-140</w:t>
      </w:r>
    </w:p>
    <w:p>
      <w:pPr>
        <w:pStyle w:val="2"/>
        <w:rPr>
          <w:rFonts w:hint="default"/>
          <w:lang w:val="en-US" w:eastAsia="zh-CN"/>
        </w:rPr>
      </w:pPr>
    </w:p>
    <w:p>
      <w:pPr>
        <w:autoSpaceDE w:val="0"/>
        <w:autoSpaceDN w:val="0"/>
        <w:spacing w:after="100" w:afterLines="0"/>
        <w:ind w:firstLine="0" w:firstLineChars="0"/>
        <w:jc w:val="left"/>
        <w:rPr>
          <w:rFonts w:hint="eastAsia" w:ascii="宋体" w:hAnsi="宋体" w:eastAsia="宋体" w:cs="宋体"/>
          <w:color w:val="auto"/>
          <w:kern w:val="0"/>
          <w:sz w:val="24"/>
          <w:szCs w:val="22"/>
          <w:lang w:val="zh-CN" w:bidi="zh-CN"/>
        </w:rPr>
      </w:pPr>
    </w:p>
    <w:p>
      <w:pPr>
        <w:autoSpaceDE w:val="0"/>
        <w:autoSpaceDN w:val="0"/>
        <w:spacing w:after="100" w:afterLines="0"/>
        <w:ind w:firstLine="0" w:firstLineChars="0"/>
        <w:jc w:val="center"/>
        <w:rPr>
          <w:rFonts w:hint="eastAsia" w:ascii="宋体" w:hAnsi="宋体" w:eastAsia="宋体" w:cs="宋体"/>
          <w:color w:val="auto"/>
          <w:kern w:val="0"/>
          <w:sz w:val="24"/>
          <w:szCs w:val="22"/>
          <w:lang w:val="zh-CN" w:bidi="zh-CN"/>
        </w:rPr>
      </w:pP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INCLUDEPICTURE \d "C:\\Users\\Administrator\\Documents\\Tencent Files\\3437585957\\Image\\C2C\\~D`93(T1FMT}QEY]V)[0FXQ.png" \* MERGEFORMATINET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drawing>
          <wp:inline distT="0" distB="0" distL="114300" distR="114300">
            <wp:extent cx="1743075" cy="1495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kern w:val="0"/>
          <w:sz w:val="24"/>
          <w:szCs w:val="24"/>
          <w:lang w:bidi="ar"/>
        </w:rPr>
        <w:fldChar w:fldCharType="end"/>
      </w:r>
    </w:p>
    <w:p>
      <w:pPr>
        <w:autoSpaceDE w:val="0"/>
        <w:autoSpaceDN w:val="0"/>
        <w:spacing w:after="100" w:afterLines="100"/>
        <w:jc w:val="left"/>
        <w:rPr>
          <w:rFonts w:hint="eastAsia" w:ascii="宋体" w:hAnsi="宋体" w:eastAsia="宋体" w:cs="宋体"/>
          <w:color w:val="auto"/>
          <w:kern w:val="0"/>
          <w:sz w:val="24"/>
          <w:szCs w:val="22"/>
          <w:lang w:val="zh-CN" w:bidi="zh-CN"/>
        </w:rPr>
      </w:pPr>
    </w:p>
    <w:p>
      <w:pPr>
        <w:widowControl w:val="0"/>
        <w:autoSpaceDE w:val="0"/>
        <w:autoSpaceDN w:val="0"/>
        <w:spacing w:after="100" w:afterLines="100"/>
        <w:rPr>
          <w:rFonts w:hint="eastAsia" w:ascii="宋体" w:hAnsi="宋体" w:eastAsia="宋体" w:cs="宋体"/>
          <w:color w:val="auto"/>
          <w:sz w:val="24"/>
          <w:szCs w:val="24"/>
          <w:lang w:val="zh-CN" w:eastAsia="zh-CN" w:bidi="zh-CN"/>
        </w:rPr>
      </w:pPr>
    </w:p>
    <w:p>
      <w:pPr>
        <w:widowControl w:val="0"/>
        <w:autoSpaceDE w:val="0"/>
        <w:autoSpaceDN w:val="0"/>
        <w:spacing w:after="100" w:afterLines="100"/>
        <w:rPr>
          <w:rFonts w:hint="eastAsia" w:ascii="宋体" w:hAnsi="宋体" w:eastAsia="宋体" w:cs="宋体"/>
          <w:color w:val="auto"/>
          <w:sz w:val="24"/>
          <w:szCs w:val="24"/>
          <w:lang w:val="zh-CN" w:eastAsia="zh-CN" w:bidi="zh-CN"/>
        </w:rPr>
      </w:pPr>
    </w:p>
    <w:p>
      <w:pPr>
        <w:widowControl w:val="0"/>
        <w:autoSpaceDE w:val="0"/>
        <w:autoSpaceDN w:val="0"/>
        <w:spacing w:after="100" w:afterLines="0"/>
        <w:ind w:firstLine="0" w:firstLineChars="0"/>
        <w:rPr>
          <w:rFonts w:hint="eastAsia" w:ascii="宋体" w:hAnsi="宋体" w:eastAsia="宋体" w:cs="宋体"/>
          <w:color w:val="auto"/>
          <w:sz w:val="24"/>
          <w:szCs w:val="24"/>
          <w:lang w:val="zh-CN" w:eastAsia="zh-CN" w:bidi="zh-CN"/>
        </w:rPr>
      </w:pPr>
    </w:p>
    <w:p>
      <w:pPr>
        <w:rPr>
          <w:rFonts w:hint="eastAsia"/>
          <w:color w:val="auto"/>
          <w:lang w:val="zh-CN"/>
        </w:rPr>
      </w:pPr>
    </w:p>
    <w:p>
      <w:pPr>
        <w:pStyle w:val="2"/>
        <w:rPr>
          <w:rFonts w:hint="eastAsia"/>
          <w:color w:val="auto"/>
          <w:lang w:val="zh-CN"/>
        </w:rPr>
      </w:pPr>
    </w:p>
    <w:p>
      <w:pPr>
        <w:rPr>
          <w:rFonts w:hint="eastAsia"/>
          <w:color w:val="auto"/>
          <w:lang w:val="zh-CN"/>
        </w:rPr>
      </w:pPr>
    </w:p>
    <w:p>
      <w:pPr>
        <w:autoSpaceDE w:val="0"/>
        <w:autoSpaceDN w:val="0"/>
        <w:spacing w:after="100" w:afterLines="0"/>
        <w:jc w:val="center"/>
        <w:rPr>
          <w:rFonts w:hint="eastAsia" w:ascii="宋体" w:hAnsi="宋体" w:eastAsia="宋体" w:cs="宋体"/>
          <w:b/>
          <w:bCs/>
          <w:color w:val="auto"/>
          <w:kern w:val="0"/>
          <w:sz w:val="32"/>
          <w:szCs w:val="32"/>
          <w:lang w:val="en-US" w:eastAsia="zh-CN" w:bidi="zh-CN"/>
        </w:rPr>
      </w:pPr>
      <w:r>
        <w:rPr>
          <w:rFonts w:hint="eastAsia" w:ascii="宋体" w:hAnsi="宋体" w:eastAsia="宋体" w:cs="宋体"/>
          <w:b/>
          <w:bCs/>
          <w:color w:val="auto"/>
          <w:kern w:val="0"/>
          <w:sz w:val="32"/>
          <w:szCs w:val="32"/>
          <w:lang w:val="zh-CN" w:eastAsia="zh-CN" w:bidi="zh-CN"/>
        </w:rPr>
        <w:t>采</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eastAsia="zh-CN" w:bidi="zh-CN"/>
        </w:rPr>
        <w:t xml:space="preserve"> 购 </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eastAsia="zh-CN" w:bidi="zh-CN"/>
        </w:rPr>
        <w:t>人</w:t>
      </w:r>
      <w:r>
        <w:rPr>
          <w:rFonts w:hint="eastAsia" w:ascii="宋体" w:hAnsi="宋体" w:eastAsia="宋体" w:cs="宋体"/>
          <w:b/>
          <w:bCs/>
          <w:color w:val="auto"/>
          <w:kern w:val="0"/>
          <w:sz w:val="32"/>
          <w:szCs w:val="32"/>
          <w:lang w:val="zh-CN" w:bidi="zh-CN"/>
        </w:rPr>
        <w:t>：</w:t>
      </w:r>
      <w:r>
        <w:rPr>
          <w:rFonts w:hint="eastAsia" w:ascii="宋体" w:hAnsi="宋体" w:cs="宋体"/>
          <w:b/>
          <w:bCs/>
          <w:color w:val="auto"/>
          <w:kern w:val="0"/>
          <w:sz w:val="32"/>
          <w:szCs w:val="32"/>
          <w:lang w:val="en-US" w:eastAsia="zh-CN" w:bidi="zh-CN"/>
        </w:rPr>
        <w:t>信阳农林学院</w:t>
      </w:r>
    </w:p>
    <w:p>
      <w:pPr>
        <w:autoSpaceDE w:val="0"/>
        <w:autoSpaceDN w:val="0"/>
        <w:spacing w:after="100" w:afterLines="0"/>
        <w:jc w:val="center"/>
        <w:rPr>
          <w:rFonts w:hint="eastAsia" w:ascii="宋体" w:hAnsi="宋体" w:eastAsia="宋体" w:cs="宋体"/>
          <w:b/>
          <w:bCs/>
          <w:color w:val="auto"/>
          <w:kern w:val="0"/>
          <w:sz w:val="32"/>
          <w:szCs w:val="32"/>
          <w:lang w:val="zh-CN" w:eastAsia="zh-CN" w:bidi="zh-CN"/>
        </w:rPr>
      </w:pPr>
      <w:r>
        <w:rPr>
          <w:rFonts w:hint="eastAsia" w:ascii="宋体" w:hAnsi="宋体" w:eastAsia="宋体" w:cs="宋体"/>
          <w:b/>
          <w:bCs/>
          <w:color w:val="auto"/>
          <w:kern w:val="0"/>
          <w:sz w:val="32"/>
          <w:szCs w:val="32"/>
          <w:lang w:val="zh-CN" w:eastAsia="zh-CN" w:bidi="zh-CN"/>
        </w:rPr>
        <w:t>采购</w:t>
      </w:r>
      <w:r>
        <w:rPr>
          <w:rFonts w:hint="eastAsia" w:ascii="宋体" w:hAnsi="宋体" w:eastAsia="宋体" w:cs="宋体"/>
          <w:b/>
          <w:bCs/>
          <w:color w:val="auto"/>
          <w:kern w:val="0"/>
          <w:sz w:val="32"/>
          <w:szCs w:val="32"/>
          <w:lang w:val="zh-CN" w:bidi="zh-CN"/>
        </w:rPr>
        <w:t>代理机构：</w:t>
      </w:r>
      <w:r>
        <w:rPr>
          <w:rFonts w:hint="eastAsia" w:ascii="宋体" w:hAnsi="宋体" w:cs="宋体"/>
          <w:b/>
          <w:bCs/>
          <w:color w:val="auto"/>
          <w:kern w:val="0"/>
          <w:sz w:val="32"/>
          <w:szCs w:val="32"/>
          <w:lang w:val="zh-CN" w:eastAsia="zh-CN" w:bidi="zh-CN"/>
        </w:rPr>
        <w:t>河南英华咨询有限公司</w:t>
      </w:r>
    </w:p>
    <w:p>
      <w:pPr>
        <w:pStyle w:val="17"/>
        <w:jc w:val="center"/>
        <w:rPr>
          <w:rFonts w:hint="eastAsia" w:ascii="宋体" w:hAnsi="宋体" w:cs="宋体"/>
          <w:b/>
          <w:color w:val="auto"/>
          <w:sz w:val="32"/>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bCs/>
          <w:color w:val="auto"/>
          <w:kern w:val="0"/>
          <w:sz w:val="32"/>
          <w:szCs w:val="32"/>
          <w:lang w:val="zh-CN" w:bidi="zh-CN"/>
        </w:rPr>
        <w:t>日</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bidi="zh-CN"/>
        </w:rPr>
        <w:t>期：二〇二</w:t>
      </w:r>
      <w:r>
        <w:rPr>
          <w:rFonts w:hint="eastAsia" w:ascii="宋体" w:hAnsi="宋体" w:eastAsia="宋体" w:cs="宋体"/>
          <w:b/>
          <w:bCs/>
          <w:color w:val="auto"/>
          <w:kern w:val="0"/>
          <w:sz w:val="32"/>
          <w:szCs w:val="32"/>
          <w:lang w:val="zh-CN" w:eastAsia="zh-CN" w:bidi="zh-CN"/>
        </w:rPr>
        <w:t>三</w:t>
      </w:r>
      <w:r>
        <w:rPr>
          <w:rFonts w:hint="eastAsia" w:ascii="宋体" w:hAnsi="宋体" w:eastAsia="宋体" w:cs="宋体"/>
          <w:b/>
          <w:bCs/>
          <w:color w:val="auto"/>
          <w:kern w:val="0"/>
          <w:sz w:val="32"/>
          <w:szCs w:val="32"/>
          <w:lang w:val="zh-CN" w:bidi="zh-CN"/>
        </w:rPr>
        <w:t>年</w:t>
      </w:r>
      <w:r>
        <w:rPr>
          <w:rFonts w:hint="eastAsia" w:ascii="宋体" w:hAnsi="宋体" w:eastAsia="宋体" w:cs="宋体"/>
          <w:b/>
          <w:bCs/>
          <w:color w:val="auto"/>
          <w:kern w:val="0"/>
          <w:sz w:val="32"/>
          <w:szCs w:val="32"/>
          <w:lang w:val="zh-CN" w:eastAsia="zh-CN" w:bidi="zh-CN"/>
        </w:rPr>
        <w:t>十</w:t>
      </w:r>
      <w:r>
        <w:rPr>
          <w:rFonts w:hint="eastAsia" w:ascii="宋体" w:hAnsi="宋体" w:cs="宋体"/>
          <w:b/>
          <w:bCs/>
          <w:color w:val="auto"/>
          <w:kern w:val="0"/>
          <w:sz w:val="32"/>
          <w:szCs w:val="32"/>
          <w:lang w:val="zh-CN" w:eastAsia="zh-CN" w:bidi="zh-CN"/>
        </w:rPr>
        <w:t>二</w:t>
      </w:r>
      <w:r>
        <w:rPr>
          <w:rFonts w:hint="eastAsia" w:ascii="宋体" w:hAnsi="宋体" w:eastAsia="宋体" w:cs="宋体"/>
          <w:b/>
          <w:bCs/>
          <w:color w:val="auto"/>
          <w:kern w:val="0"/>
          <w:sz w:val="32"/>
          <w:szCs w:val="32"/>
          <w:lang w:val="zh-CN" w:eastAsia="zh-CN" w:bidi="zh-CN"/>
        </w:rPr>
        <w:t>月</w:t>
      </w:r>
    </w:p>
    <w:p>
      <w:pPr>
        <w:pStyle w:val="17"/>
        <w:jc w:val="center"/>
        <w:rPr>
          <w:rFonts w:hint="eastAsia" w:ascii="宋体" w:hAnsi="宋体" w:cs="宋体"/>
          <w:b/>
          <w:color w:val="auto"/>
          <w:sz w:val="32"/>
        </w:rPr>
      </w:pPr>
      <w:r>
        <w:rPr>
          <w:rFonts w:hint="eastAsia" w:ascii="宋体" w:hAnsi="宋体" w:cs="宋体"/>
          <w:b/>
          <w:color w:val="auto"/>
          <w:sz w:val="32"/>
        </w:rPr>
        <w:t>目     录</w:t>
      </w:r>
    </w:p>
    <w:p>
      <w:pPr>
        <w:pStyle w:val="32"/>
        <w:tabs>
          <w:tab w:val="right" w:leader="dot" w:pos="8299"/>
        </w:tabs>
        <w:spacing w:line="360" w:lineRule="auto"/>
        <w:rPr>
          <w:rFonts w:hint="default" w:ascii="Times New Roman" w:hAnsi="Times New Roman" w:cs="Times New Roman"/>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r>
        <w:rPr>
          <w:rFonts w:hint="default" w:ascii="Times New Roman" w:hAnsi="Times New Roman" w:eastAsia="宋体" w:cs="Times New Roman"/>
          <w:color w:val="auto"/>
          <w:sz w:val="24"/>
          <w:szCs w:val="22"/>
        </w:rPr>
        <w:fldChar w:fldCharType="begin"/>
      </w:r>
      <w:r>
        <w:rPr>
          <w:rFonts w:hint="default" w:ascii="Times New Roman" w:hAnsi="Times New Roman" w:eastAsia="宋体" w:cs="Times New Roman"/>
          <w:color w:val="auto"/>
          <w:sz w:val="24"/>
          <w:szCs w:val="22"/>
        </w:rPr>
        <w:instrText xml:space="preserve"> HYPERLINK \l _Toc25710 </w:instrText>
      </w:r>
      <w:r>
        <w:rPr>
          <w:rFonts w:hint="default" w:ascii="Times New Roman" w:hAnsi="Times New Roman" w:eastAsia="宋体" w:cs="Times New Roman"/>
          <w:color w:val="auto"/>
          <w:sz w:val="24"/>
          <w:szCs w:val="22"/>
        </w:rPr>
        <w:fldChar w:fldCharType="separate"/>
      </w:r>
      <w:r>
        <w:rPr>
          <w:rFonts w:hint="default" w:ascii="Times New Roman" w:hAnsi="Times New Roman" w:cs="Times New Roman"/>
          <w:bCs/>
          <w:color w:val="auto"/>
          <w:sz w:val="24"/>
          <w:szCs w:val="36"/>
        </w:rPr>
        <w:t xml:space="preserve">第一章 </w:t>
      </w:r>
      <w:r>
        <w:rPr>
          <w:rFonts w:hint="default" w:ascii="Times New Roman" w:hAnsi="Times New Roman" w:cs="Times New Roman"/>
          <w:bCs/>
          <w:color w:val="auto"/>
          <w:sz w:val="24"/>
          <w:szCs w:val="36"/>
          <w:lang w:eastAsia="zh-CN"/>
        </w:rPr>
        <w:t>竞争性</w:t>
      </w:r>
      <w:r>
        <w:rPr>
          <w:rFonts w:hint="default" w:ascii="Times New Roman" w:hAnsi="Times New Roman" w:cs="Times New Roman"/>
          <w:bCs/>
          <w:color w:val="auto"/>
          <w:sz w:val="24"/>
          <w:szCs w:val="36"/>
        </w:rPr>
        <w:t>磋商公告</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2"/>
        </w:rPr>
        <w:fldChar w:fldCharType="end"/>
      </w:r>
    </w:p>
    <w:p>
      <w:pPr>
        <w:pStyle w:val="38"/>
        <w:tabs>
          <w:tab w:val="right" w:leader="dot" w:pos="8299"/>
        </w:tabs>
        <w:spacing w:line="360" w:lineRule="auto"/>
        <w:ind w:left="0" w:leftChars="0" w:firstLine="0" w:firstLineChars="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第二章 供应商须知</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9</w:t>
      </w:r>
    </w:p>
    <w:p>
      <w:pPr>
        <w:pStyle w:val="32"/>
        <w:tabs>
          <w:tab w:val="right" w:leader="dot" w:pos="8299"/>
        </w:tabs>
        <w:spacing w:line="360" w:lineRule="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2"/>
        </w:rPr>
        <w:fldChar w:fldCharType="begin"/>
      </w:r>
      <w:r>
        <w:rPr>
          <w:rFonts w:hint="default" w:ascii="Times New Roman" w:hAnsi="Times New Roman" w:eastAsia="宋体" w:cs="Times New Roman"/>
          <w:color w:val="auto"/>
          <w:sz w:val="24"/>
          <w:szCs w:val="22"/>
        </w:rPr>
        <w:instrText xml:space="preserve"> HYPERLINK \l _Toc3134 </w:instrText>
      </w:r>
      <w:r>
        <w:rPr>
          <w:rFonts w:hint="default" w:ascii="Times New Roman" w:hAnsi="Times New Roman" w:eastAsia="宋体" w:cs="Times New Roman"/>
          <w:color w:val="auto"/>
          <w:sz w:val="24"/>
          <w:szCs w:val="22"/>
        </w:rPr>
        <w:fldChar w:fldCharType="separate"/>
      </w:r>
      <w:r>
        <w:rPr>
          <w:rFonts w:hint="default" w:ascii="Times New Roman" w:hAnsi="Times New Roman" w:cs="Times New Roman"/>
          <w:color w:val="auto"/>
          <w:kern w:val="44"/>
          <w:sz w:val="24"/>
          <w:szCs w:val="36"/>
        </w:rPr>
        <w:t>第三章 评审办法（综合评分法）</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2"/>
        </w:rPr>
        <w:fldChar w:fldCharType="end"/>
      </w:r>
      <w:r>
        <w:rPr>
          <w:rFonts w:hint="eastAsia" w:ascii="Times New Roman" w:hAnsi="Times New Roman" w:cs="Times New Roman"/>
          <w:color w:val="auto"/>
          <w:sz w:val="24"/>
          <w:szCs w:val="22"/>
          <w:lang w:val="en-US" w:eastAsia="zh-CN"/>
        </w:rPr>
        <w:t>1</w:t>
      </w:r>
    </w:p>
    <w:p>
      <w:pPr>
        <w:pStyle w:val="38"/>
        <w:tabs>
          <w:tab w:val="right" w:leader="dot" w:pos="8299"/>
        </w:tabs>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2"/>
        </w:rPr>
        <w:fldChar w:fldCharType="begin"/>
      </w:r>
      <w:r>
        <w:rPr>
          <w:rFonts w:hint="default" w:ascii="Times New Roman" w:hAnsi="Times New Roman" w:eastAsia="宋体" w:cs="Times New Roman"/>
          <w:color w:val="auto"/>
          <w:sz w:val="24"/>
          <w:szCs w:val="22"/>
        </w:rPr>
        <w:instrText xml:space="preserve"> HYPERLINK \l _Toc15537 </w:instrText>
      </w:r>
      <w:r>
        <w:rPr>
          <w:rFonts w:hint="default" w:ascii="Times New Roman" w:hAnsi="Times New Roman" w:eastAsia="宋体" w:cs="Times New Roman"/>
          <w:color w:val="auto"/>
          <w:sz w:val="24"/>
          <w:szCs w:val="22"/>
        </w:rPr>
        <w:fldChar w:fldCharType="separate"/>
      </w:r>
      <w:r>
        <w:rPr>
          <w:rFonts w:hint="default" w:ascii="Times New Roman" w:hAnsi="Times New Roman" w:eastAsia="宋体" w:cs="Times New Roman"/>
          <w:bCs w:val="0"/>
          <w:color w:val="auto"/>
          <w:sz w:val="24"/>
          <w:szCs w:val="32"/>
          <w:lang w:eastAsia="zh-CN"/>
        </w:rPr>
        <w:t xml:space="preserve">第四章 </w:t>
      </w:r>
      <w:r>
        <w:rPr>
          <w:rFonts w:hint="default" w:ascii="Times New Roman" w:hAnsi="Times New Roman" w:eastAsia="宋体" w:cs="Times New Roman"/>
          <w:bCs w:val="0"/>
          <w:color w:val="auto"/>
          <w:sz w:val="24"/>
          <w:szCs w:val="32"/>
        </w:rPr>
        <w:t>合同文本</w:t>
      </w:r>
      <w:r>
        <w:rPr>
          <w:rFonts w:hint="default" w:ascii="Times New Roman" w:hAnsi="Times New Roman" w:eastAsia="宋体" w:cs="Times New Roman"/>
          <w:bCs w:val="0"/>
          <w:color w:val="auto"/>
          <w:sz w:val="24"/>
          <w:szCs w:val="32"/>
          <w:lang w:eastAsia="zh-CN"/>
        </w:rPr>
        <w:t>（仅供参考）</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_Toc15537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fldChar w:fldCharType="end"/>
      </w:r>
      <w:r>
        <w:rPr>
          <w:rFonts w:hint="default" w:ascii="Times New Roman" w:hAnsi="Times New Roman" w:eastAsia="宋体" w:cs="Times New Roman"/>
          <w:color w:val="auto"/>
          <w:sz w:val="24"/>
          <w:szCs w:val="22"/>
        </w:rPr>
        <w:fldChar w:fldCharType="end"/>
      </w:r>
    </w:p>
    <w:p>
      <w:pPr>
        <w:pStyle w:val="32"/>
        <w:tabs>
          <w:tab w:val="right" w:leader="dot" w:pos="8299"/>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2"/>
        </w:rPr>
        <w:fldChar w:fldCharType="begin"/>
      </w:r>
      <w:r>
        <w:rPr>
          <w:rFonts w:hint="default" w:ascii="Times New Roman" w:hAnsi="Times New Roman" w:eastAsia="宋体" w:cs="Times New Roman"/>
          <w:color w:val="auto"/>
          <w:sz w:val="24"/>
          <w:szCs w:val="22"/>
        </w:rPr>
        <w:instrText xml:space="preserve"> HYPERLINK \l _Toc24050 </w:instrText>
      </w:r>
      <w:r>
        <w:rPr>
          <w:rFonts w:hint="default" w:ascii="Times New Roman" w:hAnsi="Times New Roman" w:eastAsia="宋体" w:cs="Times New Roman"/>
          <w:color w:val="auto"/>
          <w:sz w:val="24"/>
          <w:szCs w:val="22"/>
        </w:rPr>
        <w:fldChar w:fldCharType="separate"/>
      </w:r>
      <w:r>
        <w:rPr>
          <w:rFonts w:hint="default" w:ascii="Times New Roman" w:hAnsi="Times New Roman" w:cs="Times New Roman"/>
          <w:color w:val="auto"/>
          <w:sz w:val="24"/>
          <w:szCs w:val="32"/>
          <w:lang w:eastAsia="zh-CN"/>
        </w:rPr>
        <w:t>第五章</w:t>
      </w:r>
      <w:r>
        <w:rPr>
          <w:rFonts w:hint="default" w:ascii="Times New Roman" w:hAnsi="Times New Roman" w:cs="Times New Roman"/>
          <w:color w:val="auto"/>
          <w:sz w:val="24"/>
          <w:szCs w:val="32"/>
          <w:lang w:val="en-US" w:eastAsia="zh-CN"/>
        </w:rPr>
        <w:t xml:space="preserve"> </w:t>
      </w:r>
      <w:r>
        <w:rPr>
          <w:rFonts w:hint="default" w:ascii="Times New Roman" w:hAnsi="Times New Roman" w:cs="Times New Roman"/>
          <w:color w:val="auto"/>
          <w:sz w:val="24"/>
          <w:szCs w:val="32"/>
          <w:lang w:eastAsia="zh-CN"/>
        </w:rPr>
        <w:t>采购需求</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2"/>
        </w:rPr>
        <w:fldChar w:fldCharType="end"/>
      </w:r>
      <w:r>
        <w:rPr>
          <w:rFonts w:hint="eastAsia" w:ascii="Times New Roman" w:hAnsi="Times New Roman" w:cs="Times New Roman"/>
          <w:color w:val="auto"/>
          <w:sz w:val="24"/>
          <w:szCs w:val="22"/>
          <w:lang w:val="en-US" w:eastAsia="zh-CN"/>
        </w:rPr>
        <w:t>1</w:t>
      </w:r>
    </w:p>
    <w:p>
      <w:pPr>
        <w:pStyle w:val="32"/>
        <w:tabs>
          <w:tab w:val="right" w:leader="dot" w:pos="8299"/>
        </w:tabs>
        <w:spacing w:line="360" w:lineRule="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2"/>
        </w:rPr>
        <w:fldChar w:fldCharType="begin"/>
      </w:r>
      <w:r>
        <w:rPr>
          <w:rFonts w:hint="default" w:ascii="Times New Roman" w:hAnsi="Times New Roman" w:eastAsia="宋体" w:cs="Times New Roman"/>
          <w:color w:val="auto"/>
          <w:sz w:val="24"/>
          <w:szCs w:val="22"/>
        </w:rPr>
        <w:instrText xml:space="preserve"> HYPERLINK \l _Toc28130 </w:instrText>
      </w:r>
      <w:r>
        <w:rPr>
          <w:rFonts w:hint="default" w:ascii="Times New Roman" w:hAnsi="Times New Roman" w:eastAsia="宋体" w:cs="Times New Roman"/>
          <w:color w:val="auto"/>
          <w:sz w:val="24"/>
          <w:szCs w:val="22"/>
        </w:rPr>
        <w:fldChar w:fldCharType="separate"/>
      </w:r>
      <w:r>
        <w:rPr>
          <w:rFonts w:hint="default" w:ascii="Times New Roman" w:hAnsi="Times New Roman" w:cs="Times New Roman"/>
          <w:bCs w:val="0"/>
          <w:color w:val="auto"/>
          <w:sz w:val="24"/>
          <w:szCs w:val="32"/>
        </w:rPr>
        <w:t>第六章 竞争性磋商响应文件格式</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2"/>
        </w:rPr>
        <w:fldChar w:fldCharType="end"/>
      </w:r>
      <w:r>
        <w:rPr>
          <w:rFonts w:hint="eastAsia" w:ascii="Times New Roman" w:hAnsi="Times New Roman" w:cs="Times New Roman"/>
          <w:color w:val="auto"/>
          <w:sz w:val="24"/>
          <w:szCs w:val="22"/>
          <w:lang w:val="en-US" w:eastAsia="zh-CN"/>
        </w:rPr>
        <w:t>2</w:t>
      </w:r>
    </w:p>
    <w:p>
      <w:pPr>
        <w:pStyle w:val="38"/>
        <w:tabs>
          <w:tab w:val="right" w:leader="dot" w:pos="8299"/>
        </w:tabs>
        <w:rPr>
          <w:color w:val="auto"/>
        </w:rPr>
      </w:pPr>
    </w:p>
    <w:p>
      <w:pPr>
        <w:pStyle w:val="195"/>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fldChar w:fldCharType="end"/>
      </w:r>
    </w:p>
    <w:p>
      <w:pPr>
        <w:pStyle w:val="195"/>
        <w:ind w:left="0" w:leftChars="0" w:firstLine="0" w:firstLineChars="0"/>
        <w:jc w:val="center"/>
        <w:rPr>
          <w:rFonts w:hint="eastAsia" w:ascii="宋体" w:hAnsi="宋体" w:eastAsia="宋体" w:cs="宋体"/>
          <w:color w:val="auto"/>
          <w:szCs w:val="21"/>
        </w:rPr>
      </w:pPr>
    </w:p>
    <w:p>
      <w:pPr>
        <w:rPr>
          <w:rFonts w:hint="eastAsia"/>
          <w:color w:val="auto"/>
        </w:rPr>
      </w:pPr>
    </w:p>
    <w:p>
      <w:pPr>
        <w:pStyle w:val="195"/>
        <w:ind w:left="0" w:leftChars="0" w:firstLine="0" w:firstLineChars="0"/>
        <w:jc w:val="center"/>
        <w:rPr>
          <w:rFonts w:hint="eastAsia" w:ascii="宋体" w:hAnsi="宋体" w:eastAsia="宋体" w:cs="宋体"/>
          <w:color w:val="auto"/>
          <w:szCs w:val="21"/>
        </w:rPr>
      </w:pPr>
    </w:p>
    <w:p>
      <w:pPr>
        <w:pStyle w:val="195"/>
        <w:ind w:left="0" w:leftChars="0" w:firstLine="0" w:firstLineChars="0"/>
        <w:jc w:val="center"/>
        <w:rPr>
          <w:rFonts w:hint="eastAsia" w:ascii="宋体" w:hAnsi="宋体" w:eastAsia="宋体" w:cs="宋体"/>
          <w:b/>
          <w:color w:val="auto"/>
          <w:spacing w:val="14"/>
          <w:sz w:val="44"/>
          <w:szCs w:val="44"/>
        </w:rPr>
        <w:sectPr>
          <w:headerReference r:id="rId3" w:type="default"/>
          <w:footerReference r:id="rId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195"/>
        <w:ind w:left="0" w:leftChars="0" w:firstLine="0" w:firstLineChars="0"/>
        <w:jc w:val="center"/>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电子招投标特别提示</w:t>
      </w:r>
    </w:p>
    <w:p>
      <w:pPr>
        <w:spacing w:line="400" w:lineRule="exact"/>
        <w:rPr>
          <w:rFonts w:hint="eastAsia" w:ascii="宋体" w:hAnsi="宋体" w:cs="宋体"/>
          <w:b/>
          <w:bCs/>
          <w:color w:val="auto"/>
          <w:sz w:val="24"/>
        </w:rPr>
      </w:pPr>
    </w:p>
    <w:p>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一、</w:t>
      </w:r>
      <w:r>
        <w:rPr>
          <w:rFonts w:hint="eastAsia" w:ascii="宋体" w:hAnsi="宋体" w:cs="宋体"/>
          <w:b/>
          <w:bCs/>
          <w:color w:val="auto"/>
          <w:sz w:val="21"/>
          <w:szCs w:val="21"/>
          <w:u w:val="double"/>
          <w:lang w:eastAsia="zh-CN"/>
        </w:rPr>
        <w:t>投标人</w:t>
      </w:r>
      <w:r>
        <w:rPr>
          <w:rFonts w:hint="eastAsia" w:ascii="宋体" w:hAnsi="宋体" w:eastAsia="宋体" w:cs="宋体"/>
          <w:b/>
          <w:bCs/>
          <w:color w:val="auto"/>
          <w:sz w:val="21"/>
          <w:szCs w:val="21"/>
          <w:u w:val="double"/>
          <w:lang w:eastAsia="zh-CN"/>
        </w:rPr>
        <w:t>（供应商）</w:t>
      </w:r>
      <w:r>
        <w:rPr>
          <w:rFonts w:hint="eastAsia" w:ascii="宋体" w:hAnsi="宋体" w:eastAsia="宋体" w:cs="宋体"/>
          <w:b/>
          <w:bCs/>
          <w:color w:val="auto"/>
          <w:sz w:val="21"/>
          <w:szCs w:val="21"/>
          <w:u w:val="double"/>
        </w:rPr>
        <w:t>注册</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w:t>
      </w: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，请</w:t>
      </w:r>
      <w:r>
        <w:rPr>
          <w:rFonts w:hint="eastAsia" w:ascii="宋体" w:hAnsi="宋体" w:cs="宋体"/>
          <w:color w:val="auto"/>
          <w:sz w:val="21"/>
          <w:szCs w:val="21"/>
          <w:lang w:eastAsia="zh-CN"/>
        </w:rPr>
        <w:t>登录</w:t>
      </w:r>
      <w:r>
        <w:rPr>
          <w:rFonts w:hint="eastAsia" w:ascii="宋体" w:hAnsi="宋体" w:eastAsia="宋体" w:cs="宋体"/>
          <w:color w:val="auto"/>
          <w:sz w:val="21"/>
          <w:szCs w:val="21"/>
        </w:rPr>
        <w:t>“全国公共资源交易平台（河南省·信阳市）（https://ggzyjy.xinyang.gov.cn）”网站进行交易主体自主注册，按网站公告通知有关要求填报企业信息并上传有关原件扫描件至诚信库，不需携带原件到信阳市公共资源交易中心进行审核。</w:t>
      </w: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应对所上传材料的真实性、合法性、有效性负责，其上传的信息将全部对外公示，接受社会监督。</w:t>
      </w:r>
    </w:p>
    <w:p>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二、办理CA数字证书</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三、招标（采购）文件获取方式</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凭CA数字证书</w:t>
      </w:r>
      <w:r>
        <w:rPr>
          <w:rFonts w:hint="eastAsia" w:ascii="宋体" w:hAnsi="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操作手册）。</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(*.XYZF格式)下载后需使用“</w:t>
      </w:r>
      <w:r>
        <w:rPr>
          <w:rFonts w:hint="eastAsia" w:ascii="宋体" w:hAnsi="宋体" w:eastAsia="宋体" w:cs="宋体"/>
          <w:color w:val="auto"/>
          <w:sz w:val="21"/>
          <w:szCs w:val="21"/>
          <w:lang w:eastAsia="zh-CN"/>
        </w:rPr>
        <w:t>信阳市响应文件制作工具软件</w:t>
      </w:r>
      <w:r>
        <w:rPr>
          <w:rFonts w:hint="eastAsia" w:ascii="宋体" w:hAnsi="宋体" w:eastAsia="宋体" w:cs="宋体"/>
          <w:color w:val="auto"/>
          <w:sz w:val="21"/>
          <w:szCs w:val="21"/>
        </w:rPr>
        <w:t>”打开（该工具软件可在“全国公共资源交易平台（河南省·信阳市）（https://ggzyjy.xinyang.gov.cn）”网站下载中心栏目内下载或在</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领取页面下载）。</w:t>
      </w:r>
    </w:p>
    <w:p>
      <w:pPr>
        <w:tabs>
          <w:tab w:val="left" w:pos="0"/>
        </w:tabs>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四、投标（响应）文件制作</w:t>
      </w:r>
    </w:p>
    <w:p>
      <w:pPr>
        <w:tabs>
          <w:tab w:val="left" w:pos="0"/>
        </w:tabs>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制作专用工具软件编制，投标（响应）文件格式为“*.XYTF”。</w:t>
      </w:r>
    </w:p>
    <w:p>
      <w:pPr>
        <w:tabs>
          <w:tab w:val="left" w:pos="0"/>
        </w:tabs>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须在投标（响应）文件递交截止时间前制作并提交。</w:t>
      </w:r>
    </w:p>
    <w:p>
      <w:pPr>
        <w:pStyle w:val="2"/>
        <w:spacing w:line="3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u w:val="double"/>
        </w:rPr>
        <w:t>五、投标（响应）文件的签字和盖章要求</w:t>
      </w:r>
    </w:p>
    <w:p>
      <w:pPr>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投标（响应）文件</w:t>
      </w:r>
      <w:r>
        <w:rPr>
          <w:rFonts w:hint="eastAsia" w:ascii="宋体" w:hAnsi="宋体" w:eastAsia="宋体" w:cs="宋体"/>
          <w:color w:val="auto"/>
          <w:sz w:val="21"/>
          <w:szCs w:val="21"/>
        </w:rPr>
        <w:t>格式中所有要求</w:t>
      </w: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加盖公章的地方都须加盖</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的 CA 印章。</w:t>
      </w:r>
    </w:p>
    <w:p>
      <w:pPr>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投标（响应）文件</w:t>
      </w:r>
      <w:r>
        <w:rPr>
          <w:rFonts w:hint="eastAsia" w:ascii="宋体" w:hAnsi="宋体" w:eastAsia="宋体" w:cs="宋体"/>
          <w:color w:val="auto"/>
          <w:sz w:val="21"/>
          <w:szCs w:val="21"/>
        </w:rPr>
        <w:t>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pPr>
        <w:pStyle w:val="2"/>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六、</w:t>
      </w:r>
      <w:r>
        <w:rPr>
          <w:rFonts w:hint="eastAsia" w:ascii="宋体" w:hAnsi="宋体" w:eastAsia="宋体" w:cs="宋体"/>
          <w:b/>
          <w:bCs/>
          <w:color w:val="auto"/>
          <w:sz w:val="21"/>
          <w:szCs w:val="21"/>
          <w:u w:val="double"/>
          <w:lang w:eastAsia="zh-CN"/>
        </w:rPr>
        <w:t>响应文件</w:t>
      </w:r>
      <w:r>
        <w:rPr>
          <w:rFonts w:hint="eastAsia" w:ascii="宋体" w:hAnsi="宋体" w:eastAsia="宋体" w:cs="宋体"/>
          <w:b/>
          <w:bCs/>
          <w:color w:val="auto"/>
          <w:sz w:val="21"/>
          <w:szCs w:val="21"/>
          <w:u w:val="double"/>
        </w:rPr>
        <w:t>份数</w:t>
      </w:r>
    </w:p>
    <w:p>
      <w:pPr>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2"/>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七、投标（响应）文件的递交</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1、电子投标（响应）文件的递交</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各投标人（供应商）应在投标截止时间前上传加密的电子投标（响应）文件（*.XYTF）到会员系统的指定位置。上传的电子投标（响应）文件应使用</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CA数字证书认证并加密。上传时必须得到交易系统“上传成功”的确认回复后方为上传成功。请</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（供应商）在上传前务必认真检查上传投标（响应）文件是否完整、正确。</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、除电子投标（响应）文件外，不再接受任何纸质文件、资料原件等。</w:t>
      </w:r>
    </w:p>
    <w:p>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八、澄清与变更</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应在投标（响应）文件递交截止时间前及时查看澄清或修改内容，因</w:t>
      </w:r>
      <w:r>
        <w:rPr>
          <w:rFonts w:hint="eastAsia" w:ascii="宋体" w:hAnsi="宋体" w:cs="宋体"/>
          <w:color w:val="auto"/>
          <w:sz w:val="21"/>
          <w:szCs w:val="21"/>
          <w:lang w:eastAsia="zh-CN"/>
        </w:rPr>
        <w:t>投标人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未及时查看而造成的后果自负。</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 xml:space="preserve">九、其他注意事项 </w:t>
      </w:r>
    </w:p>
    <w:p>
      <w:pPr>
        <w:widowControl/>
        <w:spacing w:line="360" w:lineRule="exact"/>
        <w:jc w:val="left"/>
        <w:rPr>
          <w:rFonts w:hint="eastAsia" w:ascii="宋体" w:hAnsi="宋体" w:eastAsia="宋体" w:cs="宋体"/>
          <w:color w:val="auto"/>
        </w:rPr>
      </w:pPr>
      <w:r>
        <w:rPr>
          <w:rFonts w:hint="eastAsia" w:ascii="宋体" w:hAnsi="宋体" w:eastAsia="宋体" w:cs="宋体"/>
          <w:b/>
          <w:bCs/>
          <w:color w:val="auto"/>
          <w:szCs w:val="21"/>
          <w:u w:val="double"/>
        </w:rPr>
        <w:t>1、供应商编制</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 xml:space="preserve">时，涉及的营业执照、资质、获奖、社保、纳税等固定内容可在交易中心主体信用信息中录入。 </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2、供应商编制</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时，涉及营业执照、资质、业绩、获奖、人员、财务、社保、纳税、各类证书等内容，须扫描编制在</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内。评委评审只需依法对</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进行评审，并以</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的响应为唯一评审依据，不再比对主体信用信息。</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3、采购人或代理机构在发布中标公告或候选人公示时需同时将</w:t>
      </w:r>
      <w:r>
        <w:rPr>
          <w:rFonts w:hint="eastAsia" w:ascii="宋体" w:hAnsi="宋体" w:cs="宋体"/>
          <w:b/>
          <w:bCs/>
          <w:color w:val="auto"/>
          <w:szCs w:val="21"/>
          <w:u w:val="double"/>
          <w:lang w:val="en-US" w:eastAsia="zh-CN"/>
        </w:rPr>
        <w:t>成交</w:t>
      </w:r>
      <w:r>
        <w:rPr>
          <w:rFonts w:hint="eastAsia" w:ascii="宋体" w:hAnsi="宋体" w:eastAsia="宋体" w:cs="宋体"/>
          <w:b/>
          <w:bCs/>
          <w:color w:val="auto"/>
          <w:szCs w:val="21"/>
          <w:u w:val="double"/>
        </w:rPr>
        <w:t>人或第一</w:t>
      </w:r>
      <w:r>
        <w:rPr>
          <w:rFonts w:hint="eastAsia" w:ascii="宋体" w:hAnsi="宋体" w:cs="宋体"/>
          <w:b/>
          <w:bCs/>
          <w:color w:val="auto"/>
          <w:szCs w:val="21"/>
          <w:u w:val="double"/>
          <w:lang w:val="en-US" w:eastAsia="zh-CN"/>
        </w:rPr>
        <w:t>成交</w:t>
      </w:r>
      <w:r>
        <w:rPr>
          <w:rFonts w:hint="eastAsia" w:ascii="宋体" w:hAnsi="宋体" w:eastAsia="宋体" w:cs="宋体"/>
          <w:b/>
          <w:bCs/>
          <w:color w:val="auto"/>
          <w:szCs w:val="21"/>
          <w:u w:val="double"/>
        </w:rPr>
        <w:t>候选人</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中的营业执照、资质、业绩、获奖、人员、财务、社保、纳税、各类证书、标的名称、规格型号同时公告（涉及供应商商业机密除外），强化社会监督。</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十、特别提醒</w:t>
      </w:r>
    </w:p>
    <w:p>
      <w:pPr>
        <w:widowControl/>
        <w:spacing w:line="360" w:lineRule="exact"/>
        <w:jc w:val="left"/>
        <w:rPr>
          <w:rFonts w:hint="eastAsia" w:ascii="宋体" w:hAnsi="宋体" w:eastAsia="宋体" w:cs="宋体"/>
          <w:b/>
          <w:bCs/>
          <w:color w:val="auto"/>
          <w:szCs w:val="21"/>
          <w:u w:val="double"/>
        </w:rPr>
      </w:pP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中的扫描件，在确保清晰的前提下，每张最好控制在 500kb 内，生成的加密电子</w:t>
      </w:r>
      <w:r>
        <w:rPr>
          <w:rFonts w:hint="eastAsia" w:ascii="宋体" w:hAnsi="宋体" w:eastAsia="宋体" w:cs="宋体"/>
          <w:b/>
          <w:bCs/>
          <w:color w:val="auto"/>
          <w:szCs w:val="21"/>
          <w:u w:val="double"/>
          <w:lang w:eastAsia="zh-CN"/>
        </w:rPr>
        <w:t>响应文件</w:t>
      </w:r>
      <w:r>
        <w:rPr>
          <w:rFonts w:hint="eastAsia" w:ascii="宋体" w:hAnsi="宋体" w:eastAsia="宋体" w:cs="宋体"/>
          <w:b/>
          <w:bCs/>
          <w:color w:val="auto"/>
          <w:szCs w:val="21"/>
          <w:u w:val="double"/>
        </w:rPr>
        <w:t>最好不要超过50MB。</w:t>
      </w:r>
    </w:p>
    <w:p>
      <w:pPr>
        <w:pStyle w:val="38"/>
        <w:keepNext w:val="0"/>
        <w:keepLines w:val="0"/>
        <w:pageBreakBefore w:val="0"/>
        <w:tabs>
          <w:tab w:val="right" w:leader="underscore" w:pos="8296"/>
        </w:tabs>
        <w:kinsoku/>
        <w:overflowPunct/>
        <w:topLinePunct w:val="0"/>
        <w:autoSpaceDE/>
        <w:autoSpaceDN/>
        <w:bidi w:val="0"/>
        <w:spacing w:after="0" w:afterLines="0" w:line="400" w:lineRule="exact"/>
        <w:ind w:left="0"/>
        <w:jc w:val="center"/>
        <w:textAlignment w:val="auto"/>
        <w:outlineLvl w:val="0"/>
        <w:rPr>
          <w:rFonts w:hint="eastAsia" w:ascii="宋体" w:hAnsi="宋体" w:cs="宋体"/>
          <w:b/>
          <w:bCs/>
          <w:color w:val="auto"/>
          <w:sz w:val="32"/>
          <w:szCs w:val="32"/>
        </w:rPr>
        <w:sectPr>
          <w:footerReference r:id="rId5"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bookmarkStart w:id="4" w:name="_Toc25710"/>
      <w:bookmarkStart w:id="5" w:name="_Toc30363"/>
    </w:p>
    <w:p>
      <w:pPr>
        <w:pStyle w:val="38"/>
        <w:keepNext w:val="0"/>
        <w:keepLines w:val="0"/>
        <w:pageBreakBefore w:val="0"/>
        <w:tabs>
          <w:tab w:val="right" w:leader="underscore" w:pos="8296"/>
        </w:tabs>
        <w:kinsoku/>
        <w:overflowPunct/>
        <w:topLinePunct w:val="0"/>
        <w:autoSpaceDE/>
        <w:autoSpaceDN/>
        <w:bidi w:val="0"/>
        <w:spacing w:after="0" w:afterLines="0" w:line="400" w:lineRule="exact"/>
        <w:ind w:left="0"/>
        <w:jc w:val="center"/>
        <w:textAlignment w:val="auto"/>
        <w:outlineLvl w:val="0"/>
        <w:rPr>
          <w:rFonts w:hint="eastAsia" w:ascii="宋体" w:hAnsi="宋体" w:cs="宋体"/>
          <w:b/>
          <w:bCs/>
          <w:color w:val="auto"/>
          <w:sz w:val="32"/>
          <w:szCs w:val="32"/>
        </w:rPr>
      </w:pPr>
      <w:r>
        <w:rPr>
          <w:rFonts w:hint="eastAsia" w:ascii="宋体" w:hAnsi="宋体" w:cs="宋体"/>
          <w:b/>
          <w:bCs/>
          <w:color w:val="auto"/>
          <w:sz w:val="32"/>
          <w:szCs w:val="32"/>
        </w:rPr>
        <w:t xml:space="preserve">第一章 </w:t>
      </w:r>
      <w:r>
        <w:rPr>
          <w:rFonts w:hint="eastAsia" w:ascii="宋体" w:hAnsi="宋体" w:cs="宋体"/>
          <w:b/>
          <w:bCs/>
          <w:color w:val="auto"/>
          <w:sz w:val="32"/>
          <w:szCs w:val="32"/>
          <w:lang w:eastAsia="zh-CN"/>
        </w:rPr>
        <w:t>竞争性</w:t>
      </w:r>
      <w:r>
        <w:rPr>
          <w:rFonts w:hint="eastAsia" w:ascii="宋体" w:hAnsi="宋体" w:cs="宋体"/>
          <w:b/>
          <w:bCs/>
          <w:color w:val="auto"/>
          <w:sz w:val="32"/>
          <w:szCs w:val="32"/>
        </w:rPr>
        <w:t>磋商公告</w:t>
      </w:r>
      <w:bookmarkEnd w:id="0"/>
      <w:bookmarkEnd w:id="1"/>
      <w:bookmarkEnd w:id="2"/>
      <w:bookmarkEnd w:id="3"/>
      <w:bookmarkEnd w:id="4"/>
      <w:bookmarkEnd w:id="5"/>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bookmarkStart w:id="6" w:name="OLE_LINK1"/>
      <w:bookmarkStart w:id="7" w:name="_Toc8890"/>
      <w:bookmarkStart w:id="8" w:name="_Toc144974495"/>
      <w:bookmarkStart w:id="9" w:name="_Toc152042303"/>
      <w:bookmarkStart w:id="10" w:name="_Toc152045527"/>
      <w:r>
        <w:rPr>
          <w:rFonts w:hint="eastAsia" w:ascii="宋体" w:hAnsi="宋体" w:eastAsia="宋体" w:cs="宋体"/>
          <w:b/>
          <w:color w:val="auto"/>
          <w:sz w:val="21"/>
          <w:szCs w:val="21"/>
          <w:highlight w:val="none"/>
        </w:rPr>
        <w:t>项目概况</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信阳农林学院餐饮服务商项目</w:t>
      </w:r>
      <w:r>
        <w:rPr>
          <w:rFonts w:hint="eastAsia" w:ascii="宋体" w:hAnsi="宋体" w:eastAsia="宋体" w:cs="宋体"/>
          <w:bCs/>
          <w:color w:val="auto"/>
          <w:sz w:val="21"/>
          <w:szCs w:val="21"/>
          <w:highlight w:val="none"/>
        </w:rPr>
        <w:t>的潜在供应商应</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“全国公共资源交易平台（河南省·信阳市）（https://ggzyjy.xinyang.gov.cn）</w:t>
      </w:r>
      <w:bookmarkStart w:id="1000" w:name="_GoBack"/>
      <w:bookmarkEnd w:id="1000"/>
      <w:r>
        <w:rPr>
          <w:rFonts w:hint="eastAsia" w:ascii="宋体" w:hAnsi="宋体" w:eastAsia="宋体" w:cs="宋体"/>
          <w:bCs/>
          <w:color w:val="auto"/>
          <w:sz w:val="21"/>
          <w:szCs w:val="21"/>
          <w:highlight w:val="none"/>
        </w:rPr>
        <w:t>网站，凭办理的企业身份认证锁（CA数字证书）</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会员系统进行网上投标”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获取磋商文件，并于</w:t>
      </w:r>
      <w:r>
        <w:rPr>
          <w:rFonts w:hint="eastAsia" w:ascii="宋体" w:hAnsi="宋体" w:eastAsia="宋体" w:cs="宋体"/>
          <w:bCs/>
          <w:color w:val="FF0000"/>
          <w:sz w:val="21"/>
          <w:szCs w:val="21"/>
          <w:highlight w:val="none"/>
          <w:lang w:val="en-US" w:eastAsia="zh-CN"/>
        </w:rPr>
        <w:t>2024</w:t>
      </w:r>
      <w:r>
        <w:rPr>
          <w:rFonts w:hint="eastAsia"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01</w:t>
      </w:r>
      <w:r>
        <w:rPr>
          <w:rFonts w:hint="eastAsia" w:ascii="宋体" w:hAnsi="宋体" w:eastAsia="宋体" w:cs="宋体"/>
          <w:bCs/>
          <w:color w:val="FF0000"/>
          <w:sz w:val="21"/>
          <w:szCs w:val="21"/>
          <w:highlight w:val="none"/>
        </w:rPr>
        <w:t>月</w:t>
      </w:r>
      <w:r>
        <w:rPr>
          <w:rFonts w:hint="eastAsia" w:ascii="宋体" w:hAnsi="宋体" w:eastAsia="宋体" w:cs="宋体"/>
          <w:bCs/>
          <w:color w:val="FF0000"/>
          <w:sz w:val="21"/>
          <w:szCs w:val="21"/>
          <w:highlight w:val="none"/>
          <w:lang w:val="en-US" w:eastAsia="zh-CN"/>
        </w:rPr>
        <w:t>02</w:t>
      </w:r>
      <w:r>
        <w:rPr>
          <w:rFonts w:hint="eastAsia" w:ascii="宋体" w:hAnsi="宋体" w:eastAsia="宋体" w:cs="宋体"/>
          <w:bCs/>
          <w:color w:val="FF0000"/>
          <w:sz w:val="21"/>
          <w:szCs w:val="21"/>
          <w:highlight w:val="none"/>
        </w:rPr>
        <w:t>日</w:t>
      </w:r>
      <w:r>
        <w:rPr>
          <w:rFonts w:hint="eastAsia" w:ascii="宋体" w:hAnsi="宋体" w:eastAsia="宋体" w:cs="宋体"/>
          <w:bCs/>
          <w:color w:val="FF0000"/>
          <w:sz w:val="21"/>
          <w:szCs w:val="21"/>
          <w:highlight w:val="none"/>
          <w:lang w:val="en-US" w:eastAsia="zh-CN"/>
        </w:rPr>
        <w:t>9</w:t>
      </w:r>
      <w:r>
        <w:rPr>
          <w:rFonts w:hint="eastAsia" w:ascii="宋体" w:hAnsi="宋体" w:eastAsia="宋体" w:cs="宋体"/>
          <w:bCs/>
          <w:color w:val="FF0000"/>
          <w:sz w:val="21"/>
          <w:szCs w:val="21"/>
          <w:highlight w:val="none"/>
        </w:rPr>
        <w:t>时</w:t>
      </w:r>
      <w:r>
        <w:rPr>
          <w:rFonts w:hint="eastAsia" w:ascii="宋体" w:hAnsi="宋体" w:eastAsia="宋体" w:cs="宋体"/>
          <w:bCs/>
          <w:color w:val="FF0000"/>
          <w:sz w:val="21"/>
          <w:szCs w:val="21"/>
          <w:highlight w:val="none"/>
          <w:lang w:val="en-US" w:eastAsia="zh-CN"/>
        </w:rPr>
        <w:t>30</w:t>
      </w:r>
      <w:r>
        <w:rPr>
          <w:rFonts w:hint="eastAsia" w:ascii="宋体" w:hAnsi="宋体" w:eastAsia="宋体" w:cs="宋体"/>
          <w:bCs/>
          <w:color w:val="FF0000"/>
          <w:sz w:val="21"/>
          <w:szCs w:val="21"/>
          <w:highlight w:val="none"/>
        </w:rPr>
        <w:t>分</w:t>
      </w:r>
      <w:r>
        <w:rPr>
          <w:rFonts w:hint="eastAsia" w:ascii="宋体" w:hAnsi="宋体" w:eastAsia="宋体" w:cs="宋体"/>
          <w:bCs/>
          <w:color w:val="auto"/>
          <w:sz w:val="21"/>
          <w:szCs w:val="21"/>
          <w:highlight w:val="none"/>
        </w:rPr>
        <w:t>（北京时间）前递交响应文件。</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eastAsia" w:ascii="宋体" w:hAnsi="宋体" w:eastAsia="宋体" w:cs="宋体"/>
          <w:bCs/>
          <w:color w:val="auto"/>
          <w:sz w:val="21"/>
          <w:szCs w:val="21"/>
          <w:highlight w:val="none"/>
          <w:lang w:val="zh-CN"/>
        </w:rPr>
        <w:t>信财磋商采购</w:t>
      </w:r>
      <w:r>
        <w:rPr>
          <w:rFonts w:hint="eastAsia" w:ascii="宋体" w:hAnsi="宋体" w:eastAsia="宋体" w:cs="宋体"/>
          <w:bCs/>
          <w:color w:val="auto"/>
          <w:sz w:val="21"/>
          <w:szCs w:val="21"/>
          <w:highlight w:val="none"/>
          <w:lang w:val="en-US"/>
        </w:rPr>
        <w:t>-2023-</w:t>
      </w:r>
      <w:r>
        <w:rPr>
          <w:rFonts w:hint="eastAsia" w:ascii="宋体" w:hAnsi="宋体" w:eastAsia="宋体" w:cs="宋体"/>
          <w:bCs/>
          <w:color w:val="auto"/>
          <w:sz w:val="21"/>
          <w:szCs w:val="21"/>
          <w:highlight w:val="none"/>
          <w:lang w:val="en-US" w:eastAsia="zh-CN"/>
        </w:rPr>
        <w:t>140</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2、项目名称：</w:t>
      </w:r>
      <w:r>
        <w:rPr>
          <w:rFonts w:hint="eastAsia" w:ascii="宋体" w:hAnsi="宋体" w:eastAsia="宋体" w:cs="宋体"/>
          <w:bCs/>
          <w:color w:val="auto"/>
          <w:sz w:val="21"/>
          <w:szCs w:val="21"/>
          <w:highlight w:val="none"/>
          <w:lang w:eastAsia="zh-CN"/>
        </w:rPr>
        <w:t>信阳农林学院餐饮服务商项目</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4、预算金额：</w:t>
      </w:r>
      <w:r>
        <w:rPr>
          <w:rFonts w:hint="eastAsia" w:ascii="宋体" w:hAnsi="宋体" w:eastAsia="宋体" w:cs="宋体"/>
          <w:bCs/>
          <w:color w:val="auto"/>
          <w:sz w:val="21"/>
          <w:szCs w:val="21"/>
          <w:highlight w:val="none"/>
          <w:lang w:val="en-US" w:eastAsia="zh-CN"/>
        </w:rPr>
        <w:t>0</w:t>
      </w:r>
      <w:r>
        <w:rPr>
          <w:rFonts w:hint="eastAsia" w:ascii="宋体" w:hAnsi="宋体" w:eastAsia="宋体" w:cs="宋体"/>
          <w:color w:val="auto"/>
          <w:sz w:val="21"/>
          <w:szCs w:val="21"/>
          <w:highlight w:val="none"/>
          <w:lang w:eastAsia="zh-CN"/>
        </w:rPr>
        <w:t>元</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0</w:t>
      </w:r>
      <w:r>
        <w:rPr>
          <w:rFonts w:hint="eastAsia" w:ascii="宋体" w:hAnsi="宋体" w:eastAsia="宋体" w:cs="宋体"/>
          <w:color w:val="auto"/>
          <w:sz w:val="21"/>
          <w:szCs w:val="21"/>
          <w:highlight w:val="none"/>
          <w:lang w:eastAsia="zh-CN"/>
        </w:rPr>
        <w:t>元</w:t>
      </w:r>
    </w:p>
    <w:tbl>
      <w:tblPr>
        <w:tblStyle w:val="49"/>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575"/>
        <w:gridCol w:w="1588"/>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noWrap w:val="0"/>
            <w:vAlign w:val="top"/>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575" w:type="dxa"/>
            <w:noWrap w:val="0"/>
            <w:vAlign w:val="top"/>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包号</w:t>
            </w:r>
          </w:p>
        </w:tc>
        <w:tc>
          <w:tcPr>
            <w:tcW w:w="1588" w:type="dxa"/>
            <w:noWrap w:val="0"/>
            <w:vAlign w:val="top"/>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包名称</w:t>
            </w:r>
          </w:p>
        </w:tc>
        <w:tc>
          <w:tcPr>
            <w:tcW w:w="1216" w:type="dxa"/>
            <w:noWrap w:val="0"/>
            <w:vAlign w:val="top"/>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Cs/>
                <w:color w:val="auto"/>
                <w:kern w:val="0"/>
                <w:sz w:val="21"/>
                <w:szCs w:val="21"/>
                <w:highlight w:val="none"/>
                <w:lang w:val="en-US" w:eastAsia="zh-CN" w:bidi="ar-SA"/>
              </w:rPr>
              <w:t>包预算（元）</w:t>
            </w:r>
          </w:p>
        </w:tc>
        <w:tc>
          <w:tcPr>
            <w:tcW w:w="1216" w:type="dxa"/>
            <w:noWrap w:val="0"/>
            <w:vAlign w:val="top"/>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Cs/>
                <w:color w:val="auto"/>
                <w:kern w:val="0"/>
                <w:sz w:val="21"/>
                <w:szCs w:val="21"/>
                <w:highlight w:val="none"/>
                <w:lang w:val="en-US" w:eastAsia="zh-CN" w:bidi="ar-SA"/>
              </w:rPr>
              <w:t>包最高限价（元）</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rPr>
              <w:t>是否专门面向中小企业</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 w:val="21"/>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575"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信财磋商采购-2023-</w:t>
            </w:r>
            <w:r>
              <w:rPr>
                <w:rFonts w:hint="eastAsia" w:ascii="宋体" w:hAnsi="宋体" w:eastAsia="宋体" w:cs="宋体"/>
                <w:color w:val="auto"/>
                <w:sz w:val="21"/>
                <w:szCs w:val="21"/>
                <w:highlight w:val="none"/>
                <w:vertAlign w:val="baseline"/>
                <w:lang w:val="en-US" w:eastAsia="zh-CN"/>
              </w:rPr>
              <w:t>140-1</w:t>
            </w:r>
          </w:p>
        </w:tc>
        <w:tc>
          <w:tcPr>
            <w:tcW w:w="1588"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bCs/>
                <w:color w:val="auto"/>
                <w:sz w:val="21"/>
                <w:szCs w:val="21"/>
                <w:highlight w:val="none"/>
                <w:lang w:eastAsia="zh-CN"/>
              </w:rPr>
              <w:t>信阳农林学院餐饮服务商项目</w:t>
            </w:r>
            <w:r>
              <w:rPr>
                <w:rFonts w:hint="eastAsia" w:ascii="宋体" w:hAnsi="宋体" w:eastAsia="宋体" w:cs="宋体"/>
                <w:bCs/>
                <w:color w:val="auto"/>
                <w:sz w:val="21"/>
                <w:szCs w:val="21"/>
                <w:highlight w:val="none"/>
                <w:lang w:val="en-US" w:eastAsia="zh-CN"/>
              </w:rPr>
              <w:t>1包</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lang w:val="en-US" w:eastAsia="zh-CN"/>
              </w:rPr>
              <w:t>是</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575"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信财磋商采购-2023-</w:t>
            </w:r>
            <w:r>
              <w:rPr>
                <w:rFonts w:hint="eastAsia" w:ascii="宋体" w:hAnsi="宋体" w:eastAsia="宋体" w:cs="宋体"/>
                <w:color w:val="auto"/>
                <w:sz w:val="21"/>
                <w:szCs w:val="21"/>
                <w:highlight w:val="none"/>
                <w:vertAlign w:val="baseline"/>
                <w:lang w:val="en-US" w:eastAsia="zh-CN"/>
              </w:rPr>
              <w:t>140-2</w:t>
            </w:r>
          </w:p>
        </w:tc>
        <w:tc>
          <w:tcPr>
            <w:tcW w:w="1588"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信阳农林学院餐饮服务商项目</w:t>
            </w:r>
            <w:r>
              <w:rPr>
                <w:rFonts w:hint="eastAsia" w:ascii="宋体" w:hAnsi="宋体" w:eastAsia="宋体" w:cs="宋体"/>
                <w:bCs/>
                <w:color w:val="auto"/>
                <w:sz w:val="21"/>
                <w:szCs w:val="21"/>
                <w:highlight w:val="none"/>
                <w:lang w:val="en-US" w:eastAsia="zh-CN"/>
              </w:rPr>
              <w:t>2包</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lang w:val="en-US" w:eastAsia="zh-CN"/>
              </w:rPr>
              <w:t>是</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575"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信财磋商采购-2023-</w:t>
            </w:r>
            <w:r>
              <w:rPr>
                <w:rFonts w:hint="eastAsia" w:ascii="宋体" w:hAnsi="宋体" w:eastAsia="宋体" w:cs="宋体"/>
                <w:color w:val="auto"/>
                <w:sz w:val="21"/>
                <w:szCs w:val="21"/>
                <w:highlight w:val="none"/>
                <w:vertAlign w:val="baseline"/>
                <w:lang w:val="en-US" w:eastAsia="zh-CN"/>
              </w:rPr>
              <w:t>140-3</w:t>
            </w:r>
          </w:p>
        </w:tc>
        <w:tc>
          <w:tcPr>
            <w:tcW w:w="1588"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信阳农林学院餐饮服务商项目</w:t>
            </w:r>
            <w:r>
              <w:rPr>
                <w:rFonts w:hint="eastAsia" w:ascii="宋体" w:hAnsi="宋体" w:eastAsia="宋体" w:cs="宋体"/>
                <w:bCs/>
                <w:color w:val="auto"/>
                <w:sz w:val="21"/>
                <w:szCs w:val="21"/>
                <w:highlight w:val="none"/>
                <w:lang w:val="en-US" w:eastAsia="zh-CN"/>
              </w:rPr>
              <w:t>3包</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lang w:val="en-US" w:eastAsia="zh-CN"/>
              </w:rPr>
              <w:t>是</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575"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信财磋商采购-2023-</w:t>
            </w:r>
            <w:r>
              <w:rPr>
                <w:rFonts w:hint="eastAsia" w:ascii="宋体" w:hAnsi="宋体" w:eastAsia="宋体" w:cs="宋体"/>
                <w:color w:val="auto"/>
                <w:sz w:val="21"/>
                <w:szCs w:val="21"/>
                <w:highlight w:val="none"/>
                <w:vertAlign w:val="baseline"/>
                <w:lang w:val="en-US" w:eastAsia="zh-CN"/>
              </w:rPr>
              <w:t>140-4</w:t>
            </w:r>
          </w:p>
        </w:tc>
        <w:tc>
          <w:tcPr>
            <w:tcW w:w="1588" w:type="dxa"/>
            <w:noWrap w:val="0"/>
            <w:vAlign w:val="center"/>
          </w:tcPr>
          <w:p>
            <w:pPr>
              <w:pStyle w:val="41"/>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信阳农林学院餐饮服务商项目</w:t>
            </w:r>
            <w:r>
              <w:rPr>
                <w:rFonts w:hint="eastAsia" w:ascii="宋体" w:hAnsi="宋体" w:eastAsia="宋体" w:cs="宋体"/>
                <w:bCs/>
                <w:color w:val="auto"/>
                <w:sz w:val="21"/>
                <w:szCs w:val="21"/>
                <w:highlight w:val="none"/>
                <w:lang w:val="en-US" w:eastAsia="zh-CN"/>
              </w:rPr>
              <w:t>4包</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lang w:val="en-US" w:eastAsia="zh-CN"/>
              </w:rPr>
              <w:t>是</w:t>
            </w:r>
          </w:p>
        </w:tc>
        <w:tc>
          <w:tcPr>
            <w:tcW w:w="1216" w:type="dxa"/>
            <w:noWrap w:val="0"/>
            <w:vAlign w:val="center"/>
          </w:tcPr>
          <w:p>
            <w:pPr>
              <w:keepNext w:val="0"/>
              <w:keepLines w:val="0"/>
              <w:pageBreakBefore w:val="0"/>
              <w:widowControl w:val="0"/>
              <w:kinsoku/>
              <w:overflowPunct/>
              <w:topLinePunct w:val="0"/>
              <w:autoSpaceDE/>
              <w:autoSpaceDN/>
              <w:bidi w:val="0"/>
              <w:spacing w:before="0" w:beforeLines="0" w:beforeAutospacing="0" w:after="0" w:afterLines="0" w:afterAutospacing="0" w:line="240"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w:t>
            </w:r>
          </w:p>
        </w:tc>
      </w:tr>
    </w:tbl>
    <w:p>
      <w:pPr>
        <w:pStyle w:val="41"/>
        <w:keepNext w:val="0"/>
        <w:keepLines w:val="0"/>
        <w:pageBreakBefore w:val="0"/>
        <w:widowControl w:val="0"/>
        <w:numPr>
          <w:ilvl w:val="0"/>
          <w:numId w:val="2"/>
        </w:numPr>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采购需求（包括但不限于标的的名称、数量、简要技术需求或服务要求等）</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eastAsia"/>
          <w:lang w:val="en-US" w:eastAsia="zh-CN"/>
        </w:rPr>
      </w:pPr>
      <w:r>
        <w:rPr>
          <w:rFonts w:hint="eastAsia" w:ascii="宋体" w:hAnsi="宋体" w:eastAsia="宋体" w:cs="宋体"/>
          <w:bCs/>
          <w:color w:val="auto"/>
          <w:sz w:val="21"/>
          <w:szCs w:val="21"/>
          <w:highlight w:val="none"/>
        </w:rPr>
        <w:t>5.1采购内容：本项目招标</w:t>
      </w:r>
      <w:r>
        <w:rPr>
          <w:rFonts w:hint="eastAsia" w:ascii="宋体" w:hAnsi="宋体" w:eastAsia="宋体" w:cs="宋体"/>
          <w:bCs/>
          <w:color w:val="auto"/>
          <w:sz w:val="21"/>
          <w:szCs w:val="21"/>
          <w:highlight w:val="none"/>
          <w:lang w:val="en-US" w:eastAsia="zh-CN"/>
        </w:rPr>
        <w:t>为</w:t>
      </w:r>
      <w:r>
        <w:rPr>
          <w:rFonts w:hint="eastAsia" w:ascii="宋体" w:hAnsi="宋体" w:eastAsia="宋体" w:cs="宋体"/>
          <w:bCs/>
          <w:color w:val="auto"/>
          <w:sz w:val="21"/>
          <w:szCs w:val="21"/>
          <w:highlight w:val="none"/>
        </w:rPr>
        <w:t>四个</w:t>
      </w:r>
      <w:r>
        <w:rPr>
          <w:rFonts w:hint="eastAsia" w:ascii="宋体" w:hAnsi="宋体" w:eastAsia="宋体" w:cs="宋体"/>
          <w:bCs/>
          <w:color w:val="auto"/>
          <w:sz w:val="21"/>
          <w:szCs w:val="21"/>
          <w:highlight w:val="none"/>
          <w:lang w:val="en-US" w:eastAsia="zh-CN"/>
        </w:rPr>
        <w:t>学生</w:t>
      </w:r>
      <w:r>
        <w:rPr>
          <w:rFonts w:hint="eastAsia" w:ascii="宋体" w:hAnsi="宋体" w:eastAsia="宋体" w:cs="宋体"/>
          <w:bCs/>
          <w:color w:val="auto"/>
          <w:sz w:val="21"/>
          <w:szCs w:val="21"/>
          <w:highlight w:val="none"/>
        </w:rPr>
        <w:t>餐厅</w:t>
      </w:r>
      <w:r>
        <w:rPr>
          <w:rFonts w:hint="eastAsia" w:ascii="宋体" w:hAnsi="宋体" w:eastAsia="宋体" w:cs="宋体"/>
          <w:bCs/>
          <w:color w:val="auto"/>
          <w:sz w:val="21"/>
          <w:szCs w:val="21"/>
          <w:highlight w:val="none"/>
          <w:lang w:eastAsia="zh-CN"/>
        </w:rPr>
        <w:t>的承包经营权，</w:t>
      </w:r>
      <w:r>
        <w:rPr>
          <w:rFonts w:hint="eastAsia" w:ascii="宋体" w:hAnsi="宋体" w:eastAsia="宋体" w:cs="宋体"/>
          <w:bCs/>
          <w:color w:val="auto"/>
          <w:sz w:val="21"/>
          <w:szCs w:val="21"/>
          <w:highlight w:val="none"/>
          <w:lang w:val="en-US" w:eastAsia="zh-CN"/>
        </w:rPr>
        <w:t>共分为4个包段；</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1包</w:t>
      </w:r>
      <w:r>
        <w:rPr>
          <w:rFonts w:hint="eastAsia" w:ascii="宋体" w:hAnsi="宋体" w:eastAsia="宋体" w:cs="宋体"/>
          <w:bCs/>
          <w:color w:val="auto"/>
          <w:sz w:val="21"/>
          <w:szCs w:val="21"/>
          <w:highlight w:val="none"/>
        </w:rPr>
        <w:t>为竹香苑餐厅一楼，建筑面积约2800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2包</w:t>
      </w:r>
      <w:r>
        <w:rPr>
          <w:rFonts w:hint="eastAsia" w:ascii="宋体" w:hAnsi="宋体" w:eastAsia="宋体" w:cs="宋体"/>
          <w:bCs/>
          <w:color w:val="auto"/>
          <w:sz w:val="21"/>
          <w:szCs w:val="21"/>
          <w:highlight w:val="none"/>
        </w:rPr>
        <w:t>为竹香苑餐厅二楼，建筑面积约2800</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3包</w:t>
      </w:r>
      <w:r>
        <w:rPr>
          <w:rFonts w:hint="eastAsia" w:ascii="宋体" w:hAnsi="宋体" w:eastAsia="宋体" w:cs="宋体"/>
          <w:bCs/>
          <w:color w:val="auto"/>
          <w:sz w:val="21"/>
          <w:szCs w:val="21"/>
          <w:highlight w:val="none"/>
        </w:rPr>
        <w:t>为银杏食苑餐厅一楼，建筑面积约2300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4包</w:t>
      </w:r>
      <w:r>
        <w:rPr>
          <w:rFonts w:hint="eastAsia" w:ascii="宋体" w:hAnsi="宋体" w:eastAsia="宋体" w:cs="宋体"/>
          <w:bCs/>
          <w:color w:val="auto"/>
          <w:sz w:val="21"/>
          <w:szCs w:val="21"/>
          <w:highlight w:val="none"/>
        </w:rPr>
        <w:t>为银杏食苑餐厅二楼，建筑面积约2300</w:t>
      </w:r>
      <w:r>
        <w:rPr>
          <w:rFonts w:hint="eastAsia" w:ascii="宋体" w:hAnsi="宋体" w:eastAsia="宋体" w:cs="宋体"/>
          <w:bCs/>
          <w:color w:val="auto"/>
          <w:sz w:val="21"/>
          <w:szCs w:val="21"/>
          <w:highlight w:val="none"/>
          <w:lang w:val="en-US" w:eastAsia="zh-CN"/>
        </w:rPr>
        <w:t>㎡。</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default" w:ascii="宋体" w:hAnsi="宋体" w:eastAsia="Arial Unicode MS" w:cs="宋体"/>
          <w:bCs/>
          <w:color w:val="auto"/>
          <w:sz w:val="21"/>
          <w:szCs w:val="21"/>
          <w:highlight w:val="none"/>
          <w:lang w:val="en-US" w:eastAsia="zh-CN"/>
        </w:rPr>
      </w:pP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2服务质量</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符合国家相关行业合格标准。</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630" w:firstLineChars="3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5.3承包经营期限</w:t>
      </w:r>
      <w:r>
        <w:rPr>
          <w:rFonts w:hint="eastAsia" w:ascii="宋体" w:hAnsi="宋体" w:eastAsia="宋体" w:cs="宋体"/>
          <w:bCs/>
          <w:color w:val="auto"/>
          <w:sz w:val="21"/>
          <w:szCs w:val="21"/>
          <w:highlight w:val="none"/>
          <w:lang w:val="en-US" w:eastAsia="zh-CN"/>
        </w:rPr>
        <w:t>：半年。</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6、合同履行期限：半年。</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7、本项目是否接受联合体投标：否。</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8、是否接受进口产品：否</w:t>
      </w:r>
      <w:r>
        <w:rPr>
          <w:rFonts w:hint="eastAsia" w:ascii="宋体" w:hAnsi="宋体" w:eastAsia="宋体" w:cs="宋体"/>
          <w:color w:val="auto"/>
          <w:sz w:val="21"/>
          <w:szCs w:val="21"/>
          <w:highlight w:val="none"/>
          <w:lang w:eastAsia="zh-CN"/>
        </w:rPr>
        <w:t>。</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9、是否专门面向中小企业：是</w:t>
      </w:r>
      <w:r>
        <w:rPr>
          <w:rFonts w:hint="eastAsia" w:ascii="宋体" w:hAnsi="宋体" w:eastAsia="宋体" w:cs="宋体"/>
          <w:color w:val="auto"/>
          <w:sz w:val="21"/>
          <w:szCs w:val="21"/>
          <w:highlight w:val="none"/>
          <w:lang w:eastAsia="zh-CN"/>
        </w:rPr>
        <w:t>。</w:t>
      </w:r>
    </w:p>
    <w:p>
      <w:pPr>
        <w:pStyle w:val="41"/>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pPr>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（1）具有独立承担民事责任的能力（提供法人或者其他组织的营业执照等证明文件，自然人的身份证明）</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（2）具有良好的商业信誉和健全的财务会计制度（提供2021年度或2022年度经审计的财务审计报告，成立不足一年提供开户行出具的资信证明）；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（3）具有履行合同所必需的设备和专业技术能力（提供书面声明，格式自拟）；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有依法缴纳税收和社会保障资金的良好记录（提供企业2023年1月以来任意3个月依法缴纳税收证明和2023年1月以来任意3个月依法缴纳社会保障资金的证明（如依法免税或不需要缴纳社会保障资金的供应商，应提供相应文件证明其依法免税或不需要缴纳社会保障资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（5）参加政府采购活动前三年内，在经营活动中没有重大违法记录（提供书面声明，格式自拟）；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（6）法律法规规定的其他要求（提供书面声明，格式自拟）；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2.落实政府采购政策满足的资格要求：</w:t>
      </w:r>
      <w:r>
        <w:rPr>
          <w:rFonts w:hint="eastAsia" w:ascii="宋体" w:hAnsi="宋体" w:eastAsia="宋体" w:cs="宋体"/>
          <w:color w:val="000000"/>
          <w:sz w:val="21"/>
          <w:szCs w:val="21"/>
        </w:rPr>
        <w:t>本项目</w:t>
      </w:r>
      <w:r>
        <w:rPr>
          <w:rFonts w:hint="eastAsia" w:ascii="宋体" w:hAnsi="宋体" w:eastAsia="宋体" w:cs="宋体"/>
          <w:color w:val="000000"/>
          <w:sz w:val="21"/>
          <w:szCs w:val="21"/>
          <w:lang w:val="en-US" w:eastAsia="zh-CN"/>
        </w:rPr>
        <w:t>为</w:t>
      </w:r>
      <w:r>
        <w:rPr>
          <w:rFonts w:hint="eastAsia" w:ascii="宋体" w:hAnsi="宋体" w:cs="宋体"/>
          <w:color w:val="000000"/>
          <w:sz w:val="21"/>
          <w:szCs w:val="21"/>
          <w:lang w:val="en-US" w:eastAsia="zh-CN"/>
        </w:rPr>
        <w:t>服务类项目，</w:t>
      </w:r>
      <w:r>
        <w:rPr>
          <w:rFonts w:hint="eastAsia" w:ascii="宋体" w:hAnsi="宋体" w:eastAsia="宋体" w:cs="宋体"/>
          <w:color w:val="000000"/>
          <w:sz w:val="21"/>
          <w:szCs w:val="21"/>
          <w:lang w:val="en-US" w:eastAsia="zh-CN"/>
        </w:rPr>
        <w:t>专门面向中小微企业采购。</w:t>
      </w:r>
    </w:p>
    <w:p>
      <w:pPr>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供应商应具有国家规定的从事餐饮行业经营活动的相关证明，具有《食品经营许可证》或《餐饮服务许可证》，食品经营许可证或餐饮服务许可证中的经营者名称需与</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名称一致</w:t>
      </w:r>
      <w:r>
        <w:rPr>
          <w:rFonts w:hint="eastAsia" w:ascii="宋体" w:hAnsi="宋体" w:cs="宋体"/>
          <w:sz w:val="21"/>
          <w:szCs w:val="21"/>
          <w:lang w:val="en-US" w:eastAsia="zh-CN"/>
        </w:rPr>
        <w:t>；</w:t>
      </w:r>
    </w:p>
    <w:p>
      <w:pPr>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 </w:t>
      </w:r>
    </w:p>
    <w:p>
      <w:pPr>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3）单位负责人为同一人或者存在控股、管理关系的不同单位，不得参加同一招标项目投标。同属于同一母公司的子公司，同一合同项目最多有一家子公司参加投标</w:t>
      </w:r>
      <w:r>
        <w:rPr>
          <w:rFonts w:hint="eastAsia" w:ascii="宋体" w:hAnsi="宋体" w:cs="宋体"/>
          <w:sz w:val="21"/>
          <w:szCs w:val="21"/>
          <w:lang w:val="en-US" w:eastAsia="zh-CN"/>
        </w:rPr>
        <w:t>；</w:t>
      </w:r>
    </w:p>
    <w:p>
      <w:pPr>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（4）本次招标不接受联合体投标。</w:t>
      </w:r>
    </w:p>
    <w:p>
      <w:pPr>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注：供应商可同时投报项目的4个包，但只能成交一个包，成交顺序按包顺序，如在前一个包成交则自动放弃下一个包的成交候选人资格，成交候选人按顺序递增。</w:t>
      </w:r>
    </w:p>
    <w:p>
      <w:pPr>
        <w:pStyle w:val="172"/>
        <w:keepNext w:val="0"/>
        <w:keepLines w:val="0"/>
        <w:pageBreakBefore w:val="0"/>
        <w:kinsoku/>
        <w:overflowPunct/>
        <w:topLinePunct w:val="0"/>
        <w:autoSpaceDE/>
        <w:autoSpaceDN/>
        <w:bidi w:val="0"/>
        <w:spacing w:line="360" w:lineRule="auto"/>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FF0000"/>
          <w:kern w:val="0"/>
          <w:szCs w:val="21"/>
          <w:highlight w:val="none"/>
          <w:lang w:val="en-US" w:eastAsia="zh-CN"/>
        </w:rPr>
        <w:t>2023</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12</w:t>
      </w:r>
      <w:r>
        <w:rPr>
          <w:rFonts w:hint="eastAsia" w:ascii="宋体" w:hAnsi="宋体" w:eastAsia="宋体" w:cs="宋体"/>
          <w:color w:val="FF0000"/>
          <w:kern w:val="0"/>
          <w:szCs w:val="21"/>
          <w:highlight w:val="none"/>
        </w:rPr>
        <w:t>月</w:t>
      </w:r>
      <w:r>
        <w:rPr>
          <w:rFonts w:hint="eastAsia" w:ascii="宋体" w:hAnsi="宋体" w:cs="宋体"/>
          <w:color w:val="FF0000"/>
          <w:kern w:val="0"/>
          <w:szCs w:val="21"/>
          <w:highlight w:val="none"/>
          <w:lang w:val="en-US" w:eastAsia="zh-CN"/>
        </w:rPr>
        <w:t>18</w:t>
      </w:r>
      <w:r>
        <w:rPr>
          <w:rFonts w:hint="eastAsia" w:ascii="宋体" w:hAnsi="宋体" w:eastAsia="宋体" w:cs="宋体"/>
          <w:color w:val="FF0000"/>
          <w:kern w:val="0"/>
          <w:szCs w:val="21"/>
          <w:highlight w:val="none"/>
        </w:rPr>
        <w:t>日00时00分至</w:t>
      </w:r>
      <w:r>
        <w:rPr>
          <w:rFonts w:hint="eastAsia" w:ascii="宋体" w:hAnsi="宋体" w:eastAsia="宋体" w:cs="宋体"/>
          <w:color w:val="FF0000"/>
          <w:kern w:val="0"/>
          <w:szCs w:val="21"/>
          <w:highlight w:val="none"/>
          <w:lang w:val="en-US" w:eastAsia="zh-CN"/>
        </w:rPr>
        <w:t>2023</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12</w:t>
      </w:r>
      <w:r>
        <w:rPr>
          <w:rFonts w:hint="eastAsia" w:ascii="宋体" w:hAnsi="宋体" w:eastAsia="宋体" w:cs="宋体"/>
          <w:color w:val="FF0000"/>
          <w:kern w:val="0"/>
          <w:szCs w:val="21"/>
          <w:highlight w:val="none"/>
        </w:rPr>
        <w:t>月</w:t>
      </w:r>
      <w:r>
        <w:rPr>
          <w:rFonts w:hint="eastAsia" w:ascii="宋体" w:hAnsi="宋体" w:cs="宋体"/>
          <w:color w:val="FF0000"/>
          <w:kern w:val="0"/>
          <w:szCs w:val="21"/>
          <w:highlight w:val="none"/>
          <w:lang w:val="en-US" w:eastAsia="zh-CN"/>
        </w:rPr>
        <w:t>22</w:t>
      </w:r>
      <w:r>
        <w:rPr>
          <w:rFonts w:hint="eastAsia" w:ascii="宋体" w:hAnsi="宋体" w:eastAsia="宋体" w:cs="宋体"/>
          <w:color w:val="FF0000"/>
          <w:kern w:val="0"/>
          <w:szCs w:val="21"/>
          <w:highlight w:val="none"/>
        </w:rPr>
        <w:t>日23时59分</w:t>
      </w:r>
      <w:r>
        <w:rPr>
          <w:rFonts w:hint="eastAsia" w:ascii="宋体" w:hAnsi="宋体" w:eastAsia="宋体" w:cs="宋体"/>
          <w:color w:val="auto"/>
          <w:kern w:val="0"/>
          <w:szCs w:val="21"/>
          <w:highlight w:val="none"/>
        </w:rPr>
        <w:t>（北京时间）。</w:t>
      </w:r>
    </w:p>
    <w:p>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w:t>
      </w:r>
      <w:r>
        <w:rPr>
          <w:rFonts w:hint="eastAsia" w:ascii="宋体" w:hAnsi="宋体" w:cs="宋体"/>
          <w:color w:val="auto"/>
          <w:kern w:val="0"/>
          <w:szCs w:val="21"/>
          <w:highlight w:val="none"/>
          <w:lang w:eastAsia="zh-CN"/>
        </w:rPr>
        <w:t>登录</w:t>
      </w:r>
      <w:r>
        <w:rPr>
          <w:rFonts w:hint="eastAsia" w:ascii="宋体" w:hAnsi="宋体" w:eastAsia="宋体" w:cs="宋体"/>
          <w:color w:val="auto"/>
          <w:kern w:val="0"/>
          <w:szCs w:val="21"/>
          <w:highlight w:val="none"/>
        </w:rPr>
        <w:t>“全国公共资源交易平台（河南省·信阳市）（https://ggzyjy.xinyang.gov.cn）”网站，凭办理的企业身份认证锁（CA数字证书）</w:t>
      </w:r>
      <w:r>
        <w:rPr>
          <w:rFonts w:hint="eastAsia" w:ascii="宋体" w:hAnsi="宋体" w:cs="宋体"/>
          <w:color w:val="auto"/>
          <w:kern w:val="0"/>
          <w:szCs w:val="21"/>
          <w:highlight w:val="none"/>
          <w:lang w:eastAsia="zh-CN"/>
        </w:rPr>
        <w:t>登录</w:t>
      </w:r>
      <w:r>
        <w:rPr>
          <w:rFonts w:hint="eastAsia" w:ascii="宋体" w:hAnsi="宋体" w:eastAsia="宋体" w:cs="宋体"/>
          <w:color w:val="auto"/>
          <w:kern w:val="0"/>
          <w:szCs w:val="21"/>
          <w:highlight w:val="none"/>
        </w:rPr>
        <w:t>会员系统进行网上投标。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Cs w:val="21"/>
          <w:highlight w:val="none"/>
        </w:rPr>
        <w:t>3.方式：</w:t>
      </w:r>
      <w:r>
        <w:rPr>
          <w:rFonts w:hint="eastAsia" w:ascii="宋体" w:hAnsi="宋体" w:eastAsia="宋体" w:cs="宋体"/>
          <w:b w:val="0"/>
          <w:bCs w:val="0"/>
          <w:color w:val="auto"/>
          <w:sz w:val="21"/>
          <w:szCs w:val="21"/>
        </w:rPr>
        <w:t>3.1潜在供应商凭 CA 数字证书登陆会员系统后，即可按网上提示免费下载</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采购）文件及资料（操作程序详见信阳市公共资源交易中心网站下载中心栏目里投标人操作手册）。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val="0"/>
          <w:bCs w:val="0"/>
          <w:color w:val="auto"/>
          <w:sz w:val="21"/>
          <w:szCs w:val="21"/>
        </w:rPr>
        <w:t>3.2请供应商下载</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 xml:space="preserve">文件后及时关注系统业务菜单（“答疑澄清文件领取”，“控制价文件领取”）内该项目是否有新的答疑澄清文件或控制价文件。如有请直接下载，不再另行通知。 </w:t>
      </w:r>
    </w:p>
    <w:p>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4.售价：磋商文件售价0元。</w:t>
      </w:r>
    </w:p>
    <w:p>
      <w:pPr>
        <w:keepNext w:val="0"/>
        <w:keepLines w:val="0"/>
        <w:pageBreakBefore w:val="0"/>
        <w:widowControl/>
        <w:kinsoku/>
        <w:overflowPunct/>
        <w:topLinePunct w:val="0"/>
        <w:autoSpaceDE/>
        <w:autoSpaceDN/>
        <w:bidi w:val="0"/>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四、响应文件提交：</w:t>
      </w:r>
    </w:p>
    <w:p>
      <w:pPr>
        <w:pStyle w:val="41"/>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FF0000"/>
          <w:kern w:val="0"/>
          <w:sz w:val="21"/>
          <w:szCs w:val="21"/>
          <w:highlight w:val="none"/>
          <w:lang w:val="en-US" w:eastAsia="zh-CN" w:bidi="ar-SA"/>
        </w:rPr>
        <w:t>2024年01月02日9时3</w:t>
      </w:r>
      <w:r>
        <w:rPr>
          <w:rFonts w:hint="eastAsia" w:ascii="宋体" w:hAnsi="宋体" w:eastAsia="宋体" w:cs="宋体"/>
          <w:bCs/>
          <w:color w:val="FF0000"/>
          <w:sz w:val="21"/>
          <w:szCs w:val="21"/>
          <w:highlight w:val="none"/>
          <w:lang w:val="en-US" w:eastAsia="zh-CN"/>
        </w:rPr>
        <w:t>0</w:t>
      </w:r>
      <w:r>
        <w:rPr>
          <w:rFonts w:hint="eastAsia" w:ascii="宋体" w:hAnsi="宋体" w:eastAsia="宋体" w:cs="宋体"/>
          <w:bCs/>
          <w:color w:val="FF0000"/>
          <w:sz w:val="21"/>
          <w:szCs w:val="21"/>
          <w:highlight w:val="none"/>
        </w:rPr>
        <w:t>分</w:t>
      </w:r>
      <w:r>
        <w:rPr>
          <w:rFonts w:hint="eastAsia" w:ascii="宋体" w:hAnsi="宋体" w:eastAsia="宋体" w:cs="宋体"/>
          <w:color w:val="FF0000"/>
          <w:sz w:val="21"/>
          <w:szCs w:val="21"/>
          <w:highlight w:val="none"/>
        </w:rPr>
        <w:t>（北京时间）；</w:t>
      </w:r>
    </w:p>
    <w:p>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2"/>
          <w:sz w:val="21"/>
          <w:szCs w:val="21"/>
        </w:rPr>
        <w:t>地点：本项目为不见面开标项目，</w:t>
      </w:r>
      <w:r>
        <w:rPr>
          <w:rFonts w:hint="eastAsia" w:ascii="宋体" w:hAnsi="宋体" w:cs="宋体"/>
          <w:bCs/>
          <w:color w:val="auto"/>
          <w:kern w:val="2"/>
          <w:sz w:val="21"/>
          <w:szCs w:val="21"/>
          <w:lang w:val="en-US" w:eastAsia="zh-CN"/>
        </w:rPr>
        <w:t>响应</w:t>
      </w:r>
      <w:r>
        <w:rPr>
          <w:rFonts w:hint="eastAsia" w:ascii="宋体" w:hAnsi="宋体" w:eastAsia="宋体" w:cs="宋体"/>
          <w:bCs/>
          <w:color w:val="auto"/>
          <w:kern w:val="2"/>
          <w:sz w:val="21"/>
          <w:szCs w:val="21"/>
        </w:rPr>
        <w:t>文件递交地点为</w:t>
      </w:r>
      <w:r>
        <w:rPr>
          <w:rFonts w:hint="eastAsia" w:ascii="宋体" w:hAnsi="宋体" w:eastAsia="宋体" w:cs="宋体"/>
          <w:bCs/>
          <w:color w:val="auto"/>
          <w:kern w:val="2"/>
          <w:sz w:val="21"/>
          <w:szCs w:val="21"/>
          <w:lang w:val="zh-CN"/>
        </w:rPr>
        <w:t>《全国公共资源交易平台（河南省</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lang w:val="en-US" w:eastAsia="zh-CN"/>
        </w:rPr>
        <w:t>信阳市</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rPr>
        <w:t>（</w:t>
      </w:r>
      <w:r>
        <w:rPr>
          <w:rFonts w:hint="eastAsia" w:hAnsi="宋体" w:eastAsia="宋体" w:cs="宋体"/>
          <w:bCs/>
          <w:color w:val="auto"/>
          <w:kern w:val="2"/>
          <w:sz w:val="21"/>
          <w:szCs w:val="21"/>
          <w:lang w:eastAsia="zh-CN"/>
        </w:rPr>
        <w:t>https://ggzyjy.xinyang.gov.cn/</w:t>
      </w:r>
      <w:r>
        <w:rPr>
          <w:rFonts w:hint="eastAsia" w:ascii="宋体" w:hAnsi="宋体" w:eastAsia="宋体" w:cs="宋体"/>
          <w:bCs/>
          <w:color w:val="auto"/>
          <w:kern w:val="2"/>
          <w:sz w:val="21"/>
          <w:szCs w:val="21"/>
        </w:rPr>
        <w:t>）电子招投标平台会员系统指定位置。</w:t>
      </w:r>
    </w:p>
    <w:p>
      <w:pPr>
        <w:keepNext w:val="0"/>
        <w:keepLines w:val="0"/>
        <w:pageBreakBefore w:val="0"/>
        <w:widowControl/>
        <w:kinsoku/>
        <w:overflowPunct/>
        <w:topLinePunct w:val="0"/>
        <w:autoSpaceDE/>
        <w:autoSpaceDN/>
        <w:bidi w:val="0"/>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五、响应文件的开启：</w:t>
      </w:r>
    </w:p>
    <w:p>
      <w:pPr>
        <w:pStyle w:val="41"/>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1、时间：</w:t>
      </w:r>
      <w:r>
        <w:rPr>
          <w:rFonts w:hint="eastAsia" w:ascii="宋体" w:hAnsi="宋体" w:eastAsia="宋体" w:cs="宋体"/>
          <w:color w:val="FF0000"/>
          <w:kern w:val="0"/>
          <w:sz w:val="21"/>
          <w:szCs w:val="21"/>
          <w:highlight w:val="none"/>
          <w:lang w:val="en-US" w:eastAsia="zh-CN" w:bidi="ar-SA"/>
        </w:rPr>
        <w:t>2024年01月02日 9 时30分（</w:t>
      </w:r>
      <w:r>
        <w:rPr>
          <w:rFonts w:hint="eastAsia" w:ascii="宋体" w:hAnsi="宋体" w:eastAsia="宋体" w:cs="宋体"/>
          <w:color w:val="FF0000"/>
          <w:sz w:val="21"/>
          <w:szCs w:val="21"/>
          <w:highlight w:val="none"/>
        </w:rPr>
        <w:t>北京时间）；</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FF0000"/>
          <w:kern w:val="0"/>
          <w:szCs w:val="21"/>
          <w:highlight w:val="none"/>
        </w:rPr>
      </w:pPr>
      <w:r>
        <w:rPr>
          <w:rFonts w:hint="eastAsia" w:ascii="宋体" w:hAnsi="宋体" w:eastAsia="宋体" w:cs="宋体"/>
          <w:color w:val="FF0000"/>
          <w:kern w:val="0"/>
          <w:szCs w:val="21"/>
          <w:highlight w:val="none"/>
        </w:rPr>
        <w:t>2、地点：信阳市公共资源交易中心第</w:t>
      </w:r>
      <w:r>
        <w:rPr>
          <w:rFonts w:hint="eastAsia" w:ascii="宋体" w:hAnsi="宋体" w:eastAsia="宋体" w:cs="宋体"/>
          <w:color w:val="FF0000"/>
          <w:kern w:val="0"/>
          <w:szCs w:val="21"/>
          <w:highlight w:val="none"/>
          <w:u w:val="single"/>
        </w:rPr>
        <w:t xml:space="preserve"> </w:t>
      </w:r>
      <w:r>
        <w:rPr>
          <w:rFonts w:hint="eastAsia" w:ascii="宋体" w:hAnsi="宋体" w:cs="宋体"/>
          <w:color w:val="FF0000"/>
          <w:kern w:val="0"/>
          <w:szCs w:val="21"/>
          <w:highlight w:val="none"/>
          <w:u w:val="single"/>
          <w:lang w:val="en-US" w:eastAsia="zh-CN"/>
        </w:rPr>
        <w:t xml:space="preserve"> 六</w:t>
      </w:r>
      <w:r>
        <w:rPr>
          <w:rFonts w:hint="eastAsia" w:ascii="宋体" w:hAnsi="宋体" w:eastAsia="宋体" w:cs="宋体"/>
          <w:color w:val="FF0000"/>
          <w:kern w:val="0"/>
          <w:szCs w:val="21"/>
          <w:highlight w:val="none"/>
          <w:u w:val="single"/>
          <w:lang w:val="en-US" w:eastAsia="zh-CN"/>
        </w:rPr>
        <w:t xml:space="preserve"> </w:t>
      </w:r>
      <w:r>
        <w:rPr>
          <w:rFonts w:hint="eastAsia" w:ascii="宋体" w:hAnsi="宋体" w:eastAsia="宋体" w:cs="宋体"/>
          <w:color w:val="FF0000"/>
          <w:kern w:val="0"/>
          <w:szCs w:val="21"/>
          <w:highlight w:val="none"/>
        </w:rPr>
        <w:t xml:space="preserve">开标厅  </w:t>
      </w:r>
    </w:p>
    <w:p>
      <w:pPr>
        <w:keepNext w:val="0"/>
        <w:keepLines w:val="0"/>
        <w:pageBreakBefore w:val="0"/>
        <w:widowControl/>
        <w:kinsoku/>
        <w:overflowPunct/>
        <w:topLinePunct w:val="0"/>
        <w:autoSpaceDE/>
        <w:autoSpaceDN/>
        <w:bidi w:val="0"/>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六、发布公告的媒介及招标公告期限：</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Cs w:val="21"/>
          <w:highlight w:val="none"/>
        </w:rPr>
        <w:t>本次招标公告在《河南省政府采购网》、《全国公共资源交易平台（河南省·信阳市）》上发布</w:t>
      </w:r>
      <w:r>
        <w:rPr>
          <w:rFonts w:hint="eastAsia" w:ascii="宋体" w:hAnsi="宋体" w:eastAsia="宋体" w:cs="宋体"/>
          <w:color w:val="auto"/>
          <w:kern w:val="0"/>
          <w:szCs w:val="21"/>
          <w:highlight w:val="none"/>
          <w:lang w:eastAsia="zh-CN"/>
        </w:rPr>
        <w:t>，招标公告期限为</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p>
    <w:p>
      <w:pPr>
        <w:pStyle w:val="2"/>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本项目采用“不见面开标”交易方式，不见面开标大厅网址为https://ggzyjy.xinyang.gov.cn/BidOpening</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供应商无需寄送和递交非加密的电子响应文件，无需到现场参加开标会议，无需到达现场提交原件资料。</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2、投标人应当在投标截止时间前，使用投标人CA数字证书登录不见面开标大厅，在线签到并准时参加开标活动，并在规定时间内完成</w:t>
      </w:r>
      <w:r>
        <w:rPr>
          <w:rFonts w:hint="eastAsia" w:ascii="宋体" w:hAnsi="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文件解密、答疑澄清等。</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3、逾期解密或者没有准时在线参加开标活动导致的一切后果投标人自行承担。</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4、不见面开标服务的具体事宜，请查阅信阳市公共资源交易中心网站首页—下载中心—信阳市不见面开标大厅系统操作手册 。</w:t>
      </w:r>
    </w:p>
    <w:p>
      <w:pPr>
        <w:keepLines w:val="0"/>
        <w:pageBreakBefore w:val="0"/>
        <w:widowControl/>
        <w:numPr>
          <w:ilvl w:val="0"/>
          <w:numId w:val="0"/>
        </w:numPr>
        <w:kinsoku/>
        <w:wordWrap/>
        <w:overflowPunct/>
        <w:topLinePunct w:val="0"/>
        <w:bidi w:val="0"/>
        <w:adjustRightInd/>
        <w:snapToGrid/>
        <w:spacing w:line="360" w:lineRule="auto"/>
        <w:ind w:left="418" w:leftChars="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color w:val="auto"/>
          <w:kern w:val="0"/>
          <w:szCs w:val="21"/>
          <w:highlight w:val="none"/>
        </w:rPr>
        <w:t>5、</w:t>
      </w:r>
      <w:r>
        <w:rPr>
          <w:rFonts w:hint="eastAsia" w:ascii="宋体" w:hAnsi="宋体" w:eastAsia="宋体" w:cs="宋体"/>
          <w:sz w:val="21"/>
          <w:szCs w:val="21"/>
          <w:shd w:val="clear" w:color="auto" w:fill="FFFFFF"/>
          <w:lang w:val="en-US" w:eastAsia="zh-CN"/>
        </w:rPr>
        <w:t>由于交易中心系统升级，请各供应商在新系统中重新入库，再下载磋商文件。</w:t>
      </w:r>
    </w:p>
    <w:p>
      <w:pPr>
        <w:keepLines w:val="0"/>
        <w:pageBreakBefore w:val="0"/>
        <w:widowControl/>
        <w:numPr>
          <w:ilvl w:val="0"/>
          <w:numId w:val="0"/>
        </w:numPr>
        <w:kinsoku/>
        <w:wordWrap/>
        <w:overflowPunct/>
        <w:topLinePunct w:val="0"/>
        <w:bidi w:val="0"/>
        <w:adjustRightInd/>
        <w:snapToGrid/>
        <w:spacing w:line="360" w:lineRule="auto"/>
        <w:ind w:left="418"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sz w:val="21"/>
          <w:szCs w:val="21"/>
          <w:shd w:val="clear" w:color="auto" w:fill="FFFFFF"/>
          <w:lang w:val="en-US" w:eastAsia="zh-CN"/>
        </w:rPr>
        <w:t>6、</w:t>
      </w:r>
      <w:r>
        <w:rPr>
          <w:rFonts w:hint="eastAsia" w:ascii="宋体" w:hAnsi="宋体" w:eastAsia="宋体" w:cs="宋体"/>
          <w:sz w:val="21"/>
          <w:szCs w:val="21"/>
          <w:shd w:val="clear" w:color="auto" w:fill="FFFFFF"/>
        </w:rPr>
        <w:t>特别提示：</w:t>
      </w:r>
      <w:r>
        <w:rPr>
          <w:rFonts w:hint="eastAsia" w:ascii="宋体" w:hAnsi="宋体" w:eastAsia="宋体" w:cs="宋体"/>
          <w:sz w:val="21"/>
          <w:szCs w:val="21"/>
          <w:shd w:val="clear" w:color="auto" w:fill="FFFFFF"/>
          <w:lang w:eastAsia="zh-CN"/>
        </w:rPr>
        <w:t>供应商</w:t>
      </w:r>
      <w:r>
        <w:rPr>
          <w:rFonts w:hint="eastAsia" w:ascii="宋体" w:hAnsi="宋体" w:eastAsia="宋体" w:cs="宋体"/>
          <w:sz w:val="21"/>
          <w:szCs w:val="21"/>
          <w:shd w:val="clear" w:color="auto" w:fill="FFFFFF"/>
        </w:rPr>
        <w:t>在线签到时，应如实准确的填写授权委托人的联系电话，开标当天请务必保证电话保持畅通。</w:t>
      </w:r>
    </w:p>
    <w:p>
      <w:pPr>
        <w:keepNext w:val="0"/>
        <w:keepLines w:val="0"/>
        <w:pageBreakBefore w:val="0"/>
        <w:widowControl/>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监督部门：</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联系人：信阳市财政局政府采购监督管理科</w:t>
      </w:r>
    </w:p>
    <w:p>
      <w:pPr>
        <w:keepNext w:val="0"/>
        <w:keepLines w:val="0"/>
        <w:pageBreakBefore w:val="0"/>
        <w:widowControl/>
        <w:kinsoku/>
        <w:overflowPunct/>
        <w:topLinePunct w:val="0"/>
        <w:autoSpaceDE/>
        <w:autoSpaceDN/>
        <w:bidi w:val="0"/>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监督电话：0376-6699188</w:t>
      </w:r>
    </w:p>
    <w:p>
      <w:pPr>
        <w:keepNext w:val="0"/>
        <w:keepLines w:val="0"/>
        <w:pageBreakBefore w:val="0"/>
        <w:widowControl/>
        <w:kinsoku/>
        <w:overflowPunct/>
        <w:topLinePunct w:val="0"/>
        <w:autoSpaceDE/>
        <w:autoSpaceDN/>
        <w:bidi w:val="0"/>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八、凡对本次招标提出询问，请按照以下方式联系：</w:t>
      </w:r>
    </w:p>
    <w:bookmarkEnd w:id="6"/>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 xml:space="preserve">1.采购人信息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采 购 人：</w:t>
      </w:r>
      <w:r>
        <w:rPr>
          <w:rFonts w:hint="eastAsia" w:ascii="宋体" w:hAnsi="宋体" w:cs="宋体"/>
          <w:bCs/>
          <w:color w:val="auto"/>
          <w:kern w:val="0"/>
          <w:highlight w:val="none"/>
          <w:lang w:eastAsia="zh-CN"/>
        </w:rPr>
        <w:t>信阳农林学院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地    址：</w:t>
      </w:r>
      <w:r>
        <w:rPr>
          <w:rFonts w:hint="eastAsia" w:ascii="宋体" w:hAnsi="宋体" w:cs="宋体"/>
          <w:bCs/>
          <w:color w:val="auto"/>
          <w:kern w:val="0"/>
          <w:highlight w:val="none"/>
          <w:lang w:eastAsia="zh-CN"/>
        </w:rPr>
        <w:t>信阳市平桥区北环路1号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联 系 人：</w:t>
      </w:r>
      <w:r>
        <w:rPr>
          <w:rFonts w:hint="eastAsia" w:ascii="宋体" w:hAnsi="宋体" w:cs="宋体"/>
          <w:bCs/>
          <w:color w:val="auto"/>
          <w:kern w:val="0"/>
          <w:highlight w:val="none"/>
          <w:lang w:eastAsia="zh-CN"/>
        </w:rPr>
        <w:t>尚先生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eastAsia="宋体" w:cs="宋体"/>
          <w:bCs/>
          <w:color w:val="auto"/>
          <w:kern w:val="0"/>
          <w:highlight w:val="none"/>
        </w:rPr>
        <w:t>联系电话：</w:t>
      </w:r>
      <w:r>
        <w:rPr>
          <w:rFonts w:hint="eastAsia" w:ascii="宋体" w:hAnsi="宋体" w:cs="宋体"/>
          <w:bCs/>
          <w:color w:val="auto"/>
          <w:kern w:val="0"/>
          <w:highlight w:val="none"/>
          <w:lang w:val="en-US" w:eastAsia="zh-CN"/>
        </w:rPr>
        <w:t>0376-6698756</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Cs w:val="21"/>
          <w:lang w:eastAsia="zh-CN"/>
        </w:rPr>
      </w:pPr>
      <w:r>
        <w:rPr>
          <w:rFonts w:hint="eastAsia" w:ascii="宋体" w:hAnsi="宋体" w:cs="宋体"/>
          <w:szCs w:val="21"/>
        </w:rPr>
        <w:t>2、采购代理机构信息</w:t>
      </w:r>
      <w:r>
        <w:rPr>
          <w:rFonts w:hint="eastAsia" w:ascii="宋体" w:hAnsi="宋体" w:cs="宋体"/>
          <w:szCs w:val="21"/>
          <w:lang w:eastAsia="zh-CN"/>
        </w:rPr>
        <w:t>（如有）</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szCs w:val="21"/>
        </w:rPr>
      </w:pPr>
      <w:r>
        <w:rPr>
          <w:rFonts w:hint="eastAsia" w:ascii="宋体" w:hAnsi="宋体" w:cs="宋体"/>
          <w:szCs w:val="21"/>
        </w:rPr>
        <w:t>名称：河南英华咨询有限公司</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szCs w:val="21"/>
        </w:rPr>
      </w:pPr>
      <w:r>
        <w:rPr>
          <w:rFonts w:hint="eastAsia" w:ascii="宋体" w:hAnsi="宋体" w:cs="宋体"/>
          <w:szCs w:val="21"/>
        </w:rPr>
        <w:t>地址：信阳市羊山新区政和花园A区23号楼</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娄利杰</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szCs w:val="21"/>
        </w:rPr>
      </w:pPr>
      <w:r>
        <w:rPr>
          <w:rFonts w:hint="eastAsia" w:ascii="宋体" w:hAnsi="宋体" w:cs="宋体"/>
          <w:szCs w:val="21"/>
        </w:rPr>
        <w:t>联系方式：0376-6781701、17637601701</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szCs w:val="21"/>
        </w:rPr>
      </w:pPr>
      <w:r>
        <w:rPr>
          <w:rFonts w:hint="eastAsia" w:ascii="宋体" w:hAnsi="宋体" w:cs="宋体"/>
          <w:szCs w:val="21"/>
        </w:rPr>
        <w:t>3.项目联系方式：</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szCs w:val="21"/>
          <w:lang w:eastAsia="zh-CN"/>
        </w:rPr>
      </w:pPr>
      <w:r>
        <w:rPr>
          <w:rFonts w:hint="eastAsia" w:ascii="宋体" w:hAnsi="宋体" w:cs="宋体"/>
          <w:szCs w:val="21"/>
        </w:rPr>
        <w:t>联系人：</w:t>
      </w:r>
      <w:r>
        <w:rPr>
          <w:rFonts w:hint="eastAsia" w:ascii="宋体" w:hAnsi="宋体" w:cs="宋体"/>
          <w:szCs w:val="21"/>
          <w:lang w:eastAsia="zh-CN"/>
        </w:rPr>
        <w:t>娄利杰</w:t>
      </w:r>
    </w:p>
    <w:p>
      <w:pPr>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cs="宋体"/>
          <w:szCs w:val="21"/>
        </w:rPr>
      </w:pPr>
      <w:r>
        <w:rPr>
          <w:rFonts w:hint="eastAsia" w:ascii="宋体" w:hAnsi="宋体" w:cs="宋体"/>
          <w:szCs w:val="21"/>
        </w:rPr>
        <w:t>联系方式：0376-6781701、17637601701</w:t>
      </w:r>
    </w:p>
    <w:p>
      <w:pPr>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rFonts w:hint="eastAsia" w:ascii="宋体" w:hAnsi="宋体" w:cs="宋体"/>
          <w:b/>
          <w:bCs w:val="0"/>
          <w:color w:val="auto"/>
          <w:sz w:val="32"/>
        </w:rPr>
      </w:pPr>
      <w:r>
        <w:rPr>
          <w:rFonts w:hint="eastAsia" w:ascii="宋体" w:hAnsi="宋体" w:cs="宋体"/>
          <w:b/>
          <w:bCs w:val="0"/>
          <w:color w:val="auto"/>
          <w:sz w:val="32"/>
        </w:rPr>
        <w:br w:type="page"/>
      </w:r>
      <w:r>
        <w:rPr>
          <w:rFonts w:hint="eastAsia" w:ascii="宋体" w:hAnsi="宋体" w:cs="宋体"/>
          <w:b/>
          <w:bCs w:val="0"/>
          <w:color w:val="auto"/>
          <w:sz w:val="32"/>
        </w:rPr>
        <w:t>第二章 供应商须知</w:t>
      </w:r>
      <w:bookmarkEnd w:id="7"/>
      <w:bookmarkEnd w:id="8"/>
      <w:bookmarkEnd w:id="9"/>
      <w:bookmarkEnd w:id="10"/>
    </w:p>
    <w:p>
      <w:pPr>
        <w:pStyle w:val="177"/>
        <w:ind w:firstLine="3092" w:firstLineChars="1100"/>
        <w:jc w:val="left"/>
        <w:rPr>
          <w:rFonts w:hint="eastAsia" w:ascii="宋体" w:hAnsi="宋体" w:eastAsia="宋体"/>
          <w:b/>
          <w:bCs/>
          <w:color w:val="auto"/>
        </w:rPr>
      </w:pPr>
      <w:bookmarkStart w:id="11" w:name="_Toc152042304"/>
      <w:bookmarkStart w:id="12" w:name="_Toc471"/>
      <w:bookmarkStart w:id="13" w:name="_Toc30755"/>
      <w:bookmarkStart w:id="14" w:name="_Toc27072"/>
      <w:bookmarkStart w:id="15" w:name="_Toc144974496"/>
      <w:bookmarkStart w:id="16" w:name="_Toc466298090"/>
      <w:bookmarkStart w:id="17" w:name="_Toc152045528"/>
      <w:bookmarkStart w:id="18" w:name="_Toc455080107"/>
      <w:r>
        <w:rPr>
          <w:rFonts w:hint="eastAsia" w:ascii="宋体" w:hAnsi="宋体" w:eastAsia="宋体"/>
          <w:b/>
          <w:bCs/>
          <w:color w:val="auto"/>
        </w:rPr>
        <w:t>供应商须知前附表</w:t>
      </w:r>
      <w:bookmarkEnd w:id="11"/>
      <w:bookmarkEnd w:id="12"/>
      <w:bookmarkEnd w:id="13"/>
      <w:bookmarkEnd w:id="14"/>
      <w:bookmarkEnd w:id="15"/>
      <w:bookmarkEnd w:id="16"/>
      <w:bookmarkEnd w:id="17"/>
      <w:bookmarkEnd w:id="18"/>
    </w:p>
    <w:tbl>
      <w:tblPr>
        <w:tblStyle w:val="48"/>
        <w:tblW w:w="8870" w:type="dxa"/>
        <w:tblInd w:w="108" w:type="dxa"/>
        <w:tblLayout w:type="fixed"/>
        <w:tblCellMar>
          <w:top w:w="0" w:type="dxa"/>
          <w:left w:w="108" w:type="dxa"/>
          <w:bottom w:w="0" w:type="dxa"/>
          <w:right w:w="108" w:type="dxa"/>
        </w:tblCellMar>
      </w:tblPr>
      <w:tblGrid>
        <w:gridCol w:w="993"/>
        <w:gridCol w:w="2158"/>
        <w:gridCol w:w="5719"/>
      </w:tblGrid>
      <w:tr>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条款号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条款名称</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编  列  内  容</w:t>
            </w:r>
          </w:p>
        </w:tc>
      </w:tr>
      <w:tr>
        <w:tblPrEx>
          <w:tblCellMar>
            <w:top w:w="0" w:type="dxa"/>
            <w:left w:w="108" w:type="dxa"/>
            <w:bottom w:w="0" w:type="dxa"/>
            <w:right w:w="108" w:type="dxa"/>
          </w:tblCellMar>
        </w:tblPrEx>
        <w:trPr>
          <w:trHeight w:val="132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1.2.1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采购人</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名称</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信阳农林学院</w:t>
            </w:r>
          </w:p>
          <w:p>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ascii="宋体" w:hAnsi="宋体" w:cs="宋体"/>
                <w:color w:val="auto"/>
                <w:sz w:val="21"/>
                <w:szCs w:val="21"/>
                <w:lang w:val="en-US" w:eastAsia="zh-CN"/>
              </w:rPr>
              <w:t>信阳市平桥区北环路1号</w:t>
            </w:r>
          </w:p>
          <w:p>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cs="宋体"/>
                <w:color w:val="auto"/>
                <w:sz w:val="21"/>
                <w:szCs w:val="21"/>
                <w:lang w:val="en-US" w:eastAsia="zh-CN"/>
              </w:rPr>
              <w:t>尚先生</w:t>
            </w:r>
          </w:p>
          <w:p>
            <w:pPr>
              <w:keepNext w:val="0"/>
              <w:keepLines w:val="0"/>
              <w:pageBreakBefore w:val="0"/>
              <w:kinsoku/>
              <w:overflowPunct/>
              <w:topLinePunct w:val="0"/>
              <w:autoSpaceDE/>
              <w:autoSpaceDN/>
              <w:bidi w:val="0"/>
              <w:spacing w:line="24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w:t>
            </w:r>
            <w:r>
              <w:rPr>
                <w:rFonts w:hint="eastAsia" w:ascii="宋体" w:hAnsi="宋体" w:cs="宋体"/>
                <w:color w:val="auto"/>
                <w:sz w:val="21"/>
                <w:szCs w:val="21"/>
                <w:lang w:val="en-US" w:eastAsia="zh-CN"/>
              </w:rPr>
              <w:t>0376-6698756</w:t>
            </w:r>
          </w:p>
        </w:tc>
      </w:tr>
      <w:tr>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1.2.2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采购代理机构</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名称：河南英华咨询有限公司</w:t>
            </w:r>
          </w:p>
          <w:p>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地址：信阳市羊山新区政和花园A区23号楼</w:t>
            </w:r>
          </w:p>
          <w:p>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联系人：娄利杰</w:t>
            </w:r>
          </w:p>
          <w:p>
            <w:pPr>
              <w:keepNext w:val="0"/>
              <w:keepLines w:val="0"/>
              <w:pageBreakBefore w:val="0"/>
              <w:widowControl/>
              <w:suppressLineNumbers w:val="0"/>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联系方式：0376-6781701、17637601701</w:t>
            </w:r>
          </w:p>
        </w:tc>
      </w:tr>
      <w:tr>
        <w:tblPrEx>
          <w:tblCellMar>
            <w:top w:w="0" w:type="dxa"/>
            <w:left w:w="108" w:type="dxa"/>
            <w:bottom w:w="0" w:type="dxa"/>
            <w:right w:w="108" w:type="dxa"/>
          </w:tblCellMar>
        </w:tblPrEx>
        <w:trPr>
          <w:trHeight w:val="5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1.2.3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项目名称</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Cs w:val="21"/>
                <w:lang w:eastAsia="zh-CN"/>
              </w:rPr>
            </w:pPr>
            <w:r>
              <w:rPr>
                <w:rFonts w:hint="eastAsia" w:ascii="宋体" w:hAnsi="宋体" w:cs="宋体"/>
                <w:bCs/>
                <w:color w:val="auto"/>
                <w:sz w:val="21"/>
                <w:szCs w:val="21"/>
                <w:highlight w:val="none"/>
                <w:lang w:eastAsia="zh-CN"/>
              </w:rPr>
              <w:t>信阳农林学院餐饮服务商项目</w:t>
            </w:r>
          </w:p>
        </w:tc>
      </w:tr>
      <w:tr>
        <w:tblPrEx>
          <w:tblCellMar>
            <w:top w:w="0" w:type="dxa"/>
            <w:left w:w="108" w:type="dxa"/>
            <w:bottom w:w="0" w:type="dxa"/>
            <w:right w:w="108" w:type="dxa"/>
          </w:tblCellMar>
        </w:tblPrEx>
        <w:trPr>
          <w:trHeight w:val="5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1.4.1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eastAsia="宋体" w:cs="宋体"/>
                <w:color w:val="auto"/>
                <w:szCs w:val="21"/>
                <w:lang w:eastAsia="zh-CN"/>
              </w:rPr>
            </w:pPr>
            <w:r>
              <w:rPr>
                <w:rFonts w:hint="eastAsia" w:ascii="宋体" w:hAnsi="宋体" w:cs="宋体"/>
                <w:color w:val="auto"/>
                <w:szCs w:val="21"/>
                <w:lang w:eastAsia="zh-CN"/>
              </w:rPr>
              <w:t>采购内容</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1包</w:t>
            </w:r>
            <w:r>
              <w:rPr>
                <w:rFonts w:hint="eastAsia" w:ascii="宋体" w:hAnsi="宋体" w:eastAsia="宋体" w:cs="宋体"/>
                <w:color w:val="auto"/>
                <w:szCs w:val="21"/>
                <w:lang w:eastAsia="zh-CN"/>
              </w:rPr>
              <w:t>为竹香苑餐厅一楼，建筑面积约2800</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2包</w:t>
            </w:r>
            <w:r>
              <w:rPr>
                <w:rFonts w:hint="eastAsia" w:ascii="宋体" w:hAnsi="宋体" w:eastAsia="宋体" w:cs="宋体"/>
                <w:color w:val="auto"/>
                <w:szCs w:val="21"/>
                <w:lang w:eastAsia="zh-CN"/>
              </w:rPr>
              <w:t>为竹香苑餐厅二楼，建筑面积约2800</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3包</w:t>
            </w:r>
            <w:r>
              <w:rPr>
                <w:rFonts w:hint="eastAsia" w:ascii="宋体" w:hAnsi="宋体" w:eastAsia="宋体" w:cs="宋体"/>
                <w:color w:val="auto"/>
                <w:szCs w:val="21"/>
                <w:lang w:eastAsia="zh-CN"/>
              </w:rPr>
              <w:t>为银杏食苑餐厅一楼，建筑面积约2300</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4包</w:t>
            </w:r>
            <w:r>
              <w:rPr>
                <w:rFonts w:hint="eastAsia" w:ascii="宋体" w:hAnsi="宋体" w:eastAsia="宋体" w:cs="宋体"/>
                <w:color w:val="auto"/>
                <w:szCs w:val="21"/>
                <w:lang w:eastAsia="zh-CN"/>
              </w:rPr>
              <w:t>为银杏食苑餐厅二楼，建筑面积约2300</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p>
        </w:tc>
      </w:tr>
      <w:tr>
        <w:tblPrEx>
          <w:tblCellMar>
            <w:top w:w="0" w:type="dxa"/>
            <w:left w:w="108" w:type="dxa"/>
            <w:bottom w:w="0" w:type="dxa"/>
            <w:right w:w="108" w:type="dxa"/>
          </w:tblCellMar>
        </w:tblPrEx>
        <w:trPr>
          <w:trHeight w:val="5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承包经营期限</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left"/>
              <w:rPr>
                <w:rFonts w:hint="eastAsia" w:ascii="宋体" w:hAnsi="宋体"/>
                <w:color w:val="auto"/>
                <w:szCs w:val="21"/>
                <w:highlight w:val="none"/>
              </w:rPr>
            </w:pPr>
            <w:r>
              <w:rPr>
                <w:rFonts w:hint="eastAsia" w:ascii="宋体" w:hAnsi="宋体" w:eastAsia="宋体"/>
                <w:color w:val="auto"/>
                <w:szCs w:val="21"/>
                <w:highlight w:val="none"/>
                <w:lang w:val="en-US" w:eastAsia="zh-CN"/>
              </w:rPr>
              <w:t>半年</w:t>
            </w:r>
          </w:p>
        </w:tc>
      </w:tr>
      <w:tr>
        <w:tblPrEx>
          <w:tblCellMar>
            <w:top w:w="0" w:type="dxa"/>
            <w:left w:w="108" w:type="dxa"/>
            <w:bottom w:w="0" w:type="dxa"/>
            <w:right w:w="108" w:type="dxa"/>
          </w:tblCellMar>
        </w:tblPrEx>
        <w:trPr>
          <w:trHeight w:val="5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质量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符合国家相关行业合格标准</w:t>
            </w:r>
          </w:p>
        </w:tc>
      </w:tr>
      <w:tr>
        <w:tblPrEx>
          <w:tblCellMar>
            <w:top w:w="0" w:type="dxa"/>
            <w:left w:w="108" w:type="dxa"/>
            <w:bottom w:w="0" w:type="dxa"/>
            <w:right w:w="108" w:type="dxa"/>
          </w:tblCellMar>
        </w:tblPrEx>
        <w:trPr>
          <w:trHeight w:val="5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1.4.4</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付款方式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按合同约定执行</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1.5.1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供应商资质条件及能力要求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right="0"/>
              <w:jc w:val="left"/>
              <w:textAlignment w:val="auto"/>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落实政府采购政策满足的资格要求：</w:t>
            </w:r>
            <w:r>
              <w:rPr>
                <w:rFonts w:hint="eastAsia" w:ascii="宋体" w:hAnsi="宋体" w:eastAsia="宋体" w:cs="宋体"/>
                <w:b w:val="0"/>
                <w:bCs w:val="0"/>
                <w:color w:val="auto"/>
                <w:sz w:val="21"/>
                <w:szCs w:val="21"/>
                <w:shd w:val="clear"/>
              </w:rPr>
              <w:t>本项目</w:t>
            </w:r>
            <w:r>
              <w:rPr>
                <w:rFonts w:hint="eastAsia" w:ascii="宋体" w:hAnsi="宋体" w:eastAsia="宋体" w:cs="宋体"/>
                <w:b w:val="0"/>
                <w:bCs w:val="0"/>
                <w:color w:val="auto"/>
                <w:sz w:val="21"/>
                <w:szCs w:val="21"/>
                <w:shd w:val="clear"/>
                <w:lang w:val="en-US" w:eastAsia="zh-CN"/>
              </w:rPr>
              <w:t>为服务类项目，专门面向中小微企业采购。</w:t>
            </w:r>
          </w:p>
          <w:p>
            <w:pPr>
              <w:pStyle w:val="18"/>
              <w:keepNext w:val="0"/>
              <w:keepLines w:val="0"/>
              <w:pageBreakBefore w:val="0"/>
              <w:kinsoku/>
              <w:overflowPunct/>
              <w:topLinePunct/>
              <w:bidi w:val="0"/>
              <w:adjustRightInd w:val="0"/>
              <w:spacing w:line="400" w:lineRule="exact"/>
              <w:jc w:val="left"/>
              <w:textAlignment w:val="baseline"/>
              <w:rPr>
                <w:rFonts w:hint="eastAsia" w:ascii="宋体" w:hAnsi="宋体" w:eastAsia="宋体" w:cs="宋体"/>
                <w:b/>
                <w:bCs/>
                <w:sz w:val="21"/>
                <w:szCs w:val="21"/>
                <w:lang w:val="en-US" w:eastAsia="zh-CN"/>
              </w:rPr>
            </w:pPr>
            <w:r>
              <w:rPr>
                <w:rFonts w:hint="eastAsia" w:hAnsi="宋体" w:eastAsia="宋体" w:cs="宋体"/>
                <w:b/>
                <w:bCs/>
                <w:sz w:val="21"/>
                <w:szCs w:val="21"/>
                <w:lang w:val="en-US" w:eastAsia="zh-CN"/>
              </w:rPr>
              <w:t>2、</w:t>
            </w:r>
            <w:r>
              <w:rPr>
                <w:rFonts w:hint="eastAsia" w:ascii="宋体" w:hAnsi="宋体" w:eastAsia="宋体" w:cs="宋体"/>
                <w:b/>
                <w:bCs/>
                <w:sz w:val="21"/>
                <w:szCs w:val="21"/>
                <w:lang w:val="en-US" w:eastAsia="zh-CN"/>
              </w:rPr>
              <w:t>符合《中华人民共和国政府采购法》第22条规定（需提供下列证明材料）：</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（1）具有独立承担民事责任的能力（提供法人或者其他组织的营业执照等证明文件，自然人的身份证明）</w:t>
            </w:r>
            <w:r>
              <w:rPr>
                <w:rFonts w:hint="eastAsia" w:ascii="宋体" w:hAnsi="宋体" w:cs="宋体"/>
                <w:b w:val="0"/>
                <w:bCs w:val="0"/>
                <w:sz w:val="21"/>
                <w:szCs w:val="21"/>
                <w:lang w:val="en-US" w:eastAsia="zh-CN"/>
              </w:rPr>
              <w:t>；</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（2）具有良好的商业信誉和健全的财务会计制度（提供2021年度或2022年度经审计的财务审计报告，成立不足一年提供开户行出具的资信证明）；</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（3）具有履行合同所必需的设备和专业技术能力（提供书面声明，格式自拟）；</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（4）有依法缴纳税收和社会保障资金的良好记录（提供企业2023年1月以来任意3个月依法缴纳税收证明和2023年1月以来任意3个月依法缴纳社会保障资金的证明（</w:t>
            </w:r>
            <w:r>
              <w:rPr>
                <w:rFonts w:hint="eastAsia" w:ascii="宋体" w:hAnsi="宋体" w:eastAsia="宋体" w:cs="宋体"/>
                <w:color w:val="auto"/>
                <w:sz w:val="21"/>
                <w:szCs w:val="21"/>
                <w:highlight w:val="none"/>
                <w:lang w:val="en-US" w:eastAsia="zh-CN"/>
              </w:rPr>
              <w:t>如依法免税或不需要缴纳社会保障资金的供应商，应提供相应文件证明其依法免税或不需要缴纳社会保障资金</w:t>
            </w:r>
            <w:r>
              <w:rPr>
                <w:rFonts w:hint="eastAsia" w:ascii="宋体" w:hAnsi="宋体" w:eastAsia="宋体" w:cs="宋体"/>
                <w:b w:val="0"/>
                <w:bCs w:val="0"/>
                <w:sz w:val="21"/>
                <w:szCs w:val="21"/>
                <w:lang w:val="en-US" w:eastAsia="zh-CN"/>
              </w:rPr>
              <w:t>）；</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（5）参加政府采购活动前三年内，在经营活动中没有重大违法记录（提供书面声明，格式自拟）；</w:t>
            </w:r>
          </w:p>
          <w:p>
            <w:pPr>
              <w:keepNext w:val="0"/>
              <w:keepLines w:val="0"/>
              <w:pageBreakBefore w:val="0"/>
              <w:numPr>
                <w:ilvl w:val="0"/>
                <w:numId w:val="0"/>
              </w:numPr>
              <w:kinsoku/>
              <w:overflowPunct/>
              <w:bidi w:val="0"/>
              <w:spacing w:line="400" w:lineRule="exac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（6）法律法规规定的其他要求</w:t>
            </w:r>
            <w:r>
              <w:rPr>
                <w:rFonts w:hint="eastAsia" w:ascii="宋体" w:hAnsi="宋体" w:eastAsia="宋体" w:cs="宋体"/>
                <w:b w:val="0"/>
                <w:bCs w:val="0"/>
                <w:sz w:val="21"/>
                <w:szCs w:val="21"/>
                <w:lang w:val="en-US" w:eastAsia="zh-CN"/>
              </w:rPr>
              <w:t>（提供书面声明，格式自拟）；</w:t>
            </w:r>
          </w:p>
          <w:p>
            <w:pPr>
              <w:keepNext w:val="0"/>
              <w:keepLines w:val="0"/>
              <w:pageBreakBefore w:val="0"/>
              <w:numPr>
                <w:ilvl w:val="0"/>
                <w:numId w:val="0"/>
              </w:numPr>
              <w:kinsoku/>
              <w:overflowPunct/>
              <w:bidi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特定资格要求：</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（1）供应商应具有国家规定的从事餐饮行业经营活动的相关证明，具有《食品经营许可证》或《餐饮服务许可证》，食品经营许可证或餐饮服务许可证中的经营者名称需与供应商名称一致；</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w:t>
            </w:r>
            <w:r>
              <w:rPr>
                <w:rFonts w:hint="eastAsia" w:ascii="宋体" w:hAnsi="宋体" w:cs="宋体"/>
                <w:sz w:val="21"/>
                <w:szCs w:val="21"/>
                <w:lang w:val="en-US" w:eastAsia="zh-CN"/>
              </w:rPr>
              <w:t>；</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单位负责人为同一人或者存在控股、管理关系的不同单位，不得参加同一招标项目投标。同属于同一母公司的子公司，同一合同项目最多有一家子公司参加投标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本次招标不接受联合体投标。</w:t>
            </w:r>
          </w:p>
        </w:tc>
      </w:tr>
      <w:tr>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1.5.2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是否接受联合体</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不接受</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1.10.1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lang w:eastAsia="zh-CN"/>
              </w:rPr>
              <w:t>现场踏勘</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不</w:t>
            </w:r>
            <w:r>
              <w:rPr>
                <w:rFonts w:hint="eastAsia" w:ascii="宋体" w:hAnsi="宋体" w:eastAsia="宋体" w:cs="宋体"/>
                <w:color w:val="auto"/>
                <w:sz w:val="21"/>
                <w:szCs w:val="21"/>
                <w:lang w:val="en-US" w:eastAsia="zh-CN"/>
              </w:rPr>
              <w:t>组织，潜在供应商自行踏勘</w:t>
            </w:r>
          </w:p>
        </w:tc>
      </w:tr>
      <w:tr>
        <w:tblPrEx>
          <w:tblCellMar>
            <w:top w:w="0" w:type="dxa"/>
            <w:left w:w="108" w:type="dxa"/>
            <w:bottom w:w="0" w:type="dxa"/>
            <w:right w:w="108" w:type="dxa"/>
          </w:tblCellMar>
        </w:tblPrEx>
        <w:trPr>
          <w:trHeight w:val="56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1.11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分包</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不允许</w:t>
            </w:r>
          </w:p>
        </w:tc>
      </w:tr>
      <w:tr>
        <w:tblPrEx>
          <w:tblCellMar>
            <w:top w:w="0" w:type="dxa"/>
            <w:left w:w="108" w:type="dxa"/>
            <w:bottom w:w="0" w:type="dxa"/>
            <w:right w:w="108" w:type="dxa"/>
          </w:tblCellMar>
        </w:tblPrEx>
        <w:trPr>
          <w:trHeight w:val="92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2.1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构成磋商文件</w:t>
            </w:r>
          </w:p>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的其他材料</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tblPrEx>
          <w:tblCellMar>
            <w:top w:w="0" w:type="dxa"/>
            <w:left w:w="108" w:type="dxa"/>
            <w:bottom w:w="0" w:type="dxa"/>
            <w:right w:w="108" w:type="dxa"/>
          </w:tblCellMar>
        </w:tblPrEx>
        <w:trPr>
          <w:trHeight w:val="81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textAlignment w:val="baseline"/>
              <w:rPr>
                <w:rFonts w:hint="eastAsia" w:ascii="宋体" w:hAnsi="宋体" w:cs="宋体"/>
                <w:color w:val="auto"/>
                <w:szCs w:val="21"/>
              </w:rPr>
            </w:pPr>
            <w:r>
              <w:rPr>
                <w:rFonts w:hint="eastAsia" w:ascii="宋体" w:hAnsi="宋体" w:cs="宋体"/>
                <w:color w:val="auto"/>
                <w:szCs w:val="21"/>
              </w:rPr>
              <w:t>2.2.1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供应商要求澄清磋商文件的截止时间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lang w:val="en-US" w:eastAsia="zh-CN"/>
              </w:rPr>
              <w:t>5</w:t>
            </w:r>
            <w:r>
              <w:rPr>
                <w:rFonts w:hint="eastAsia" w:ascii="宋体" w:hAnsi="宋体" w:cs="宋体"/>
                <w:color w:val="auto"/>
                <w:szCs w:val="21"/>
              </w:rPr>
              <w:t>天前</w:t>
            </w:r>
          </w:p>
        </w:tc>
      </w:tr>
      <w:tr>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2.2.2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采购人澄清磋商文件的截止时间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tblPrEx>
          <w:tblCellMar>
            <w:top w:w="0" w:type="dxa"/>
            <w:left w:w="108" w:type="dxa"/>
            <w:bottom w:w="0" w:type="dxa"/>
            <w:right w:w="108" w:type="dxa"/>
          </w:tblCellMar>
        </w:tblPrEx>
        <w:trPr>
          <w:trHeight w:val="114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2.2.3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供应商确认收到磋商文件澄清的时间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在收到相应澄清文件后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2.3.2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供应商确认收到磋商文件修改的时间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在收到相应修改文件后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3.1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构成响应文件</w:t>
            </w:r>
          </w:p>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的其他材料</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供应商认为需要提交的其他证明材料</w:t>
            </w:r>
          </w:p>
        </w:tc>
      </w:tr>
      <w:tr>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3.3.1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磋商有效期</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响应文件</w:t>
            </w:r>
            <w:r>
              <w:rPr>
                <w:rFonts w:hint="eastAsia" w:ascii="宋体" w:hAnsi="宋体" w:cs="宋体"/>
                <w:color w:val="auto"/>
                <w:szCs w:val="21"/>
                <w:lang w:eastAsia="zh-CN"/>
              </w:rPr>
              <w:t>提交</w:t>
            </w:r>
            <w:r>
              <w:rPr>
                <w:rFonts w:hint="eastAsia" w:ascii="宋体" w:hAnsi="宋体" w:cs="宋体"/>
                <w:color w:val="auto"/>
                <w:szCs w:val="21"/>
              </w:rPr>
              <w:t>截止之日起</w:t>
            </w:r>
            <w:r>
              <w:rPr>
                <w:rFonts w:hint="eastAsia" w:ascii="宋体" w:hAnsi="宋体"/>
                <w:color w:val="auto"/>
                <w:szCs w:val="21"/>
              </w:rPr>
              <w:t>60日历天</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3.6</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是否允许递交</w:t>
            </w:r>
          </w:p>
          <w:p>
            <w:pPr>
              <w:keepNext w:val="0"/>
              <w:keepLines w:val="0"/>
              <w:pageBreakBefore w:val="0"/>
              <w:kinsoku/>
              <w:wordWrap/>
              <w:overflowPunct/>
              <w:topLinePunct w:val="0"/>
              <w:autoSpaceDE/>
              <w:autoSpaceDN/>
              <w:bidi w:val="0"/>
              <w:spacing w:line="288" w:lineRule="auto"/>
              <w:jc w:val="center"/>
              <w:rPr>
                <w:rFonts w:hint="eastAsia" w:ascii="宋体" w:hAnsi="宋体" w:cs="宋体"/>
                <w:color w:val="auto"/>
                <w:szCs w:val="21"/>
              </w:rPr>
            </w:pPr>
            <w:r>
              <w:rPr>
                <w:rFonts w:hint="eastAsia" w:ascii="宋体" w:hAnsi="宋体" w:cs="宋体"/>
                <w:color w:val="auto"/>
                <w:szCs w:val="21"/>
              </w:rPr>
              <w:t>备选磋商方案</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不允许</w:t>
            </w:r>
          </w:p>
        </w:tc>
      </w:tr>
      <w:tr>
        <w:tblPrEx>
          <w:tblCellMar>
            <w:top w:w="0" w:type="dxa"/>
            <w:left w:w="108" w:type="dxa"/>
            <w:bottom w:w="0" w:type="dxa"/>
            <w:right w:w="108" w:type="dxa"/>
          </w:tblCellMar>
        </w:tblPrEx>
        <w:trPr>
          <w:trHeight w:val="76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3.7.3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电子响应文件</w:t>
            </w:r>
          </w:p>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签字盖章要求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（1）所有要求供应商加盖公章的地方都须加盖供应商的 CA 印章。</w:t>
            </w:r>
          </w:p>
          <w:p>
            <w:pPr>
              <w:keepNext w:val="0"/>
              <w:keepLines w:val="0"/>
              <w:pageBreakBefore w:val="0"/>
              <w:kinsoku/>
              <w:wordWrap/>
              <w:overflowPunct/>
              <w:topLinePunct w:val="0"/>
              <w:autoSpaceDE/>
              <w:autoSpaceDN/>
              <w:bidi w:val="0"/>
              <w:adjustRightInd w:val="0"/>
              <w:snapToGrid w:val="0"/>
              <w:spacing w:line="288" w:lineRule="auto"/>
              <w:jc w:val="left"/>
              <w:rPr>
                <w:rFonts w:hint="eastAsia"/>
                <w:color w:val="auto"/>
              </w:rPr>
            </w:pPr>
            <w:r>
              <w:rPr>
                <w:rFonts w:hint="eastAsia" w:ascii="宋体" w:hAnsi="宋体" w:eastAsia="宋体" w:cs="宋体"/>
                <w:color w:val="auto"/>
                <w:sz w:val="21"/>
                <w:szCs w:val="21"/>
                <w:lang w:val="en-US" w:eastAsia="zh-CN"/>
              </w:rPr>
              <w:t>（2）所有要求法定代表人或其委托代理人签字的地方都须法定代表人或其委托代理人加盖CA印章或签字。</w:t>
            </w:r>
          </w:p>
        </w:tc>
      </w:tr>
      <w:tr>
        <w:tblPrEx>
          <w:tblCellMar>
            <w:top w:w="0" w:type="dxa"/>
            <w:left w:w="108" w:type="dxa"/>
            <w:bottom w:w="0" w:type="dxa"/>
            <w:right w:w="108" w:type="dxa"/>
          </w:tblCellMar>
        </w:tblPrEx>
        <w:trPr>
          <w:trHeight w:val="78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Cs w:val="21"/>
              </w:rPr>
            </w:pPr>
            <w:r>
              <w:rPr>
                <w:rFonts w:hint="eastAsia" w:ascii="宋体" w:hAnsi="宋体" w:cs="宋体"/>
                <w:bCs/>
                <w:color w:val="auto"/>
                <w:szCs w:val="21"/>
              </w:rPr>
              <w:t>3.7.4</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cs="宋体"/>
                <w:bCs/>
                <w:color w:val="auto"/>
                <w:szCs w:val="21"/>
              </w:rPr>
            </w:pPr>
            <w:r>
              <w:rPr>
                <w:rFonts w:hint="eastAsia" w:ascii="宋体" w:hAnsi="宋体" w:cs="宋体"/>
                <w:bCs/>
                <w:color w:val="auto"/>
                <w:szCs w:val="21"/>
              </w:rPr>
              <w:t>响应文件份数</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cs="宋体"/>
                <w:bCs/>
                <w:color w:val="auto"/>
                <w:szCs w:val="21"/>
              </w:rPr>
            </w:pPr>
            <w:r>
              <w:rPr>
                <w:rFonts w:hint="eastAsia" w:ascii="宋体" w:hAnsi="宋体" w:cs="宋体"/>
                <w:bCs/>
                <w:color w:val="auto"/>
                <w:szCs w:val="21"/>
              </w:rPr>
              <w:t>加密的电子响应文件壹份（*.XYTF 格式，在会员系统指定位置上传）</w:t>
            </w:r>
          </w:p>
        </w:tc>
      </w:tr>
      <w:tr>
        <w:tblPrEx>
          <w:tblCellMar>
            <w:top w:w="0" w:type="dxa"/>
            <w:left w:w="108" w:type="dxa"/>
            <w:bottom w:w="0" w:type="dxa"/>
            <w:right w:w="108" w:type="dxa"/>
          </w:tblCellMar>
        </w:tblPrEx>
        <w:trPr>
          <w:trHeight w:val="294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4.2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响应文件的递交</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1、电子响应文件的递交</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cs="宋体"/>
                <w:color w:val="auto"/>
                <w:szCs w:val="21"/>
              </w:rPr>
            </w:pPr>
            <w:r>
              <w:rPr>
                <w:rFonts w:hint="eastAsia" w:ascii="宋体" w:hAnsi="宋体" w:cs="宋体"/>
                <w:color w:val="auto"/>
                <w:sz w:val="21"/>
                <w:szCs w:val="21"/>
                <w:lang w:val="en-US" w:eastAsia="zh-CN"/>
              </w:rPr>
              <w:t xml:space="preserve">2、本项目采用“不见面开标”交易方式，不见面开标大厅网址为 </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https://ggzyjy.xinyang.gov.cn/BidOpening，供应商无需寄送和递交非加密的电子响应文件，无需到现场参加开标会议，无需到达现场提交原件资料。</w:t>
            </w:r>
            <w:r>
              <w:rPr>
                <w:rFonts w:hint="eastAsia" w:ascii="宋体" w:hAnsi="宋体" w:cs="宋体"/>
                <w:color w:val="auto"/>
                <w:sz w:val="21"/>
                <w:szCs w:val="21"/>
                <w:lang w:val="en-US" w:eastAsia="zh-CN"/>
              </w:rPr>
              <w:fldChar w:fldCharType="end"/>
            </w:r>
          </w:p>
        </w:tc>
      </w:tr>
      <w:tr>
        <w:tblPrEx>
          <w:tblCellMar>
            <w:top w:w="0" w:type="dxa"/>
            <w:left w:w="108" w:type="dxa"/>
            <w:bottom w:w="0" w:type="dxa"/>
            <w:right w:w="108" w:type="dxa"/>
          </w:tblCellMar>
        </w:tblPrEx>
        <w:trPr>
          <w:trHeight w:val="91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5.1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响应文件提交</w:t>
            </w:r>
          </w:p>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截止时间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202</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年</w:t>
            </w:r>
            <w:r>
              <w:rPr>
                <w:rFonts w:hint="eastAsia" w:ascii="宋体" w:hAnsi="宋体" w:cs="宋体"/>
                <w:color w:val="FF0000"/>
                <w:sz w:val="21"/>
                <w:szCs w:val="21"/>
                <w:lang w:val="en-US" w:eastAsia="zh-CN"/>
              </w:rPr>
              <w:t>01</w:t>
            </w:r>
            <w:r>
              <w:rPr>
                <w:rFonts w:hint="eastAsia" w:ascii="宋体" w:hAnsi="宋体" w:eastAsia="宋体" w:cs="宋体"/>
                <w:color w:val="FF0000"/>
                <w:sz w:val="21"/>
                <w:szCs w:val="21"/>
                <w:lang w:val="en-US" w:eastAsia="zh-CN"/>
              </w:rPr>
              <w:t>月</w:t>
            </w:r>
            <w:r>
              <w:rPr>
                <w:rFonts w:hint="eastAsia" w:ascii="宋体" w:hAnsi="宋体" w:cs="宋体"/>
                <w:color w:val="FF0000"/>
                <w:sz w:val="21"/>
                <w:szCs w:val="21"/>
                <w:lang w:val="en-US" w:eastAsia="zh-CN"/>
              </w:rPr>
              <w:t>02</w:t>
            </w:r>
            <w:r>
              <w:rPr>
                <w:rFonts w:hint="eastAsia" w:ascii="宋体" w:hAnsi="宋体" w:eastAsia="宋体" w:cs="宋体"/>
                <w:color w:val="FF0000"/>
                <w:sz w:val="21"/>
                <w:szCs w:val="21"/>
                <w:lang w:val="en-US" w:eastAsia="zh-CN"/>
              </w:rPr>
              <w:t>日9时30分</w:t>
            </w:r>
          </w:p>
        </w:tc>
      </w:tr>
      <w:tr>
        <w:tblPrEx>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color w:val="auto"/>
                <w:szCs w:val="21"/>
              </w:rPr>
            </w:pPr>
            <w:r>
              <w:rPr>
                <w:rFonts w:hint="eastAsia" w:ascii="宋体" w:hAnsi="宋体" w:cs="宋体"/>
                <w:color w:val="auto"/>
                <w:szCs w:val="21"/>
              </w:rPr>
              <w:t>5.1.1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磋商时间和地点</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rPr>
                <w:rFonts w:hint="eastAsia" w:ascii="宋体" w:hAnsi="宋体" w:cs="宋体"/>
                <w:color w:val="auto"/>
                <w:kern w:val="0"/>
                <w:szCs w:val="21"/>
              </w:rPr>
            </w:pPr>
            <w:r>
              <w:rPr>
                <w:rFonts w:hint="eastAsia" w:ascii="宋体" w:hAnsi="宋体" w:cs="宋体"/>
                <w:color w:val="auto"/>
                <w:szCs w:val="21"/>
              </w:rPr>
              <w:t>磋商</w:t>
            </w:r>
            <w:r>
              <w:rPr>
                <w:rFonts w:hint="eastAsia" w:ascii="宋体" w:hAnsi="宋体" w:cs="宋体"/>
                <w:color w:val="auto"/>
                <w:kern w:val="0"/>
                <w:szCs w:val="21"/>
              </w:rPr>
              <w:t>时间：同</w:t>
            </w:r>
            <w:r>
              <w:rPr>
                <w:rFonts w:hint="eastAsia" w:ascii="宋体" w:hAnsi="宋体" w:cs="宋体"/>
                <w:color w:val="auto"/>
                <w:szCs w:val="21"/>
              </w:rPr>
              <w:t>响应文件提交</w:t>
            </w:r>
            <w:r>
              <w:rPr>
                <w:rFonts w:hint="eastAsia" w:ascii="宋体" w:hAnsi="宋体" w:cs="宋体"/>
                <w:color w:val="auto"/>
                <w:kern w:val="0"/>
                <w:szCs w:val="21"/>
              </w:rPr>
              <w:t>截止时间</w:t>
            </w:r>
          </w:p>
          <w:p>
            <w:pPr>
              <w:keepNext w:val="0"/>
              <w:keepLines w:val="0"/>
              <w:pageBreakBefore w:val="0"/>
              <w:kinsoku/>
              <w:wordWrap/>
              <w:overflowPunct/>
              <w:topLinePunct w:val="0"/>
              <w:autoSpaceDE/>
              <w:autoSpaceDN/>
              <w:bidi w:val="0"/>
              <w:spacing w:line="288" w:lineRule="auto"/>
              <w:jc w:val="left"/>
              <w:rPr>
                <w:rFonts w:hint="eastAsia" w:ascii="宋体" w:hAnsi="宋体" w:cs="宋体"/>
                <w:color w:val="auto"/>
                <w:szCs w:val="21"/>
              </w:rPr>
            </w:pPr>
            <w:r>
              <w:rPr>
                <w:rFonts w:hint="eastAsia" w:ascii="宋体" w:hAnsi="宋体" w:cs="宋体"/>
                <w:color w:val="auto"/>
                <w:szCs w:val="21"/>
              </w:rPr>
              <w:t>磋商</w:t>
            </w:r>
            <w:r>
              <w:rPr>
                <w:rFonts w:hint="eastAsia" w:ascii="宋体" w:hAnsi="宋体" w:cs="宋体"/>
                <w:color w:val="auto"/>
                <w:kern w:val="0"/>
                <w:szCs w:val="21"/>
              </w:rPr>
              <w:t>地点：</w:t>
            </w:r>
            <w:r>
              <w:rPr>
                <w:rFonts w:hint="eastAsia" w:ascii="宋体" w:hAnsi="宋体" w:cs="宋体"/>
                <w:color w:val="FF0000"/>
                <w:kern w:val="0"/>
                <w:szCs w:val="21"/>
              </w:rPr>
              <w:t>信阳市公共资源交易中心第</w:t>
            </w:r>
            <w:r>
              <w:rPr>
                <w:rFonts w:hint="eastAsia" w:ascii="宋体" w:hAnsi="宋体" w:cs="宋体"/>
                <w:color w:val="FF0000"/>
                <w:kern w:val="0"/>
                <w:szCs w:val="21"/>
                <w:u w:val="single"/>
                <w:lang w:val="en-US" w:eastAsia="zh-CN"/>
              </w:rPr>
              <w:t xml:space="preserve"> 六 </w:t>
            </w:r>
            <w:r>
              <w:rPr>
                <w:rFonts w:hint="eastAsia" w:ascii="宋体" w:hAnsi="宋体" w:cs="宋体"/>
                <w:color w:val="FF0000"/>
                <w:kern w:val="0"/>
                <w:szCs w:val="21"/>
              </w:rPr>
              <w:t>开标厅</w:t>
            </w:r>
          </w:p>
        </w:tc>
      </w:tr>
      <w:tr>
        <w:tblPrEx>
          <w:tblCellMar>
            <w:top w:w="0" w:type="dxa"/>
            <w:left w:w="108" w:type="dxa"/>
            <w:bottom w:w="0" w:type="dxa"/>
            <w:right w:w="108" w:type="dxa"/>
          </w:tblCellMar>
        </w:tblPrEx>
        <w:trPr>
          <w:trHeight w:val="54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6.1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磋商小组的组建</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rPr>
                <w:rFonts w:hint="eastAsia" w:ascii="宋体" w:hAnsi="宋体" w:cs="宋体"/>
                <w:color w:val="auto"/>
                <w:szCs w:val="21"/>
              </w:rPr>
            </w:pPr>
            <w:r>
              <w:rPr>
                <w:rFonts w:hint="eastAsia" w:ascii="宋体" w:hAnsi="宋体" w:cs="宋体"/>
                <w:color w:val="auto"/>
                <w:szCs w:val="21"/>
              </w:rPr>
              <w:t>磋商小组构成：3人，其中业主评委1人，技术、经济类专家2人；</w:t>
            </w:r>
          </w:p>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kern w:val="0"/>
                <w:szCs w:val="21"/>
              </w:rPr>
              <w:t>专家确定方式：磋商前从政府采购专家库中随机抽取。</w:t>
            </w:r>
          </w:p>
        </w:tc>
      </w:tr>
      <w:tr>
        <w:tblPrEx>
          <w:tblCellMar>
            <w:top w:w="0" w:type="dxa"/>
            <w:left w:w="108" w:type="dxa"/>
            <w:bottom w:w="0" w:type="dxa"/>
            <w:right w:w="108" w:type="dxa"/>
          </w:tblCellMar>
        </w:tblPrEx>
        <w:trPr>
          <w:trHeight w:val="73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7.1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是否授权磋商小组</w:t>
            </w:r>
          </w:p>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确定成交人</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否；推荐的成交候选人数：</w:t>
            </w:r>
            <w:r>
              <w:rPr>
                <w:rFonts w:hint="eastAsia" w:ascii="宋体" w:hAnsi="宋体" w:cs="宋体"/>
                <w:color w:val="auto"/>
                <w:szCs w:val="21"/>
                <w:lang w:val="en-US" w:eastAsia="zh-CN"/>
              </w:rPr>
              <w:t>1-</w:t>
            </w:r>
            <w:r>
              <w:rPr>
                <w:rFonts w:hint="eastAsia" w:ascii="宋体" w:hAnsi="宋体" w:cs="宋体"/>
                <w:color w:val="auto"/>
                <w:szCs w:val="21"/>
              </w:rPr>
              <w:t>3名</w:t>
            </w:r>
          </w:p>
        </w:tc>
      </w:tr>
      <w:tr>
        <w:tblPrEx>
          <w:tblCellMar>
            <w:top w:w="0" w:type="dxa"/>
            <w:left w:w="108" w:type="dxa"/>
            <w:bottom w:w="0" w:type="dxa"/>
            <w:right w:w="108" w:type="dxa"/>
          </w:tblCellMar>
        </w:tblPrEx>
        <w:trPr>
          <w:trHeight w:val="538" w:hRule="atLeast"/>
        </w:trPr>
        <w:tc>
          <w:tcPr>
            <w:tcW w:w="88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center"/>
              <w:textAlignment w:val="baseline"/>
              <w:rPr>
                <w:rFonts w:hint="eastAsia" w:ascii="宋体" w:hAnsi="宋体" w:cs="宋体"/>
                <w:color w:val="auto"/>
                <w:szCs w:val="21"/>
              </w:rPr>
            </w:pPr>
            <w:r>
              <w:rPr>
                <w:rFonts w:hint="eastAsia" w:ascii="宋体" w:hAnsi="宋体" w:cs="宋体"/>
                <w:color w:val="auto"/>
                <w:szCs w:val="21"/>
              </w:rPr>
              <w:t>需要补充的其他内容</w:t>
            </w:r>
          </w:p>
        </w:tc>
      </w:tr>
      <w:tr>
        <w:tblPrEx>
          <w:tblCellMar>
            <w:top w:w="0" w:type="dxa"/>
            <w:left w:w="108" w:type="dxa"/>
            <w:bottom w:w="0" w:type="dxa"/>
            <w:right w:w="108" w:type="dxa"/>
          </w:tblCellMar>
        </w:tblPrEx>
        <w:trPr>
          <w:trHeight w:val="56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解释权</w:t>
            </w:r>
          </w:p>
        </w:tc>
        <w:tc>
          <w:tcPr>
            <w:tcW w:w="78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288" w:lineRule="auto"/>
              <w:jc w:val="left"/>
              <w:textAlignment w:val="baseline"/>
              <w:rPr>
                <w:rFonts w:hint="eastAsia" w:ascii="宋体" w:hAnsi="宋体" w:cs="宋体"/>
                <w:color w:val="auto"/>
                <w:szCs w:val="21"/>
              </w:rPr>
            </w:pPr>
            <w:r>
              <w:rPr>
                <w:rFonts w:hint="eastAsia" w:ascii="宋体" w:hAnsi="宋体" w:cs="宋体"/>
                <w:color w:val="auto"/>
                <w:szCs w:val="21"/>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8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代理服务费</w:t>
            </w:r>
          </w:p>
        </w:tc>
        <w:tc>
          <w:tcPr>
            <w:tcW w:w="78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left"/>
              <w:rPr>
                <w:rFonts w:hint="eastAsia" w:ascii="宋体" w:hAnsi="宋体"/>
                <w:color w:val="auto"/>
                <w:szCs w:val="21"/>
              </w:rPr>
            </w:pPr>
            <w:r>
              <w:rPr>
                <w:rFonts w:hint="eastAsia" w:ascii="宋体" w:hAnsi="宋体" w:cs="宋体"/>
                <w:color w:val="auto"/>
                <w:szCs w:val="21"/>
                <w:lang w:val="en-US" w:bidi="zh-CN"/>
              </w:rPr>
              <w:t>参考河南省招标代理服务收费指导意见（豫招协【2023】002号）文件收取，向成交供应商收取 ，由成交人在成交公示期满后一日内领取成交通知书并向代理机构一次性足额支付代理服务费用。</w:t>
            </w:r>
          </w:p>
        </w:tc>
      </w:tr>
      <w:tr>
        <w:tblPrEx>
          <w:tblCellMar>
            <w:top w:w="0" w:type="dxa"/>
            <w:left w:w="108" w:type="dxa"/>
            <w:bottom w:w="0" w:type="dxa"/>
            <w:right w:w="108" w:type="dxa"/>
          </w:tblCellMar>
        </w:tblPrEx>
        <w:trPr>
          <w:trHeight w:val="8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磋商</w:t>
            </w:r>
          </w:p>
          <w:p>
            <w:pPr>
              <w:spacing w:line="360" w:lineRule="auto"/>
              <w:jc w:val="center"/>
              <w:rPr>
                <w:rFonts w:hint="eastAsia" w:ascii="宋体" w:hAnsi="宋体"/>
                <w:color w:val="auto"/>
                <w:szCs w:val="21"/>
              </w:rPr>
            </w:pPr>
            <w:r>
              <w:rPr>
                <w:rFonts w:hint="eastAsia" w:ascii="宋体" w:hAnsi="宋体"/>
                <w:color w:val="auto"/>
                <w:szCs w:val="21"/>
              </w:rPr>
              <w:t>控制价</w:t>
            </w:r>
          </w:p>
        </w:tc>
        <w:tc>
          <w:tcPr>
            <w:tcW w:w="78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left"/>
              <w:rPr>
                <w:rFonts w:hint="eastAsia" w:ascii="宋体" w:hAnsi="宋体" w:eastAsia="宋体" w:cs="宋体"/>
                <w:color w:val="auto"/>
                <w:szCs w:val="21"/>
              </w:rPr>
            </w:pPr>
            <w:r>
              <w:rPr>
                <w:rFonts w:hint="eastAsia" w:ascii="宋体" w:hAnsi="宋体" w:eastAsia="宋体" w:cs="宋体"/>
                <w:color w:val="auto"/>
                <w:szCs w:val="21"/>
              </w:rPr>
              <w:t>本项目采购预算为人民币</w:t>
            </w:r>
            <w:r>
              <w:rPr>
                <w:rFonts w:hint="eastAsia" w:ascii="宋体" w:hAnsi="宋体" w:cs="宋体"/>
                <w:color w:val="auto"/>
                <w:szCs w:val="21"/>
                <w:lang w:val="en-US" w:eastAsia="zh-CN"/>
              </w:rPr>
              <w:t>0</w:t>
            </w:r>
            <w:r>
              <w:rPr>
                <w:rFonts w:hint="eastAsia" w:ascii="宋体" w:hAnsi="宋体" w:eastAsia="宋体" w:cs="宋体"/>
                <w:color w:val="auto"/>
                <w:szCs w:val="21"/>
                <w:lang w:eastAsia="zh-CN"/>
              </w:rPr>
              <w:t>元</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spacing w:line="288"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本项目由成交单位与学校共同设立专项帮扶基金账户，成交单位</w:t>
            </w:r>
            <w:r>
              <w:rPr>
                <w:rFonts w:hint="eastAsia"/>
                <w:sz w:val="21"/>
                <w:szCs w:val="21"/>
                <w:lang w:val="en-US" w:eastAsia="zh-CN"/>
              </w:rPr>
              <w:t>按月向基金账户捐赠不低于食堂营业额的3%，</w:t>
            </w:r>
            <w:r>
              <w:rPr>
                <w:rFonts w:hint="eastAsia" w:ascii="宋体" w:hAnsi="宋体" w:cs="宋体"/>
                <w:color w:val="auto"/>
                <w:szCs w:val="21"/>
                <w:lang w:val="en-US" w:eastAsia="zh-CN"/>
              </w:rPr>
              <w:t>用于贫困生奖补及勤工助学岗位工资发放支出。</w:t>
            </w:r>
          </w:p>
          <w:p>
            <w:pPr>
              <w:keepNext w:val="0"/>
              <w:keepLines w:val="0"/>
              <w:pageBreakBefore w:val="0"/>
              <w:kinsoku/>
              <w:wordWrap/>
              <w:overflowPunct/>
              <w:topLinePunct w:val="0"/>
              <w:autoSpaceDE/>
              <w:autoSpaceDN/>
              <w:bidi w:val="0"/>
              <w:spacing w:line="288"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磋商控制价为：食堂营业额的3%。</w:t>
            </w:r>
          </w:p>
          <w:p>
            <w:pPr>
              <w:keepNext w:val="0"/>
              <w:keepLines w:val="0"/>
              <w:pageBreakBefore w:val="0"/>
              <w:kinsoku/>
              <w:wordWrap/>
              <w:overflowPunct/>
              <w:topLinePunct w:val="0"/>
              <w:autoSpaceDE/>
              <w:autoSpaceDN/>
              <w:bidi w:val="0"/>
              <w:spacing w:line="288" w:lineRule="auto"/>
              <w:jc w:val="left"/>
              <w:rPr>
                <w:rFonts w:hint="eastAsia" w:ascii="宋体" w:hAnsi="宋体"/>
                <w:color w:val="auto"/>
                <w:szCs w:val="21"/>
              </w:rPr>
            </w:pPr>
            <w:r>
              <w:rPr>
                <w:rFonts w:hint="eastAsia" w:ascii="宋体" w:hAnsi="宋体" w:eastAsia="宋体" w:cs="宋体"/>
                <w:b/>
                <w:bCs/>
                <w:color w:val="auto"/>
                <w:szCs w:val="21"/>
              </w:rPr>
              <w:t>报价</w:t>
            </w:r>
            <w:r>
              <w:rPr>
                <w:rFonts w:hint="eastAsia" w:ascii="宋体" w:hAnsi="宋体"/>
                <w:b/>
                <w:bCs/>
                <w:color w:val="auto"/>
                <w:szCs w:val="21"/>
                <w:lang w:val="en-US" w:eastAsia="zh-CN"/>
              </w:rPr>
              <w:t>低于</w:t>
            </w:r>
            <w:r>
              <w:rPr>
                <w:rFonts w:hint="eastAsia" w:ascii="宋体" w:hAnsi="宋体"/>
                <w:b/>
                <w:bCs/>
                <w:color w:val="auto"/>
                <w:szCs w:val="21"/>
              </w:rPr>
              <w:t>此价格的按无效响应处理。</w:t>
            </w:r>
          </w:p>
        </w:tc>
      </w:tr>
      <w:tr>
        <w:tblPrEx>
          <w:tblCellMar>
            <w:top w:w="0" w:type="dxa"/>
            <w:left w:w="108" w:type="dxa"/>
            <w:bottom w:w="0" w:type="dxa"/>
            <w:right w:w="108" w:type="dxa"/>
          </w:tblCellMar>
        </w:tblPrEx>
        <w:trPr>
          <w:trHeight w:val="8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autoSpaceDE w:val="0"/>
              <w:autoSpaceDN w:val="0"/>
              <w:bidi w:val="0"/>
              <w:adjustRightInd w:val="0"/>
              <w:spacing w:line="400" w:lineRule="exact"/>
              <w:jc w:val="center"/>
              <w:rPr>
                <w:rFonts w:hint="eastAsia" w:ascii="宋体" w:hAnsi="宋体"/>
                <w:color w:val="auto"/>
                <w:szCs w:val="21"/>
              </w:rPr>
            </w:pPr>
            <w:bookmarkStart w:id="19" w:name="_Toc455080108"/>
            <w:bookmarkStart w:id="20" w:name="_Toc152042305"/>
            <w:bookmarkStart w:id="21" w:name="_Toc10694"/>
            <w:bookmarkStart w:id="22" w:name="_Toc144974497"/>
            <w:bookmarkStart w:id="23" w:name="_Toc152045529"/>
            <w:bookmarkStart w:id="24" w:name="_Toc10838"/>
            <w:bookmarkStart w:id="25" w:name="_Toc466298091"/>
            <w:r>
              <w:rPr>
                <w:rFonts w:hint="eastAsia" w:ascii="宋体" w:hAnsi="宋体" w:eastAsia="宋体" w:cs="宋体"/>
                <w:kern w:val="0"/>
                <w:sz w:val="21"/>
                <w:szCs w:val="21"/>
              </w:rPr>
              <w:t>其他说明</w:t>
            </w:r>
          </w:p>
        </w:tc>
        <w:tc>
          <w:tcPr>
            <w:tcW w:w="78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overflowPunct/>
              <w:autoSpaceDE w:val="0"/>
              <w:autoSpaceDN w:val="0"/>
              <w:bidi w:val="0"/>
              <w:adjustRightInd w:val="0"/>
              <w:spacing w:line="400" w:lineRule="exact"/>
              <w:rPr>
                <w:rFonts w:hint="eastAsia" w:ascii="宋体" w:hAnsi="宋体" w:eastAsia="宋体" w:cs="宋体"/>
                <w:b/>
                <w:bCs/>
                <w:kern w:val="0"/>
                <w:sz w:val="21"/>
                <w:szCs w:val="21"/>
              </w:rPr>
            </w:pPr>
            <w:r>
              <w:rPr>
                <w:rFonts w:hint="eastAsia" w:ascii="宋体" w:hAnsi="宋体" w:cs="宋体"/>
                <w:b/>
                <w:bCs/>
                <w:kern w:val="0"/>
                <w:sz w:val="21"/>
                <w:szCs w:val="21"/>
                <w:u w:val="single"/>
                <w:lang w:val="en-US" w:eastAsia="zh-CN"/>
              </w:rPr>
              <w:t>投标人</w:t>
            </w:r>
            <w:r>
              <w:rPr>
                <w:rFonts w:hint="eastAsia" w:ascii="宋体" w:hAnsi="宋体" w:eastAsia="宋体" w:cs="宋体"/>
                <w:b/>
                <w:bCs/>
                <w:kern w:val="0"/>
                <w:sz w:val="21"/>
                <w:szCs w:val="21"/>
                <w:u w:val="single"/>
              </w:rPr>
              <w:t>（供应商）编制</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文件时，涉及营业执照、资质、业绩、人员、财务、社保、纳税等各类证明材料内容，须扫描编制在</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文件内，同时须上传至信阳市公共资源交易中心诚信库。评委评审时，只需依法对</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文件进行评审，并以</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文件的响应为唯一评审依据，不再比对主体信用信息</w:t>
            </w:r>
            <w:r>
              <w:rPr>
                <w:rFonts w:hint="eastAsia" w:ascii="宋体" w:hAnsi="宋体" w:eastAsia="宋体" w:cs="宋体"/>
                <w:b/>
                <w:bCs/>
                <w:kern w:val="0"/>
                <w:sz w:val="21"/>
                <w:szCs w:val="21"/>
              </w:rPr>
              <w:t>。</w:t>
            </w:r>
          </w:p>
          <w:p>
            <w:pPr>
              <w:keepNext w:val="0"/>
              <w:keepLines w:val="0"/>
              <w:pageBreakBefore w:val="0"/>
              <w:kinsoku/>
              <w:overflowPunct/>
              <w:bidi w:val="0"/>
              <w:spacing w:line="40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、发布</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公告或候选人公示时同时将</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人或第一</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候选人</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文件中的营业执照、资质、人员、财务、社保、纳税、各类证书、标的名称、 规格型号同时公告（涉及供应商商业机密除外），强化社会监督。</w:t>
            </w:r>
          </w:p>
          <w:p>
            <w:pPr>
              <w:keepNext w:val="0"/>
              <w:keepLines w:val="0"/>
              <w:pageBreakBefore w:val="0"/>
              <w:kinsoku/>
              <w:overflowPunct/>
              <w:bidi w:val="0"/>
              <w:spacing w:line="400" w:lineRule="exact"/>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文件中的扫描件，每张最好控制在500kb内,生成的加密电子</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 xml:space="preserve">文件最好不要超过50MB。 </w:t>
            </w:r>
            <w:r>
              <w:rPr>
                <w:rFonts w:hint="eastAsia" w:ascii="宋体" w:hAnsi="宋体" w:eastAsia="宋体" w:cs="宋体"/>
                <w:sz w:val="21"/>
                <w:szCs w:val="21"/>
              </w:rPr>
              <w:t xml:space="preserve">  </w:t>
            </w:r>
          </w:p>
          <w:p>
            <w:pPr>
              <w:keepNext w:val="0"/>
              <w:keepLines w:val="0"/>
              <w:pageBreakBefore w:val="0"/>
              <w:kinsoku/>
              <w:overflowPunct/>
              <w:bidi w:val="0"/>
              <w:spacing w:line="400" w:lineRule="exact"/>
              <w:rPr>
                <w:rFonts w:hint="eastAsia" w:ascii="宋体" w:hAnsi="宋体" w:eastAsia="宋体" w:cs="宋体"/>
                <w:color w:val="auto"/>
                <w:szCs w:val="21"/>
              </w:rPr>
            </w:pPr>
            <w:r>
              <w:rPr>
                <w:rFonts w:hint="eastAsia" w:ascii="宋体" w:hAnsi="宋体" w:eastAsia="宋体" w:cs="宋体"/>
                <w:b/>
                <w:bCs/>
                <w:sz w:val="21"/>
                <w:szCs w:val="21"/>
                <w:lang w:val="en-US" w:eastAsia="zh-CN"/>
              </w:rPr>
              <w:t>4、供应商应为中小微企业（监狱企业、残疾人福利性企业视同小微企业），须符合国务院批准的中小企业划分标准中</w:t>
            </w:r>
            <w:r>
              <w:rPr>
                <w:rFonts w:hint="eastAsia" w:ascii="宋体" w:hAnsi="宋体" w:eastAsia="宋体" w:cs="宋体"/>
                <w:b/>
                <w:bCs/>
                <w:sz w:val="21"/>
                <w:szCs w:val="21"/>
                <w:u w:val="single"/>
                <w:lang w:val="en-US" w:eastAsia="zh-CN"/>
              </w:rPr>
              <w:t xml:space="preserve"> 餐饮业 </w:t>
            </w:r>
            <w:r>
              <w:rPr>
                <w:rFonts w:hint="eastAsia" w:ascii="宋体" w:hAnsi="宋体" w:eastAsia="宋体" w:cs="宋体"/>
                <w:b/>
                <w:bCs/>
                <w:sz w:val="21"/>
                <w:szCs w:val="21"/>
                <w:lang w:val="en-US" w:eastAsia="zh-CN"/>
              </w:rPr>
              <w:t>对应的中小企业划分标准。</w:t>
            </w:r>
            <w:r>
              <w:rPr>
                <w:rFonts w:hint="eastAsia" w:ascii="宋体" w:hAnsi="宋体" w:eastAsia="宋体" w:cs="宋体"/>
                <w:sz w:val="21"/>
                <w:szCs w:val="21"/>
              </w:rPr>
              <w:t xml:space="preserve">    </w:t>
            </w:r>
          </w:p>
        </w:tc>
      </w:tr>
    </w:tbl>
    <w:p>
      <w:pPr>
        <w:pStyle w:val="177"/>
        <w:spacing w:before="0" w:beforeLines="0" w:line="360" w:lineRule="auto"/>
        <w:rPr>
          <w:rFonts w:hint="eastAsia" w:ascii="宋体" w:hAnsi="宋体" w:eastAsia="宋体"/>
          <w:color w:val="auto"/>
          <w:sz w:val="21"/>
          <w:szCs w:val="21"/>
        </w:rPr>
      </w:pPr>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19"/>
      <w:bookmarkEnd w:id="20"/>
      <w:bookmarkEnd w:id="21"/>
      <w:bookmarkEnd w:id="22"/>
      <w:bookmarkEnd w:id="23"/>
      <w:bookmarkEnd w:id="24"/>
      <w:bookmarkEnd w:id="25"/>
    </w:p>
    <w:p>
      <w:pPr>
        <w:pStyle w:val="183"/>
        <w:spacing w:line="360" w:lineRule="auto"/>
        <w:outlineLvl w:val="0"/>
        <w:rPr>
          <w:rFonts w:hint="eastAsia" w:ascii="宋体" w:hAnsi="宋体" w:eastAsia="宋体"/>
          <w:b/>
          <w:bCs/>
          <w:color w:val="auto"/>
          <w:sz w:val="21"/>
          <w:szCs w:val="21"/>
        </w:rPr>
      </w:pPr>
      <w:bookmarkStart w:id="26" w:name="_Toc281380952"/>
      <w:bookmarkStart w:id="27" w:name="_Toc318450675"/>
      <w:bookmarkStart w:id="28" w:name="_Toc21458"/>
      <w:bookmarkStart w:id="29" w:name="_Toc658"/>
      <w:bookmarkStart w:id="30" w:name="_Toc15709"/>
      <w:bookmarkStart w:id="31" w:name="_Toc1172"/>
      <w:bookmarkStart w:id="32" w:name="_Toc29023"/>
      <w:bookmarkStart w:id="33" w:name="_Toc466298092"/>
      <w:bookmarkStart w:id="34" w:name="_Toc455867769"/>
      <w:bookmarkStart w:id="35" w:name="_Toc455080109"/>
      <w:bookmarkStart w:id="36" w:name="_Toc20827"/>
      <w:bookmarkStart w:id="37" w:name="_Toc9723"/>
      <w:bookmarkStart w:id="38" w:name="_Toc31404"/>
      <w:bookmarkStart w:id="39" w:name="_Toc10273"/>
      <w:bookmarkStart w:id="40" w:name="_Toc6747"/>
      <w:bookmarkStart w:id="41" w:name="_Toc21266"/>
      <w:bookmarkStart w:id="42" w:name="_Toc490667828"/>
      <w:bookmarkStart w:id="43" w:name="_Toc274409866"/>
      <w:bookmarkStart w:id="44" w:name="_Toc152042307"/>
      <w:bookmarkStart w:id="45" w:name="_Toc152045531"/>
      <w:bookmarkStart w:id="46" w:name="_Toc144974499"/>
      <w:r>
        <w:rPr>
          <w:rFonts w:hint="eastAsia" w:ascii="宋体" w:hAnsi="宋体" w:eastAsia="宋体"/>
          <w:b/>
          <w:bCs/>
          <w:color w:val="auto"/>
          <w:sz w:val="21"/>
          <w:szCs w:val="21"/>
        </w:rPr>
        <w:t>1.1 适用范围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1.1.1根据《中华人民共和国政府采购法》等有关法律、法规和规章的规定，编制本项目磋商文件。</w:t>
      </w:r>
    </w:p>
    <w:p>
      <w:pPr>
        <w:pStyle w:val="183"/>
        <w:tabs>
          <w:tab w:val="left" w:pos="7410"/>
        </w:tabs>
        <w:spacing w:line="360" w:lineRule="auto"/>
        <w:outlineLvl w:val="0"/>
        <w:rPr>
          <w:rFonts w:hint="eastAsia" w:ascii="宋体" w:hAnsi="宋体" w:eastAsia="宋体"/>
          <w:b/>
          <w:bCs/>
          <w:color w:val="auto"/>
          <w:sz w:val="21"/>
          <w:szCs w:val="21"/>
        </w:rPr>
      </w:pPr>
      <w:bookmarkStart w:id="47" w:name="_Toc455080110"/>
      <w:bookmarkStart w:id="48" w:name="_Toc7237"/>
      <w:bookmarkStart w:id="49" w:name="_Toc455867770"/>
      <w:bookmarkStart w:id="50" w:name="_Toc281405468"/>
      <w:bookmarkStart w:id="51" w:name="_Toc32619"/>
      <w:bookmarkStart w:id="52" w:name="_Toc25773"/>
      <w:bookmarkStart w:id="53" w:name="_Toc466298093"/>
      <w:bookmarkStart w:id="54" w:name="_Toc30891"/>
      <w:bookmarkStart w:id="55" w:name="_Toc274409867"/>
      <w:bookmarkStart w:id="56" w:name="_Toc318450676"/>
      <w:bookmarkStart w:id="57" w:name="_Toc490667829"/>
      <w:bookmarkStart w:id="58" w:name="_Toc710"/>
      <w:bookmarkStart w:id="59" w:name="_Toc11715"/>
      <w:bookmarkStart w:id="60" w:name="_Toc24852"/>
      <w:bookmarkStart w:id="61" w:name="_Toc2929"/>
      <w:bookmarkStart w:id="62" w:name="_Toc10269"/>
      <w:bookmarkStart w:id="63" w:name="_Toc10556"/>
      <w:bookmarkStart w:id="64" w:name="_Toc3336"/>
      <w:r>
        <w:rPr>
          <w:rFonts w:hint="eastAsia" w:ascii="宋体" w:hAnsi="宋体" w:eastAsia="宋体"/>
          <w:b/>
          <w:bCs/>
          <w:color w:val="auto"/>
          <w:sz w:val="21"/>
          <w:szCs w:val="21"/>
        </w:rPr>
        <w:t>1.2 招标项目说明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 本项目采购代理机构：见供应商须知前附表。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 本项目名称：见供应商须知前附表。</w:t>
      </w:r>
    </w:p>
    <w:p>
      <w:pPr>
        <w:pStyle w:val="183"/>
        <w:spacing w:line="360" w:lineRule="auto"/>
        <w:outlineLvl w:val="0"/>
        <w:rPr>
          <w:rFonts w:hint="eastAsia" w:ascii="宋体" w:hAnsi="宋体" w:eastAsia="宋体"/>
          <w:b/>
          <w:bCs/>
          <w:color w:val="auto"/>
          <w:sz w:val="21"/>
          <w:szCs w:val="21"/>
        </w:rPr>
      </w:pPr>
      <w:bookmarkStart w:id="65" w:name="_Toc16931"/>
      <w:bookmarkStart w:id="66" w:name="_Toc281405469"/>
      <w:bookmarkStart w:id="67" w:name="_Toc17016"/>
      <w:bookmarkStart w:id="68" w:name="_Toc455867771"/>
      <w:bookmarkStart w:id="69" w:name="_Toc1373"/>
      <w:bookmarkStart w:id="70" w:name="_Toc17146"/>
      <w:bookmarkStart w:id="71" w:name="_Toc4952"/>
      <w:bookmarkStart w:id="72" w:name="_Toc490667830"/>
      <w:bookmarkStart w:id="73" w:name="_Toc4122"/>
      <w:bookmarkStart w:id="74" w:name="_Toc22979"/>
      <w:bookmarkStart w:id="75" w:name="_Toc318450677"/>
      <w:bookmarkStart w:id="76" w:name="_Toc3477"/>
      <w:bookmarkStart w:id="77" w:name="_Toc18960"/>
      <w:bookmarkStart w:id="78" w:name="_Toc20981"/>
      <w:bookmarkStart w:id="79" w:name="_Toc466298094"/>
      <w:bookmarkStart w:id="80" w:name="_Toc274409868"/>
      <w:bookmarkStart w:id="81" w:name="_Toc4563"/>
      <w:bookmarkStart w:id="82" w:name="_Toc455080111"/>
      <w:r>
        <w:rPr>
          <w:rFonts w:hint="eastAsia" w:ascii="宋体" w:hAnsi="宋体" w:eastAsia="宋体"/>
          <w:b/>
          <w:bCs/>
          <w:color w:val="auto"/>
          <w:sz w:val="21"/>
          <w:szCs w:val="21"/>
        </w:rPr>
        <w:t>1.3 定义及解释</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1.3.3服务：系指根据本磋商文件规定供应商须承担的服务以及其他类似的义务等。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1.3.4供应商：供应商是响应磋商文件、参加磋商竞争的中华人民共和国境内的法人、其它组织。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1.3.5响应文件：指供应商根据磋商文件提交的所有文件。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1.3.6磋商小组：依据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1.3.7偏离：响应文件的响应相对于磋商文件要求的偏差，该偏差优于磋商文件要求的为正偏离；劣于的，为负偏离。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1.3.8“日期”或“天”：指日历天。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1.3.9合同：指依据本次服务采购招标结果签订的协议或合约文件。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1.3.10磋商文件中的标题或题名仅起引导作用，而不应视为对磋商文件内容的理解和解释。</w:t>
      </w:r>
    </w:p>
    <w:bookmarkEnd w:id="44"/>
    <w:bookmarkEnd w:id="45"/>
    <w:bookmarkEnd w:id="46"/>
    <w:p>
      <w:pPr>
        <w:pStyle w:val="183"/>
        <w:spacing w:line="360" w:lineRule="auto"/>
        <w:outlineLvl w:val="0"/>
        <w:rPr>
          <w:rFonts w:hint="eastAsia" w:ascii="宋体" w:hAnsi="宋体" w:eastAsia="宋体"/>
          <w:b/>
          <w:bCs/>
          <w:color w:val="auto"/>
          <w:sz w:val="21"/>
          <w:szCs w:val="21"/>
        </w:rPr>
      </w:pPr>
      <w:bookmarkStart w:id="83" w:name="_Toc144974500"/>
      <w:bookmarkStart w:id="84" w:name="_Toc10894"/>
      <w:bookmarkStart w:id="85" w:name="_Toc16470"/>
      <w:bookmarkStart w:id="86" w:name="_Toc14043"/>
      <w:bookmarkStart w:id="87" w:name="_Toc32236"/>
      <w:bookmarkStart w:id="88" w:name="_Toc152042308"/>
      <w:bookmarkStart w:id="89" w:name="_Toc152045532"/>
      <w:bookmarkStart w:id="90" w:name="_Toc27407"/>
      <w:bookmarkStart w:id="91" w:name="_Toc318450678"/>
      <w:bookmarkStart w:id="92" w:name="_Toc17808"/>
      <w:bookmarkStart w:id="93" w:name="_Toc19363"/>
      <w:bookmarkStart w:id="94" w:name="_Toc466298095"/>
      <w:bookmarkStart w:id="95" w:name="_Toc21766"/>
      <w:bookmarkStart w:id="96" w:name="_Toc17908"/>
      <w:bookmarkStart w:id="97" w:name="_Toc490667831"/>
      <w:bookmarkStart w:id="98" w:name="_Toc455867772"/>
      <w:bookmarkStart w:id="99" w:name="_Toc455080112"/>
      <w:bookmarkStart w:id="100" w:name="_Toc12752"/>
      <w:bookmarkStart w:id="101" w:name="_Toc28591"/>
      <w:r>
        <w:rPr>
          <w:rFonts w:hint="eastAsia" w:ascii="宋体" w:hAnsi="宋体" w:eastAsia="宋体"/>
          <w:b/>
          <w:bCs/>
          <w:color w:val="auto"/>
          <w:sz w:val="21"/>
          <w:szCs w:val="21"/>
        </w:rPr>
        <w:t xml:space="preserve">1.4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b/>
          <w:bCs/>
          <w:color w:val="auto"/>
          <w:sz w:val="21"/>
          <w:szCs w:val="21"/>
          <w:lang w:eastAsia="zh-CN"/>
        </w:rPr>
        <w:t>采购内容及</w:t>
      </w:r>
      <w:r>
        <w:rPr>
          <w:rFonts w:hint="eastAsia" w:ascii="宋体" w:hAnsi="宋体" w:eastAsia="宋体"/>
          <w:b/>
          <w:bCs/>
          <w:color w:val="auto"/>
          <w:sz w:val="21"/>
          <w:szCs w:val="21"/>
          <w:lang w:val="en-US" w:eastAsia="zh-CN"/>
        </w:rPr>
        <w:t>承包经营期限</w:t>
      </w:r>
      <w:r>
        <w:rPr>
          <w:rFonts w:hint="eastAsia" w:ascii="宋体" w:hAnsi="宋体" w:eastAsia="宋体"/>
          <w:b/>
          <w:bCs/>
          <w:color w:val="auto"/>
          <w:sz w:val="21"/>
          <w:szCs w:val="21"/>
        </w:rPr>
        <w:t>和质量要求</w:t>
      </w:r>
      <w:r>
        <w:rPr>
          <w:rFonts w:hint="eastAsia" w:ascii="宋体" w:hAnsi="宋体" w:eastAsia="宋体"/>
          <w:b/>
          <w:bCs/>
          <w:color w:val="auto"/>
          <w:sz w:val="21"/>
          <w:szCs w:val="21"/>
          <w:lang w:eastAsia="zh-CN"/>
        </w:rPr>
        <w:t>、付款方式</w:t>
      </w:r>
      <w:bookmarkEnd w:id="101"/>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 本次</w:t>
      </w:r>
      <w:r>
        <w:rPr>
          <w:rFonts w:hint="eastAsia" w:ascii="宋体" w:hAnsi="宋体" w:cs="宋体"/>
          <w:color w:val="auto"/>
          <w:szCs w:val="21"/>
          <w:lang w:eastAsia="zh-CN"/>
        </w:rPr>
        <w:t>采购内容</w:t>
      </w:r>
      <w:r>
        <w:rPr>
          <w:rFonts w:hint="eastAsia" w:ascii="宋体" w:hAnsi="宋体" w:cs="宋体"/>
          <w:color w:val="auto"/>
          <w:szCs w:val="21"/>
        </w:rPr>
        <w:t>：见供应商须知前附表。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1.4.2 本项目的</w:t>
      </w:r>
      <w:r>
        <w:rPr>
          <w:rFonts w:hint="eastAsia" w:ascii="宋体" w:hAnsi="宋体" w:eastAsia="宋体"/>
          <w:color w:val="auto"/>
          <w:szCs w:val="21"/>
          <w:highlight w:val="none"/>
          <w:lang w:val="en-US" w:eastAsia="zh-CN"/>
        </w:rPr>
        <w:t>承包经营期限</w:t>
      </w:r>
      <w:r>
        <w:rPr>
          <w:rFonts w:hint="eastAsia" w:ascii="宋体" w:hAnsi="宋体" w:cs="宋体"/>
          <w:color w:val="auto"/>
          <w:szCs w:val="21"/>
        </w:rPr>
        <w:t>：见供应商须知前附表。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1.4.3本项目的质量要求：见供应商须知前附表。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w:t>
      </w: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本项目的</w:t>
      </w:r>
      <w:r>
        <w:rPr>
          <w:rFonts w:hint="eastAsia" w:ascii="宋体" w:hAnsi="宋体" w:eastAsia="宋体" w:cs="宋体"/>
          <w:color w:val="auto"/>
          <w:szCs w:val="21"/>
          <w:lang w:eastAsia="zh-CN"/>
        </w:rPr>
        <w:t>付款方式</w:t>
      </w:r>
      <w:r>
        <w:rPr>
          <w:rFonts w:hint="eastAsia" w:ascii="宋体" w:hAnsi="宋体" w:eastAsia="宋体" w:cs="宋体"/>
          <w:color w:val="auto"/>
          <w:szCs w:val="21"/>
        </w:rPr>
        <w:t>：见供应商须知前附表。</w:t>
      </w:r>
    </w:p>
    <w:p>
      <w:pPr>
        <w:pStyle w:val="183"/>
        <w:spacing w:line="360" w:lineRule="auto"/>
        <w:outlineLvl w:val="0"/>
        <w:rPr>
          <w:rFonts w:hint="eastAsia" w:ascii="宋体" w:hAnsi="宋体" w:eastAsia="宋体"/>
          <w:b/>
          <w:bCs/>
          <w:color w:val="auto"/>
          <w:sz w:val="21"/>
          <w:szCs w:val="21"/>
        </w:rPr>
      </w:pPr>
      <w:bookmarkStart w:id="102" w:name="_Toc152045534"/>
      <w:bookmarkStart w:id="103" w:name="_Toc318450679"/>
      <w:bookmarkStart w:id="104" w:name="_Toc152042310"/>
      <w:bookmarkStart w:id="105" w:name="_Toc144974502"/>
      <w:bookmarkStart w:id="106" w:name="_Toc455080113"/>
      <w:bookmarkStart w:id="107" w:name="_Toc22643"/>
      <w:bookmarkStart w:id="108" w:name="_Toc18004"/>
      <w:bookmarkStart w:id="109" w:name="_Toc466298096"/>
      <w:bookmarkStart w:id="110" w:name="_Toc11063"/>
      <w:bookmarkStart w:id="111" w:name="_Toc4301"/>
      <w:bookmarkStart w:id="112" w:name="_Toc455867773"/>
      <w:bookmarkStart w:id="113" w:name="_Toc7209"/>
      <w:bookmarkStart w:id="114" w:name="_Toc193"/>
      <w:bookmarkStart w:id="115" w:name="_Toc18689"/>
      <w:bookmarkStart w:id="116" w:name="_Toc490667832"/>
      <w:bookmarkStart w:id="117" w:name="_Toc4711"/>
      <w:bookmarkStart w:id="118" w:name="_Toc1602"/>
      <w:bookmarkStart w:id="119" w:name="_Toc5019"/>
      <w:bookmarkStart w:id="120" w:name="_Toc32156"/>
      <w:r>
        <w:rPr>
          <w:rFonts w:hint="eastAsia" w:ascii="宋体" w:hAnsi="宋体" w:eastAsia="宋体"/>
          <w:b/>
          <w:bCs/>
          <w:color w:val="auto"/>
          <w:sz w:val="21"/>
          <w:szCs w:val="21"/>
        </w:rPr>
        <w:t xml:space="preserve">1.5 </w:t>
      </w:r>
      <w:bookmarkEnd w:id="102"/>
      <w:bookmarkEnd w:id="103"/>
      <w:bookmarkEnd w:id="104"/>
      <w:bookmarkEnd w:id="105"/>
      <w:r>
        <w:rPr>
          <w:rFonts w:hint="eastAsia" w:ascii="宋体" w:hAnsi="宋体" w:eastAsia="宋体"/>
          <w:b/>
          <w:bCs/>
          <w:color w:val="auto"/>
          <w:sz w:val="21"/>
          <w:szCs w:val="21"/>
        </w:rPr>
        <w:t>供应商资质条件和能力</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1.5.1供应商资质及能力要求：见供应商须知前附表。</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w:t>
      </w:r>
      <w:r>
        <w:rPr>
          <w:rFonts w:hint="eastAsia" w:ascii="宋体" w:hAnsi="宋体"/>
          <w:szCs w:val="21"/>
          <w:lang w:eastAsia="zh-CN"/>
        </w:rPr>
        <w:t>供应商</w:t>
      </w:r>
      <w:r>
        <w:rPr>
          <w:rFonts w:hint="eastAsia" w:ascii="宋体" w:hAnsi="宋体"/>
          <w:szCs w:val="21"/>
        </w:rPr>
        <w:t>不得存在下列情形之一：</w:t>
      </w:r>
    </w:p>
    <w:p>
      <w:pPr>
        <w:spacing w:line="360" w:lineRule="auto"/>
        <w:ind w:firstLine="420" w:firstLineChars="200"/>
        <w:rPr>
          <w:rFonts w:hint="eastAsia" w:ascii="宋体" w:hAnsi="宋体"/>
          <w:szCs w:val="21"/>
        </w:rPr>
      </w:pPr>
      <w:r>
        <w:rPr>
          <w:rFonts w:hint="eastAsia" w:ascii="宋体" w:hAnsi="宋体"/>
          <w:szCs w:val="21"/>
        </w:rPr>
        <w:t xml:space="preserve">(l）为采购人不具有独立法人资格的附属机构（单位）； </w:t>
      </w:r>
    </w:p>
    <w:p>
      <w:pPr>
        <w:spacing w:line="360" w:lineRule="auto"/>
        <w:ind w:firstLine="420" w:firstLineChars="200"/>
        <w:rPr>
          <w:rFonts w:hint="eastAsia" w:ascii="宋体" w:hAnsi="宋体"/>
          <w:szCs w:val="21"/>
        </w:rPr>
      </w:pPr>
      <w:r>
        <w:rPr>
          <w:rFonts w:hint="eastAsia" w:ascii="宋体" w:hAnsi="宋体"/>
          <w:szCs w:val="21"/>
        </w:rPr>
        <w:t>(2）为本项目前期准备提供咨询服务的；</w:t>
      </w:r>
    </w:p>
    <w:p>
      <w:pPr>
        <w:spacing w:line="360" w:lineRule="auto"/>
        <w:ind w:firstLine="420" w:firstLineChars="200"/>
        <w:rPr>
          <w:rFonts w:hint="eastAsia" w:ascii="宋体" w:hAnsi="宋体"/>
          <w:szCs w:val="21"/>
        </w:rPr>
      </w:pPr>
      <w:r>
        <w:rPr>
          <w:rFonts w:hint="eastAsia" w:ascii="宋体" w:hAnsi="宋体"/>
          <w:szCs w:val="21"/>
        </w:rPr>
        <w:t>(3）为本项目提供采购代理机构服务的；</w:t>
      </w:r>
    </w:p>
    <w:p>
      <w:pPr>
        <w:spacing w:line="360" w:lineRule="auto"/>
        <w:ind w:firstLine="420" w:firstLineChars="200"/>
        <w:rPr>
          <w:rFonts w:hint="eastAsia" w:ascii="宋体" w:hAnsi="宋体"/>
          <w:szCs w:val="21"/>
        </w:rPr>
      </w:pPr>
      <w:r>
        <w:rPr>
          <w:rFonts w:hint="eastAsia" w:ascii="宋体" w:hAnsi="宋体"/>
          <w:szCs w:val="21"/>
        </w:rPr>
        <w:t>(4）与本项目的采购代理机构机构同为一个法定代表人的；</w:t>
      </w:r>
    </w:p>
    <w:p>
      <w:pPr>
        <w:spacing w:line="360" w:lineRule="auto"/>
        <w:ind w:firstLine="420" w:firstLineChars="200"/>
        <w:rPr>
          <w:rFonts w:hint="eastAsia" w:ascii="宋体" w:hAnsi="宋体"/>
          <w:szCs w:val="21"/>
        </w:rPr>
      </w:pPr>
      <w:r>
        <w:rPr>
          <w:rFonts w:hint="eastAsia" w:ascii="宋体" w:hAnsi="宋体"/>
          <w:szCs w:val="21"/>
        </w:rPr>
        <w:t>(5）与本项目的采购代理机构机构相互控股或参股的；</w:t>
      </w:r>
    </w:p>
    <w:p>
      <w:pPr>
        <w:spacing w:line="360" w:lineRule="auto"/>
        <w:ind w:firstLine="420" w:firstLineChars="200"/>
        <w:rPr>
          <w:rFonts w:hint="eastAsia" w:ascii="宋体" w:hAnsi="宋体"/>
          <w:szCs w:val="21"/>
        </w:rPr>
      </w:pPr>
      <w:r>
        <w:rPr>
          <w:rFonts w:hint="eastAsia" w:ascii="宋体" w:hAnsi="宋体"/>
          <w:szCs w:val="21"/>
        </w:rPr>
        <w:t>(6）与本项目的采购代理机构机构相互任职或工作的；</w:t>
      </w:r>
    </w:p>
    <w:p>
      <w:pPr>
        <w:spacing w:line="360" w:lineRule="auto"/>
        <w:ind w:firstLine="420" w:firstLineChars="200"/>
        <w:rPr>
          <w:rFonts w:hint="eastAsia" w:ascii="宋体" w:hAnsi="宋体"/>
          <w:szCs w:val="21"/>
        </w:rPr>
      </w:pPr>
      <w:r>
        <w:rPr>
          <w:rFonts w:hint="eastAsia" w:ascii="宋体" w:hAnsi="宋体"/>
          <w:szCs w:val="21"/>
        </w:rPr>
        <w:t>(7）被责令停业的；</w:t>
      </w:r>
    </w:p>
    <w:p>
      <w:pPr>
        <w:spacing w:line="360" w:lineRule="auto"/>
        <w:ind w:firstLine="420" w:firstLineChars="200"/>
        <w:rPr>
          <w:rFonts w:hint="eastAsia" w:ascii="宋体" w:hAnsi="宋体"/>
          <w:szCs w:val="21"/>
        </w:rPr>
      </w:pPr>
      <w:r>
        <w:rPr>
          <w:rFonts w:hint="eastAsia" w:ascii="宋体" w:hAnsi="宋体"/>
          <w:szCs w:val="21"/>
        </w:rPr>
        <w:t>(8）被暂停或取消投标资格的；</w:t>
      </w:r>
    </w:p>
    <w:p>
      <w:pPr>
        <w:spacing w:line="360" w:lineRule="auto"/>
        <w:ind w:firstLine="420" w:firstLineChars="200"/>
        <w:rPr>
          <w:rFonts w:hint="eastAsia" w:ascii="宋体" w:hAnsi="宋体"/>
          <w:szCs w:val="21"/>
        </w:rPr>
      </w:pPr>
      <w:r>
        <w:rPr>
          <w:rFonts w:hint="eastAsia" w:ascii="宋体" w:hAnsi="宋体"/>
          <w:szCs w:val="21"/>
        </w:rPr>
        <w:t>(9）财产被接管或冻结的；</w:t>
      </w:r>
    </w:p>
    <w:p>
      <w:pPr>
        <w:pStyle w:val="183"/>
        <w:spacing w:line="360" w:lineRule="auto"/>
        <w:outlineLvl w:val="0"/>
        <w:rPr>
          <w:rFonts w:hint="eastAsia" w:ascii="宋体" w:hAnsi="宋体" w:eastAsia="宋体"/>
          <w:b/>
          <w:bCs/>
          <w:color w:val="auto"/>
          <w:sz w:val="21"/>
          <w:szCs w:val="21"/>
        </w:rPr>
      </w:pPr>
      <w:bookmarkStart w:id="121" w:name="_Toc466298097"/>
      <w:bookmarkStart w:id="122" w:name="_Toc5162"/>
      <w:bookmarkStart w:id="123" w:name="_Toc490667833"/>
      <w:bookmarkStart w:id="124" w:name="_Toc12403"/>
      <w:bookmarkStart w:id="125" w:name="_Toc318450680"/>
      <w:bookmarkStart w:id="126" w:name="_Toc11905"/>
      <w:bookmarkStart w:id="127" w:name="_Toc9505"/>
      <w:bookmarkStart w:id="128" w:name="_Toc651"/>
      <w:bookmarkStart w:id="129" w:name="_Toc13119"/>
      <w:bookmarkStart w:id="130" w:name="_Toc32446"/>
      <w:bookmarkStart w:id="131" w:name="_Toc16889"/>
      <w:bookmarkStart w:id="132" w:name="_Toc152042311"/>
      <w:bookmarkStart w:id="133" w:name="_Toc981"/>
      <w:bookmarkStart w:id="134" w:name="_Toc152045535"/>
      <w:bookmarkStart w:id="135" w:name="_Toc31854"/>
      <w:bookmarkStart w:id="136" w:name="_Toc28135"/>
      <w:bookmarkStart w:id="137" w:name="_Toc455867774"/>
      <w:bookmarkStart w:id="138" w:name="_Toc144974503"/>
      <w:bookmarkStart w:id="139" w:name="_Toc455080114"/>
      <w:r>
        <w:rPr>
          <w:rFonts w:hint="eastAsia" w:ascii="宋体" w:hAnsi="宋体" w:eastAsia="宋体"/>
          <w:b/>
          <w:bCs/>
          <w:color w:val="auto"/>
          <w:sz w:val="21"/>
          <w:szCs w:val="21"/>
        </w:rPr>
        <w:t>1.6 费用承担</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ageBreakBefore w:val="0"/>
        <w:widowControl/>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sz w:val="21"/>
          <w:szCs w:val="21"/>
        </w:rPr>
      </w:pPr>
      <w:bookmarkStart w:id="140" w:name="_Toc22800"/>
      <w:bookmarkStart w:id="141" w:name="_Toc490667834"/>
      <w:bookmarkStart w:id="142" w:name="_Toc466298098"/>
      <w:bookmarkStart w:id="143" w:name="_Toc455080115"/>
      <w:bookmarkStart w:id="144" w:name="_Toc20145"/>
      <w:bookmarkStart w:id="145" w:name="_Toc318450681"/>
      <w:bookmarkStart w:id="146" w:name="_Toc1879"/>
      <w:bookmarkStart w:id="147" w:name="_Toc2622"/>
      <w:bookmarkStart w:id="148" w:name="_Toc455867775"/>
      <w:bookmarkStart w:id="149" w:name="_Toc24601"/>
      <w:bookmarkStart w:id="150" w:name="_Toc152045536"/>
      <w:bookmarkStart w:id="151" w:name="_Toc6014"/>
      <w:bookmarkStart w:id="152" w:name="_Toc5402"/>
      <w:bookmarkStart w:id="153" w:name="_Toc144974504"/>
      <w:bookmarkStart w:id="154" w:name="_Toc8055"/>
      <w:bookmarkStart w:id="155" w:name="_Toc152042312"/>
      <w:bookmarkStart w:id="156" w:name="_Toc32053"/>
      <w:bookmarkStart w:id="157" w:name="_Toc15701"/>
      <w:bookmarkStart w:id="158" w:name="_Toc22136"/>
      <w:r>
        <w:rPr>
          <w:rFonts w:hint="eastAsia" w:ascii="宋体" w:hAnsi="宋体" w:eastAsia="宋体" w:cs="宋体"/>
          <w:color w:val="000000"/>
          <w:sz w:val="21"/>
          <w:szCs w:val="21"/>
          <w:lang w:val="en-US" w:eastAsia="zh-CN"/>
        </w:rPr>
        <w:t>1.6.1</w:t>
      </w:r>
      <w:r>
        <w:rPr>
          <w:rFonts w:hint="eastAsia" w:ascii="宋体" w:hAnsi="宋体" w:eastAsia="宋体" w:cs="宋体"/>
          <w:color w:val="000000"/>
          <w:sz w:val="21"/>
          <w:szCs w:val="21"/>
          <w:lang w:eastAsia="zh-CN"/>
        </w:rPr>
        <w:t>投标人必须自行承担所有与参加投标有关的费用。不论投标的结果如何，</w:t>
      </w:r>
      <w:r>
        <w:rPr>
          <w:rFonts w:hint="eastAsia" w:ascii="宋体" w:hAnsi="宋体" w:eastAsia="宋体" w:cs="宋体"/>
          <w:color w:val="000000"/>
          <w:sz w:val="21"/>
          <w:szCs w:val="21"/>
          <w:lang w:val="en-US" w:eastAsia="zh-CN"/>
        </w:rPr>
        <w:t>招标人</w:t>
      </w:r>
      <w:r>
        <w:rPr>
          <w:rFonts w:hint="eastAsia" w:ascii="宋体" w:hAnsi="宋体" w:eastAsia="宋体" w:cs="宋体"/>
          <w:color w:val="000000"/>
          <w:sz w:val="21"/>
          <w:szCs w:val="21"/>
          <w:lang w:eastAsia="zh-CN"/>
        </w:rPr>
        <w:t>或</w:t>
      </w:r>
      <w:r>
        <w:rPr>
          <w:rFonts w:hint="eastAsia" w:ascii="宋体" w:hAnsi="宋体" w:eastAsia="宋体" w:cs="宋体"/>
          <w:color w:val="000000"/>
          <w:sz w:val="21"/>
          <w:szCs w:val="21"/>
          <w:lang w:val="en-US" w:eastAsia="zh-CN"/>
        </w:rPr>
        <w:t>招标代理机构</w:t>
      </w:r>
      <w:r>
        <w:rPr>
          <w:rFonts w:hint="eastAsia" w:ascii="宋体" w:hAnsi="宋体" w:eastAsia="宋体" w:cs="宋体"/>
          <w:color w:val="000000"/>
          <w:sz w:val="21"/>
          <w:szCs w:val="21"/>
          <w:lang w:eastAsia="zh-CN"/>
        </w:rPr>
        <w:t>在任何情况下均无义务和责任承担这些费用</w:t>
      </w:r>
      <w:r>
        <w:rPr>
          <w:rFonts w:hint="eastAsia" w:ascii="宋体" w:hAnsi="宋体" w:eastAsia="宋体" w:cs="宋体"/>
          <w:color w:val="000000"/>
          <w:sz w:val="21"/>
          <w:szCs w:val="21"/>
        </w:rPr>
        <w:t>。</w:t>
      </w:r>
    </w:p>
    <w:p>
      <w:pPr>
        <w:pageBreakBefore w:val="0"/>
        <w:widowControl/>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1.6.2</w:t>
      </w:r>
      <w:r>
        <w:rPr>
          <w:rFonts w:hint="eastAsia" w:ascii="宋体" w:hAnsi="宋体" w:cs="宋体"/>
          <w:color w:val="000000"/>
          <w:sz w:val="21"/>
          <w:szCs w:val="21"/>
          <w:lang w:val="en-US" w:eastAsia="zh-CN"/>
        </w:rPr>
        <w:t>成交</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成交</w:t>
      </w:r>
      <w:r>
        <w:rPr>
          <w:rFonts w:hint="eastAsia" w:ascii="宋体" w:hAnsi="宋体" w:eastAsia="宋体" w:cs="宋体"/>
          <w:color w:val="000000"/>
          <w:sz w:val="21"/>
          <w:szCs w:val="21"/>
          <w:lang w:val="en-US" w:eastAsia="zh-CN"/>
        </w:rPr>
        <w:t>后需按有关规定支付代理服务费、专家劳务费及其他相关费用。</w:t>
      </w:r>
    </w:p>
    <w:p>
      <w:pPr>
        <w:pStyle w:val="183"/>
        <w:spacing w:line="360" w:lineRule="auto"/>
        <w:outlineLvl w:val="0"/>
        <w:rPr>
          <w:rFonts w:hint="eastAsia" w:ascii="宋体" w:hAnsi="宋体" w:eastAsia="宋体"/>
          <w:b/>
          <w:bCs/>
          <w:color w:val="auto"/>
          <w:sz w:val="21"/>
          <w:szCs w:val="21"/>
        </w:rPr>
      </w:pPr>
      <w:r>
        <w:rPr>
          <w:rFonts w:hint="eastAsia" w:ascii="宋体" w:hAnsi="宋体" w:eastAsia="宋体"/>
          <w:b/>
          <w:bCs/>
          <w:color w:val="auto"/>
          <w:sz w:val="21"/>
          <w:szCs w:val="21"/>
        </w:rPr>
        <w:t>1.7 保密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参与磋商活动的各方应对磋商文件和响应文件中的商业和技术等秘密保密，违者应对由此造成的后果承担法律责任。 </w:t>
      </w:r>
    </w:p>
    <w:p>
      <w:pPr>
        <w:pStyle w:val="183"/>
        <w:spacing w:line="360" w:lineRule="auto"/>
        <w:outlineLvl w:val="0"/>
        <w:rPr>
          <w:rFonts w:hint="eastAsia" w:ascii="宋体" w:hAnsi="宋体" w:eastAsia="宋体"/>
          <w:b/>
          <w:bCs/>
          <w:color w:val="auto"/>
          <w:sz w:val="21"/>
          <w:szCs w:val="21"/>
        </w:rPr>
      </w:pPr>
      <w:bookmarkStart w:id="159" w:name="_Toc144974505"/>
      <w:bookmarkStart w:id="160" w:name="_Toc490667835"/>
      <w:bookmarkStart w:id="161" w:name="_Toc30583"/>
      <w:bookmarkStart w:id="162" w:name="_Toc591"/>
      <w:bookmarkStart w:id="163" w:name="_Toc13976"/>
      <w:bookmarkStart w:id="164" w:name="_Toc14775"/>
      <w:bookmarkStart w:id="165" w:name="_Toc318450682"/>
      <w:bookmarkStart w:id="166" w:name="_Toc466298099"/>
      <w:bookmarkStart w:id="167" w:name="_Toc7031"/>
      <w:bookmarkStart w:id="168" w:name="_Toc15673"/>
      <w:bookmarkStart w:id="169" w:name="_Toc3628"/>
      <w:bookmarkStart w:id="170" w:name="_Toc30747"/>
      <w:bookmarkStart w:id="171" w:name="_Toc6615"/>
      <w:bookmarkStart w:id="172" w:name="_Toc152045537"/>
      <w:bookmarkStart w:id="173" w:name="_Toc455867776"/>
      <w:bookmarkStart w:id="174" w:name="_Toc152042313"/>
      <w:bookmarkStart w:id="175" w:name="_Toc21089"/>
      <w:bookmarkStart w:id="176" w:name="_Toc455080116"/>
      <w:bookmarkStart w:id="177" w:name="_Toc25517"/>
      <w:r>
        <w:rPr>
          <w:rFonts w:hint="eastAsia" w:ascii="宋体" w:hAnsi="宋体" w:eastAsia="宋体"/>
          <w:b/>
          <w:bCs/>
          <w:color w:val="auto"/>
          <w:sz w:val="21"/>
          <w:szCs w:val="21"/>
        </w:rPr>
        <w:t>1.8 语言</w:t>
      </w:r>
      <w:bookmarkEnd w:id="159"/>
      <w:r>
        <w:rPr>
          <w:rFonts w:hint="eastAsia" w:ascii="宋体" w:hAnsi="宋体" w:eastAsia="宋体"/>
          <w:b/>
          <w:bCs/>
          <w:color w:val="auto"/>
          <w:sz w:val="21"/>
          <w:szCs w:val="21"/>
        </w:rPr>
        <w:t>文字</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r>
        <w:rPr>
          <w:rFonts w:hint="eastAsia" w:ascii="宋体" w:hAnsi="宋体" w:cs="宋体"/>
          <w:color w:val="auto"/>
          <w:szCs w:val="21"/>
          <w:lang w:bidi="en-US"/>
        </w:rPr>
        <w:t>对不同文字文本响应文件的解释发生异议的，以中文文本为准。</w:t>
      </w:r>
    </w:p>
    <w:p>
      <w:pPr>
        <w:pStyle w:val="183"/>
        <w:spacing w:line="360" w:lineRule="auto"/>
        <w:outlineLvl w:val="0"/>
        <w:rPr>
          <w:rFonts w:hint="eastAsia" w:ascii="宋体" w:hAnsi="宋体" w:eastAsia="宋体"/>
          <w:b/>
          <w:bCs/>
          <w:color w:val="auto"/>
          <w:sz w:val="21"/>
          <w:szCs w:val="21"/>
        </w:rPr>
      </w:pPr>
      <w:bookmarkStart w:id="178" w:name="_Toc22378"/>
      <w:bookmarkStart w:id="179" w:name="_Toc144974506"/>
      <w:bookmarkStart w:id="180" w:name="_Toc29149"/>
      <w:bookmarkStart w:id="181" w:name="_Toc152042314"/>
      <w:bookmarkStart w:id="182" w:name="_Toc466298100"/>
      <w:bookmarkStart w:id="183" w:name="_Toc318450683"/>
      <w:bookmarkStart w:id="184" w:name="_Toc18357"/>
      <w:bookmarkStart w:id="185" w:name="_Toc490667836"/>
      <w:bookmarkStart w:id="186" w:name="_Toc455867777"/>
      <w:bookmarkStart w:id="187" w:name="_Toc4237"/>
      <w:bookmarkStart w:id="188" w:name="_Toc152045538"/>
      <w:bookmarkStart w:id="189" w:name="_Toc2702"/>
      <w:bookmarkStart w:id="190" w:name="_Toc24337"/>
      <w:bookmarkStart w:id="191" w:name="_Toc4501"/>
      <w:bookmarkStart w:id="192" w:name="_Toc9446"/>
      <w:bookmarkStart w:id="193" w:name="_Toc14934"/>
      <w:bookmarkStart w:id="194" w:name="_Toc22415"/>
      <w:bookmarkStart w:id="195" w:name="_Toc32507"/>
      <w:bookmarkStart w:id="196" w:name="_Toc455080117"/>
      <w:r>
        <w:rPr>
          <w:rFonts w:hint="eastAsia" w:ascii="宋体" w:hAnsi="宋体" w:eastAsia="宋体"/>
          <w:b/>
          <w:bCs/>
          <w:color w:val="auto"/>
          <w:sz w:val="21"/>
          <w:szCs w:val="21"/>
        </w:rPr>
        <w:t>1.9 计量单位</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所有计量均采用中华人民共和国法定计量单位。</w:t>
      </w:r>
    </w:p>
    <w:p>
      <w:pPr>
        <w:pStyle w:val="183"/>
        <w:spacing w:line="360" w:lineRule="auto"/>
        <w:outlineLvl w:val="0"/>
        <w:rPr>
          <w:rFonts w:hint="eastAsia" w:ascii="宋体" w:hAnsi="宋体" w:eastAsia="宋体"/>
          <w:b/>
          <w:bCs/>
          <w:color w:val="auto"/>
          <w:sz w:val="21"/>
          <w:szCs w:val="21"/>
          <w:lang w:eastAsia="zh-CN"/>
        </w:rPr>
      </w:pPr>
      <w:bookmarkStart w:id="197" w:name="_Toc29845"/>
      <w:bookmarkStart w:id="198" w:name="_Toc18589"/>
      <w:bookmarkStart w:id="199" w:name="_Toc455080118"/>
      <w:bookmarkStart w:id="200" w:name="_Toc12027"/>
      <w:bookmarkStart w:id="201" w:name="_Toc318450684"/>
      <w:bookmarkStart w:id="202" w:name="_Toc466298101"/>
      <w:bookmarkStart w:id="203" w:name="_Toc2508"/>
      <w:bookmarkStart w:id="204" w:name="_Toc490667837"/>
      <w:bookmarkStart w:id="205" w:name="_Toc31195"/>
      <w:bookmarkStart w:id="206" w:name="_Toc152045540"/>
      <w:bookmarkStart w:id="207" w:name="_Toc144974508"/>
      <w:bookmarkStart w:id="208" w:name="_Toc27570"/>
      <w:bookmarkStart w:id="209" w:name="_Toc13675"/>
      <w:bookmarkStart w:id="210" w:name="_Toc455867778"/>
      <w:bookmarkStart w:id="211" w:name="_Toc19685"/>
      <w:bookmarkStart w:id="212" w:name="_Toc338"/>
      <w:bookmarkStart w:id="213" w:name="_Toc152042316"/>
      <w:bookmarkStart w:id="214" w:name="_Toc284"/>
      <w:bookmarkStart w:id="215" w:name="_Toc28466"/>
      <w:bookmarkStart w:id="216" w:name="_Toc9182"/>
      <w:bookmarkStart w:id="217" w:name="_Toc490667838"/>
      <w:bookmarkStart w:id="218" w:name="_Toc3853"/>
      <w:bookmarkStart w:id="219" w:name="_Toc12562"/>
      <w:bookmarkStart w:id="220" w:name="_Toc23678"/>
      <w:bookmarkStart w:id="221" w:name="_Toc318450685"/>
      <w:bookmarkStart w:id="222" w:name="_Toc466298102"/>
      <w:bookmarkStart w:id="223" w:name="_Toc23635"/>
      <w:bookmarkStart w:id="224" w:name="_Toc152045541"/>
      <w:bookmarkStart w:id="225" w:name="_Toc144974509"/>
      <w:bookmarkStart w:id="226" w:name="_Toc31725"/>
      <w:bookmarkStart w:id="227" w:name="_Toc24262"/>
      <w:bookmarkStart w:id="228" w:name="_Toc455080119"/>
      <w:bookmarkStart w:id="229" w:name="_Toc25208"/>
      <w:bookmarkStart w:id="230" w:name="_Toc32757"/>
      <w:bookmarkStart w:id="231" w:name="_Toc455867779"/>
      <w:bookmarkStart w:id="232" w:name="_Toc11744"/>
      <w:bookmarkStart w:id="233" w:name="_Toc152042317"/>
      <w:r>
        <w:rPr>
          <w:rFonts w:hint="eastAsia" w:ascii="宋体" w:hAnsi="宋体" w:eastAsia="宋体"/>
          <w:b/>
          <w:bCs/>
          <w:color w:val="auto"/>
          <w:sz w:val="21"/>
          <w:szCs w:val="21"/>
        </w:rPr>
        <w:t xml:space="preserve">1.10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宋体" w:hAnsi="宋体" w:eastAsia="宋体"/>
          <w:b/>
          <w:bCs/>
          <w:color w:val="auto"/>
          <w:sz w:val="21"/>
          <w:szCs w:val="21"/>
          <w:lang w:eastAsia="zh-CN"/>
        </w:rPr>
        <w:t>现场踏勘</w:t>
      </w:r>
      <w:bookmarkEnd w:id="215"/>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不组织，潜在供应商自行踏勘，与之相关的所有费用自行承担。</w:t>
      </w:r>
    </w:p>
    <w:p>
      <w:pPr>
        <w:pStyle w:val="183"/>
        <w:spacing w:line="360" w:lineRule="auto"/>
        <w:outlineLvl w:val="0"/>
        <w:rPr>
          <w:rFonts w:hint="eastAsia" w:ascii="宋体" w:hAnsi="宋体" w:eastAsia="宋体"/>
          <w:b/>
          <w:bCs/>
          <w:color w:val="auto"/>
          <w:sz w:val="21"/>
          <w:szCs w:val="21"/>
        </w:rPr>
      </w:pPr>
      <w:bookmarkStart w:id="234" w:name="_Toc15590"/>
      <w:r>
        <w:rPr>
          <w:rFonts w:hint="eastAsia" w:ascii="宋体" w:hAnsi="宋体" w:eastAsia="宋体"/>
          <w:b/>
          <w:bCs/>
          <w:color w:val="auto"/>
          <w:sz w:val="21"/>
          <w:szCs w:val="21"/>
        </w:rPr>
        <w:t>1.11分包</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360" w:lineRule="auto"/>
        <w:ind w:firstLine="567" w:firstLineChars="270"/>
        <w:rPr>
          <w:rFonts w:hint="eastAsia" w:ascii="宋体" w:hAnsi="宋体" w:cs="宋体"/>
          <w:color w:val="auto"/>
          <w:szCs w:val="21"/>
        </w:rPr>
      </w:pPr>
      <w:r>
        <w:rPr>
          <w:rFonts w:hint="eastAsia" w:ascii="宋体" w:hAnsi="宋体" w:cs="宋体"/>
          <w:color w:val="auto"/>
          <w:szCs w:val="21"/>
        </w:rPr>
        <w:t>是否允许分包：见供应商须知前附表。</w:t>
      </w:r>
      <w:bookmarkStart w:id="235" w:name="_Toc152045542"/>
      <w:bookmarkStart w:id="236" w:name="_Toc144974510"/>
      <w:bookmarkStart w:id="237" w:name="_Toc152042318"/>
      <w:bookmarkStart w:id="238" w:name="_Toc455080120"/>
    </w:p>
    <w:bookmarkEnd w:id="235"/>
    <w:bookmarkEnd w:id="236"/>
    <w:bookmarkEnd w:id="237"/>
    <w:p>
      <w:pPr>
        <w:spacing w:line="360" w:lineRule="auto"/>
        <w:outlineLvl w:val="1"/>
        <w:rPr>
          <w:rFonts w:hint="eastAsia" w:ascii="宋体" w:hAnsi="宋体"/>
          <w:b/>
          <w:bCs/>
          <w:color w:val="auto"/>
          <w:szCs w:val="21"/>
        </w:rPr>
      </w:pPr>
      <w:bookmarkStart w:id="239" w:name="_Toc12453"/>
      <w:bookmarkStart w:id="240" w:name="_Toc17824"/>
      <w:r>
        <w:rPr>
          <w:rFonts w:hint="eastAsia" w:ascii="宋体" w:hAnsi="宋体"/>
          <w:b/>
          <w:bCs/>
          <w:color w:val="auto"/>
          <w:szCs w:val="21"/>
        </w:rPr>
        <w:t>2.磋商文件</w:t>
      </w:r>
      <w:bookmarkEnd w:id="238"/>
      <w:bookmarkEnd w:id="239"/>
      <w:bookmarkEnd w:id="240"/>
    </w:p>
    <w:p>
      <w:pPr>
        <w:pStyle w:val="183"/>
        <w:spacing w:line="360" w:lineRule="auto"/>
        <w:outlineLvl w:val="0"/>
        <w:rPr>
          <w:rFonts w:hint="eastAsia" w:ascii="宋体" w:hAnsi="宋体" w:eastAsia="宋体"/>
          <w:b/>
          <w:bCs/>
          <w:color w:val="auto"/>
          <w:sz w:val="21"/>
          <w:szCs w:val="21"/>
        </w:rPr>
      </w:pPr>
      <w:bookmarkStart w:id="241" w:name="_Toc12640"/>
      <w:bookmarkStart w:id="242" w:name="_Toc1008"/>
      <w:bookmarkStart w:id="243" w:name="_Toc466298104"/>
      <w:bookmarkStart w:id="244" w:name="_Toc9780"/>
      <w:bookmarkStart w:id="245" w:name="_Toc318450687"/>
      <w:bookmarkStart w:id="246" w:name="_Toc3982"/>
      <w:bookmarkStart w:id="247" w:name="_Toc152042319"/>
      <w:bookmarkStart w:id="248" w:name="_Toc23649"/>
      <w:bookmarkStart w:id="249" w:name="_Toc12004"/>
      <w:bookmarkStart w:id="250" w:name="_Toc7999"/>
      <w:bookmarkStart w:id="251" w:name="_Toc11599"/>
      <w:bookmarkStart w:id="252" w:name="_Toc11567"/>
      <w:bookmarkStart w:id="253" w:name="_Toc490667840"/>
      <w:bookmarkStart w:id="254" w:name="_Toc455080121"/>
      <w:bookmarkStart w:id="255" w:name="_Toc32711"/>
      <w:bookmarkStart w:id="256" w:name="_Toc19750"/>
      <w:bookmarkStart w:id="257" w:name="_Toc152045543"/>
      <w:bookmarkStart w:id="258" w:name="_Toc455867781"/>
      <w:bookmarkStart w:id="259" w:name="_Toc144974511"/>
      <w:r>
        <w:rPr>
          <w:rFonts w:hint="eastAsia" w:ascii="宋体" w:hAnsi="宋体" w:eastAsia="宋体"/>
          <w:b/>
          <w:bCs/>
          <w:color w:val="auto"/>
          <w:sz w:val="21"/>
          <w:szCs w:val="21"/>
        </w:rPr>
        <w:t>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 xml:space="preserve"> 磋商文件的组成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rPr>
          <w:rFonts w:hint="eastAsia" w:ascii="宋体" w:hAnsi="宋体" w:cs="宋体"/>
          <w:color w:val="auto"/>
          <w:szCs w:val="21"/>
        </w:rPr>
      </w:pPr>
      <w:r>
        <w:rPr>
          <w:rFonts w:hint="eastAsia" w:ascii="宋体" w:hAnsi="宋体" w:cs="宋体"/>
          <w:color w:val="auto"/>
          <w:szCs w:val="21"/>
        </w:rPr>
        <w:t>　　本磋商文件包括：</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竞争性</w:t>
      </w:r>
      <w:r>
        <w:rPr>
          <w:rFonts w:hint="eastAsia" w:ascii="宋体" w:hAnsi="宋体" w:cs="宋体"/>
          <w:color w:val="auto"/>
          <w:szCs w:val="21"/>
        </w:rPr>
        <w:t>磋商公告；</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（2）供应商须知；</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（3）评审办法；</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（4）合同文本；</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采购</w:t>
      </w:r>
      <w:r>
        <w:rPr>
          <w:rFonts w:hint="eastAsia" w:ascii="宋体" w:hAnsi="宋体" w:cs="宋体"/>
          <w:color w:val="auto"/>
          <w:szCs w:val="21"/>
          <w:lang w:eastAsia="zh-CN"/>
        </w:rPr>
        <w:t>需求</w:t>
      </w:r>
      <w:r>
        <w:rPr>
          <w:rFonts w:hint="eastAsia" w:ascii="宋体" w:hAnsi="宋体" w:cs="宋体"/>
          <w:color w:val="auto"/>
          <w:szCs w:val="21"/>
        </w:rPr>
        <w:t>；</w:t>
      </w:r>
    </w:p>
    <w:p>
      <w:pPr>
        <w:spacing w:line="360" w:lineRule="auto"/>
        <w:ind w:firstLine="359" w:firstLineChars="171"/>
        <w:rPr>
          <w:rFonts w:hint="eastAsia" w:ascii="宋体" w:hAnsi="宋体" w:cs="宋体"/>
          <w:color w:val="auto"/>
          <w:szCs w:val="21"/>
        </w:rPr>
      </w:pPr>
      <w:r>
        <w:rPr>
          <w:rFonts w:hint="eastAsia" w:ascii="宋体" w:hAnsi="宋体" w:cs="宋体"/>
          <w:color w:val="auto"/>
          <w:szCs w:val="21"/>
        </w:rPr>
        <w:t>（6）竞争性磋商响应文件格式；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根据本章第2.2款和第2.3款对磋商文件所作的澄清、修改，构成磋商文件的组成部分。</w:t>
      </w:r>
    </w:p>
    <w:p>
      <w:pPr>
        <w:pStyle w:val="183"/>
        <w:spacing w:line="360" w:lineRule="auto"/>
        <w:outlineLvl w:val="0"/>
        <w:rPr>
          <w:rFonts w:hint="eastAsia" w:ascii="宋体" w:hAnsi="宋体" w:eastAsia="宋体"/>
          <w:b/>
          <w:bCs/>
          <w:color w:val="auto"/>
          <w:sz w:val="21"/>
          <w:szCs w:val="21"/>
        </w:rPr>
      </w:pPr>
      <w:bookmarkStart w:id="260" w:name="_Toc15658"/>
      <w:bookmarkStart w:id="261" w:name="_Toc11239"/>
      <w:bookmarkStart w:id="262" w:name="_Toc152045546"/>
      <w:bookmarkStart w:id="263" w:name="_Toc144974514"/>
      <w:bookmarkStart w:id="264" w:name="_Toc152042322"/>
      <w:bookmarkStart w:id="265" w:name="_Toc455080124"/>
      <w:r>
        <w:rPr>
          <w:rFonts w:hint="eastAsia" w:ascii="宋体" w:hAnsi="宋体" w:eastAsia="宋体"/>
          <w:b/>
          <w:bCs/>
          <w:color w:val="auto"/>
          <w:sz w:val="21"/>
          <w:szCs w:val="21"/>
        </w:rPr>
        <w:t xml:space="preserve">2.2 </w:t>
      </w:r>
      <w:r>
        <w:rPr>
          <w:rFonts w:hint="eastAsia" w:ascii="宋体" w:hAnsi="宋体" w:eastAsia="宋体"/>
          <w:b/>
          <w:bCs/>
          <w:color w:val="auto"/>
          <w:sz w:val="21"/>
          <w:szCs w:val="21"/>
          <w:lang w:eastAsia="zh-CN"/>
        </w:rPr>
        <w:t>磋商</w:t>
      </w:r>
      <w:r>
        <w:rPr>
          <w:rFonts w:hint="eastAsia" w:ascii="宋体" w:hAnsi="宋体" w:eastAsia="宋体"/>
          <w:b/>
          <w:bCs/>
          <w:color w:val="auto"/>
          <w:sz w:val="21"/>
          <w:szCs w:val="21"/>
        </w:rPr>
        <w:t>文件的澄清</w:t>
      </w:r>
      <w:bookmarkEnd w:id="260"/>
      <w:bookmarkEnd w:id="261"/>
    </w:p>
    <w:p>
      <w:pPr>
        <w:spacing w:line="360" w:lineRule="auto"/>
        <w:ind w:firstLine="420" w:firstLineChars="200"/>
        <w:rPr>
          <w:rFonts w:hint="eastAsia" w:ascii="宋体" w:hAnsi="宋体" w:cs="宋体"/>
          <w:color w:val="auto"/>
        </w:rPr>
      </w:pPr>
      <w:r>
        <w:rPr>
          <w:rFonts w:hint="eastAsia" w:ascii="宋体" w:hAnsi="宋体" w:cs="宋体"/>
          <w:color w:val="auto"/>
        </w:rPr>
        <w:t>2.2.1供应商应仔细阅读和检查磋商文件的全部内容。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要求采购人对磋商文件予以澄清。</w:t>
      </w:r>
    </w:p>
    <w:p>
      <w:pPr>
        <w:spacing w:line="360" w:lineRule="auto"/>
        <w:ind w:firstLine="420" w:firstLineChars="200"/>
        <w:rPr>
          <w:rFonts w:hint="eastAsia" w:ascii="宋体" w:hAnsi="宋体" w:cs="宋体"/>
          <w:color w:val="auto"/>
        </w:rPr>
      </w:pPr>
      <w:r>
        <w:rPr>
          <w:rFonts w:hint="eastAsia" w:ascii="宋体" w:hAnsi="宋体" w:cs="宋体"/>
          <w:color w:val="auto"/>
        </w:rPr>
        <w:t>2.2.2 磋商文件的澄清将在供应商须知前附表规定的响应文件</w:t>
      </w:r>
      <w:r>
        <w:rPr>
          <w:rFonts w:hint="eastAsia" w:ascii="宋体" w:hAnsi="宋体" w:cs="宋体"/>
          <w:color w:val="auto"/>
          <w:lang w:eastAsia="zh-CN"/>
        </w:rPr>
        <w:t>提交</w:t>
      </w:r>
      <w:r>
        <w:rPr>
          <w:rFonts w:hint="eastAsia" w:ascii="宋体" w:hAnsi="宋体" w:cs="宋体"/>
          <w:color w:val="auto"/>
        </w:rPr>
        <w:t>截止时间5天前在信阳市公共资源交易系统“变更公告”或“答疑文件”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但不指明澄清问题的来源。如果澄清的内容可能影响响应文件编制且发出的时间距响应文件</w:t>
      </w:r>
      <w:r>
        <w:rPr>
          <w:rFonts w:hint="eastAsia" w:ascii="宋体" w:hAnsi="宋体" w:cs="宋体"/>
          <w:color w:val="auto"/>
          <w:lang w:eastAsia="zh-CN"/>
        </w:rPr>
        <w:t>提交</w:t>
      </w:r>
      <w:r>
        <w:rPr>
          <w:rFonts w:hint="eastAsia" w:ascii="宋体" w:hAnsi="宋体" w:cs="宋体"/>
          <w:color w:val="auto"/>
        </w:rPr>
        <w:t>截止时间不足5天，相应延长</w:t>
      </w:r>
      <w:r>
        <w:rPr>
          <w:rFonts w:hint="eastAsia" w:ascii="宋体" w:hAnsi="宋体" w:cs="宋体"/>
          <w:color w:val="auto"/>
          <w:lang w:eastAsia="zh-CN"/>
        </w:rPr>
        <w:t>响应文件提交截止</w:t>
      </w:r>
      <w:r>
        <w:rPr>
          <w:rFonts w:hint="eastAsia" w:ascii="宋体" w:hAnsi="宋体" w:cs="宋体"/>
          <w:color w:val="auto"/>
        </w:rPr>
        <w:t>时间。</w:t>
      </w:r>
    </w:p>
    <w:p>
      <w:pPr>
        <w:spacing w:line="360" w:lineRule="auto"/>
        <w:ind w:firstLine="420" w:firstLineChars="200"/>
        <w:rPr>
          <w:rFonts w:hint="eastAsia"/>
          <w:color w:val="auto"/>
        </w:rPr>
      </w:pPr>
      <w:r>
        <w:rPr>
          <w:rFonts w:hint="eastAsia" w:ascii="宋体" w:hAnsi="宋体"/>
          <w:color w:val="auto"/>
          <w:szCs w:val="21"/>
        </w:rPr>
        <w:t>2.2.3供应商应在响应文件</w:t>
      </w:r>
      <w:r>
        <w:rPr>
          <w:rFonts w:hint="eastAsia" w:ascii="宋体" w:hAnsi="宋体" w:cs="宋体"/>
          <w:color w:val="auto"/>
          <w:lang w:eastAsia="zh-CN"/>
        </w:rPr>
        <w:t>提交</w:t>
      </w:r>
      <w:r>
        <w:rPr>
          <w:rFonts w:hint="eastAsia" w:ascii="宋体" w:hAnsi="宋体"/>
          <w:color w:val="auto"/>
          <w:szCs w:val="21"/>
        </w:rPr>
        <w:t>截止时间前及时查看澄清内容，因供应商未及时查看而造成的后果自负。</w:t>
      </w:r>
    </w:p>
    <w:p>
      <w:pPr>
        <w:pStyle w:val="183"/>
        <w:spacing w:line="360" w:lineRule="auto"/>
        <w:outlineLvl w:val="0"/>
        <w:rPr>
          <w:rFonts w:hint="eastAsia" w:ascii="宋体" w:hAnsi="宋体" w:eastAsia="宋体"/>
          <w:b/>
          <w:bCs/>
          <w:color w:val="auto"/>
          <w:sz w:val="21"/>
          <w:szCs w:val="21"/>
        </w:rPr>
      </w:pPr>
      <w:bookmarkStart w:id="266" w:name="_Toc8263"/>
      <w:bookmarkStart w:id="267" w:name="_Toc24663"/>
      <w:r>
        <w:rPr>
          <w:rFonts w:hint="eastAsia" w:ascii="宋体" w:hAnsi="宋体" w:eastAsia="宋体"/>
          <w:b/>
          <w:bCs/>
          <w:color w:val="auto"/>
          <w:sz w:val="21"/>
          <w:szCs w:val="21"/>
        </w:rPr>
        <w:t xml:space="preserve">2.3 </w:t>
      </w:r>
      <w:r>
        <w:rPr>
          <w:rFonts w:hint="eastAsia" w:ascii="宋体" w:hAnsi="宋体" w:eastAsia="宋体"/>
          <w:b/>
          <w:bCs/>
          <w:color w:val="auto"/>
          <w:sz w:val="21"/>
          <w:szCs w:val="21"/>
          <w:lang w:eastAsia="zh-CN"/>
        </w:rPr>
        <w:t>磋商</w:t>
      </w:r>
      <w:r>
        <w:rPr>
          <w:rFonts w:hint="eastAsia" w:ascii="宋体" w:hAnsi="宋体" w:eastAsia="宋体"/>
          <w:b/>
          <w:bCs/>
          <w:color w:val="auto"/>
          <w:sz w:val="21"/>
          <w:szCs w:val="21"/>
        </w:rPr>
        <w:t>文件的修改</w:t>
      </w:r>
      <w:bookmarkEnd w:id="266"/>
      <w:bookmarkEnd w:id="267"/>
    </w:p>
    <w:p>
      <w:pPr>
        <w:spacing w:line="360" w:lineRule="auto"/>
        <w:ind w:firstLine="420" w:firstLineChars="200"/>
        <w:rPr>
          <w:rFonts w:hint="eastAsia" w:ascii="宋体" w:hAnsi="宋体" w:cs="宋体"/>
          <w:color w:val="auto"/>
        </w:rPr>
      </w:pPr>
      <w:r>
        <w:rPr>
          <w:rFonts w:hint="eastAsia" w:ascii="宋体" w:hAnsi="宋体" w:cs="宋体"/>
          <w:color w:val="auto"/>
        </w:rPr>
        <w:t>2.3.1 在响应文件</w:t>
      </w:r>
      <w:r>
        <w:rPr>
          <w:rFonts w:hint="eastAsia" w:ascii="宋体" w:hAnsi="宋体" w:cs="宋体"/>
          <w:color w:val="auto"/>
          <w:lang w:eastAsia="zh-CN"/>
        </w:rPr>
        <w:t>提交</w:t>
      </w:r>
      <w:r>
        <w:rPr>
          <w:rFonts w:hint="eastAsia" w:ascii="宋体" w:hAnsi="宋体" w:cs="宋体"/>
          <w:color w:val="auto"/>
        </w:rPr>
        <w:t>截止时间5天前，采购人可以修改磋商文件。如有修改，应在信阳市公共资源交易系统“变更公告”或“答疑文件”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。如果修改的内容可能影响响应文件编制且发出的时间距响应文件</w:t>
      </w:r>
      <w:r>
        <w:rPr>
          <w:rFonts w:hint="eastAsia" w:ascii="宋体" w:hAnsi="宋体" w:cs="宋体"/>
          <w:color w:val="auto"/>
          <w:lang w:eastAsia="zh-CN"/>
        </w:rPr>
        <w:t>提交</w:t>
      </w:r>
      <w:r>
        <w:rPr>
          <w:rFonts w:hint="eastAsia" w:ascii="宋体" w:hAnsi="宋体" w:cs="宋体"/>
          <w:color w:val="auto"/>
        </w:rPr>
        <w:t>截止时间不足5天，相应延长响应文件</w:t>
      </w:r>
      <w:r>
        <w:rPr>
          <w:rFonts w:hint="eastAsia" w:ascii="宋体" w:hAnsi="宋体" w:cs="宋体"/>
          <w:color w:val="auto"/>
          <w:lang w:eastAsia="zh-CN"/>
        </w:rPr>
        <w:t>提交</w:t>
      </w:r>
      <w:r>
        <w:rPr>
          <w:rFonts w:hint="eastAsia" w:ascii="宋体" w:hAnsi="宋体" w:cs="宋体"/>
          <w:color w:val="auto"/>
        </w:rPr>
        <w:t>截止时间。</w:t>
      </w:r>
    </w:p>
    <w:p>
      <w:pPr>
        <w:spacing w:line="360" w:lineRule="auto"/>
        <w:ind w:firstLine="420"/>
        <w:rPr>
          <w:rFonts w:hint="eastAsia" w:ascii="宋体" w:hAnsi="宋体"/>
          <w:color w:val="auto"/>
          <w:szCs w:val="21"/>
        </w:rPr>
      </w:pPr>
      <w:r>
        <w:rPr>
          <w:rFonts w:hint="eastAsia" w:ascii="宋体" w:hAnsi="宋体" w:cs="宋体"/>
          <w:color w:val="auto"/>
        </w:rPr>
        <w:t>2.3.2当磋商文件的澄清、修改、补充等在同一内容的表述上不一致时，</w:t>
      </w:r>
      <w:r>
        <w:rPr>
          <w:rFonts w:hint="eastAsia" w:ascii="宋体" w:hAnsi="宋体"/>
          <w:color w:val="auto"/>
          <w:szCs w:val="21"/>
        </w:rPr>
        <w:t>以最后在信阳市公共资源交易系统发出的文件为准。</w:t>
      </w:r>
    </w:p>
    <w:p>
      <w:pPr>
        <w:spacing w:line="360" w:lineRule="auto"/>
        <w:ind w:firstLine="420" w:firstLineChars="200"/>
        <w:rPr>
          <w:rFonts w:hint="eastAsia" w:eastAsia="宋体"/>
          <w:color w:val="auto"/>
          <w:lang w:val="en-US" w:eastAsia="zh-CN"/>
        </w:rPr>
      </w:pPr>
      <w:r>
        <w:rPr>
          <w:rFonts w:hint="eastAsia" w:ascii="宋体" w:hAnsi="宋体" w:cs="宋体"/>
          <w:color w:val="auto"/>
        </w:rPr>
        <w:t>2.3.3</w:t>
      </w:r>
      <w:r>
        <w:rPr>
          <w:rFonts w:hint="eastAsia" w:ascii="宋体" w:hAnsi="宋体"/>
          <w:color w:val="auto"/>
          <w:szCs w:val="21"/>
        </w:rPr>
        <w:t>供应商应在响应文件</w:t>
      </w:r>
      <w:r>
        <w:rPr>
          <w:rFonts w:hint="eastAsia" w:ascii="宋体" w:hAnsi="宋体"/>
          <w:color w:val="auto"/>
          <w:szCs w:val="21"/>
          <w:lang w:eastAsia="zh-CN"/>
        </w:rPr>
        <w:t>提交</w:t>
      </w:r>
      <w:r>
        <w:rPr>
          <w:rFonts w:hint="eastAsia" w:ascii="宋体" w:hAnsi="宋体"/>
          <w:color w:val="auto"/>
          <w:szCs w:val="21"/>
        </w:rPr>
        <w:t>截止时间前及时查看修改内容，因供应商未及时查看而造成的后果自负。</w:t>
      </w:r>
      <w:r>
        <w:rPr>
          <w:rFonts w:hint="eastAsia" w:ascii="宋体" w:hAnsi="宋体"/>
          <w:color w:val="auto"/>
          <w:szCs w:val="21"/>
          <w:lang w:val="en-US" w:eastAsia="zh-CN"/>
        </w:rPr>
        <w:t xml:space="preserve"> </w:t>
      </w:r>
    </w:p>
    <w:p>
      <w:pPr>
        <w:pStyle w:val="177"/>
        <w:spacing w:before="0" w:beforeLines="0" w:line="360" w:lineRule="auto"/>
        <w:rPr>
          <w:rFonts w:hint="eastAsia" w:ascii="宋体" w:hAnsi="宋体" w:eastAsia="宋体"/>
          <w:b/>
          <w:bCs/>
          <w:color w:val="auto"/>
          <w:sz w:val="21"/>
          <w:szCs w:val="21"/>
        </w:rPr>
      </w:pPr>
      <w:bookmarkStart w:id="268" w:name="_Toc32477"/>
      <w:bookmarkStart w:id="269" w:name="_Toc4666"/>
      <w:r>
        <w:rPr>
          <w:rFonts w:hint="eastAsia" w:ascii="宋体" w:hAnsi="宋体" w:eastAsia="宋体"/>
          <w:b/>
          <w:bCs/>
          <w:color w:val="auto"/>
          <w:sz w:val="21"/>
          <w:szCs w:val="21"/>
        </w:rPr>
        <w:t xml:space="preserve">3. </w:t>
      </w:r>
      <w:bookmarkEnd w:id="262"/>
      <w:bookmarkEnd w:id="263"/>
      <w:bookmarkEnd w:id="264"/>
      <w:r>
        <w:rPr>
          <w:rFonts w:hint="eastAsia" w:ascii="宋体" w:hAnsi="宋体" w:eastAsia="宋体"/>
          <w:b/>
          <w:bCs/>
          <w:color w:val="auto"/>
          <w:sz w:val="21"/>
          <w:szCs w:val="21"/>
        </w:rPr>
        <w:t>响应文件</w:t>
      </w:r>
      <w:bookmarkEnd w:id="265"/>
      <w:bookmarkEnd w:id="268"/>
      <w:bookmarkEnd w:id="269"/>
    </w:p>
    <w:p>
      <w:pPr>
        <w:pStyle w:val="183"/>
        <w:spacing w:line="360" w:lineRule="auto"/>
        <w:outlineLvl w:val="9"/>
        <w:rPr>
          <w:rFonts w:hint="eastAsia" w:ascii="宋体" w:hAnsi="宋体" w:eastAsia="宋体"/>
          <w:b/>
          <w:bCs/>
          <w:color w:val="auto"/>
          <w:sz w:val="21"/>
          <w:szCs w:val="21"/>
        </w:rPr>
      </w:pPr>
      <w:bookmarkStart w:id="270" w:name="_Toc490667844"/>
      <w:bookmarkStart w:id="271" w:name="_Toc144974515"/>
      <w:bookmarkStart w:id="272" w:name="_Toc24440"/>
      <w:bookmarkStart w:id="273" w:name="_Toc152042323"/>
      <w:bookmarkStart w:id="274" w:name="_Toc9716"/>
      <w:bookmarkStart w:id="275" w:name="_Toc152045547"/>
      <w:bookmarkStart w:id="276" w:name="_Toc9273"/>
      <w:bookmarkStart w:id="277" w:name="_Toc15810"/>
      <w:bookmarkStart w:id="278" w:name="_Toc318450691"/>
      <w:bookmarkStart w:id="279" w:name="_Toc16198"/>
      <w:bookmarkStart w:id="280" w:name="_Toc27373"/>
      <w:bookmarkStart w:id="281" w:name="_Toc10096"/>
      <w:r>
        <w:rPr>
          <w:rFonts w:hint="eastAsia" w:ascii="宋体" w:hAnsi="宋体" w:eastAsia="宋体"/>
          <w:b/>
          <w:bCs/>
          <w:color w:val="auto"/>
          <w:sz w:val="21"/>
          <w:szCs w:val="21"/>
        </w:rPr>
        <w:t>3.1 响应文件的组成</w:t>
      </w:r>
      <w:bookmarkEnd w:id="270"/>
      <w:bookmarkEnd w:id="271"/>
      <w:bookmarkEnd w:id="272"/>
      <w:bookmarkEnd w:id="273"/>
      <w:bookmarkEnd w:id="274"/>
      <w:bookmarkEnd w:id="275"/>
      <w:bookmarkEnd w:id="276"/>
      <w:bookmarkEnd w:id="277"/>
      <w:bookmarkEnd w:id="278"/>
      <w:bookmarkEnd w:id="279"/>
      <w:bookmarkEnd w:id="280"/>
      <w:bookmarkEnd w:id="281"/>
    </w:p>
    <w:p>
      <w:pPr>
        <w:pStyle w:val="183"/>
        <w:spacing w:line="360" w:lineRule="auto"/>
        <w:ind w:firstLine="480"/>
        <w:outlineLvl w:val="9"/>
        <w:rPr>
          <w:rFonts w:hint="eastAsia" w:ascii="宋体" w:hAnsi="宋体" w:eastAsia="宋体"/>
          <w:color w:val="auto"/>
          <w:sz w:val="21"/>
          <w:szCs w:val="21"/>
          <w:lang w:eastAsia="zh-CN"/>
        </w:rPr>
      </w:pPr>
      <w:bookmarkStart w:id="282" w:name="_Toc455867785"/>
      <w:bookmarkStart w:id="283" w:name="_Toc31433"/>
      <w:bookmarkStart w:id="284" w:name="_Toc22864"/>
      <w:bookmarkStart w:id="285" w:name="_Toc466298108"/>
      <w:bookmarkStart w:id="286" w:name="_Toc18750"/>
      <w:bookmarkStart w:id="287" w:name="_Toc8768"/>
      <w:bookmarkStart w:id="288" w:name="_Toc31931"/>
      <w:bookmarkStart w:id="289" w:name="_Toc13280"/>
      <w:bookmarkStart w:id="290" w:name="_Toc779"/>
      <w:bookmarkStart w:id="291" w:name="_Toc455080125"/>
      <w:bookmarkStart w:id="292" w:name="_Toc490667845"/>
      <w:bookmarkStart w:id="293" w:name="_Toc17958"/>
      <w:bookmarkStart w:id="294" w:name="_Toc12237"/>
      <w:r>
        <w:rPr>
          <w:rFonts w:hint="eastAsia" w:ascii="宋体" w:hAnsi="宋体" w:eastAsia="宋体"/>
          <w:color w:val="auto"/>
          <w:sz w:val="21"/>
          <w:szCs w:val="21"/>
        </w:rPr>
        <w:t>详见</w:t>
      </w:r>
      <w:bookmarkStart w:id="295" w:name="_Toc152042324"/>
      <w:bookmarkStart w:id="296" w:name="_Toc26291"/>
      <w:bookmarkStart w:id="297" w:name="_Toc318450692"/>
      <w:bookmarkStart w:id="298" w:name="_Toc279156232"/>
      <w:bookmarkStart w:id="299" w:name="_Toc899"/>
      <w:bookmarkStart w:id="300" w:name="_Toc144974516"/>
      <w:bookmarkStart w:id="301" w:name="_Toc152045548"/>
      <w:r>
        <w:rPr>
          <w:rFonts w:hint="eastAsia" w:ascii="宋体" w:hAnsi="宋体" w:eastAsia="宋体"/>
          <w:color w:val="auto"/>
          <w:sz w:val="21"/>
          <w:szCs w:val="21"/>
          <w:lang w:eastAsia="zh-CN"/>
        </w:rPr>
        <w:t>第六章</w:t>
      </w:r>
      <w:r>
        <w:rPr>
          <w:rFonts w:hint="eastAsia" w:ascii="宋体" w:hAnsi="宋体" w:eastAsia="宋体"/>
          <w:color w:val="auto"/>
          <w:sz w:val="21"/>
          <w:szCs w:val="21"/>
        </w:rPr>
        <w:t>“竞争性磋商响应文件格式”</w:t>
      </w:r>
      <w:bookmarkEnd w:id="282"/>
      <w:bookmarkEnd w:id="283"/>
      <w:bookmarkEnd w:id="284"/>
      <w:bookmarkEnd w:id="285"/>
      <w:bookmarkEnd w:id="286"/>
      <w:bookmarkEnd w:id="287"/>
      <w:bookmarkEnd w:id="288"/>
      <w:bookmarkEnd w:id="289"/>
      <w:bookmarkEnd w:id="290"/>
      <w:bookmarkEnd w:id="291"/>
      <w:bookmarkEnd w:id="292"/>
      <w:r>
        <w:rPr>
          <w:rFonts w:hint="eastAsia" w:ascii="宋体" w:hAnsi="宋体" w:eastAsia="宋体"/>
          <w:color w:val="auto"/>
          <w:sz w:val="21"/>
          <w:szCs w:val="21"/>
          <w:lang w:eastAsia="zh-CN"/>
        </w:rPr>
        <w:t>。</w:t>
      </w:r>
      <w:bookmarkEnd w:id="293"/>
      <w:bookmarkEnd w:id="294"/>
    </w:p>
    <w:p>
      <w:pPr>
        <w:spacing w:line="360" w:lineRule="auto"/>
        <w:rPr>
          <w:rFonts w:hint="eastAsia" w:ascii="宋体" w:hAnsi="宋体" w:cs="宋体"/>
          <w:b/>
          <w:bCs/>
          <w:color w:val="auto"/>
          <w:szCs w:val="21"/>
        </w:rPr>
      </w:pPr>
      <w:r>
        <w:rPr>
          <w:rFonts w:hint="eastAsia" w:ascii="宋体" w:hAnsi="宋体" w:cs="宋体"/>
          <w:b/>
          <w:bCs/>
          <w:color w:val="auto"/>
          <w:szCs w:val="21"/>
        </w:rPr>
        <w:t>3.2 磋商报价</w:t>
      </w:r>
      <w:bookmarkEnd w:id="295"/>
      <w:bookmarkEnd w:id="296"/>
      <w:bookmarkEnd w:id="297"/>
      <w:bookmarkEnd w:id="298"/>
      <w:bookmarkEnd w:id="299"/>
      <w:bookmarkEnd w:id="300"/>
      <w:bookmarkEnd w:id="301"/>
      <w:bookmarkStart w:id="302" w:name="_Toc12402"/>
      <w:bookmarkStart w:id="303" w:name="_Toc152045549"/>
      <w:bookmarkStart w:id="304" w:name="_Toc6105"/>
      <w:bookmarkStart w:id="305" w:name="_Toc2425"/>
      <w:bookmarkStart w:id="306" w:name="_Toc318450693"/>
      <w:bookmarkStart w:id="307" w:name="_Toc3624"/>
      <w:bookmarkStart w:id="308" w:name="_Toc455867786"/>
      <w:bookmarkStart w:id="309" w:name="_Toc11968"/>
      <w:bookmarkStart w:id="310" w:name="_Toc29133"/>
      <w:bookmarkStart w:id="311" w:name="_Toc25387"/>
      <w:bookmarkStart w:id="312" w:name="_Toc455080126"/>
      <w:bookmarkStart w:id="313" w:name="_Toc152042325"/>
      <w:bookmarkStart w:id="314" w:name="_Toc466298109"/>
      <w:bookmarkStart w:id="315" w:name="_Toc7910"/>
      <w:bookmarkStart w:id="316" w:name="_Toc21680"/>
      <w:bookmarkStart w:id="317" w:name="_Toc144974517"/>
      <w:bookmarkStart w:id="318" w:name="_Toc490667846"/>
      <w:bookmarkStart w:id="319" w:name="_Toc21600"/>
      <w:bookmarkStart w:id="320" w:name="_Toc7105"/>
    </w:p>
    <w:p>
      <w:pPr>
        <w:spacing w:line="360" w:lineRule="auto"/>
        <w:ind w:firstLine="420" w:firstLineChars="20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3.2.1本项目的磋商报价应按照磋商文件、补充通知、答疑纪要、现场情况、承包范围，并充分考虑</w:t>
      </w:r>
      <w:r>
        <w:rPr>
          <w:rFonts w:hint="eastAsia" w:ascii="宋体" w:hAnsi="宋体"/>
          <w:b w:val="0"/>
          <w:bCs w:val="0"/>
          <w:color w:val="auto"/>
          <w:sz w:val="21"/>
          <w:szCs w:val="21"/>
          <w:lang w:val="en-US" w:eastAsia="zh-CN"/>
        </w:rPr>
        <w:t>服务</w:t>
      </w:r>
      <w:r>
        <w:rPr>
          <w:rFonts w:hint="eastAsia" w:ascii="宋体" w:hAnsi="宋体" w:eastAsia="宋体"/>
          <w:b w:val="0"/>
          <w:bCs w:val="0"/>
          <w:color w:val="auto"/>
          <w:sz w:val="21"/>
          <w:szCs w:val="21"/>
        </w:rPr>
        <w:t>期间各类材料、人工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w:t>
      </w:r>
      <w:r>
        <w:rPr>
          <w:rFonts w:hint="eastAsia" w:ascii="宋体" w:hAnsi="宋体"/>
          <w:b w:val="0"/>
          <w:bCs w:val="0"/>
          <w:color w:val="auto"/>
          <w:sz w:val="21"/>
          <w:szCs w:val="21"/>
          <w:lang w:val="en-US" w:eastAsia="zh-CN"/>
        </w:rPr>
        <w:t>低于</w:t>
      </w:r>
      <w:r>
        <w:rPr>
          <w:rFonts w:hint="eastAsia" w:ascii="宋体" w:hAnsi="宋体" w:eastAsia="宋体"/>
          <w:b w:val="0"/>
          <w:bCs w:val="0"/>
          <w:color w:val="auto"/>
          <w:sz w:val="21"/>
          <w:szCs w:val="21"/>
        </w:rPr>
        <w:t>一次报价）即为最终报价</w:t>
      </w:r>
      <w:bookmarkEnd w:id="302"/>
      <w:r>
        <w:rPr>
          <w:rFonts w:hint="eastAsia" w:ascii="宋体" w:hAnsi="宋体" w:eastAsia="宋体"/>
          <w:b w:val="0"/>
          <w:bCs w:val="0"/>
          <w:color w:val="auto"/>
          <w:sz w:val="21"/>
          <w:szCs w:val="21"/>
        </w:rPr>
        <w:t>。</w:t>
      </w:r>
    </w:p>
    <w:p>
      <w:pPr>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b w:val="0"/>
          <w:bCs w:val="0"/>
          <w:color w:val="auto"/>
          <w:sz w:val="21"/>
          <w:szCs w:val="21"/>
        </w:rPr>
        <w:t>3.2.2</w:t>
      </w:r>
      <w:r>
        <w:rPr>
          <w:rFonts w:hint="eastAsia" w:ascii="宋体" w:hAnsi="宋体" w:eastAsia="宋体" w:cs="宋体"/>
          <w:b w:val="0"/>
          <w:bCs w:val="0"/>
          <w:color w:val="auto"/>
          <w:kern w:val="2"/>
          <w:sz w:val="21"/>
          <w:szCs w:val="21"/>
          <w:lang w:val="en-US" w:eastAsia="zh-CN" w:bidi="ar-SA"/>
        </w:rPr>
        <w:t>供应商应充分了解该项目的总体情况以及影响磋商报价的其它要素，考虑</w:t>
      </w:r>
      <w:r>
        <w:rPr>
          <w:rFonts w:hint="eastAsia" w:ascii="宋体" w:hAnsi="宋体" w:cs="宋体"/>
          <w:b w:val="0"/>
          <w:bCs w:val="0"/>
          <w:color w:val="auto"/>
          <w:kern w:val="2"/>
          <w:sz w:val="21"/>
          <w:szCs w:val="21"/>
          <w:lang w:val="en-US" w:eastAsia="zh-CN" w:bidi="ar-SA"/>
        </w:rPr>
        <w:t>服务</w:t>
      </w:r>
      <w:r>
        <w:rPr>
          <w:rFonts w:hint="eastAsia" w:ascii="宋体" w:hAnsi="宋体" w:eastAsia="宋体" w:cs="宋体"/>
          <w:b w:val="0"/>
          <w:bCs w:val="0"/>
          <w:color w:val="auto"/>
          <w:kern w:val="2"/>
          <w:sz w:val="21"/>
          <w:szCs w:val="21"/>
          <w:lang w:val="en-US" w:eastAsia="zh-CN" w:bidi="ar-SA"/>
        </w:rPr>
        <w:t>期间的价格风险因素，成交价在合同实施期内不得调整，同时也不因市场价格变动而调整。</w:t>
      </w:r>
    </w:p>
    <w:p>
      <w:pPr>
        <w:pStyle w:val="183"/>
        <w:spacing w:line="360" w:lineRule="auto"/>
        <w:ind w:firstLine="420" w:firstLineChars="200"/>
        <w:outlineLvl w:val="0"/>
        <w:rPr>
          <w:rFonts w:hint="eastAsia" w:ascii="宋体" w:hAnsi="宋体" w:eastAsia="宋体" w:cs="宋体"/>
          <w:b w:val="0"/>
          <w:bCs w:val="0"/>
          <w:color w:val="auto"/>
          <w:kern w:val="2"/>
          <w:sz w:val="21"/>
          <w:szCs w:val="21"/>
          <w:lang w:val="en-US" w:eastAsia="zh-CN" w:bidi="ar-SA"/>
        </w:rPr>
      </w:pPr>
      <w:bookmarkStart w:id="321" w:name="_Toc3293"/>
      <w:r>
        <w:rPr>
          <w:rFonts w:hint="eastAsia" w:ascii="宋体" w:hAnsi="宋体" w:eastAsia="宋体"/>
          <w:b w:val="0"/>
          <w:bCs w:val="0"/>
          <w:color w:val="auto"/>
          <w:sz w:val="21"/>
          <w:szCs w:val="21"/>
        </w:rPr>
        <w:t xml:space="preserve">3.2.3 </w:t>
      </w:r>
      <w:r>
        <w:rPr>
          <w:rFonts w:hint="eastAsia" w:ascii="宋体" w:hAnsi="宋体" w:eastAsia="宋体" w:cs="宋体"/>
          <w:b w:val="0"/>
          <w:bCs w:val="0"/>
          <w:color w:val="auto"/>
          <w:kern w:val="2"/>
          <w:sz w:val="21"/>
          <w:szCs w:val="21"/>
          <w:lang w:val="en-US" w:eastAsia="zh-CN" w:bidi="ar-SA"/>
        </w:rPr>
        <w:t>响应报价表中的大写金额和小写金额不一致的，以大写金额为准。</w:t>
      </w:r>
      <w:bookmarkEnd w:id="321"/>
    </w:p>
    <w:p>
      <w:pPr>
        <w:pStyle w:val="183"/>
        <w:spacing w:line="360" w:lineRule="auto"/>
        <w:outlineLvl w:val="0"/>
        <w:rPr>
          <w:rFonts w:hint="eastAsia" w:ascii="宋体" w:hAnsi="宋体" w:eastAsia="宋体"/>
          <w:b/>
          <w:bCs/>
          <w:color w:val="auto"/>
          <w:sz w:val="21"/>
          <w:szCs w:val="21"/>
        </w:rPr>
      </w:pPr>
      <w:bookmarkStart w:id="322" w:name="_Toc31538"/>
      <w:r>
        <w:rPr>
          <w:rFonts w:hint="eastAsia" w:ascii="宋体" w:hAnsi="宋体" w:eastAsia="宋体"/>
          <w:b/>
          <w:bCs/>
          <w:color w:val="auto"/>
          <w:sz w:val="21"/>
          <w:szCs w:val="21"/>
        </w:rPr>
        <w:t>3.3 磋商有效期</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2"/>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pPr>
        <w:pStyle w:val="183"/>
        <w:spacing w:line="360" w:lineRule="auto"/>
        <w:outlineLvl w:val="0"/>
        <w:rPr>
          <w:rFonts w:hint="eastAsia" w:ascii="宋体" w:hAnsi="宋体" w:eastAsia="宋体"/>
          <w:b/>
          <w:bCs/>
          <w:color w:val="auto"/>
          <w:sz w:val="21"/>
          <w:szCs w:val="21"/>
          <w:lang w:eastAsia="zh-CN"/>
        </w:rPr>
      </w:pPr>
      <w:bookmarkStart w:id="323" w:name="_Toc152045550"/>
      <w:bookmarkStart w:id="324" w:name="_Toc2505"/>
      <w:bookmarkStart w:id="325" w:name="_Toc7973"/>
      <w:bookmarkStart w:id="326" w:name="_Toc466298110"/>
      <w:bookmarkStart w:id="327" w:name="_Toc144974518"/>
      <w:bookmarkStart w:id="328" w:name="_Toc490667847"/>
      <w:bookmarkStart w:id="329" w:name="_Toc455080127"/>
      <w:bookmarkStart w:id="330" w:name="_Toc8406"/>
      <w:bookmarkStart w:id="331" w:name="_Toc318450694"/>
      <w:bookmarkStart w:id="332" w:name="_Toc7057"/>
      <w:bookmarkStart w:id="333" w:name="_Toc30697"/>
      <w:bookmarkStart w:id="334" w:name="_Toc455867787"/>
      <w:bookmarkStart w:id="335" w:name="_Toc10370"/>
      <w:bookmarkStart w:id="336" w:name="_Toc4165"/>
      <w:bookmarkStart w:id="337" w:name="_Toc7618"/>
      <w:bookmarkStart w:id="338" w:name="_Toc152042326"/>
      <w:bookmarkStart w:id="339" w:name="_Toc22634"/>
      <w:bookmarkStart w:id="340" w:name="_Toc30973"/>
      <w:bookmarkStart w:id="341" w:name="_Toc13921"/>
      <w:r>
        <w:rPr>
          <w:rFonts w:hint="eastAsia" w:ascii="宋体" w:hAnsi="宋体" w:eastAsia="宋体"/>
          <w:b/>
          <w:bCs/>
          <w:color w:val="auto"/>
          <w:sz w:val="21"/>
          <w:szCs w:val="21"/>
        </w:rPr>
        <w:t>3.4 磋商保证金</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2" w:name="_Toc318450695"/>
      <w:bookmarkStart w:id="343" w:name="_Toc152045552"/>
      <w:bookmarkStart w:id="344" w:name="_Toc144974520"/>
      <w:bookmarkStart w:id="345" w:name="_Toc152042328"/>
      <w:r>
        <w:rPr>
          <w:rFonts w:hint="eastAsia" w:ascii="宋体" w:hAnsi="宋体" w:eastAsia="宋体"/>
          <w:b/>
          <w:bCs/>
          <w:color w:val="auto"/>
          <w:sz w:val="21"/>
          <w:szCs w:val="21"/>
          <w:lang w:eastAsia="zh-CN"/>
        </w:rPr>
        <w:t>：无。</w:t>
      </w:r>
      <w:bookmarkEnd w:id="340"/>
      <w:bookmarkEnd w:id="341"/>
    </w:p>
    <w:p>
      <w:pPr>
        <w:pStyle w:val="183"/>
        <w:spacing w:line="360" w:lineRule="auto"/>
        <w:outlineLvl w:val="0"/>
        <w:rPr>
          <w:rFonts w:hint="eastAsia" w:ascii="宋体" w:hAnsi="宋体" w:eastAsia="宋体"/>
          <w:b/>
          <w:bCs/>
          <w:color w:val="auto"/>
          <w:sz w:val="21"/>
          <w:szCs w:val="21"/>
        </w:rPr>
      </w:pPr>
      <w:bookmarkStart w:id="346" w:name="_Toc20328"/>
      <w:bookmarkStart w:id="347" w:name="_Toc455080128"/>
      <w:bookmarkStart w:id="348" w:name="_Toc2794"/>
      <w:bookmarkStart w:id="349" w:name="_Toc11077"/>
      <w:bookmarkStart w:id="350" w:name="_Toc10721"/>
      <w:bookmarkStart w:id="351" w:name="_Toc455867788"/>
      <w:bookmarkStart w:id="352" w:name="_Toc22384"/>
      <w:bookmarkStart w:id="353" w:name="_Toc17153"/>
      <w:bookmarkStart w:id="354" w:name="_Toc22527"/>
      <w:bookmarkStart w:id="355" w:name="_Toc490667848"/>
      <w:bookmarkStart w:id="356" w:name="_Toc13680"/>
      <w:bookmarkStart w:id="357" w:name="_Toc466298111"/>
      <w:bookmarkStart w:id="358" w:name="_Toc15547"/>
      <w:bookmarkStart w:id="359" w:name="_Toc27579"/>
      <w:bookmarkStart w:id="360" w:name="_Toc16747"/>
      <w:r>
        <w:rPr>
          <w:rFonts w:hint="eastAsia" w:ascii="宋体" w:hAnsi="宋体" w:eastAsia="宋体"/>
          <w:b/>
          <w:bCs/>
          <w:color w:val="auto"/>
          <w:sz w:val="21"/>
          <w:szCs w:val="21"/>
        </w:rPr>
        <w:t>3.5资格审查资料</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183"/>
        <w:spacing w:line="360" w:lineRule="auto"/>
        <w:ind w:firstLine="315" w:firstLineChars="150"/>
        <w:outlineLvl w:val="0"/>
        <w:rPr>
          <w:rFonts w:hint="eastAsia" w:ascii="宋体" w:hAnsi="宋体" w:eastAsia="宋体"/>
          <w:color w:val="auto"/>
          <w:kern w:val="2"/>
          <w:sz w:val="21"/>
          <w:szCs w:val="21"/>
          <w:lang w:val="en-US" w:eastAsia="zh-CN"/>
        </w:rPr>
      </w:pPr>
      <w:bookmarkStart w:id="361" w:name="_Toc27738"/>
      <w:bookmarkStart w:id="362" w:name="_Toc4586"/>
      <w:bookmarkStart w:id="363" w:name="_Toc30442"/>
      <w:bookmarkStart w:id="364" w:name="_Toc5132"/>
      <w:bookmarkStart w:id="365" w:name="_Toc26258"/>
      <w:bookmarkStart w:id="366" w:name="_Toc19724"/>
      <w:bookmarkStart w:id="367" w:name="_Toc9015"/>
      <w:bookmarkStart w:id="368" w:name="_Toc3286"/>
      <w:bookmarkStart w:id="369" w:name="_Toc152045553"/>
      <w:bookmarkStart w:id="370" w:name="_Toc490667849"/>
      <w:bookmarkStart w:id="371" w:name="_Toc11694"/>
      <w:bookmarkStart w:id="372" w:name="_Toc1228"/>
      <w:bookmarkStart w:id="373" w:name="_Toc318450696"/>
      <w:bookmarkStart w:id="374" w:name="_Toc455867789"/>
      <w:bookmarkStart w:id="375" w:name="_Toc455080129"/>
      <w:bookmarkStart w:id="376" w:name="_Toc18915"/>
      <w:bookmarkStart w:id="377" w:name="_Toc466298112"/>
      <w:bookmarkStart w:id="378" w:name="_Toc152042329"/>
      <w:bookmarkStart w:id="379" w:name="_Toc144974521"/>
      <w:r>
        <w:rPr>
          <w:rFonts w:hint="eastAsia" w:ascii="宋体" w:hAnsi="宋体" w:eastAsia="宋体"/>
          <w:color w:val="auto"/>
          <w:kern w:val="2"/>
          <w:sz w:val="21"/>
          <w:szCs w:val="21"/>
          <w:lang w:val="en-US" w:eastAsia="zh-CN"/>
        </w:rPr>
        <w:t>按照第二章供应商须知“供应商须知前附表”1.5.1要求，提供相关材料。</w:t>
      </w:r>
      <w:bookmarkEnd w:id="361"/>
      <w:bookmarkEnd w:id="362"/>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pStyle w:val="183"/>
        <w:spacing w:line="360" w:lineRule="auto"/>
        <w:outlineLvl w:val="0"/>
        <w:rPr>
          <w:rFonts w:hint="eastAsia" w:ascii="宋体" w:hAnsi="宋体" w:eastAsia="宋体"/>
          <w:b/>
          <w:bCs/>
          <w:color w:val="auto"/>
          <w:sz w:val="21"/>
          <w:szCs w:val="21"/>
        </w:rPr>
      </w:pPr>
      <w:bookmarkStart w:id="380" w:name="_Toc152045554"/>
      <w:bookmarkStart w:id="381" w:name="_Toc7966"/>
      <w:bookmarkStart w:id="382" w:name="_Toc455867790"/>
      <w:bookmarkStart w:id="383" w:name="_Toc5825"/>
      <w:bookmarkStart w:id="384" w:name="_Toc12275"/>
      <w:bookmarkStart w:id="385" w:name="_Toc152042330"/>
      <w:bookmarkStart w:id="386" w:name="_Toc5516"/>
      <w:bookmarkStart w:id="387" w:name="_Toc17697"/>
      <w:bookmarkStart w:id="388" w:name="_Toc18912"/>
      <w:bookmarkStart w:id="389" w:name="_Toc490667850"/>
      <w:bookmarkStart w:id="390" w:name="_Toc25620"/>
      <w:bookmarkStart w:id="391" w:name="_Toc455080130"/>
      <w:bookmarkStart w:id="392" w:name="_Toc12541"/>
      <w:bookmarkStart w:id="393" w:name="_Toc318450697"/>
      <w:bookmarkStart w:id="394" w:name="_Toc6323"/>
      <w:bookmarkStart w:id="395" w:name="_Toc466298113"/>
      <w:bookmarkStart w:id="396" w:name="_Toc28656"/>
      <w:bookmarkStart w:id="397" w:name="_Toc7626"/>
      <w:bookmarkStart w:id="398" w:name="_Toc144974522"/>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6</w:t>
      </w:r>
      <w:r>
        <w:rPr>
          <w:rFonts w:hint="eastAsia" w:ascii="宋体" w:hAnsi="宋体" w:eastAsia="宋体"/>
          <w:b/>
          <w:bCs/>
          <w:color w:val="auto"/>
          <w:sz w:val="21"/>
          <w:szCs w:val="21"/>
        </w:rPr>
        <w:t xml:space="preserve"> 响应文件的编制</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tabs>
          <w:tab w:val="left" w:pos="420"/>
        </w:tabs>
        <w:spacing w:line="360" w:lineRule="auto"/>
        <w:ind w:firstLine="420" w:firstLineChars="200"/>
        <w:rPr>
          <w:rFonts w:hint="eastAsia" w:ascii="宋体" w:hAnsi="宋体"/>
          <w:szCs w:val="21"/>
        </w:rPr>
      </w:pPr>
      <w:bookmarkStart w:id="399" w:name="_Toc152042331"/>
      <w:bookmarkStart w:id="400" w:name="_Toc152045555"/>
      <w:bookmarkStart w:id="401" w:name="_Toc144974523"/>
      <w:bookmarkStart w:id="402" w:name="_Toc455080131"/>
      <w:bookmarkStart w:id="403" w:name="_Toc1526"/>
      <w:bookmarkStart w:id="404" w:name="_Toc19433"/>
      <w:r>
        <w:rPr>
          <w:rFonts w:hint="eastAsia" w:ascii="宋体" w:hAnsi="宋体"/>
          <w:szCs w:val="21"/>
        </w:rPr>
        <w:t>3.</w:t>
      </w:r>
      <w:r>
        <w:rPr>
          <w:rFonts w:hint="eastAsia" w:ascii="宋体" w:hAnsi="宋体"/>
          <w:szCs w:val="21"/>
          <w:lang w:val="en-US" w:eastAsia="zh-CN"/>
        </w:rPr>
        <w:t>6</w:t>
      </w:r>
      <w:r>
        <w:rPr>
          <w:rFonts w:hint="eastAsia" w:ascii="宋体" w:hAnsi="宋体"/>
          <w:szCs w:val="21"/>
        </w:rPr>
        <w:t>.1</w:t>
      </w:r>
      <w:r>
        <w:rPr>
          <w:rFonts w:hint="eastAsia" w:ascii="宋体" w:hAnsi="宋体"/>
          <w:szCs w:val="21"/>
          <w:lang w:eastAsia="zh-CN"/>
        </w:rPr>
        <w:t>供应商</w:t>
      </w:r>
      <w:r>
        <w:rPr>
          <w:rFonts w:hint="eastAsia" w:ascii="宋体" w:hAnsi="宋体"/>
          <w:szCs w:val="21"/>
        </w:rPr>
        <w:t>通过“全国公共资源交易平台（河南省·信阳市）（https://ggzyjy.xinyang.gov.cn）”网站下载中心栏目内下载或</w:t>
      </w:r>
      <w:r>
        <w:rPr>
          <w:rFonts w:hint="eastAsia" w:ascii="宋体" w:hAnsi="宋体"/>
          <w:szCs w:val="21"/>
          <w:lang w:val="en-US" w:eastAsia="zh-CN"/>
        </w:rPr>
        <w:t>磋商</w:t>
      </w:r>
      <w:r>
        <w:rPr>
          <w:rFonts w:hint="eastAsia" w:ascii="宋体" w:hAnsi="宋体"/>
          <w:szCs w:val="21"/>
        </w:rPr>
        <w:t>文件领取页面下载“信阳市投标文件制作工具软件”。</w:t>
      </w:r>
    </w:p>
    <w:p>
      <w:pPr>
        <w:tabs>
          <w:tab w:val="left" w:pos="420"/>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.2使用“信阳市投标文件制作工具”软件制作生成加密版的电子投标响应文件，软件操作手册可在网站下载中心下载或打开软件后在右上角菜单内领取。</w:t>
      </w:r>
    </w:p>
    <w:p>
      <w:pPr>
        <w:tabs>
          <w:tab w:val="left" w:pos="420"/>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.3</w:t>
      </w:r>
      <w:r>
        <w:rPr>
          <w:rFonts w:hint="eastAsia" w:ascii="宋体" w:hAnsi="宋体"/>
          <w:szCs w:val="21"/>
          <w:lang w:eastAsia="zh-CN"/>
        </w:rPr>
        <w:t>供应商</w:t>
      </w:r>
      <w:r>
        <w:rPr>
          <w:rFonts w:hint="eastAsia" w:ascii="宋体" w:hAnsi="宋体"/>
          <w:szCs w:val="21"/>
        </w:rPr>
        <w:t>在电子投标响应文件制作完成后生成响应文件时须加盖电子签章/签名。其他要求签字盖章的响应文件格式内容，如无法进行电子签章/签名，</w:t>
      </w:r>
      <w:r>
        <w:rPr>
          <w:rFonts w:hint="eastAsia" w:ascii="宋体" w:hAnsi="宋体"/>
          <w:szCs w:val="21"/>
          <w:lang w:eastAsia="zh-CN"/>
        </w:rPr>
        <w:t>供应商</w:t>
      </w:r>
      <w:r>
        <w:rPr>
          <w:rFonts w:hint="eastAsia" w:ascii="宋体" w:hAnsi="宋体"/>
          <w:szCs w:val="21"/>
        </w:rPr>
        <w:t>可将盖章/签名后的扫描件上传到电子投标响应文件中。签字盖章的其他要求详见</w:t>
      </w:r>
      <w:r>
        <w:rPr>
          <w:rFonts w:hint="eastAsia" w:ascii="宋体" w:hAnsi="宋体"/>
          <w:szCs w:val="21"/>
          <w:lang w:eastAsia="zh-CN"/>
        </w:rPr>
        <w:t>供应商</w:t>
      </w:r>
      <w:r>
        <w:rPr>
          <w:rFonts w:hint="eastAsia" w:ascii="宋体" w:hAnsi="宋体"/>
          <w:szCs w:val="21"/>
        </w:rPr>
        <w:t>须知前附表。开标一览表报价将作为电子开标的唱标依据（若开标时电子唱标的开标一览表内容与响应文件内开标一览表内容不一致的，以开标时电子唱标的开标一览表内容为准。）</w:t>
      </w:r>
    </w:p>
    <w:p>
      <w:pPr>
        <w:tabs>
          <w:tab w:val="left" w:pos="420"/>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 xml:space="preserve">.4 </w:t>
      </w:r>
      <w:r>
        <w:rPr>
          <w:rFonts w:hint="eastAsia" w:ascii="宋体" w:hAnsi="宋体"/>
          <w:szCs w:val="21"/>
          <w:lang w:val="en-US" w:eastAsia="zh-CN"/>
        </w:rPr>
        <w:t>磋商</w:t>
      </w:r>
      <w:r>
        <w:rPr>
          <w:rFonts w:hint="eastAsia" w:ascii="宋体" w:hAnsi="宋体"/>
          <w:szCs w:val="21"/>
        </w:rPr>
        <w:t>文件格式所要求包含的全部资料应全部制作在响应文件内，严格按照本项目</w:t>
      </w:r>
      <w:r>
        <w:rPr>
          <w:rFonts w:hint="eastAsia" w:ascii="宋体" w:hAnsi="宋体"/>
          <w:szCs w:val="21"/>
          <w:lang w:val="en-US" w:eastAsia="zh-CN"/>
        </w:rPr>
        <w:t>磋商</w:t>
      </w:r>
      <w:r>
        <w:rPr>
          <w:rFonts w:hint="eastAsia" w:ascii="宋体" w:hAnsi="宋体"/>
          <w:szCs w:val="21"/>
        </w:rPr>
        <w:t>文件所有格式如实填写（不涉及的内容除外），不应存在漏项或缺项，否则将存在响应文件被拒绝的风险。</w:t>
      </w:r>
    </w:p>
    <w:p>
      <w:pPr>
        <w:tabs>
          <w:tab w:val="left" w:pos="420"/>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 xml:space="preserve">.5 </w:t>
      </w:r>
      <w:r>
        <w:rPr>
          <w:rFonts w:hint="eastAsia" w:ascii="宋体" w:hAnsi="宋体"/>
          <w:szCs w:val="21"/>
          <w:lang w:eastAsia="zh-CN"/>
        </w:rPr>
        <w:t>供应商</w:t>
      </w:r>
      <w:r>
        <w:rPr>
          <w:rFonts w:hint="eastAsia" w:ascii="宋体" w:hAnsi="宋体"/>
          <w:szCs w:val="21"/>
        </w:rPr>
        <w:t>编辑电子</w:t>
      </w:r>
      <w:r>
        <w:rPr>
          <w:rFonts w:hint="eastAsia" w:ascii="宋体" w:hAnsi="宋体"/>
          <w:szCs w:val="21"/>
          <w:lang w:val="en-US" w:eastAsia="zh-CN"/>
        </w:rPr>
        <w:t>响应</w:t>
      </w:r>
      <w:r>
        <w:rPr>
          <w:rFonts w:hint="eastAsia" w:ascii="宋体" w:hAnsi="宋体"/>
          <w:szCs w:val="21"/>
        </w:rPr>
        <w:t>文件时，最后一步生成电子</w:t>
      </w:r>
      <w:r>
        <w:rPr>
          <w:rFonts w:hint="eastAsia" w:ascii="宋体" w:hAnsi="宋体"/>
          <w:szCs w:val="21"/>
          <w:lang w:val="en-US" w:eastAsia="zh-CN"/>
        </w:rPr>
        <w:t>响应</w:t>
      </w:r>
      <w:r>
        <w:rPr>
          <w:rFonts w:hint="eastAsia" w:ascii="宋体" w:hAnsi="宋体"/>
          <w:szCs w:val="21"/>
        </w:rPr>
        <w:t>文件时，请使用本单位的企业 CA 数字证书。</w:t>
      </w:r>
    </w:p>
    <w:p>
      <w:pPr>
        <w:tabs>
          <w:tab w:val="left" w:pos="420"/>
        </w:tabs>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.6</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val="en-US" w:eastAsia="zh-CN"/>
        </w:rPr>
        <w:t>磋商</w:t>
      </w:r>
      <w:r>
        <w:rPr>
          <w:rFonts w:hint="eastAsia" w:ascii="宋体" w:hAnsi="宋体"/>
          <w:szCs w:val="21"/>
        </w:rPr>
        <w:t>文件的要求，规范、明确、准时的提交响应文件。如果没有按照</w:t>
      </w:r>
      <w:r>
        <w:rPr>
          <w:rFonts w:hint="eastAsia" w:ascii="宋体" w:hAnsi="宋体"/>
          <w:szCs w:val="21"/>
          <w:lang w:val="en-US" w:eastAsia="zh-CN"/>
        </w:rPr>
        <w:t>磋商</w:t>
      </w:r>
      <w:r>
        <w:rPr>
          <w:rFonts w:hint="eastAsia" w:ascii="宋体" w:hAnsi="宋体"/>
          <w:szCs w:val="21"/>
        </w:rPr>
        <w:t>文件的要求提交全部资料并保证所提供全部资料的真实性，或没有对</w:t>
      </w:r>
      <w:r>
        <w:rPr>
          <w:rFonts w:hint="eastAsia" w:ascii="宋体" w:hAnsi="宋体"/>
          <w:szCs w:val="21"/>
          <w:lang w:val="en-US" w:eastAsia="zh-CN"/>
        </w:rPr>
        <w:t>磋商</w:t>
      </w:r>
      <w:r>
        <w:rPr>
          <w:rFonts w:hint="eastAsia" w:ascii="宋体" w:hAnsi="宋体"/>
          <w:szCs w:val="21"/>
        </w:rPr>
        <w:t>文件做出实质性响应，其风险应由</w:t>
      </w:r>
      <w:r>
        <w:rPr>
          <w:rFonts w:hint="eastAsia" w:ascii="宋体" w:hAnsi="宋体"/>
          <w:szCs w:val="21"/>
          <w:lang w:eastAsia="zh-CN"/>
        </w:rPr>
        <w:t>供应商</w:t>
      </w:r>
      <w:r>
        <w:rPr>
          <w:rFonts w:hint="eastAsia" w:ascii="宋体" w:hAnsi="宋体"/>
          <w:szCs w:val="21"/>
        </w:rPr>
        <w:t>自行承担。</w:t>
      </w:r>
    </w:p>
    <w:p>
      <w:pPr>
        <w:pStyle w:val="177"/>
        <w:spacing w:before="0" w:beforeLines="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 </w:t>
      </w:r>
      <w:bookmarkEnd w:id="399"/>
      <w:bookmarkEnd w:id="400"/>
      <w:bookmarkEnd w:id="401"/>
      <w:bookmarkEnd w:id="402"/>
      <w:r>
        <w:rPr>
          <w:rFonts w:hint="eastAsia" w:ascii="宋体" w:hAnsi="宋体" w:eastAsia="宋体" w:cs="宋体"/>
          <w:b/>
          <w:bCs/>
          <w:color w:val="auto"/>
          <w:sz w:val="21"/>
          <w:szCs w:val="21"/>
        </w:rPr>
        <w:t>磋商</w:t>
      </w:r>
      <w:bookmarkEnd w:id="403"/>
      <w:bookmarkEnd w:id="404"/>
      <w:bookmarkStart w:id="405" w:name="_Toc455867792"/>
      <w:bookmarkStart w:id="406" w:name="_Toc16783"/>
      <w:bookmarkStart w:id="407" w:name="_Toc152042332"/>
      <w:bookmarkStart w:id="408" w:name="_Toc455080132"/>
      <w:bookmarkStart w:id="409" w:name="_Toc16344"/>
      <w:bookmarkStart w:id="410" w:name="_Toc152045556"/>
      <w:bookmarkStart w:id="411" w:name="_Toc144974524"/>
      <w:bookmarkStart w:id="412" w:name="_Toc26550"/>
      <w:bookmarkStart w:id="413" w:name="_Toc11243"/>
      <w:bookmarkStart w:id="414" w:name="_Toc490667852"/>
      <w:bookmarkStart w:id="415" w:name="_Toc26583"/>
      <w:bookmarkStart w:id="416" w:name="_Toc18820"/>
      <w:bookmarkStart w:id="417" w:name="_Toc31492"/>
      <w:bookmarkStart w:id="418" w:name="_Toc22961"/>
      <w:bookmarkStart w:id="419" w:name="_Toc318450699"/>
      <w:bookmarkStart w:id="420" w:name="_Toc466298115"/>
      <w:bookmarkStart w:id="421" w:name="_Toc16962"/>
      <w:bookmarkStart w:id="422" w:name="_Toc21145"/>
    </w:p>
    <w:p>
      <w:pPr>
        <w:spacing w:line="360" w:lineRule="auto"/>
        <w:rPr>
          <w:rFonts w:hint="eastAsia" w:ascii="宋体" w:hAnsi="宋体" w:eastAsia="宋体"/>
          <w:b/>
          <w:bCs/>
          <w:color w:val="auto"/>
          <w:sz w:val="21"/>
          <w:szCs w:val="21"/>
          <w:lang w:eastAsia="zh-CN"/>
        </w:rPr>
      </w:pPr>
      <w:r>
        <w:rPr>
          <w:rFonts w:hint="eastAsia" w:ascii="宋体" w:hAnsi="宋体" w:eastAsia="宋体"/>
          <w:b/>
          <w:bCs/>
          <w:color w:val="auto"/>
          <w:sz w:val="21"/>
          <w:szCs w:val="21"/>
        </w:rPr>
        <w:t>4.1 响应文件的</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eastAsia="宋体"/>
          <w:b/>
          <w:bCs/>
          <w:color w:val="auto"/>
          <w:sz w:val="21"/>
          <w:szCs w:val="21"/>
          <w:lang w:eastAsia="zh-CN"/>
        </w:rPr>
        <w:t>上传</w:t>
      </w:r>
      <w:bookmarkEnd w:id="422"/>
    </w:p>
    <w:p>
      <w:pPr>
        <w:spacing w:line="360" w:lineRule="auto"/>
        <w:ind w:firstLine="420" w:firstLineChars="200"/>
        <w:rPr>
          <w:rFonts w:hint="eastAsia" w:ascii="宋体" w:hAnsi="宋体"/>
          <w:color w:val="auto"/>
          <w:szCs w:val="21"/>
        </w:rPr>
      </w:pPr>
      <w:r>
        <w:rPr>
          <w:rFonts w:hint="eastAsia" w:ascii="宋体" w:hAnsi="宋体" w:cs="宋体"/>
          <w:color w:val="auto"/>
          <w:szCs w:val="21"/>
        </w:rPr>
        <w:t>4.1.1网上上传的电子响应文件应使用供应商数字证书认证并加密</w:t>
      </w:r>
      <w:r>
        <w:rPr>
          <w:rFonts w:hint="eastAsia" w:ascii="宋体" w:hAnsi="宋体"/>
          <w:color w:val="auto"/>
          <w:szCs w:val="21"/>
        </w:rPr>
        <w:t>。</w:t>
      </w:r>
    </w:p>
    <w:p>
      <w:pPr>
        <w:pStyle w:val="183"/>
        <w:spacing w:line="360" w:lineRule="auto"/>
        <w:outlineLvl w:val="0"/>
        <w:rPr>
          <w:rFonts w:hint="eastAsia" w:ascii="宋体" w:hAnsi="宋体" w:eastAsia="宋体"/>
          <w:b/>
          <w:bCs/>
          <w:color w:val="auto"/>
          <w:sz w:val="21"/>
          <w:szCs w:val="21"/>
        </w:rPr>
      </w:pPr>
      <w:bookmarkStart w:id="423" w:name="_Toc4767"/>
      <w:bookmarkStart w:id="424" w:name="_Toc152045557"/>
      <w:bookmarkStart w:id="425" w:name="_Toc16832"/>
      <w:bookmarkStart w:id="426" w:name="_Toc21897"/>
      <w:bookmarkStart w:id="427" w:name="_Toc25665"/>
      <w:bookmarkStart w:id="428" w:name="_Toc20259"/>
      <w:bookmarkStart w:id="429" w:name="_Toc490667853"/>
      <w:bookmarkStart w:id="430" w:name="_Toc27132"/>
      <w:bookmarkStart w:id="431" w:name="_Toc144974525"/>
      <w:bookmarkStart w:id="432" w:name="_Toc152042333"/>
      <w:bookmarkStart w:id="433" w:name="_Toc318450700"/>
      <w:bookmarkStart w:id="434" w:name="_Toc28272"/>
      <w:bookmarkStart w:id="435" w:name="_Toc8754"/>
      <w:bookmarkStart w:id="436" w:name="_Toc455867793"/>
      <w:bookmarkStart w:id="437" w:name="_Toc462"/>
      <w:bookmarkStart w:id="438" w:name="_Toc466298116"/>
      <w:bookmarkStart w:id="439" w:name="_Toc7663"/>
      <w:bookmarkStart w:id="440" w:name="_Toc455080133"/>
      <w:bookmarkStart w:id="441" w:name="_Toc21072"/>
      <w:r>
        <w:rPr>
          <w:rFonts w:hint="eastAsia" w:ascii="宋体" w:hAnsi="宋体" w:eastAsia="宋体"/>
          <w:b/>
          <w:bCs/>
          <w:color w:val="auto"/>
          <w:sz w:val="21"/>
          <w:szCs w:val="21"/>
        </w:rPr>
        <w:t>4.2 响应文件的递交</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360" w:lineRule="auto"/>
        <w:ind w:firstLine="420" w:firstLineChars="200"/>
        <w:rPr>
          <w:rFonts w:hint="eastAsia" w:ascii="宋体" w:hAnsi="宋体" w:eastAsia="宋体" w:cs="宋体"/>
          <w:color w:val="auto"/>
          <w:szCs w:val="21"/>
        </w:rPr>
      </w:pPr>
      <w:bookmarkStart w:id="442" w:name="_Toc152042334"/>
      <w:bookmarkStart w:id="443" w:name="_Toc2952"/>
      <w:bookmarkStart w:id="444" w:name="_Toc19951"/>
      <w:bookmarkStart w:id="445" w:name="_Toc11817"/>
      <w:bookmarkStart w:id="446" w:name="_Toc144974526"/>
      <w:bookmarkStart w:id="447" w:name="_Toc5102"/>
      <w:bookmarkStart w:id="448" w:name="_Toc30860"/>
      <w:bookmarkStart w:id="449" w:name="_Toc455867794"/>
      <w:bookmarkStart w:id="450" w:name="_Toc152045558"/>
      <w:bookmarkStart w:id="451" w:name="_Toc455080134"/>
      <w:bookmarkStart w:id="452" w:name="_Toc20281"/>
      <w:bookmarkStart w:id="453" w:name="_Toc466298117"/>
      <w:bookmarkStart w:id="454" w:name="_Toc26684"/>
      <w:bookmarkStart w:id="455" w:name="_Toc490667854"/>
      <w:bookmarkStart w:id="456" w:name="_Toc318450701"/>
      <w:bookmarkStart w:id="457" w:name="_Toc21890"/>
      <w:bookmarkStart w:id="458" w:name="_Toc17161"/>
      <w:r>
        <w:rPr>
          <w:rFonts w:hint="eastAsia" w:ascii="宋体" w:hAnsi="宋体" w:eastAsia="宋体" w:cs="宋体"/>
          <w:color w:val="auto"/>
          <w:szCs w:val="21"/>
        </w:rPr>
        <w:t>4.2.1电子响应文件的递交</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各供应商应在</w:t>
      </w:r>
      <w:r>
        <w:rPr>
          <w:rFonts w:hint="eastAsia" w:ascii="宋体" w:hAnsi="宋体" w:eastAsia="宋体" w:cs="宋体"/>
          <w:color w:val="auto"/>
          <w:szCs w:val="21"/>
          <w:lang w:eastAsia="zh-CN"/>
        </w:rPr>
        <w:t>响应文件提交</w:t>
      </w:r>
      <w:r>
        <w:rPr>
          <w:rFonts w:hint="eastAsia" w:ascii="宋体" w:hAnsi="宋体" w:eastAsia="宋体" w:cs="宋体"/>
          <w:color w:val="auto"/>
          <w:szCs w:val="21"/>
        </w:rPr>
        <w:t>时间前上传加密的电子响应文件（*.XYTF）到会员系统的指定位置。上传的电子响应文件应使用</w:t>
      </w:r>
      <w:r>
        <w:rPr>
          <w:rFonts w:hint="eastAsia" w:ascii="宋体" w:hAnsi="宋体" w:eastAsia="宋体" w:cs="宋体"/>
          <w:color w:val="auto"/>
          <w:szCs w:val="21"/>
          <w:lang w:eastAsia="zh-CN"/>
        </w:rPr>
        <w:t>供应商</w:t>
      </w:r>
      <w:r>
        <w:rPr>
          <w:rFonts w:hint="eastAsia" w:ascii="宋体" w:hAnsi="宋体" w:eastAsia="宋体" w:cs="宋体"/>
          <w:color w:val="auto"/>
          <w:szCs w:val="21"/>
        </w:rPr>
        <w:t>CA数字证书认证并加密。上传时必须得到交易系统“上传成功”的确认回复后方为上传成功。请供应商在上传前务必认真检查上传响应文件是否完整、正确。</w:t>
      </w:r>
    </w:p>
    <w:p>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4.2.2</w:t>
      </w:r>
      <w:r>
        <w:rPr>
          <w:rFonts w:hint="eastAsia" w:ascii="宋体" w:hAnsi="宋体"/>
          <w:b/>
          <w:bCs/>
          <w:szCs w:val="21"/>
          <w:lang w:eastAsia="zh-CN"/>
        </w:rPr>
        <w:t>供应商</w:t>
      </w:r>
      <w:r>
        <w:rPr>
          <w:rFonts w:hint="eastAsia" w:ascii="宋体" w:hAnsi="宋体"/>
          <w:b/>
          <w:bCs/>
          <w:szCs w:val="21"/>
        </w:rPr>
        <w:t>因信阳市电子招投标交易平台问题无法上传电子</w:t>
      </w:r>
      <w:r>
        <w:rPr>
          <w:rFonts w:hint="eastAsia" w:ascii="宋体" w:hAnsi="宋体"/>
          <w:b/>
          <w:bCs/>
          <w:szCs w:val="21"/>
          <w:lang w:val="en-US" w:eastAsia="zh-CN"/>
        </w:rPr>
        <w:t>响应</w:t>
      </w:r>
      <w:r>
        <w:rPr>
          <w:rFonts w:hint="eastAsia" w:ascii="宋体" w:hAnsi="宋体"/>
          <w:b/>
          <w:bCs/>
          <w:szCs w:val="21"/>
        </w:rPr>
        <w:t xml:space="preserve">文件时，请在工作时间与交易中心联系（0376-6369677）。 </w:t>
      </w:r>
    </w:p>
    <w:p>
      <w:pPr>
        <w:pStyle w:val="183"/>
        <w:spacing w:line="360" w:lineRule="auto"/>
        <w:outlineLvl w:val="0"/>
        <w:rPr>
          <w:rFonts w:hint="eastAsia" w:ascii="宋体" w:hAnsi="宋体" w:eastAsia="宋体"/>
          <w:b/>
          <w:bCs/>
          <w:color w:val="auto"/>
          <w:sz w:val="21"/>
          <w:szCs w:val="21"/>
        </w:rPr>
      </w:pPr>
      <w:bookmarkStart w:id="459" w:name="_Toc1790"/>
      <w:bookmarkStart w:id="460" w:name="_Toc22732"/>
      <w:r>
        <w:rPr>
          <w:rFonts w:hint="eastAsia" w:ascii="宋体" w:hAnsi="宋体" w:eastAsia="宋体"/>
          <w:b/>
          <w:bCs/>
          <w:color w:val="auto"/>
          <w:sz w:val="21"/>
          <w:szCs w:val="21"/>
        </w:rPr>
        <w:t>4.3 响应文件的修改与撤回</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360" w:lineRule="auto"/>
        <w:ind w:firstLine="420" w:firstLineChars="200"/>
        <w:rPr>
          <w:rFonts w:hint="eastAsia" w:ascii="宋体" w:hAnsi="宋体" w:cs="宋体"/>
          <w:color w:val="auto"/>
          <w:szCs w:val="21"/>
        </w:rPr>
      </w:pPr>
      <w:bookmarkStart w:id="461" w:name="_Toc152042335"/>
      <w:bookmarkStart w:id="462" w:name="_Toc152045559"/>
      <w:bookmarkStart w:id="463" w:name="_Toc144974527"/>
      <w:bookmarkStart w:id="464" w:name="_Toc455080135"/>
      <w:r>
        <w:rPr>
          <w:rFonts w:hint="eastAsia" w:ascii="宋体" w:hAnsi="宋体" w:cs="宋体"/>
          <w:color w:val="auto"/>
          <w:szCs w:val="21"/>
        </w:rPr>
        <w:t>4.3.1 在第一章“</w:t>
      </w:r>
      <w:r>
        <w:rPr>
          <w:rFonts w:hint="eastAsia" w:ascii="宋体" w:hAnsi="宋体" w:cs="宋体"/>
          <w:color w:val="auto"/>
          <w:szCs w:val="21"/>
          <w:lang w:eastAsia="zh-CN"/>
        </w:rPr>
        <w:t>竞争性</w:t>
      </w:r>
      <w:r>
        <w:rPr>
          <w:rFonts w:hint="eastAsia" w:ascii="宋体" w:hAnsi="宋体" w:cs="宋体"/>
          <w:color w:val="auto"/>
          <w:szCs w:val="21"/>
        </w:rPr>
        <w:t>磋商公告”规定的</w:t>
      </w:r>
      <w:r>
        <w:rPr>
          <w:rFonts w:hint="eastAsia" w:ascii="宋体" w:hAnsi="宋体" w:cs="宋体"/>
          <w:color w:val="auto"/>
          <w:szCs w:val="21"/>
          <w:lang w:eastAsia="zh-CN"/>
        </w:rPr>
        <w:t>响应文件提交</w:t>
      </w:r>
      <w:r>
        <w:rPr>
          <w:rFonts w:hint="eastAsia" w:ascii="宋体" w:hAnsi="宋体" w:cs="宋体"/>
          <w:color w:val="auto"/>
          <w:szCs w:val="21"/>
        </w:rPr>
        <w:t>时间前，供应商可以多次修改或撤回已递交的响应文件，最终响应文件以</w:t>
      </w:r>
      <w:r>
        <w:rPr>
          <w:rFonts w:hint="eastAsia" w:ascii="宋体" w:hAnsi="宋体" w:cs="宋体"/>
          <w:color w:val="auto"/>
          <w:szCs w:val="21"/>
          <w:lang w:eastAsia="zh-CN"/>
        </w:rPr>
        <w:t>响应文件提交</w:t>
      </w:r>
      <w:r>
        <w:rPr>
          <w:rFonts w:hint="eastAsia" w:ascii="宋体" w:hAnsi="宋体" w:cs="宋体"/>
          <w:color w:val="auto"/>
          <w:szCs w:val="21"/>
        </w:rPr>
        <w:t>时间前完成上传至信阳市公共资源交易中心交易系统最后一份响应文件为准。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4.3.2修改的响应文件应按照本章第3.</w:t>
      </w:r>
      <w:r>
        <w:rPr>
          <w:rFonts w:hint="eastAsia" w:ascii="宋体" w:hAnsi="宋体" w:cs="宋体"/>
          <w:color w:val="auto"/>
          <w:szCs w:val="21"/>
          <w:lang w:val="en-US" w:eastAsia="zh-CN"/>
        </w:rPr>
        <w:t>6</w:t>
      </w:r>
      <w:r>
        <w:rPr>
          <w:rFonts w:hint="eastAsia" w:ascii="宋体" w:hAnsi="宋体" w:cs="宋体"/>
          <w:color w:val="auto"/>
          <w:szCs w:val="21"/>
        </w:rPr>
        <w:t>条、第4.2条规定进行编制和递交。</w:t>
      </w:r>
    </w:p>
    <w:bookmarkEnd w:id="461"/>
    <w:bookmarkEnd w:id="462"/>
    <w:bookmarkEnd w:id="463"/>
    <w:p>
      <w:pPr>
        <w:spacing w:line="360" w:lineRule="auto"/>
        <w:outlineLvl w:val="1"/>
        <w:rPr>
          <w:rFonts w:hint="eastAsia" w:ascii="宋体" w:hAnsi="宋体"/>
          <w:b/>
          <w:bCs/>
          <w:color w:val="auto"/>
          <w:szCs w:val="21"/>
        </w:rPr>
      </w:pPr>
      <w:bookmarkStart w:id="465" w:name="_Toc21327"/>
      <w:bookmarkStart w:id="466" w:name="_Toc14969"/>
      <w:r>
        <w:rPr>
          <w:rFonts w:hint="eastAsia" w:ascii="宋体" w:hAnsi="宋体"/>
          <w:b/>
          <w:bCs/>
          <w:color w:val="auto"/>
          <w:szCs w:val="21"/>
        </w:rPr>
        <w:t>5.磋商开始</w:t>
      </w:r>
      <w:bookmarkEnd w:id="464"/>
      <w:bookmarkEnd w:id="465"/>
      <w:bookmarkEnd w:id="466"/>
      <w:bookmarkStart w:id="467" w:name="_Toc455867796"/>
      <w:bookmarkStart w:id="468" w:name="_Toc466298119"/>
      <w:bookmarkStart w:id="469" w:name="_Toc152045560"/>
      <w:bookmarkStart w:id="470" w:name="_Toc26426"/>
      <w:bookmarkStart w:id="471" w:name="_Toc20660"/>
      <w:bookmarkStart w:id="472" w:name="_Toc25809"/>
      <w:bookmarkStart w:id="473" w:name="_Toc144974528"/>
      <w:bookmarkStart w:id="474" w:name="_Toc455080136"/>
      <w:bookmarkStart w:id="475" w:name="_Toc490667856"/>
      <w:bookmarkStart w:id="476" w:name="_Toc16040"/>
      <w:bookmarkStart w:id="477" w:name="_Toc14"/>
      <w:bookmarkStart w:id="478" w:name="_Toc9969"/>
      <w:bookmarkStart w:id="479" w:name="_Toc6763"/>
      <w:bookmarkStart w:id="480" w:name="_Toc152042336"/>
      <w:bookmarkStart w:id="481" w:name="_Toc318450703"/>
      <w:bookmarkStart w:id="482" w:name="_Toc20333"/>
      <w:bookmarkStart w:id="483" w:name="_Toc25533"/>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spacing w:line="360" w:lineRule="auto"/>
        <w:rPr>
          <w:rFonts w:hint="eastAsia" w:ascii="宋体" w:hAnsi="宋体"/>
          <w:b/>
          <w:bCs/>
          <w:color w:val="auto"/>
          <w:sz w:val="21"/>
          <w:szCs w:val="21"/>
        </w:rPr>
      </w:pPr>
      <w:bookmarkStart w:id="484" w:name="_Toc747"/>
      <w:bookmarkStart w:id="485" w:name="_Toc152045561"/>
      <w:bookmarkStart w:id="486" w:name="_Toc17491"/>
      <w:bookmarkStart w:id="487" w:name="_Toc455080137"/>
      <w:bookmarkStart w:id="488" w:name="_Toc30074"/>
      <w:bookmarkStart w:id="489" w:name="_Toc144974529"/>
      <w:bookmarkStart w:id="490" w:name="_Toc18582"/>
      <w:bookmarkStart w:id="491" w:name="_Toc466298120"/>
      <w:bookmarkStart w:id="492" w:name="_Toc455867797"/>
      <w:bookmarkStart w:id="493" w:name="_Toc25911"/>
      <w:bookmarkStart w:id="494" w:name="_Toc30965"/>
      <w:bookmarkStart w:id="495" w:name="_Toc30792"/>
      <w:bookmarkStart w:id="496" w:name="_Toc9328"/>
      <w:bookmarkStart w:id="497" w:name="_Toc490667857"/>
      <w:bookmarkStart w:id="498" w:name="_Toc3865"/>
      <w:bookmarkStart w:id="499" w:name="_Toc11148"/>
      <w:bookmarkStart w:id="500" w:name="_Toc318450704"/>
      <w:bookmarkStart w:id="501" w:name="_Toc152042337"/>
      <w:r>
        <w:rPr>
          <w:rFonts w:hint="eastAsia" w:ascii="宋体" w:hAnsi="宋体"/>
          <w:b/>
          <w:bCs/>
          <w:color w:val="auto"/>
          <w:sz w:val="21"/>
          <w:szCs w:val="21"/>
        </w:rPr>
        <w:t>5.1 磋商时间和地点</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5.1.1 采购人在本章规定的</w:t>
      </w:r>
      <w:r>
        <w:rPr>
          <w:rFonts w:hint="eastAsia" w:ascii="宋体" w:hAnsi="宋体"/>
          <w:color w:val="auto"/>
          <w:sz w:val="21"/>
          <w:szCs w:val="21"/>
          <w:lang w:eastAsia="zh-CN"/>
        </w:rPr>
        <w:t>响应文件提交</w:t>
      </w:r>
      <w:r>
        <w:rPr>
          <w:rFonts w:hint="eastAsia" w:ascii="宋体" w:hAnsi="宋体"/>
          <w:color w:val="auto"/>
          <w:sz w:val="21"/>
          <w:szCs w:val="21"/>
        </w:rPr>
        <w:t>时间（</w:t>
      </w:r>
      <w:r>
        <w:rPr>
          <w:rFonts w:hint="eastAsia" w:ascii="宋体" w:hAnsi="宋体"/>
          <w:color w:val="auto"/>
          <w:sz w:val="21"/>
          <w:szCs w:val="21"/>
          <w:lang w:eastAsia="zh-CN"/>
        </w:rPr>
        <w:t>开标</w:t>
      </w:r>
      <w:r>
        <w:rPr>
          <w:rFonts w:hint="eastAsia" w:ascii="宋体" w:hAnsi="宋体"/>
          <w:color w:val="auto"/>
          <w:sz w:val="21"/>
          <w:szCs w:val="21"/>
        </w:rPr>
        <w:t>时间）和</w:t>
      </w:r>
      <w:r>
        <w:rPr>
          <w:rFonts w:hint="eastAsia" w:ascii="宋体" w:hAnsi="宋体"/>
          <w:color w:val="auto"/>
          <w:sz w:val="21"/>
          <w:szCs w:val="21"/>
          <w:lang w:eastAsia="zh-CN"/>
        </w:rPr>
        <w:t>供应商</w:t>
      </w:r>
      <w:r>
        <w:rPr>
          <w:rFonts w:hint="eastAsia" w:ascii="宋体" w:hAnsi="宋体"/>
          <w:color w:val="auto"/>
          <w:sz w:val="21"/>
          <w:szCs w:val="21"/>
        </w:rPr>
        <w:t>须知前附表规定的地点开标。</w:t>
      </w:r>
    </w:p>
    <w:p>
      <w:pPr>
        <w:spacing w:line="360" w:lineRule="auto"/>
        <w:ind w:firstLine="399" w:firstLineChars="190"/>
        <w:rPr>
          <w:rFonts w:hint="eastAsia" w:ascii="宋体" w:hAnsi="宋体"/>
          <w:szCs w:val="21"/>
        </w:rPr>
      </w:pPr>
      <w:r>
        <w:rPr>
          <w:rFonts w:hint="eastAsia" w:ascii="宋体" w:hAnsi="宋体"/>
          <w:b w:val="0"/>
          <w:bCs w:val="0"/>
          <w:color w:val="auto"/>
          <w:sz w:val="21"/>
          <w:szCs w:val="21"/>
        </w:rPr>
        <w:t xml:space="preserve">5.1.2 </w:t>
      </w:r>
      <w:r>
        <w:rPr>
          <w:rFonts w:hint="eastAsia" w:ascii="宋体" w:hAnsi="宋体"/>
          <w:szCs w:val="21"/>
        </w:rPr>
        <w:t>本项目采用“不见面开标”交易方式，不见面开标大厅网址为</w:t>
      </w:r>
      <w:r>
        <w:rPr>
          <w:rFonts w:hint="eastAsia" w:ascii="宋体" w:hAnsi="宋体" w:eastAsia="宋体" w:cs="宋体"/>
          <w:color w:val="auto"/>
          <w:sz w:val="21"/>
          <w:szCs w:val="21"/>
          <w:shd w:val="clear" w:color="auto" w:fill="FFFFFF"/>
          <w:lang w:eastAsia="zh-CN"/>
        </w:rPr>
        <w:t>https://ggzyjy.xinyang.gov.cn/BidOpening</w:t>
      </w:r>
      <w:r>
        <w:rPr>
          <w:rFonts w:hint="eastAsia" w:ascii="宋体" w:hAnsi="宋体"/>
          <w:szCs w:val="21"/>
        </w:rPr>
        <w:t>，</w:t>
      </w:r>
      <w:r>
        <w:rPr>
          <w:rFonts w:hint="eastAsia" w:ascii="宋体" w:hAnsi="宋体"/>
          <w:szCs w:val="21"/>
          <w:lang w:eastAsia="zh-CN"/>
        </w:rPr>
        <w:t>供应商</w:t>
      </w:r>
      <w:r>
        <w:rPr>
          <w:rFonts w:hint="eastAsia" w:ascii="宋体" w:hAnsi="宋体"/>
          <w:szCs w:val="21"/>
        </w:rPr>
        <w:t>（供应商）无需寄送和递交非加密的电子</w:t>
      </w:r>
      <w:r>
        <w:rPr>
          <w:rFonts w:hint="eastAsia" w:ascii="宋体" w:hAnsi="宋体"/>
          <w:szCs w:val="21"/>
          <w:lang w:val="en-US" w:eastAsia="zh-CN"/>
        </w:rPr>
        <w:t>响应</w:t>
      </w:r>
      <w:r>
        <w:rPr>
          <w:rFonts w:hint="eastAsia" w:ascii="宋体" w:hAnsi="宋体"/>
          <w:szCs w:val="21"/>
        </w:rPr>
        <w:t xml:space="preserve">文件，无需到现场参加开标会议，无需到达现场提交原件资料。 </w:t>
      </w:r>
    </w:p>
    <w:p>
      <w:pPr>
        <w:spacing w:line="360" w:lineRule="auto"/>
        <w:ind w:firstLine="399" w:firstLineChars="190"/>
        <w:rPr>
          <w:rFonts w:hint="eastAsia" w:ascii="宋体" w:hAnsi="宋体"/>
          <w:szCs w:val="21"/>
        </w:rPr>
      </w:pPr>
      <w:r>
        <w:rPr>
          <w:rFonts w:hint="eastAsia" w:ascii="宋体" w:hAnsi="宋体"/>
          <w:szCs w:val="21"/>
          <w:lang w:eastAsia="zh-CN"/>
        </w:rPr>
        <w:t>供应商</w:t>
      </w:r>
      <w:r>
        <w:rPr>
          <w:rFonts w:hint="eastAsia" w:ascii="宋体" w:hAnsi="宋体"/>
          <w:szCs w:val="21"/>
        </w:rPr>
        <w:t>应当在投标截止时间前，使用</w:t>
      </w:r>
      <w:r>
        <w:rPr>
          <w:rFonts w:hint="eastAsia" w:ascii="宋体" w:hAnsi="宋体"/>
          <w:szCs w:val="21"/>
          <w:lang w:eastAsia="zh-CN"/>
        </w:rPr>
        <w:t>供应商</w:t>
      </w:r>
      <w:r>
        <w:rPr>
          <w:rFonts w:hint="eastAsia" w:ascii="宋体" w:hAnsi="宋体"/>
          <w:szCs w:val="21"/>
        </w:rPr>
        <w:t xml:space="preserve"> CA 数字证书登录不见面开标大厅，在线签到并准时参加开标活动，并在规定时间内完成</w:t>
      </w:r>
      <w:r>
        <w:rPr>
          <w:rFonts w:hint="eastAsia" w:ascii="宋体" w:hAnsi="宋体"/>
          <w:szCs w:val="21"/>
          <w:lang w:val="en-US" w:eastAsia="zh-CN"/>
        </w:rPr>
        <w:t>响应</w:t>
      </w:r>
      <w:r>
        <w:rPr>
          <w:rFonts w:hint="eastAsia" w:ascii="宋体" w:hAnsi="宋体"/>
          <w:szCs w:val="21"/>
        </w:rPr>
        <w:t xml:space="preserve">文件解密、答疑澄清等。 </w:t>
      </w:r>
    </w:p>
    <w:p>
      <w:pPr>
        <w:spacing w:line="360" w:lineRule="auto"/>
        <w:ind w:firstLine="399" w:firstLineChars="190"/>
        <w:rPr>
          <w:rFonts w:hint="eastAsia" w:ascii="宋体" w:hAnsi="宋体"/>
          <w:szCs w:val="21"/>
        </w:rPr>
      </w:pPr>
      <w:r>
        <w:rPr>
          <w:rFonts w:hint="eastAsia" w:ascii="宋体" w:hAnsi="宋体"/>
          <w:szCs w:val="21"/>
        </w:rPr>
        <w:t>逾期解密或者没有准时在线参加开标活动导致的一切后果</w:t>
      </w:r>
      <w:r>
        <w:rPr>
          <w:rFonts w:hint="eastAsia" w:ascii="宋体" w:hAnsi="宋体"/>
          <w:szCs w:val="21"/>
          <w:lang w:eastAsia="zh-CN"/>
        </w:rPr>
        <w:t>供应商</w:t>
      </w:r>
      <w:r>
        <w:rPr>
          <w:rFonts w:hint="eastAsia" w:ascii="宋体" w:hAnsi="宋体"/>
          <w:szCs w:val="21"/>
        </w:rPr>
        <w:t xml:space="preserve">自行承担。 </w:t>
      </w:r>
    </w:p>
    <w:p>
      <w:pPr>
        <w:spacing w:line="360" w:lineRule="auto"/>
        <w:ind w:firstLine="399" w:firstLineChars="190"/>
        <w:rPr>
          <w:rFonts w:hint="eastAsia" w:ascii="宋体" w:hAnsi="宋体"/>
          <w:szCs w:val="21"/>
        </w:rPr>
      </w:pPr>
      <w:r>
        <w:rPr>
          <w:rFonts w:hint="eastAsia" w:ascii="宋体" w:hAnsi="宋体"/>
          <w:szCs w:val="21"/>
        </w:rPr>
        <w:t xml:space="preserve">不见面开标服务的具体事宜，请查阅信阳市公共资源交易中心网站首页—下载中心—信阳市不见面开标大厅系统操作手册 。 </w:t>
      </w:r>
    </w:p>
    <w:p>
      <w:pPr>
        <w:spacing w:line="360" w:lineRule="auto"/>
        <w:ind w:firstLine="401" w:firstLineChars="190"/>
        <w:rPr>
          <w:rFonts w:hint="eastAsia" w:ascii="宋体" w:hAnsi="宋体"/>
          <w:b/>
          <w:bCs/>
          <w:color w:val="auto"/>
          <w:sz w:val="21"/>
          <w:szCs w:val="21"/>
        </w:rPr>
      </w:pPr>
      <w:r>
        <w:rPr>
          <w:rFonts w:hint="eastAsia" w:ascii="宋体" w:hAnsi="宋体"/>
          <w:b/>
          <w:bCs/>
          <w:szCs w:val="21"/>
        </w:rPr>
        <w:t>特别提示：</w:t>
      </w:r>
      <w:r>
        <w:rPr>
          <w:rFonts w:hint="eastAsia" w:ascii="宋体" w:hAnsi="宋体"/>
          <w:b/>
          <w:bCs/>
          <w:szCs w:val="21"/>
          <w:lang w:eastAsia="zh-CN"/>
        </w:rPr>
        <w:t>供应商</w:t>
      </w:r>
      <w:r>
        <w:rPr>
          <w:rFonts w:hint="eastAsia" w:ascii="宋体" w:hAnsi="宋体"/>
          <w:b/>
          <w:bCs/>
          <w:szCs w:val="21"/>
        </w:rPr>
        <w:t>在线签到时，应如实准确的填写授权委托人的联系电话，开标当天请务必保证电话保持畅通。</w:t>
      </w:r>
    </w:p>
    <w:p>
      <w:pPr>
        <w:pStyle w:val="183"/>
        <w:spacing w:line="360" w:lineRule="auto"/>
        <w:outlineLvl w:val="0"/>
        <w:rPr>
          <w:rFonts w:hint="eastAsia" w:ascii="宋体" w:hAnsi="宋体" w:eastAsia="宋体"/>
          <w:b/>
          <w:bCs/>
          <w:color w:val="auto"/>
          <w:sz w:val="21"/>
          <w:szCs w:val="21"/>
        </w:rPr>
      </w:pPr>
      <w:bookmarkStart w:id="502" w:name="_Toc2061"/>
      <w:r>
        <w:rPr>
          <w:rFonts w:hint="eastAsia" w:ascii="宋体" w:hAnsi="宋体" w:eastAsia="宋体"/>
          <w:b/>
          <w:bCs/>
          <w:color w:val="auto"/>
          <w:sz w:val="21"/>
          <w:szCs w:val="21"/>
        </w:rPr>
        <w:t>5.2 磋商程序</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183"/>
        <w:spacing w:line="360" w:lineRule="auto"/>
        <w:outlineLvl w:val="0"/>
        <w:rPr>
          <w:rFonts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 xml:space="preserve">   </w:t>
      </w:r>
      <w:r>
        <w:rPr>
          <w:rFonts w:hint="eastAsia" w:ascii="宋体" w:hAnsi="宋体" w:eastAsia="宋体"/>
          <w:color w:val="auto"/>
          <w:sz w:val="21"/>
          <w:szCs w:val="21"/>
          <w:lang w:val="en-US" w:eastAsia="zh-CN"/>
        </w:rPr>
        <w:t xml:space="preserve"> </w:t>
      </w:r>
      <w:bookmarkStart w:id="503" w:name="_Toc30403"/>
      <w:bookmarkStart w:id="504" w:name="_Toc14065"/>
      <w:bookmarkStart w:id="505" w:name="_Toc152042338"/>
      <w:bookmarkStart w:id="506" w:name="_Toc144974530"/>
      <w:bookmarkStart w:id="507" w:name="_Toc152045562"/>
      <w:r>
        <w:rPr>
          <w:rFonts w:hint="eastAsia" w:ascii="宋体" w:hAnsi="宋体" w:eastAsia="宋体"/>
          <w:color w:val="auto"/>
          <w:sz w:val="21"/>
          <w:szCs w:val="21"/>
          <w:lang w:val="en-US" w:eastAsia="zh-CN"/>
        </w:rPr>
        <w:t>5.2.1磋商小组对磋商文件进行熟悉确认。</w:t>
      </w:r>
      <w:bookmarkEnd w:id="503"/>
      <w:bookmarkEnd w:id="504"/>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5.2.2磋商小组推选组长，讨论、通过磋商工作流程和磋商要点。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3</w:t>
      </w:r>
      <w:r>
        <w:rPr>
          <w:rFonts w:hint="eastAsia" w:ascii="宋体" w:hAnsi="宋体" w:cs="宋体"/>
          <w:color w:val="auto"/>
          <w:szCs w:val="21"/>
        </w:rPr>
        <w:t>资格评审审查：磋商开始后，采购人依据磋商文件规定，对供应商进行审查，以确定磋商供应商是否具备参与磋商的资格。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4</w:t>
      </w:r>
      <w:r>
        <w:rPr>
          <w:rFonts w:hint="eastAsia" w:ascii="宋体" w:hAnsi="宋体" w:cs="宋体"/>
          <w:color w:val="auto"/>
          <w:szCs w:val="21"/>
          <w:lang w:eastAsia="zh-CN"/>
        </w:rPr>
        <w:t>符合性</w:t>
      </w:r>
      <w:r>
        <w:rPr>
          <w:rFonts w:hint="eastAsia" w:ascii="宋体" w:hAnsi="宋体" w:cs="宋体"/>
          <w:color w:val="auto"/>
          <w:szCs w:val="21"/>
        </w:rPr>
        <w:t>审审查：磋商开始后，磋商小组依据磋商文件规定，对通过</w:t>
      </w:r>
      <w:r>
        <w:rPr>
          <w:rFonts w:hint="eastAsia" w:ascii="宋体" w:hAnsi="宋体" w:cs="宋体"/>
          <w:color w:val="auto"/>
          <w:szCs w:val="21"/>
          <w:lang w:eastAsia="zh-CN"/>
        </w:rPr>
        <w:t>资格</w:t>
      </w:r>
      <w:r>
        <w:rPr>
          <w:rFonts w:hint="eastAsia" w:ascii="宋体" w:hAnsi="宋体" w:cs="宋体"/>
          <w:color w:val="auto"/>
          <w:szCs w:val="21"/>
        </w:rPr>
        <w:t>评审的供应商进行审查，以确定磋商供应商是否具备参与磋商的资格。</w:t>
      </w:r>
    </w:p>
    <w:p>
      <w:pPr>
        <w:spacing w:line="360" w:lineRule="auto"/>
        <w:ind w:firstLine="472" w:firstLineChars="225"/>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5</w:t>
      </w:r>
      <w:r>
        <w:rPr>
          <w:rFonts w:hint="eastAsia" w:ascii="宋体" w:hAnsi="宋体" w:cs="宋体"/>
          <w:color w:val="auto"/>
          <w:szCs w:val="21"/>
        </w:rPr>
        <w:t>磋商小组对通过资格性和符合性审查的响应文件进行评估，确定与各竞标人磋商的具体内容。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5.2.</w:t>
      </w:r>
      <w:r>
        <w:rPr>
          <w:rFonts w:hint="eastAsia" w:ascii="宋体" w:hAnsi="宋体" w:cs="宋体"/>
          <w:color w:val="auto"/>
          <w:szCs w:val="21"/>
          <w:lang w:val="en-US" w:eastAsia="zh-CN"/>
        </w:rPr>
        <w:t>6</w:t>
      </w:r>
      <w:r>
        <w:rPr>
          <w:rFonts w:hint="eastAsia" w:ascii="宋体" w:hAnsi="宋体" w:cs="宋体"/>
          <w:color w:val="auto"/>
          <w:szCs w:val="21"/>
        </w:rPr>
        <w:t>磋商过程中，磋商小组可以根据磋商情况实质性变动招标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w:t>
      </w:r>
      <w:r>
        <w:rPr>
          <w:rFonts w:hint="eastAsia" w:ascii="宋体" w:hAnsi="宋体" w:cs="宋体"/>
          <w:color w:val="auto"/>
          <w:szCs w:val="21"/>
          <w:lang w:val="en-US" w:eastAsia="zh-CN"/>
        </w:rPr>
        <w:t>低于</w:t>
      </w:r>
      <w:r>
        <w:rPr>
          <w:rFonts w:hint="eastAsia" w:ascii="宋体" w:hAnsi="宋体" w:cs="宋体"/>
          <w:color w:val="auto"/>
          <w:szCs w:val="21"/>
        </w:rPr>
        <w:t>首次报价，否则按废标处理。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7</w:t>
      </w:r>
      <w:r>
        <w:rPr>
          <w:rFonts w:hint="eastAsia" w:ascii="宋体" w:hAnsi="宋体" w:cs="宋体"/>
          <w:color w:val="auto"/>
          <w:szCs w:val="21"/>
        </w:rPr>
        <w:t>磋商小组对符合招标需求的供应商进行两轮报价；供应商只有通过资格评审、</w:t>
      </w:r>
      <w:r>
        <w:rPr>
          <w:rFonts w:hint="eastAsia" w:ascii="宋体" w:hAnsi="宋体" w:cs="宋体"/>
          <w:color w:val="auto"/>
          <w:szCs w:val="21"/>
          <w:lang w:eastAsia="zh-CN"/>
        </w:rPr>
        <w:t>符合</w:t>
      </w:r>
      <w:r>
        <w:rPr>
          <w:rFonts w:hint="eastAsia" w:ascii="宋体" w:hAnsi="宋体" w:cs="宋体"/>
          <w:color w:val="auto"/>
          <w:szCs w:val="21"/>
        </w:rPr>
        <w:t>性评审后方可进入下一轮报价，在规定的时间内同时提交报价，最终报价不得</w:t>
      </w:r>
      <w:r>
        <w:rPr>
          <w:rFonts w:hint="eastAsia" w:ascii="宋体" w:hAnsi="宋体" w:cs="宋体"/>
          <w:color w:val="auto"/>
          <w:szCs w:val="21"/>
          <w:lang w:val="en-US" w:eastAsia="zh-CN"/>
        </w:rPr>
        <w:t>低于</w:t>
      </w:r>
      <w:r>
        <w:rPr>
          <w:rFonts w:hint="eastAsia" w:ascii="宋体" w:hAnsi="宋体" w:cs="宋体"/>
          <w:color w:val="auto"/>
          <w:szCs w:val="21"/>
        </w:rPr>
        <w:t>响应文件中报价。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8</w:t>
      </w:r>
      <w:r>
        <w:rPr>
          <w:rFonts w:hint="eastAsia" w:ascii="宋体" w:hAnsi="宋体" w:cs="宋体"/>
          <w:color w:val="auto"/>
          <w:szCs w:val="21"/>
        </w:rPr>
        <w:t>经磋商确定最终招标需求，由磋商小组采用综合评分法对通过初步评审的供应商的响应文件进行综合评分。</w:t>
      </w:r>
    </w:p>
    <w:p>
      <w:pPr>
        <w:pStyle w:val="177"/>
        <w:spacing w:before="0" w:beforeLines="0" w:line="360" w:lineRule="auto"/>
        <w:rPr>
          <w:rFonts w:hint="eastAsia" w:ascii="宋体" w:hAnsi="宋体" w:eastAsia="宋体"/>
          <w:b/>
          <w:bCs/>
          <w:color w:val="auto"/>
          <w:sz w:val="21"/>
          <w:szCs w:val="21"/>
        </w:rPr>
      </w:pPr>
      <w:bookmarkStart w:id="508" w:name="_Toc455080138"/>
      <w:bookmarkStart w:id="509" w:name="_Toc21785"/>
      <w:bookmarkStart w:id="510" w:name="_Toc14039"/>
      <w:r>
        <w:rPr>
          <w:rFonts w:hint="eastAsia" w:ascii="宋体" w:hAnsi="宋体" w:eastAsia="宋体"/>
          <w:b/>
          <w:bCs/>
          <w:color w:val="auto"/>
          <w:sz w:val="21"/>
          <w:szCs w:val="21"/>
        </w:rPr>
        <w:t xml:space="preserve">6. </w:t>
      </w:r>
      <w:bookmarkEnd w:id="505"/>
      <w:bookmarkEnd w:id="506"/>
      <w:bookmarkEnd w:id="507"/>
      <w:r>
        <w:rPr>
          <w:rFonts w:hint="eastAsia" w:ascii="宋体" w:hAnsi="宋体" w:eastAsia="宋体"/>
          <w:b/>
          <w:bCs/>
          <w:color w:val="auto"/>
          <w:sz w:val="21"/>
          <w:szCs w:val="21"/>
        </w:rPr>
        <w:t>磋商</w:t>
      </w:r>
      <w:bookmarkEnd w:id="508"/>
      <w:r>
        <w:rPr>
          <w:rFonts w:hint="eastAsia" w:ascii="宋体" w:hAnsi="宋体" w:eastAsia="宋体"/>
          <w:b/>
          <w:bCs/>
          <w:color w:val="auto"/>
          <w:sz w:val="21"/>
          <w:szCs w:val="21"/>
        </w:rPr>
        <w:t>小组</w:t>
      </w:r>
      <w:bookmarkEnd w:id="509"/>
      <w:bookmarkEnd w:id="510"/>
    </w:p>
    <w:p>
      <w:pPr>
        <w:pStyle w:val="183"/>
        <w:spacing w:line="360" w:lineRule="auto"/>
        <w:outlineLvl w:val="0"/>
        <w:rPr>
          <w:rFonts w:hint="eastAsia" w:ascii="宋体" w:hAnsi="宋体" w:eastAsia="宋体"/>
          <w:b/>
          <w:bCs/>
          <w:color w:val="auto"/>
          <w:sz w:val="21"/>
          <w:szCs w:val="21"/>
        </w:rPr>
      </w:pPr>
      <w:bookmarkStart w:id="511" w:name="_Toc9808"/>
      <w:bookmarkStart w:id="512" w:name="_Toc144974531"/>
      <w:bookmarkStart w:id="513" w:name="_Toc152042339"/>
      <w:bookmarkStart w:id="514" w:name="_Toc152045563"/>
      <w:bookmarkStart w:id="515" w:name="_Toc22250"/>
      <w:bookmarkStart w:id="516" w:name="_Toc318450706"/>
      <w:bookmarkStart w:id="517" w:name="_Toc26098"/>
      <w:bookmarkStart w:id="518" w:name="_Toc8157"/>
      <w:bookmarkStart w:id="519" w:name="_Toc455080139"/>
      <w:bookmarkStart w:id="520" w:name="_Toc455867799"/>
      <w:bookmarkStart w:id="521" w:name="_Toc8725"/>
      <w:bookmarkStart w:id="522" w:name="_Toc466298122"/>
      <w:bookmarkStart w:id="523" w:name="_Toc490667859"/>
      <w:bookmarkStart w:id="524" w:name="_Toc23138"/>
      <w:bookmarkStart w:id="525" w:name="_Toc1546"/>
      <w:bookmarkStart w:id="526" w:name="_Toc18985"/>
      <w:bookmarkStart w:id="527" w:name="_Toc1574"/>
      <w:bookmarkStart w:id="528" w:name="_Toc13978"/>
      <w:bookmarkStart w:id="529" w:name="_Toc919"/>
      <w:r>
        <w:rPr>
          <w:rFonts w:hint="eastAsia" w:ascii="宋体" w:hAnsi="宋体" w:eastAsia="宋体"/>
          <w:b/>
          <w:bCs/>
          <w:color w:val="auto"/>
          <w:sz w:val="21"/>
          <w:szCs w:val="21"/>
        </w:rPr>
        <w:t>6.1</w:t>
      </w:r>
      <w:bookmarkEnd w:id="511"/>
      <w:bookmarkEnd w:id="512"/>
      <w:bookmarkEnd w:id="513"/>
      <w:bookmarkEnd w:id="514"/>
      <w:bookmarkEnd w:id="515"/>
      <w:bookmarkEnd w:id="516"/>
      <w:bookmarkEnd w:id="517"/>
      <w:r>
        <w:rPr>
          <w:rFonts w:hint="eastAsia" w:ascii="宋体" w:hAnsi="宋体" w:eastAsia="宋体"/>
          <w:b/>
          <w:bCs/>
          <w:color w:val="auto"/>
          <w:sz w:val="21"/>
          <w:szCs w:val="21"/>
        </w:rPr>
        <w:t>磋商小组</w:t>
      </w:r>
      <w:bookmarkEnd w:id="518"/>
      <w:bookmarkEnd w:id="519"/>
      <w:bookmarkEnd w:id="520"/>
      <w:bookmarkEnd w:id="521"/>
      <w:bookmarkEnd w:id="522"/>
      <w:bookmarkEnd w:id="523"/>
      <w:bookmarkEnd w:id="524"/>
      <w:bookmarkEnd w:id="525"/>
      <w:bookmarkEnd w:id="526"/>
      <w:bookmarkEnd w:id="527"/>
      <w:bookmarkEnd w:id="528"/>
      <w:bookmarkEnd w:id="529"/>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p>
    <w:p>
      <w:pPr>
        <w:pStyle w:val="183"/>
        <w:tabs>
          <w:tab w:val="left" w:pos="2620"/>
        </w:tabs>
        <w:spacing w:line="360" w:lineRule="auto"/>
        <w:outlineLvl w:val="0"/>
        <w:rPr>
          <w:rFonts w:hint="eastAsia" w:ascii="宋体" w:hAnsi="宋体" w:eastAsia="宋体"/>
          <w:b/>
          <w:bCs/>
          <w:color w:val="auto"/>
          <w:sz w:val="21"/>
          <w:szCs w:val="21"/>
        </w:rPr>
      </w:pPr>
      <w:bookmarkStart w:id="530" w:name="_Toc13368"/>
      <w:bookmarkStart w:id="531" w:name="_Toc8240"/>
      <w:bookmarkStart w:id="532" w:name="_Toc4435"/>
      <w:bookmarkStart w:id="533" w:name="_Toc8248"/>
      <w:bookmarkStart w:id="534" w:name="_Toc455867800"/>
      <w:bookmarkStart w:id="535" w:name="_Toc318450707"/>
      <w:bookmarkStart w:id="536" w:name="_Toc27035"/>
      <w:bookmarkStart w:id="537" w:name="_Toc236"/>
      <w:bookmarkStart w:id="538" w:name="_Toc490667860"/>
      <w:bookmarkStart w:id="539" w:name="_Toc9532"/>
      <w:bookmarkStart w:id="540" w:name="_Toc21102"/>
      <w:bookmarkStart w:id="541" w:name="_Toc455080140"/>
      <w:bookmarkStart w:id="542" w:name="_Toc466298123"/>
      <w:bookmarkStart w:id="543" w:name="_Toc22143"/>
      <w:bookmarkStart w:id="544" w:name="_Toc7286"/>
      <w:bookmarkStart w:id="545" w:name="_Toc152045564"/>
      <w:bookmarkStart w:id="546" w:name="_Toc25721"/>
      <w:bookmarkStart w:id="547" w:name="_Toc152042340"/>
      <w:bookmarkStart w:id="548" w:name="_Toc144974532"/>
      <w:r>
        <w:rPr>
          <w:rFonts w:hint="eastAsia" w:ascii="宋体" w:hAnsi="宋体" w:eastAsia="宋体"/>
          <w:b/>
          <w:bCs/>
          <w:color w:val="auto"/>
          <w:sz w:val="21"/>
          <w:szCs w:val="21"/>
        </w:rPr>
        <w:t>6.2 磋商原则</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磋商活动遵循公平、公正、科学和择优的原则。</w:t>
      </w:r>
      <w:bookmarkStart w:id="549" w:name="_Toc15595"/>
      <w:bookmarkStart w:id="550" w:name="_Toc152045565"/>
      <w:bookmarkStart w:id="551" w:name="_Toc152042341"/>
      <w:bookmarkStart w:id="552" w:name="_Toc318450708"/>
      <w:bookmarkStart w:id="553" w:name="_Toc16725"/>
      <w:bookmarkStart w:id="554" w:name="_Toc144974533"/>
      <w:bookmarkStart w:id="555" w:name="_Toc8705"/>
      <w:bookmarkStart w:id="556" w:name="_Toc466298124"/>
      <w:bookmarkStart w:id="557" w:name="_Toc490667861"/>
      <w:bookmarkStart w:id="558" w:name="_Toc18756"/>
      <w:bookmarkStart w:id="559" w:name="_Toc24358"/>
      <w:bookmarkStart w:id="560" w:name="_Toc27036"/>
      <w:bookmarkStart w:id="561" w:name="_Toc3606"/>
      <w:bookmarkStart w:id="562" w:name="_Toc20062"/>
      <w:bookmarkStart w:id="563" w:name="_Toc455080141"/>
      <w:bookmarkStart w:id="564" w:name="_Toc455867801"/>
      <w:bookmarkStart w:id="565" w:name="_Toc28734"/>
      <w:bookmarkStart w:id="566" w:name="_Toc7890"/>
    </w:p>
    <w:p>
      <w:pPr>
        <w:spacing w:line="360" w:lineRule="auto"/>
        <w:ind w:firstLine="422" w:firstLineChars="200"/>
        <w:rPr>
          <w:rFonts w:hint="eastAsia" w:ascii="宋体" w:hAnsi="宋体" w:eastAsia="宋体"/>
          <w:color w:val="auto"/>
          <w:sz w:val="21"/>
          <w:szCs w:val="21"/>
        </w:rPr>
      </w:pPr>
      <w:r>
        <w:rPr>
          <w:rFonts w:hint="eastAsia" w:ascii="宋体" w:hAnsi="宋体" w:eastAsia="宋体"/>
          <w:b/>
          <w:bCs/>
          <w:color w:val="auto"/>
          <w:sz w:val="21"/>
          <w:szCs w:val="21"/>
        </w:rPr>
        <w:t xml:space="preserve">6.3 </w:t>
      </w:r>
      <w:bookmarkEnd w:id="549"/>
      <w:bookmarkEnd w:id="550"/>
      <w:bookmarkEnd w:id="551"/>
      <w:bookmarkEnd w:id="552"/>
      <w:bookmarkEnd w:id="553"/>
      <w:bookmarkEnd w:id="554"/>
      <w:bookmarkEnd w:id="555"/>
      <w:r>
        <w:rPr>
          <w:rFonts w:hint="eastAsia" w:ascii="宋体" w:hAnsi="宋体" w:eastAsia="宋体"/>
          <w:b/>
          <w:bCs/>
          <w:color w:val="auto"/>
          <w:sz w:val="21"/>
          <w:szCs w:val="21"/>
        </w:rPr>
        <w:t>磋商</w:t>
      </w:r>
      <w:bookmarkEnd w:id="556"/>
      <w:bookmarkEnd w:id="557"/>
      <w:bookmarkEnd w:id="558"/>
      <w:bookmarkEnd w:id="559"/>
      <w:bookmarkEnd w:id="560"/>
      <w:bookmarkEnd w:id="561"/>
      <w:bookmarkEnd w:id="562"/>
      <w:bookmarkEnd w:id="563"/>
      <w:bookmarkEnd w:id="564"/>
      <w:bookmarkEnd w:id="565"/>
      <w:bookmarkEnd w:id="566"/>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磋商小组按照第三章“评审办法”规定的方法、评审因素、标准和程序对响应文件进行评审。第三章“评审办法”没有规定的方法、评审因素和标准，不作为评标依据。</w:t>
      </w:r>
    </w:p>
    <w:p>
      <w:pPr>
        <w:pStyle w:val="177"/>
        <w:spacing w:before="0" w:beforeLines="0" w:line="360" w:lineRule="auto"/>
        <w:rPr>
          <w:rFonts w:hint="eastAsia" w:ascii="宋体" w:hAnsi="宋体" w:eastAsia="宋体"/>
          <w:b/>
          <w:bCs/>
          <w:color w:val="auto"/>
          <w:sz w:val="21"/>
          <w:szCs w:val="21"/>
        </w:rPr>
      </w:pPr>
      <w:bookmarkStart w:id="567" w:name="_Toc9522"/>
      <w:bookmarkStart w:id="568" w:name="_Toc152042342"/>
      <w:bookmarkStart w:id="569" w:name="_Toc17261"/>
      <w:bookmarkStart w:id="570" w:name="_Toc455080142"/>
      <w:bookmarkStart w:id="571" w:name="_Toc144974534"/>
      <w:bookmarkStart w:id="572" w:name="_Toc152045566"/>
      <w:r>
        <w:rPr>
          <w:rFonts w:hint="eastAsia" w:ascii="宋体" w:hAnsi="宋体" w:eastAsia="宋体"/>
          <w:b/>
          <w:bCs/>
          <w:color w:val="auto"/>
          <w:sz w:val="21"/>
          <w:szCs w:val="21"/>
        </w:rPr>
        <w:t>7. 合同授予</w:t>
      </w:r>
      <w:bookmarkEnd w:id="567"/>
      <w:bookmarkEnd w:id="568"/>
      <w:bookmarkEnd w:id="569"/>
      <w:bookmarkEnd w:id="570"/>
      <w:bookmarkEnd w:id="571"/>
      <w:bookmarkEnd w:id="572"/>
    </w:p>
    <w:p>
      <w:pPr>
        <w:pStyle w:val="183"/>
        <w:spacing w:line="360" w:lineRule="auto"/>
        <w:outlineLvl w:val="0"/>
        <w:rPr>
          <w:rFonts w:hint="eastAsia" w:ascii="宋体" w:hAnsi="宋体" w:eastAsia="宋体"/>
          <w:b/>
          <w:bCs/>
          <w:color w:val="auto"/>
          <w:sz w:val="21"/>
          <w:szCs w:val="21"/>
        </w:rPr>
      </w:pPr>
      <w:bookmarkStart w:id="573" w:name="_Toc318450710"/>
      <w:bookmarkStart w:id="574" w:name="_Toc11409"/>
      <w:bookmarkStart w:id="575" w:name="_Toc152042343"/>
      <w:bookmarkStart w:id="576" w:name="_Toc466298126"/>
      <w:bookmarkStart w:id="577" w:name="_Toc20777"/>
      <w:bookmarkStart w:id="578" w:name="_Toc144974535"/>
      <w:bookmarkStart w:id="579" w:name="_Toc29664"/>
      <w:bookmarkStart w:id="580" w:name="_Toc25316"/>
      <w:bookmarkStart w:id="581" w:name="_Toc14528"/>
      <w:bookmarkStart w:id="582" w:name="_Toc29686"/>
      <w:bookmarkStart w:id="583" w:name="_Toc28919"/>
      <w:bookmarkStart w:id="584" w:name="_Toc17660"/>
      <w:bookmarkStart w:id="585" w:name="_Toc22461"/>
      <w:bookmarkStart w:id="586" w:name="_Toc152045567"/>
      <w:bookmarkStart w:id="587" w:name="_Toc455867803"/>
      <w:bookmarkStart w:id="588" w:name="_Toc455080143"/>
      <w:bookmarkStart w:id="589" w:name="_Toc7358"/>
      <w:bookmarkStart w:id="590" w:name="_Toc3487"/>
      <w:bookmarkStart w:id="591" w:name="_Toc490667863"/>
      <w:r>
        <w:rPr>
          <w:rFonts w:hint="eastAsia" w:ascii="宋体" w:hAnsi="宋体" w:eastAsia="宋体"/>
          <w:b/>
          <w:bCs/>
          <w:color w:val="auto"/>
          <w:sz w:val="21"/>
          <w:szCs w:val="21"/>
        </w:rPr>
        <w:t>7.1 定标方式</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spacing w:line="360" w:lineRule="auto"/>
        <w:ind w:firstLine="420" w:firstLineChars="200"/>
        <w:rPr>
          <w:rFonts w:hint="eastAsia" w:ascii="宋体" w:hAnsi="宋体" w:cs="宋体"/>
          <w:color w:val="auto"/>
          <w:szCs w:val="21"/>
        </w:rPr>
      </w:pPr>
      <w:bookmarkStart w:id="592" w:name="_Toc318450711"/>
      <w:bookmarkStart w:id="593" w:name="_Toc10868"/>
      <w:bookmarkStart w:id="594" w:name="_Toc28254"/>
      <w:bookmarkStart w:id="595" w:name="_Toc144974536"/>
      <w:bookmarkStart w:id="596" w:name="_Toc152045568"/>
      <w:bookmarkStart w:id="597" w:name="_Toc152042344"/>
      <w:bookmarkStart w:id="598" w:name="_Toc7066"/>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w:t>
      </w:r>
      <w:r>
        <w:rPr>
          <w:rFonts w:hint="eastAsia" w:ascii="宋体" w:hAnsi="宋体" w:cs="宋体"/>
          <w:color w:val="auto"/>
          <w:szCs w:val="21"/>
          <w:lang w:val="en-US" w:eastAsia="zh-CN"/>
        </w:rPr>
        <w:t>招标</w:t>
      </w:r>
      <w:r>
        <w:rPr>
          <w:rFonts w:hint="eastAsia" w:ascii="宋体" w:hAnsi="宋体" w:cs="宋体"/>
          <w:color w:val="auto"/>
          <w:szCs w:val="21"/>
        </w:rPr>
        <w:t>。</w:t>
      </w:r>
    </w:p>
    <w:p>
      <w:pPr>
        <w:pStyle w:val="183"/>
        <w:spacing w:line="360" w:lineRule="auto"/>
        <w:outlineLvl w:val="0"/>
        <w:rPr>
          <w:rFonts w:hint="eastAsia" w:ascii="宋体" w:hAnsi="宋体" w:eastAsia="宋体"/>
          <w:b/>
          <w:bCs/>
          <w:color w:val="auto"/>
          <w:sz w:val="21"/>
          <w:szCs w:val="21"/>
        </w:rPr>
      </w:pPr>
      <w:bookmarkStart w:id="599" w:name="_Toc9897"/>
      <w:bookmarkStart w:id="600" w:name="_Toc30300"/>
      <w:bookmarkStart w:id="601" w:name="_Toc16163"/>
      <w:bookmarkStart w:id="602" w:name="_Toc28177"/>
      <w:bookmarkStart w:id="603" w:name="_Toc466298127"/>
      <w:bookmarkStart w:id="604" w:name="_Toc455080144"/>
      <w:bookmarkStart w:id="605" w:name="_Toc455867804"/>
      <w:bookmarkStart w:id="606" w:name="_Toc15825"/>
      <w:bookmarkStart w:id="607" w:name="_Toc490667864"/>
      <w:bookmarkStart w:id="608" w:name="_Toc5428"/>
      <w:bookmarkStart w:id="609" w:name="_Toc5668"/>
      <w:bookmarkStart w:id="610" w:name="_Toc9775"/>
      <w:r>
        <w:rPr>
          <w:rFonts w:hint="eastAsia" w:ascii="宋体" w:hAnsi="宋体" w:eastAsia="宋体"/>
          <w:b/>
          <w:bCs/>
          <w:color w:val="auto"/>
          <w:sz w:val="21"/>
          <w:szCs w:val="21"/>
        </w:rPr>
        <w:t>7.2 成交通知</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在本章第3.3.1款规定的磋商有效期内，采购人以书面形式向成交人发出成交通知书。</w:t>
      </w:r>
    </w:p>
    <w:p>
      <w:pPr>
        <w:pStyle w:val="183"/>
        <w:spacing w:line="360" w:lineRule="auto"/>
        <w:outlineLvl w:val="0"/>
        <w:rPr>
          <w:rFonts w:hint="eastAsia" w:ascii="宋体" w:hAnsi="宋体" w:eastAsia="宋体"/>
          <w:b/>
          <w:bCs/>
          <w:color w:val="auto"/>
          <w:sz w:val="21"/>
          <w:szCs w:val="21"/>
        </w:rPr>
      </w:pPr>
      <w:bookmarkStart w:id="611" w:name="_Toc455867805"/>
      <w:bookmarkStart w:id="612" w:name="_Toc26655"/>
      <w:bookmarkStart w:id="613" w:name="_Toc152045570"/>
      <w:bookmarkStart w:id="614" w:name="_Toc10082"/>
      <w:bookmarkStart w:id="615" w:name="_Toc13147"/>
      <w:bookmarkStart w:id="616" w:name="_Toc12663"/>
      <w:bookmarkStart w:id="617" w:name="_Toc15458"/>
      <w:bookmarkStart w:id="618" w:name="_Toc455080145"/>
      <w:bookmarkStart w:id="619" w:name="_Toc8886"/>
      <w:bookmarkStart w:id="620" w:name="_Toc152042346"/>
      <w:bookmarkStart w:id="621" w:name="_Toc26915"/>
      <w:bookmarkStart w:id="622" w:name="_Toc144974538"/>
      <w:bookmarkStart w:id="623" w:name="_Toc12508"/>
      <w:bookmarkStart w:id="624" w:name="_Toc21271"/>
      <w:bookmarkStart w:id="625" w:name="_Toc466298128"/>
      <w:bookmarkStart w:id="626" w:name="_Toc24026"/>
      <w:bookmarkStart w:id="627" w:name="_Toc26760"/>
      <w:bookmarkStart w:id="628" w:name="_Toc318450712"/>
      <w:bookmarkStart w:id="629" w:name="_Toc490667865"/>
      <w:r>
        <w:rPr>
          <w:rFonts w:hint="eastAsia" w:ascii="宋体" w:hAnsi="宋体" w:eastAsia="宋体"/>
          <w:b/>
          <w:bCs/>
          <w:color w:val="auto"/>
          <w:sz w:val="21"/>
          <w:szCs w:val="21"/>
        </w:rPr>
        <w:t>7.3 签订合同</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7.3.1</w:t>
      </w:r>
      <w:r>
        <w:rPr>
          <w:rFonts w:hint="eastAsia" w:ascii="宋体" w:hAnsi="宋体" w:cs="宋体"/>
          <w:color w:val="auto"/>
          <w:szCs w:val="21"/>
          <w:lang w:val="en-US" w:eastAsia="zh-CN"/>
        </w:rPr>
        <w:t>采购</w:t>
      </w:r>
      <w:r>
        <w:rPr>
          <w:rFonts w:hint="eastAsia" w:ascii="宋体" w:hAnsi="宋体" w:cs="宋体"/>
          <w:color w:val="auto"/>
          <w:szCs w:val="21"/>
        </w:rPr>
        <w:t>人和</w:t>
      </w:r>
      <w:r>
        <w:rPr>
          <w:rFonts w:hint="eastAsia" w:ascii="宋体" w:hAnsi="宋体" w:cs="宋体"/>
          <w:color w:val="auto"/>
          <w:szCs w:val="21"/>
          <w:lang w:val="en-US" w:eastAsia="zh-CN"/>
        </w:rPr>
        <w:t>成交供应商</w:t>
      </w:r>
      <w:r>
        <w:rPr>
          <w:rFonts w:hint="eastAsia" w:ascii="宋体" w:hAnsi="宋体" w:cs="宋体"/>
          <w:color w:val="auto"/>
          <w:szCs w:val="21"/>
        </w:rPr>
        <w:t>应当自</w:t>
      </w:r>
      <w:r>
        <w:rPr>
          <w:rFonts w:hint="eastAsia" w:ascii="宋体" w:hAnsi="宋体" w:cs="宋体"/>
          <w:color w:val="auto"/>
          <w:szCs w:val="21"/>
          <w:lang w:val="en-US" w:eastAsia="zh-CN"/>
        </w:rPr>
        <w:t>成交</w:t>
      </w:r>
      <w:r>
        <w:rPr>
          <w:rFonts w:hint="eastAsia" w:ascii="宋体" w:hAnsi="宋体" w:cs="宋体"/>
          <w:color w:val="auto"/>
          <w:szCs w:val="21"/>
        </w:rPr>
        <w:t>通知书发出之日起</w:t>
      </w:r>
      <w:r>
        <w:rPr>
          <w:rFonts w:hint="eastAsia" w:ascii="宋体" w:hAnsi="宋体" w:cs="宋体"/>
          <w:color w:val="auto"/>
          <w:szCs w:val="21"/>
          <w:lang w:val="en-US" w:eastAsia="zh-CN"/>
        </w:rPr>
        <w:t>2-7</w:t>
      </w:r>
      <w:r>
        <w:rPr>
          <w:rFonts w:hint="eastAsia" w:ascii="宋体" w:hAnsi="宋体" w:cs="宋体"/>
          <w:color w:val="auto"/>
          <w:szCs w:val="21"/>
        </w:rPr>
        <w:t>个工作日内，根据</w:t>
      </w:r>
      <w:r>
        <w:rPr>
          <w:rFonts w:hint="eastAsia" w:ascii="宋体" w:hAnsi="宋体" w:cs="宋体"/>
          <w:color w:val="auto"/>
          <w:szCs w:val="21"/>
          <w:lang w:val="en-US" w:eastAsia="zh-CN"/>
        </w:rPr>
        <w:t>磋商</w:t>
      </w:r>
      <w:r>
        <w:rPr>
          <w:rFonts w:hint="eastAsia" w:ascii="宋体" w:hAnsi="宋体" w:cs="宋体"/>
          <w:color w:val="auto"/>
          <w:szCs w:val="21"/>
        </w:rPr>
        <w:t>文件和</w:t>
      </w:r>
      <w:r>
        <w:rPr>
          <w:rFonts w:hint="eastAsia" w:ascii="宋体" w:hAnsi="宋体" w:cs="宋体"/>
          <w:color w:val="auto"/>
          <w:szCs w:val="21"/>
          <w:lang w:val="en-US" w:eastAsia="zh-CN"/>
        </w:rPr>
        <w:t>成交供应商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文件订立书面合同。</w:t>
      </w:r>
      <w:r>
        <w:rPr>
          <w:rFonts w:hint="eastAsia" w:ascii="宋体" w:hAnsi="宋体" w:cs="宋体"/>
          <w:color w:val="auto"/>
          <w:szCs w:val="21"/>
          <w:lang w:val="en-US" w:eastAsia="zh-CN"/>
        </w:rPr>
        <w:t>成交供应商</w:t>
      </w:r>
      <w:r>
        <w:rPr>
          <w:rFonts w:hint="eastAsia" w:ascii="宋体" w:hAnsi="宋体" w:cs="宋体"/>
          <w:color w:val="auto"/>
          <w:szCs w:val="21"/>
        </w:rPr>
        <w:t>无正当理由拒签合同的，</w:t>
      </w:r>
      <w:r>
        <w:rPr>
          <w:rFonts w:hint="eastAsia" w:ascii="宋体" w:hAnsi="宋体" w:cs="宋体"/>
          <w:color w:val="auto"/>
          <w:szCs w:val="21"/>
          <w:lang w:val="en-US" w:eastAsia="zh-CN"/>
        </w:rPr>
        <w:t>采购人</w:t>
      </w:r>
      <w:r>
        <w:rPr>
          <w:rFonts w:hint="eastAsia" w:ascii="宋体" w:hAnsi="宋体" w:cs="宋体"/>
          <w:color w:val="auto"/>
          <w:szCs w:val="21"/>
        </w:rPr>
        <w:t>取消其</w:t>
      </w:r>
      <w:r>
        <w:rPr>
          <w:rFonts w:hint="eastAsia" w:ascii="宋体" w:hAnsi="宋体" w:cs="宋体"/>
          <w:color w:val="auto"/>
          <w:szCs w:val="21"/>
          <w:lang w:val="en-US" w:eastAsia="zh-CN"/>
        </w:rPr>
        <w:t>成交</w:t>
      </w:r>
      <w:r>
        <w:rPr>
          <w:rFonts w:hint="eastAsia" w:ascii="宋体" w:hAnsi="宋体" w:cs="宋体"/>
          <w:color w:val="auto"/>
          <w:szCs w:val="21"/>
        </w:rPr>
        <w:t>资格。</w:t>
      </w:r>
      <w:r>
        <w:rPr>
          <w:rFonts w:hint="eastAsia" w:ascii="宋体" w:hAnsi="宋体" w:cs="宋体"/>
          <w:color w:val="auto"/>
          <w:szCs w:val="21"/>
          <w:lang w:val="en-US" w:eastAsia="zh-CN"/>
        </w:rPr>
        <w:t>成交供应商</w:t>
      </w:r>
      <w:r>
        <w:rPr>
          <w:rFonts w:hint="eastAsia" w:ascii="宋体" w:hAnsi="宋体" w:cs="宋体"/>
          <w:color w:val="auto"/>
          <w:szCs w:val="21"/>
        </w:rPr>
        <w:t>无正当理由拒签合同的，采购人取消其成交资格；给采购人造成的损失的，成交</w:t>
      </w:r>
      <w:r>
        <w:rPr>
          <w:rFonts w:hint="eastAsia" w:ascii="宋体" w:hAnsi="宋体" w:cs="宋体"/>
          <w:color w:val="auto"/>
          <w:szCs w:val="21"/>
          <w:lang w:val="en-US" w:eastAsia="zh-CN"/>
        </w:rPr>
        <w:t>供应商</w:t>
      </w:r>
      <w:r>
        <w:rPr>
          <w:rFonts w:hint="eastAsia" w:ascii="宋体" w:hAnsi="宋体" w:cs="宋体"/>
          <w:color w:val="auto"/>
          <w:szCs w:val="21"/>
        </w:rPr>
        <w:t xml:space="preserve">还应当对超过部分予以赔偿。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7.3.2 发出成交通知书后，采购人无正当理由拒签合同的，给成交人造成损失的，还应当赔偿损失。  </w:t>
      </w:r>
      <w:bookmarkStart w:id="630" w:name="_Toc152045574"/>
      <w:bookmarkStart w:id="631" w:name="_Toc144974542"/>
      <w:bookmarkStart w:id="632" w:name="_Toc152042350"/>
    </w:p>
    <w:p>
      <w:pPr>
        <w:pStyle w:val="177"/>
        <w:spacing w:before="0" w:beforeLines="0" w:line="360" w:lineRule="auto"/>
        <w:rPr>
          <w:rFonts w:hint="eastAsia" w:ascii="宋体" w:hAnsi="宋体" w:eastAsia="宋体"/>
          <w:b/>
          <w:bCs/>
          <w:color w:val="auto"/>
          <w:sz w:val="21"/>
          <w:szCs w:val="21"/>
        </w:rPr>
      </w:pPr>
      <w:bookmarkStart w:id="633" w:name="_Toc16866"/>
      <w:bookmarkStart w:id="634" w:name="_Toc455080146"/>
      <w:bookmarkStart w:id="635" w:name="_Toc805"/>
      <w:r>
        <w:rPr>
          <w:rFonts w:hint="eastAsia" w:ascii="宋体" w:hAnsi="宋体" w:eastAsia="宋体"/>
          <w:b/>
          <w:bCs/>
          <w:color w:val="auto"/>
          <w:sz w:val="21"/>
          <w:szCs w:val="21"/>
        </w:rPr>
        <w:t>8.重新招标</w:t>
      </w:r>
      <w:bookmarkEnd w:id="633"/>
      <w:bookmarkEnd w:id="634"/>
      <w:bookmarkEnd w:id="635"/>
    </w:p>
    <w:p>
      <w:pPr>
        <w:spacing w:line="360" w:lineRule="auto"/>
        <w:rPr>
          <w:rFonts w:hint="eastAsia" w:ascii="宋体" w:hAnsi="宋体"/>
          <w:color w:val="auto"/>
          <w:szCs w:val="21"/>
        </w:rPr>
      </w:pPr>
      <w:bookmarkStart w:id="636" w:name="_Toc16556"/>
      <w:r>
        <w:rPr>
          <w:rFonts w:hint="eastAsia" w:ascii="宋体" w:hAnsi="宋体"/>
          <w:b/>
          <w:bCs/>
          <w:color w:val="auto"/>
          <w:szCs w:val="21"/>
        </w:rPr>
        <w:t>8.1 重新招标</w:t>
      </w:r>
      <w:bookmarkEnd w:id="636"/>
    </w:p>
    <w:p>
      <w:pPr>
        <w:spacing w:line="360" w:lineRule="auto"/>
        <w:ind w:firstLine="480"/>
        <w:rPr>
          <w:rFonts w:hint="eastAsia" w:ascii="宋体" w:hAnsi="宋体"/>
          <w:color w:val="auto"/>
          <w:szCs w:val="21"/>
        </w:rPr>
      </w:pPr>
      <w:bookmarkStart w:id="637" w:name="_Toc9985"/>
      <w:r>
        <w:rPr>
          <w:rFonts w:hint="eastAsia" w:ascii="宋体" w:hAnsi="宋体"/>
          <w:color w:val="auto"/>
          <w:szCs w:val="21"/>
        </w:rPr>
        <w:t>有下列情形之一的，采购人将重新招标：</w:t>
      </w:r>
      <w:bookmarkEnd w:id="637"/>
    </w:p>
    <w:p>
      <w:pPr>
        <w:spacing w:line="360" w:lineRule="auto"/>
        <w:rPr>
          <w:rFonts w:hint="eastAsia" w:ascii="宋体" w:hAnsi="宋体"/>
          <w:color w:val="auto"/>
          <w:szCs w:val="21"/>
        </w:rPr>
      </w:pPr>
      <w:bookmarkStart w:id="638" w:name="_Toc25063"/>
      <w:r>
        <w:rPr>
          <w:rFonts w:hint="eastAsia" w:ascii="宋体" w:hAnsi="宋体"/>
          <w:color w:val="auto"/>
          <w:szCs w:val="21"/>
        </w:rPr>
        <w:t xml:space="preserve">   （1）提交响应文件截止时间止，供应商少于</w:t>
      </w:r>
      <w:r>
        <w:rPr>
          <w:rFonts w:hint="eastAsia" w:ascii="宋体" w:hAnsi="宋体"/>
          <w:color w:val="auto"/>
          <w:szCs w:val="21"/>
          <w:lang w:val="en-US" w:eastAsia="zh-CN"/>
        </w:rPr>
        <w:t>3</w:t>
      </w:r>
      <w:r>
        <w:rPr>
          <w:rFonts w:hint="eastAsia" w:ascii="宋体" w:hAnsi="宋体"/>
          <w:color w:val="auto"/>
          <w:szCs w:val="21"/>
        </w:rPr>
        <w:t>个的；</w:t>
      </w:r>
      <w:bookmarkEnd w:id="638"/>
      <w:r>
        <w:rPr>
          <w:rFonts w:hint="eastAsia" w:ascii="宋体" w:hAnsi="宋体"/>
          <w:color w:val="auto"/>
          <w:szCs w:val="21"/>
        </w:rPr>
        <w:t xml:space="preserve"> </w:t>
      </w:r>
    </w:p>
    <w:p>
      <w:pPr>
        <w:spacing w:line="360" w:lineRule="auto"/>
        <w:rPr>
          <w:rFonts w:hint="eastAsia" w:ascii="宋体" w:hAnsi="宋体"/>
          <w:color w:val="auto"/>
          <w:szCs w:val="21"/>
        </w:rPr>
      </w:pPr>
      <w:r>
        <w:rPr>
          <w:rFonts w:hint="eastAsia" w:ascii="宋体" w:hAnsi="宋体"/>
          <w:color w:val="auto"/>
          <w:szCs w:val="21"/>
        </w:rPr>
        <w:t xml:space="preserve">   </w:t>
      </w:r>
      <w:bookmarkStart w:id="639" w:name="_Toc17911"/>
      <w:r>
        <w:rPr>
          <w:rFonts w:hint="eastAsia" w:ascii="宋体" w:hAnsi="宋体"/>
          <w:color w:val="auto"/>
          <w:szCs w:val="21"/>
        </w:rPr>
        <w:t>（2）经磋商小组评审后否决所有响应文件的。</w:t>
      </w:r>
      <w:bookmarkEnd w:id="639"/>
    </w:p>
    <w:p>
      <w:pPr>
        <w:pStyle w:val="177"/>
        <w:spacing w:before="0" w:beforeLines="0" w:line="360" w:lineRule="auto"/>
        <w:rPr>
          <w:rFonts w:hint="eastAsia" w:ascii="宋体" w:hAnsi="宋体" w:eastAsia="宋体"/>
          <w:b/>
          <w:bCs/>
          <w:color w:val="auto"/>
          <w:sz w:val="21"/>
          <w:szCs w:val="21"/>
        </w:rPr>
      </w:pPr>
      <w:bookmarkStart w:id="640" w:name="_Toc10011"/>
      <w:bookmarkStart w:id="641" w:name="_Toc455080147"/>
      <w:bookmarkStart w:id="642" w:name="_Toc9996"/>
      <w:r>
        <w:rPr>
          <w:rFonts w:hint="eastAsia" w:ascii="宋体" w:hAnsi="宋体" w:eastAsia="宋体"/>
          <w:b/>
          <w:bCs/>
          <w:color w:val="auto"/>
          <w:sz w:val="21"/>
          <w:szCs w:val="21"/>
        </w:rPr>
        <w:t>9.纪律和监督</w:t>
      </w:r>
      <w:bookmarkEnd w:id="630"/>
      <w:bookmarkEnd w:id="631"/>
      <w:bookmarkEnd w:id="632"/>
      <w:bookmarkEnd w:id="640"/>
      <w:bookmarkEnd w:id="641"/>
      <w:bookmarkEnd w:id="642"/>
    </w:p>
    <w:p>
      <w:pPr>
        <w:pStyle w:val="183"/>
        <w:spacing w:line="360" w:lineRule="auto"/>
        <w:outlineLvl w:val="0"/>
        <w:rPr>
          <w:rFonts w:hint="eastAsia" w:ascii="宋体" w:hAnsi="宋体" w:eastAsia="宋体"/>
          <w:b/>
          <w:bCs/>
          <w:color w:val="auto"/>
          <w:sz w:val="21"/>
          <w:szCs w:val="21"/>
        </w:rPr>
      </w:pPr>
      <w:bookmarkStart w:id="643" w:name="_Toc20009"/>
      <w:bookmarkStart w:id="644" w:name="_Toc318450714"/>
      <w:bookmarkStart w:id="645" w:name="_Toc144974543"/>
      <w:bookmarkStart w:id="646" w:name="_Toc152045575"/>
      <w:bookmarkStart w:id="647" w:name="_Toc19159"/>
      <w:bookmarkStart w:id="648" w:name="_Toc269"/>
      <w:bookmarkStart w:id="649" w:name="_Toc27836"/>
      <w:bookmarkStart w:id="650" w:name="_Toc697"/>
      <w:bookmarkStart w:id="651" w:name="_Toc1282"/>
      <w:bookmarkStart w:id="652" w:name="_Toc13970"/>
      <w:bookmarkStart w:id="653" w:name="_Toc455080148"/>
      <w:bookmarkStart w:id="654" w:name="_Toc15592"/>
      <w:bookmarkStart w:id="655" w:name="_Toc12992"/>
      <w:bookmarkStart w:id="656" w:name="_Toc466298131"/>
      <w:bookmarkStart w:id="657" w:name="_Toc15769"/>
      <w:bookmarkStart w:id="658" w:name="_Toc18997"/>
      <w:bookmarkStart w:id="659" w:name="_Toc490667868"/>
      <w:bookmarkStart w:id="660" w:name="_Toc152042351"/>
      <w:bookmarkStart w:id="661" w:name="_Toc455867808"/>
      <w:r>
        <w:rPr>
          <w:rFonts w:hint="eastAsia" w:ascii="宋体" w:hAnsi="宋体" w:eastAsia="宋体"/>
          <w:b/>
          <w:bCs/>
          <w:color w:val="auto"/>
          <w:sz w:val="21"/>
          <w:szCs w:val="21"/>
        </w:rPr>
        <w:t>9.1 对</w:t>
      </w:r>
      <w:r>
        <w:rPr>
          <w:rFonts w:hint="eastAsia" w:ascii="宋体" w:hAnsi="宋体" w:eastAsia="宋体"/>
          <w:b/>
          <w:bCs/>
          <w:color w:val="auto"/>
          <w:sz w:val="21"/>
          <w:szCs w:val="21"/>
          <w:lang w:eastAsia="zh-CN"/>
        </w:rPr>
        <w:t>采购人</w:t>
      </w:r>
      <w:r>
        <w:rPr>
          <w:rFonts w:hint="eastAsia" w:ascii="宋体" w:hAnsi="宋体" w:eastAsia="宋体"/>
          <w:b/>
          <w:bCs/>
          <w:color w:val="auto"/>
          <w:sz w:val="21"/>
          <w:szCs w:val="21"/>
        </w:rPr>
        <w:t>的纪律要求</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pPr>
        <w:pStyle w:val="183"/>
        <w:spacing w:line="360" w:lineRule="auto"/>
        <w:outlineLvl w:val="0"/>
        <w:rPr>
          <w:rFonts w:hint="eastAsia" w:ascii="宋体" w:hAnsi="宋体" w:eastAsia="宋体"/>
          <w:color w:val="auto"/>
          <w:sz w:val="21"/>
          <w:szCs w:val="21"/>
        </w:rPr>
      </w:pPr>
      <w:bookmarkStart w:id="662" w:name="_Toc490667869"/>
      <w:bookmarkStart w:id="663" w:name="_Toc455080149"/>
      <w:bookmarkStart w:id="664" w:name="_Toc19167"/>
      <w:bookmarkStart w:id="665" w:name="_Toc20261"/>
      <w:bookmarkStart w:id="666" w:name="_Toc3089"/>
      <w:bookmarkStart w:id="667" w:name="_Toc466298132"/>
      <w:bookmarkStart w:id="668" w:name="_Toc152045576"/>
      <w:bookmarkStart w:id="669" w:name="_Toc18204"/>
      <w:bookmarkStart w:id="670" w:name="_Toc1743"/>
      <w:bookmarkStart w:id="671" w:name="_Toc17040"/>
      <w:bookmarkStart w:id="672" w:name="_Toc21922"/>
      <w:bookmarkStart w:id="673" w:name="_Toc27698"/>
      <w:bookmarkStart w:id="674" w:name="_Toc144974544"/>
      <w:bookmarkStart w:id="675" w:name="_Toc455867809"/>
      <w:bookmarkStart w:id="676" w:name="_Toc18604"/>
      <w:bookmarkStart w:id="677" w:name="_Toc21646"/>
      <w:bookmarkStart w:id="678" w:name="_Toc7572"/>
      <w:bookmarkStart w:id="679" w:name="_Toc152042352"/>
      <w:bookmarkStart w:id="680" w:name="_Toc318450715"/>
      <w:r>
        <w:rPr>
          <w:rFonts w:hint="eastAsia" w:ascii="宋体" w:hAnsi="宋体" w:eastAsia="宋体"/>
          <w:b/>
          <w:bCs/>
          <w:color w:val="auto"/>
          <w:sz w:val="21"/>
          <w:szCs w:val="21"/>
        </w:rPr>
        <w:t>9.2 对供应商的纪律要求</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pPr>
        <w:pStyle w:val="183"/>
        <w:spacing w:line="360" w:lineRule="auto"/>
        <w:outlineLvl w:val="0"/>
        <w:rPr>
          <w:rFonts w:hint="eastAsia" w:ascii="宋体" w:hAnsi="宋体" w:eastAsia="宋体"/>
          <w:b/>
          <w:bCs/>
          <w:color w:val="auto"/>
          <w:sz w:val="21"/>
          <w:szCs w:val="21"/>
        </w:rPr>
      </w:pPr>
      <w:bookmarkStart w:id="681" w:name="_Toc12177"/>
      <w:bookmarkStart w:id="682" w:name="_Toc7439"/>
      <w:bookmarkStart w:id="683" w:name="_Toc19965"/>
      <w:bookmarkStart w:id="684" w:name="_Toc466298133"/>
      <w:bookmarkStart w:id="685" w:name="_Toc28813"/>
      <w:bookmarkStart w:id="686" w:name="_Toc152042353"/>
      <w:bookmarkStart w:id="687" w:name="_Toc490667870"/>
      <w:bookmarkStart w:id="688" w:name="_Toc7107"/>
      <w:bookmarkStart w:id="689" w:name="_Toc12316"/>
      <w:bookmarkStart w:id="690" w:name="_Toc455867810"/>
      <w:bookmarkStart w:id="691" w:name="_Toc32320"/>
      <w:bookmarkStart w:id="692" w:name="_Toc30153"/>
      <w:bookmarkStart w:id="693" w:name="_Toc25241"/>
      <w:bookmarkStart w:id="694" w:name="_Toc455080150"/>
      <w:bookmarkStart w:id="695" w:name="_Toc25211"/>
      <w:bookmarkStart w:id="696" w:name="_Toc144974545"/>
      <w:bookmarkStart w:id="697" w:name="_Toc152045577"/>
      <w:bookmarkStart w:id="698" w:name="_Toc318450716"/>
      <w:bookmarkStart w:id="699" w:name="_Toc31001"/>
      <w:r>
        <w:rPr>
          <w:rFonts w:hint="eastAsia" w:ascii="宋体" w:hAnsi="宋体" w:eastAsia="宋体"/>
          <w:b/>
          <w:bCs/>
          <w:color w:val="auto"/>
          <w:sz w:val="21"/>
          <w:szCs w:val="21"/>
        </w:rPr>
        <w:t>9.3 对磋商小组成员的纪律要求</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pPr>
        <w:pStyle w:val="183"/>
        <w:spacing w:line="360" w:lineRule="auto"/>
        <w:outlineLvl w:val="0"/>
        <w:rPr>
          <w:rFonts w:hint="eastAsia" w:ascii="宋体" w:hAnsi="宋体" w:eastAsia="宋体"/>
          <w:color w:val="auto"/>
          <w:sz w:val="21"/>
          <w:szCs w:val="21"/>
        </w:rPr>
      </w:pPr>
      <w:bookmarkStart w:id="700" w:name="_Toc152045578"/>
      <w:bookmarkStart w:id="701" w:name="_Toc22936"/>
      <w:bookmarkStart w:id="702" w:name="_Toc152042354"/>
      <w:bookmarkStart w:id="703" w:name="_Toc455867811"/>
      <w:bookmarkStart w:id="704" w:name="_Toc466298134"/>
      <w:bookmarkStart w:id="705" w:name="_Toc19485"/>
      <w:bookmarkStart w:id="706" w:name="_Toc490667871"/>
      <w:bookmarkStart w:id="707" w:name="_Toc23717"/>
      <w:bookmarkStart w:id="708" w:name="_Toc455080151"/>
      <w:bookmarkStart w:id="709" w:name="_Toc26462"/>
      <w:bookmarkStart w:id="710" w:name="_Toc20546"/>
      <w:bookmarkStart w:id="711" w:name="_Toc7368"/>
      <w:bookmarkStart w:id="712" w:name="_Toc24"/>
      <w:bookmarkStart w:id="713" w:name="_Toc1295"/>
      <w:bookmarkStart w:id="714" w:name="_Toc27559"/>
      <w:bookmarkStart w:id="715" w:name="_Toc9063"/>
      <w:bookmarkStart w:id="716" w:name="_Toc318450717"/>
      <w:bookmarkStart w:id="717" w:name="_Toc235"/>
      <w:bookmarkStart w:id="718" w:name="_Toc144974546"/>
      <w:r>
        <w:rPr>
          <w:rFonts w:hint="eastAsia" w:ascii="宋体" w:hAnsi="宋体" w:eastAsia="宋体"/>
          <w:b/>
          <w:bCs/>
          <w:color w:val="auto"/>
          <w:sz w:val="21"/>
          <w:szCs w:val="21"/>
        </w:rPr>
        <w:t>9.4 对与评标活动有关的工作人员的纪律要求</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spacing w:line="360" w:lineRule="auto"/>
        <w:ind w:firstLine="420" w:firstLineChars="200"/>
        <w:rPr>
          <w:rFonts w:hint="eastAsia" w:ascii="宋体" w:hAnsi="宋体" w:cs="宋体"/>
          <w:color w:val="auto"/>
          <w:szCs w:val="21"/>
        </w:rPr>
      </w:pPr>
      <w:bookmarkStart w:id="719" w:name="_Toc152042355"/>
      <w:r>
        <w:rPr>
          <w:rFonts w:hint="eastAsia" w:ascii="宋体" w:hAnsi="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19"/>
    </w:p>
    <w:p>
      <w:pPr>
        <w:pStyle w:val="183"/>
        <w:spacing w:line="360" w:lineRule="auto"/>
        <w:outlineLvl w:val="0"/>
        <w:rPr>
          <w:rFonts w:hint="eastAsia" w:ascii="宋体" w:hAnsi="宋体" w:eastAsia="宋体"/>
          <w:b/>
          <w:bCs/>
          <w:color w:val="auto"/>
          <w:sz w:val="21"/>
          <w:szCs w:val="21"/>
        </w:rPr>
      </w:pPr>
      <w:bookmarkStart w:id="720" w:name="_Toc455867812"/>
      <w:bookmarkStart w:id="721" w:name="_Toc17735"/>
      <w:bookmarkStart w:id="722" w:name="_Toc32675"/>
      <w:bookmarkStart w:id="723" w:name="_Toc1820"/>
      <w:bookmarkStart w:id="724" w:name="_Toc490667872"/>
      <w:bookmarkStart w:id="725" w:name="_Toc455080152"/>
      <w:bookmarkStart w:id="726" w:name="_Toc3617"/>
      <w:bookmarkStart w:id="727" w:name="_Toc8074"/>
      <w:bookmarkStart w:id="728" w:name="_Toc6199"/>
      <w:bookmarkStart w:id="729" w:name="_Toc152042356"/>
      <w:bookmarkStart w:id="730" w:name="_Toc25816"/>
      <w:bookmarkStart w:id="731" w:name="_Toc31010"/>
      <w:bookmarkStart w:id="732" w:name="_Toc318450718"/>
      <w:bookmarkStart w:id="733" w:name="_Toc466298135"/>
      <w:bookmarkStart w:id="734" w:name="_Toc25751"/>
      <w:bookmarkStart w:id="735" w:name="_Toc5504"/>
      <w:bookmarkStart w:id="736" w:name="_Toc3303"/>
      <w:bookmarkStart w:id="737" w:name="_Toc152045579"/>
      <w:r>
        <w:rPr>
          <w:rFonts w:hint="eastAsia" w:ascii="宋体" w:hAnsi="宋体" w:eastAsia="宋体"/>
          <w:b/>
          <w:bCs/>
          <w:color w:val="auto"/>
          <w:sz w:val="21"/>
          <w:szCs w:val="21"/>
        </w:rPr>
        <w:t>9.5 投诉</w:t>
      </w:r>
      <w:bookmarkEnd w:id="718"/>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p>
    <w:p>
      <w:pPr>
        <w:pStyle w:val="177"/>
        <w:spacing w:before="0" w:beforeLines="0" w:line="360" w:lineRule="auto"/>
        <w:rPr>
          <w:rFonts w:hint="eastAsia" w:ascii="宋体" w:hAnsi="宋体" w:eastAsia="宋体"/>
          <w:b/>
          <w:bCs/>
          <w:color w:val="auto"/>
          <w:sz w:val="21"/>
          <w:szCs w:val="21"/>
        </w:rPr>
      </w:pPr>
      <w:bookmarkStart w:id="738" w:name="_Toc152042357"/>
      <w:bookmarkStart w:id="739" w:name="_Toc21681"/>
      <w:bookmarkStart w:id="740" w:name="_Toc14221"/>
      <w:bookmarkStart w:id="741" w:name="_Toc152045580"/>
      <w:bookmarkStart w:id="742" w:name="_Toc144974547"/>
      <w:bookmarkStart w:id="743" w:name="_Toc455080153"/>
      <w:r>
        <w:rPr>
          <w:rFonts w:hint="eastAsia" w:ascii="宋体" w:hAnsi="宋体" w:eastAsia="宋体"/>
          <w:b/>
          <w:bCs/>
          <w:color w:val="auto"/>
          <w:sz w:val="21"/>
          <w:szCs w:val="21"/>
        </w:rPr>
        <w:t>10. 需要补充的其他内容</w:t>
      </w:r>
      <w:bookmarkEnd w:id="738"/>
      <w:bookmarkEnd w:id="739"/>
      <w:bookmarkEnd w:id="740"/>
      <w:bookmarkEnd w:id="741"/>
      <w:bookmarkEnd w:id="742"/>
      <w:bookmarkEnd w:id="743"/>
    </w:p>
    <w:p>
      <w:pPr>
        <w:spacing w:line="360" w:lineRule="auto"/>
        <w:ind w:firstLine="420" w:firstLineChars="200"/>
        <w:outlineLvl w:val="0"/>
        <w:rPr>
          <w:rFonts w:hint="eastAsia" w:ascii="宋体" w:hAnsi="宋体" w:cs="宋体"/>
          <w:color w:val="auto"/>
          <w:szCs w:val="21"/>
        </w:rPr>
      </w:pPr>
      <w:bookmarkStart w:id="744" w:name="_Toc490667874"/>
      <w:bookmarkStart w:id="745" w:name="_Toc14763"/>
      <w:bookmarkStart w:id="746" w:name="_Toc17627"/>
      <w:bookmarkStart w:id="747" w:name="_Toc5176"/>
      <w:bookmarkStart w:id="748" w:name="_Toc22486"/>
      <w:bookmarkStart w:id="749" w:name="_Toc5706"/>
      <w:bookmarkStart w:id="750" w:name="_Toc466298137"/>
      <w:bookmarkStart w:id="751" w:name="_Toc455867814"/>
      <w:bookmarkStart w:id="752" w:name="_Toc455080154"/>
      <w:r>
        <w:rPr>
          <w:rFonts w:hint="eastAsia" w:ascii="宋体" w:hAnsi="宋体" w:cs="宋体"/>
          <w:color w:val="auto"/>
          <w:szCs w:val="21"/>
        </w:rPr>
        <w:t>需要补充的其他内容：见供应商须知前附表。</w:t>
      </w:r>
      <w:bookmarkEnd w:id="744"/>
      <w:bookmarkEnd w:id="745"/>
      <w:bookmarkEnd w:id="746"/>
      <w:bookmarkEnd w:id="747"/>
      <w:bookmarkEnd w:id="748"/>
      <w:bookmarkEnd w:id="749"/>
      <w:bookmarkStart w:id="753" w:name="_Toc144974565"/>
      <w:bookmarkStart w:id="754" w:name="_Toc152042375"/>
      <w:bookmarkStart w:id="755" w:name="_Toc152045598"/>
    </w:p>
    <w:bookmarkEnd w:id="750"/>
    <w:bookmarkEnd w:id="751"/>
    <w:bookmarkEnd w:id="752"/>
    <w:bookmarkEnd w:id="753"/>
    <w:bookmarkEnd w:id="754"/>
    <w:bookmarkEnd w:id="755"/>
    <w:p>
      <w:pPr>
        <w:jc w:val="center"/>
        <w:outlineLvl w:val="0"/>
        <w:rPr>
          <w:rFonts w:hint="eastAsia" w:ascii="宋体" w:hAnsi="宋体" w:cs="宋体"/>
          <w:bCs/>
          <w:color w:val="auto"/>
          <w:sz w:val="32"/>
          <w:szCs w:val="32"/>
        </w:rPr>
      </w:pPr>
      <w:bookmarkStart w:id="756" w:name="_Toc152042387"/>
      <w:bookmarkStart w:id="757" w:name="_Toc144974577"/>
      <w:bookmarkStart w:id="758" w:name="_Toc152045609"/>
      <w:bookmarkStart w:id="759" w:name="_Toc14024"/>
      <w:r>
        <w:rPr>
          <w:rFonts w:hint="eastAsia" w:ascii="宋体" w:hAnsi="宋体" w:cs="宋体"/>
          <w:b/>
          <w:color w:val="auto"/>
          <w:kern w:val="44"/>
          <w:sz w:val="32"/>
          <w:szCs w:val="32"/>
        </w:rPr>
        <w:br w:type="page"/>
      </w:r>
      <w:bookmarkStart w:id="760" w:name="_Toc3134"/>
      <w:r>
        <w:rPr>
          <w:rFonts w:hint="eastAsia" w:ascii="宋体" w:hAnsi="宋体" w:cs="宋体"/>
          <w:b/>
          <w:color w:val="auto"/>
          <w:kern w:val="44"/>
          <w:sz w:val="32"/>
          <w:szCs w:val="32"/>
        </w:rPr>
        <w:t>第三章  评审办法（综合评分法）</w:t>
      </w:r>
      <w:bookmarkEnd w:id="760"/>
    </w:p>
    <w:p>
      <w:pPr>
        <w:jc w:val="center"/>
        <w:outlineLvl w:val="1"/>
        <w:rPr>
          <w:rFonts w:hint="eastAsia" w:ascii="宋体" w:hAnsi="宋体"/>
          <w:b/>
          <w:bCs/>
          <w:color w:val="auto"/>
          <w:sz w:val="28"/>
          <w:szCs w:val="28"/>
        </w:rPr>
      </w:pPr>
      <w:bookmarkStart w:id="761" w:name="_Toc28069"/>
      <w:bookmarkStart w:id="762" w:name="_Toc152042376"/>
      <w:bookmarkStart w:id="763" w:name="_Toc466298139"/>
      <w:bookmarkStart w:id="764" w:name="_Toc144974566"/>
      <w:bookmarkStart w:id="765" w:name="_Toc27806"/>
      <w:bookmarkStart w:id="766" w:name="_Toc281405527"/>
      <w:bookmarkStart w:id="767" w:name="_Toc455867816"/>
      <w:bookmarkStart w:id="768" w:name="_Toc455080156"/>
      <w:bookmarkStart w:id="769" w:name="_Toc28567"/>
      <w:bookmarkStart w:id="770" w:name="_Toc152045599"/>
      <w:bookmarkStart w:id="771" w:name="_Toc318450721"/>
      <w:r>
        <w:rPr>
          <w:rFonts w:hint="eastAsia" w:ascii="宋体" w:hAnsi="宋体"/>
          <w:b/>
          <w:bCs/>
          <w:color w:val="auto"/>
          <w:sz w:val="28"/>
          <w:szCs w:val="28"/>
        </w:rPr>
        <w:t>评审办法前附表</w:t>
      </w:r>
      <w:bookmarkEnd w:id="761"/>
      <w:bookmarkEnd w:id="762"/>
      <w:bookmarkEnd w:id="763"/>
      <w:bookmarkEnd w:id="764"/>
      <w:bookmarkEnd w:id="765"/>
      <w:bookmarkEnd w:id="766"/>
      <w:bookmarkEnd w:id="767"/>
      <w:bookmarkEnd w:id="768"/>
      <w:bookmarkEnd w:id="769"/>
      <w:bookmarkEnd w:id="770"/>
      <w:bookmarkEnd w:id="771"/>
    </w:p>
    <w:tbl>
      <w:tblPr>
        <w:tblStyle w:val="4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15"/>
        <w:gridCol w:w="1951"/>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04" w:type="dxa"/>
            <w:gridSpan w:val="2"/>
            <w:noWrap w:val="0"/>
            <w:vAlign w:val="center"/>
          </w:tcPr>
          <w:p>
            <w:pPr>
              <w:spacing w:line="360" w:lineRule="auto"/>
              <w:jc w:val="center"/>
              <w:rPr>
                <w:rFonts w:ascii="宋体" w:hAnsi="宋体"/>
                <w:color w:val="auto"/>
                <w:szCs w:val="21"/>
              </w:rPr>
            </w:pPr>
            <w:r>
              <w:rPr>
                <w:rFonts w:hint="eastAsia" w:ascii="宋体" w:hAnsi="宋体" w:cs="宋体"/>
                <w:color w:val="auto"/>
                <w:szCs w:val="21"/>
              </w:rPr>
              <w:t>条款号</w:t>
            </w:r>
          </w:p>
        </w:tc>
        <w:tc>
          <w:tcPr>
            <w:tcW w:w="1951" w:type="dxa"/>
            <w:noWrap w:val="0"/>
            <w:vAlign w:val="center"/>
          </w:tcPr>
          <w:p>
            <w:pPr>
              <w:spacing w:line="360" w:lineRule="auto"/>
              <w:jc w:val="center"/>
              <w:rPr>
                <w:rFonts w:ascii="宋体" w:hAnsi="宋体"/>
                <w:color w:val="auto"/>
                <w:szCs w:val="21"/>
              </w:rPr>
            </w:pPr>
            <w:r>
              <w:rPr>
                <w:rFonts w:hint="eastAsia" w:ascii="宋体" w:hAnsi="宋体" w:cs="宋体"/>
                <w:color w:val="auto"/>
                <w:szCs w:val="21"/>
              </w:rPr>
              <w:t>评审因素</w:t>
            </w:r>
          </w:p>
        </w:tc>
        <w:tc>
          <w:tcPr>
            <w:tcW w:w="5104" w:type="dxa"/>
            <w:noWrap w:val="0"/>
            <w:vAlign w:val="center"/>
          </w:tcPr>
          <w:p>
            <w:pPr>
              <w:spacing w:line="360" w:lineRule="auto"/>
              <w:jc w:val="center"/>
              <w:rPr>
                <w:rFonts w:ascii="宋体" w:hAnsi="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89" w:type="dxa"/>
            <w:vMerge w:val="restart"/>
            <w:noWrap w:val="0"/>
            <w:vAlign w:val="center"/>
          </w:tcPr>
          <w:p>
            <w:pPr>
              <w:spacing w:line="360" w:lineRule="auto"/>
              <w:rPr>
                <w:rFonts w:ascii="宋体" w:hAnsi="宋体" w:cs="宋体"/>
                <w:color w:val="auto"/>
                <w:szCs w:val="21"/>
              </w:rPr>
            </w:pPr>
            <w:r>
              <w:rPr>
                <w:rFonts w:ascii="宋体" w:hAnsi="宋体" w:cs="宋体"/>
                <w:color w:val="auto"/>
                <w:szCs w:val="21"/>
              </w:rPr>
              <w:t>2.1.1</w:t>
            </w:r>
          </w:p>
        </w:tc>
        <w:tc>
          <w:tcPr>
            <w:tcW w:w="1215" w:type="dxa"/>
            <w:vMerge w:val="restart"/>
            <w:noWrap w:val="0"/>
            <w:vAlign w:val="center"/>
          </w:tcPr>
          <w:p>
            <w:pPr>
              <w:spacing w:line="360" w:lineRule="auto"/>
              <w:jc w:val="center"/>
              <w:rPr>
                <w:rFonts w:ascii="宋体" w:hAnsi="宋体"/>
                <w:color w:val="auto"/>
                <w:szCs w:val="21"/>
              </w:rPr>
            </w:pPr>
            <w:r>
              <w:rPr>
                <w:rFonts w:hint="eastAsia" w:ascii="宋体" w:hAnsi="宋体" w:cs="宋体"/>
                <w:color w:val="auto"/>
                <w:szCs w:val="21"/>
                <w:lang w:eastAsia="zh-CN"/>
              </w:rPr>
              <w:t>资格</w:t>
            </w:r>
            <w:r>
              <w:rPr>
                <w:rFonts w:hint="eastAsia" w:ascii="宋体" w:hAnsi="宋体" w:cs="宋体"/>
                <w:color w:val="auto"/>
                <w:szCs w:val="21"/>
              </w:rPr>
              <w:t>评审</w:t>
            </w:r>
          </w:p>
          <w:p>
            <w:pPr>
              <w:spacing w:line="360" w:lineRule="auto"/>
              <w:jc w:val="center"/>
              <w:rPr>
                <w:rFonts w:ascii="宋体" w:hAnsi="宋体"/>
                <w:color w:val="auto"/>
                <w:szCs w:val="21"/>
              </w:rPr>
            </w:pPr>
            <w:r>
              <w:rPr>
                <w:rFonts w:hint="eastAsia" w:ascii="宋体" w:hAnsi="宋体" w:cs="宋体"/>
                <w:color w:val="auto"/>
                <w:szCs w:val="21"/>
              </w:rPr>
              <w:t>标</w:t>
            </w:r>
            <w:r>
              <w:rPr>
                <w:rFonts w:ascii="宋体" w:hAnsi="宋体" w:cs="宋体"/>
                <w:color w:val="auto"/>
                <w:szCs w:val="21"/>
              </w:rPr>
              <w:t xml:space="preserve">   </w:t>
            </w:r>
            <w:r>
              <w:rPr>
                <w:rFonts w:hint="eastAsia" w:ascii="宋体" w:hAnsi="宋体" w:cs="宋体"/>
                <w:color w:val="auto"/>
                <w:szCs w:val="21"/>
              </w:rPr>
              <w:t>准</w:t>
            </w:r>
          </w:p>
        </w:tc>
        <w:tc>
          <w:tcPr>
            <w:tcW w:w="1951" w:type="dxa"/>
            <w:noWrap w:val="0"/>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ascii="宋体" w:hAnsi="宋体"/>
                <w:color w:val="auto"/>
                <w:szCs w:val="21"/>
              </w:rPr>
            </w:pPr>
            <w:r>
              <w:rPr>
                <w:rFonts w:hint="eastAsia" w:ascii="宋体" w:hAnsi="宋体"/>
                <w:color w:val="auto"/>
                <w:szCs w:val="21"/>
              </w:rPr>
              <w:t>落实政府采购政策满足的资格要求</w:t>
            </w:r>
          </w:p>
        </w:tc>
        <w:tc>
          <w:tcPr>
            <w:tcW w:w="5104" w:type="dxa"/>
            <w:noWrap w:val="0"/>
            <w:vAlign w:val="center"/>
          </w:tcPr>
          <w:p>
            <w:pPr>
              <w:rPr>
                <w:rFonts w:hint="eastAsia" w:ascii="宋体" w:hAnsi="宋体"/>
                <w:color w:val="auto"/>
                <w:szCs w:val="21"/>
              </w:rPr>
            </w:pPr>
            <w:r>
              <w:rPr>
                <w:rFonts w:hint="eastAsia" w:ascii="宋体" w:hAnsi="宋体"/>
                <w:color w:val="auto"/>
                <w:szCs w:val="21"/>
              </w:rPr>
              <w:t>符合第二章“供应商须知”第1.5.1项规定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符合《中华人民共和国政府采购法》第22条规定</w:t>
            </w:r>
          </w:p>
        </w:tc>
        <w:tc>
          <w:tcPr>
            <w:tcW w:w="5104" w:type="dxa"/>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Cs w:val="21"/>
              </w:rPr>
              <w:t>符合第二章“供应商须知”第1.5.1项规定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特定资格要求</w:t>
            </w:r>
          </w:p>
        </w:tc>
        <w:tc>
          <w:tcPr>
            <w:tcW w:w="5104" w:type="dxa"/>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olor w:val="auto"/>
                <w:szCs w:val="21"/>
              </w:rPr>
            </w:pPr>
            <w:r>
              <w:rPr>
                <w:rFonts w:hint="eastAsia" w:ascii="宋体" w:hAnsi="宋体"/>
                <w:color w:val="auto"/>
                <w:szCs w:val="21"/>
              </w:rPr>
              <w:t>符合第二章“供应商须知”第</w:t>
            </w:r>
            <w:r>
              <w:rPr>
                <w:rFonts w:ascii="宋体" w:hAnsi="宋体"/>
                <w:color w:val="auto"/>
                <w:szCs w:val="21"/>
              </w:rPr>
              <w:t>1.</w:t>
            </w:r>
            <w:r>
              <w:rPr>
                <w:rFonts w:hint="eastAsia" w:ascii="宋体" w:hAnsi="宋体"/>
                <w:color w:val="auto"/>
                <w:szCs w:val="21"/>
              </w:rPr>
              <w:t>5</w:t>
            </w:r>
            <w:r>
              <w:rPr>
                <w:rFonts w:ascii="宋体" w:hAnsi="宋体"/>
                <w:color w:val="auto"/>
                <w:szCs w:val="21"/>
              </w:rPr>
              <w:t>.1</w:t>
            </w:r>
            <w:r>
              <w:rPr>
                <w:rFonts w:hint="eastAsia" w:ascii="宋体" w:hAnsi="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9" w:type="dxa"/>
            <w:vMerge w:val="restart"/>
            <w:noWrap w:val="0"/>
            <w:vAlign w:val="center"/>
          </w:tcPr>
          <w:p>
            <w:pPr>
              <w:widowControl/>
              <w:spacing w:line="360" w:lineRule="auto"/>
              <w:jc w:val="left"/>
              <w:rPr>
                <w:rFonts w:ascii="宋体" w:hAnsi="宋体" w:cs="宋体"/>
                <w:color w:val="auto"/>
                <w:szCs w:val="21"/>
              </w:rPr>
            </w:pPr>
            <w:r>
              <w:rPr>
                <w:rFonts w:ascii="宋体" w:hAnsi="宋体" w:cs="宋体"/>
                <w:color w:val="auto"/>
                <w:szCs w:val="21"/>
              </w:rPr>
              <w:t>2.1.2</w:t>
            </w:r>
          </w:p>
        </w:tc>
        <w:tc>
          <w:tcPr>
            <w:tcW w:w="1215" w:type="dxa"/>
            <w:vMerge w:val="restart"/>
            <w:noWrap w:val="0"/>
            <w:vAlign w:val="center"/>
          </w:tcPr>
          <w:p>
            <w:pPr>
              <w:spacing w:line="360" w:lineRule="auto"/>
              <w:jc w:val="center"/>
              <w:rPr>
                <w:rFonts w:ascii="宋体" w:hAnsi="宋体"/>
                <w:color w:val="auto"/>
                <w:szCs w:val="21"/>
              </w:rPr>
            </w:pPr>
            <w:r>
              <w:rPr>
                <w:rFonts w:hint="eastAsia" w:ascii="宋体" w:hAnsi="宋体" w:cs="宋体"/>
                <w:color w:val="auto"/>
                <w:szCs w:val="21"/>
              </w:rPr>
              <w:t>响</w:t>
            </w:r>
            <w:r>
              <w:rPr>
                <w:rFonts w:ascii="宋体" w:hAnsi="宋体" w:cs="宋体"/>
                <w:color w:val="auto"/>
                <w:szCs w:val="21"/>
              </w:rPr>
              <w:t xml:space="preserve"> </w:t>
            </w:r>
            <w:r>
              <w:rPr>
                <w:rFonts w:hint="eastAsia" w:ascii="宋体" w:hAnsi="宋体" w:cs="宋体"/>
                <w:color w:val="auto"/>
                <w:szCs w:val="21"/>
              </w:rPr>
              <w:t>应</w:t>
            </w:r>
            <w:r>
              <w:rPr>
                <w:rFonts w:ascii="宋体" w:hAnsi="宋体" w:cs="宋体"/>
                <w:color w:val="auto"/>
                <w:szCs w:val="21"/>
              </w:rPr>
              <w:t xml:space="preserve"> </w:t>
            </w:r>
            <w:r>
              <w:rPr>
                <w:rFonts w:hint="eastAsia" w:ascii="宋体" w:hAnsi="宋体" w:cs="宋体"/>
                <w:color w:val="auto"/>
                <w:szCs w:val="21"/>
              </w:rPr>
              <w:t>性</w:t>
            </w:r>
          </w:p>
          <w:p>
            <w:pPr>
              <w:widowControl/>
              <w:spacing w:line="360" w:lineRule="auto"/>
              <w:jc w:val="center"/>
              <w:rPr>
                <w:rFonts w:ascii="宋体" w:hAnsi="宋体"/>
                <w:color w:val="auto"/>
                <w:szCs w:val="21"/>
              </w:rPr>
            </w:pPr>
            <w:r>
              <w:rPr>
                <w:rFonts w:hint="eastAsia" w:ascii="宋体" w:hAnsi="宋体" w:cs="宋体"/>
                <w:color w:val="auto"/>
                <w:szCs w:val="21"/>
              </w:rPr>
              <w:t>评审标准</w:t>
            </w:r>
          </w:p>
        </w:tc>
        <w:tc>
          <w:tcPr>
            <w:tcW w:w="1951" w:type="dxa"/>
            <w:noWrap w:val="0"/>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供应商名称</w:t>
            </w:r>
          </w:p>
        </w:tc>
        <w:tc>
          <w:tcPr>
            <w:tcW w:w="5104" w:type="dxa"/>
            <w:noWrap w:val="0"/>
            <w:vAlign w:val="center"/>
          </w:tcPr>
          <w:p>
            <w:pPr>
              <w:spacing w:line="360" w:lineRule="auto"/>
              <w:rPr>
                <w:rFonts w:ascii="宋体" w:hAnsi="宋体"/>
                <w:color w:val="auto"/>
                <w:szCs w:val="21"/>
              </w:rPr>
            </w:pPr>
            <w:r>
              <w:rPr>
                <w:rFonts w:hint="eastAsia" w:ascii="宋体" w:hAnsi="宋体"/>
                <w:color w:val="auto"/>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签字盖章</w:t>
            </w:r>
          </w:p>
        </w:tc>
        <w:tc>
          <w:tcPr>
            <w:tcW w:w="5104" w:type="dxa"/>
            <w:noWrap w:val="0"/>
            <w:vAlign w:val="center"/>
          </w:tcPr>
          <w:p>
            <w:pPr>
              <w:spacing w:line="360" w:lineRule="auto"/>
              <w:rPr>
                <w:rFonts w:ascii="宋体" w:hAnsi="宋体"/>
                <w:color w:val="auto"/>
                <w:szCs w:val="21"/>
              </w:rPr>
            </w:pPr>
            <w:r>
              <w:rPr>
                <w:rFonts w:hint="eastAsia" w:ascii="宋体" w:hAnsi="宋体" w:cs="宋体"/>
                <w:color w:val="auto"/>
                <w:spacing w:val="-6"/>
                <w:szCs w:val="21"/>
              </w:rPr>
              <w:t>符合</w:t>
            </w:r>
            <w:r>
              <w:rPr>
                <w:rFonts w:hint="eastAsia" w:ascii="宋体" w:hAnsi="宋体" w:cs="宋体"/>
                <w:color w:val="auto"/>
                <w:spacing w:val="-6"/>
                <w:szCs w:val="21"/>
                <w:lang w:eastAsia="zh-CN"/>
              </w:rPr>
              <w:t>第六章</w:t>
            </w:r>
            <w:r>
              <w:rPr>
                <w:rFonts w:hint="eastAsia" w:ascii="宋体" w:hAnsi="宋体" w:cs="宋体"/>
                <w:color w:val="auto"/>
                <w:spacing w:val="-6"/>
                <w:szCs w:val="21"/>
              </w:rPr>
              <w:t>“竞争性磋商响应文件格式”</w:t>
            </w:r>
            <w:r>
              <w:rPr>
                <w:rFonts w:hint="eastAsia" w:ascii="宋体" w:hAnsi="宋体" w:cs="宋体"/>
                <w:color w:val="auto"/>
                <w:spacing w:val="-6"/>
                <w:szCs w:val="21"/>
                <w:lang w:eastAsia="zh-CN"/>
              </w:rPr>
              <w:t>签字盖章</w:t>
            </w:r>
            <w:r>
              <w:rPr>
                <w:rFonts w:hint="eastAsia" w:ascii="宋体" w:hAnsi="宋体" w:cs="宋体"/>
                <w:color w:val="auto"/>
                <w:spacing w:val="-6"/>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响应文件格式</w:t>
            </w:r>
          </w:p>
        </w:tc>
        <w:tc>
          <w:tcPr>
            <w:tcW w:w="5104" w:type="dxa"/>
            <w:noWrap w:val="0"/>
            <w:vAlign w:val="center"/>
          </w:tcPr>
          <w:p>
            <w:pPr>
              <w:spacing w:line="360" w:lineRule="auto"/>
              <w:rPr>
                <w:rFonts w:ascii="宋体" w:hAnsi="宋体"/>
                <w:color w:val="auto"/>
                <w:szCs w:val="21"/>
              </w:rPr>
            </w:pPr>
            <w:r>
              <w:rPr>
                <w:rFonts w:hint="eastAsia" w:ascii="宋体" w:hAnsi="宋体" w:cs="宋体"/>
                <w:color w:val="auto"/>
                <w:szCs w:val="21"/>
              </w:rPr>
              <w:t>符合</w:t>
            </w:r>
            <w:r>
              <w:rPr>
                <w:rFonts w:hint="eastAsia" w:ascii="宋体" w:hAnsi="宋体" w:cs="宋体"/>
                <w:color w:val="auto"/>
                <w:szCs w:val="21"/>
                <w:lang w:eastAsia="zh-CN"/>
              </w:rPr>
              <w:t>第六章</w:t>
            </w:r>
            <w:r>
              <w:rPr>
                <w:rFonts w:hint="eastAsia" w:ascii="宋体" w:hAnsi="宋体" w:cs="宋体"/>
                <w:color w:val="auto"/>
                <w:szCs w:val="21"/>
              </w:rPr>
              <w:t>“竞争性磋商响应文件格式”的要求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报价唯一</w:t>
            </w:r>
          </w:p>
        </w:tc>
        <w:tc>
          <w:tcPr>
            <w:tcW w:w="5104" w:type="dxa"/>
            <w:noWrap w:val="0"/>
            <w:vAlign w:val="center"/>
          </w:tcPr>
          <w:p>
            <w:pPr>
              <w:spacing w:line="360" w:lineRule="auto"/>
              <w:rPr>
                <w:rFonts w:hint="eastAsia" w:ascii="宋体" w:hAnsi="宋体" w:cs="宋体"/>
                <w:color w:val="auto"/>
                <w:kern w:val="0"/>
                <w:szCs w:val="21"/>
              </w:rPr>
            </w:pPr>
            <w:r>
              <w:rPr>
                <w:rFonts w:hint="eastAsia" w:ascii="宋体" w:hAnsi="宋体" w:cs="宋体"/>
                <w:color w:val="auto"/>
                <w:szCs w:val="21"/>
              </w:rPr>
              <w:t>只能有一个有效报价（第一次报价）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9" w:type="dxa"/>
            <w:vMerge w:val="continue"/>
            <w:noWrap w:val="0"/>
            <w:vAlign w:val="center"/>
          </w:tcPr>
          <w:p>
            <w:pPr>
              <w:spacing w:line="360" w:lineRule="auto"/>
              <w:rPr>
                <w:rFonts w:ascii="宋体" w:hAnsi="宋体" w:cs="宋体"/>
                <w:color w:val="auto"/>
                <w:szCs w:val="21"/>
              </w:rPr>
            </w:pPr>
          </w:p>
        </w:tc>
        <w:tc>
          <w:tcPr>
            <w:tcW w:w="1215" w:type="dxa"/>
            <w:vMerge w:val="continue"/>
            <w:noWrap w:val="0"/>
            <w:vAlign w:val="center"/>
          </w:tcPr>
          <w:p>
            <w:pPr>
              <w:spacing w:line="360" w:lineRule="auto"/>
              <w:jc w:val="center"/>
              <w:rPr>
                <w:rFonts w:ascii="宋体" w:hAnsi="宋体"/>
                <w:color w:val="auto"/>
                <w:szCs w:val="21"/>
              </w:rPr>
            </w:pPr>
          </w:p>
        </w:tc>
        <w:tc>
          <w:tcPr>
            <w:tcW w:w="1951" w:type="dxa"/>
            <w:noWrap w:val="0"/>
            <w:vAlign w:val="center"/>
          </w:tcPr>
          <w:p>
            <w:pPr>
              <w:spacing w:line="360" w:lineRule="auto"/>
              <w:jc w:val="center"/>
              <w:rPr>
                <w:rFonts w:ascii="宋体" w:hAnsi="宋体"/>
                <w:color w:val="auto"/>
                <w:szCs w:val="21"/>
              </w:rPr>
            </w:pPr>
            <w:r>
              <w:rPr>
                <w:rFonts w:hint="eastAsia" w:ascii="宋体" w:hAnsi="宋体"/>
                <w:color w:val="auto"/>
                <w:szCs w:val="21"/>
              </w:rPr>
              <w:t>响应</w:t>
            </w:r>
            <w:r>
              <w:rPr>
                <w:rFonts w:ascii="宋体" w:hAnsi="宋体"/>
                <w:color w:val="auto"/>
                <w:szCs w:val="21"/>
              </w:rPr>
              <w:t>内容</w:t>
            </w:r>
          </w:p>
        </w:tc>
        <w:tc>
          <w:tcPr>
            <w:tcW w:w="5104" w:type="dxa"/>
            <w:noWrap w:val="0"/>
            <w:vAlign w:val="center"/>
          </w:tcPr>
          <w:p>
            <w:pPr>
              <w:spacing w:line="360" w:lineRule="auto"/>
              <w:rPr>
                <w:rFonts w:ascii="宋体" w:hAnsi="宋体"/>
                <w:color w:val="auto"/>
                <w:szCs w:val="21"/>
              </w:rPr>
            </w:pPr>
            <w:r>
              <w:rPr>
                <w:rFonts w:hint="eastAsia" w:ascii="宋体" w:hAnsi="宋体"/>
                <w:color w:val="auto"/>
                <w:szCs w:val="21"/>
              </w:rPr>
              <w:t>符合第二章“供应商须知”第</w:t>
            </w:r>
            <w:r>
              <w:rPr>
                <w:rFonts w:ascii="宋体" w:hAnsi="宋体"/>
                <w:color w:val="auto"/>
                <w:szCs w:val="21"/>
              </w:rPr>
              <w:t>1.</w:t>
            </w:r>
            <w:r>
              <w:rPr>
                <w:rFonts w:hint="eastAsia" w:ascii="宋体" w:hAnsi="宋体"/>
                <w:color w:val="auto"/>
                <w:szCs w:val="21"/>
              </w:rPr>
              <w:t>4</w:t>
            </w:r>
            <w:r>
              <w:rPr>
                <w:rFonts w:ascii="宋体" w:hAnsi="宋体"/>
                <w:color w:val="auto"/>
                <w:szCs w:val="21"/>
              </w:rPr>
              <w:t>.1</w:t>
            </w:r>
            <w:r>
              <w:rPr>
                <w:rFonts w:hint="eastAsia" w:ascii="宋体" w:hAnsi="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承包经营期限</w:t>
            </w:r>
          </w:p>
        </w:tc>
        <w:tc>
          <w:tcPr>
            <w:tcW w:w="5104" w:type="dxa"/>
            <w:noWrap w:val="0"/>
            <w:vAlign w:val="center"/>
          </w:tcPr>
          <w:p>
            <w:pPr>
              <w:spacing w:line="360" w:lineRule="auto"/>
              <w:rPr>
                <w:rFonts w:ascii="宋体" w:hAnsi="宋体"/>
                <w:color w:val="auto"/>
                <w:szCs w:val="21"/>
              </w:rPr>
            </w:pPr>
            <w:r>
              <w:rPr>
                <w:rFonts w:hint="eastAsia" w:ascii="宋体" w:hAnsi="宋体"/>
                <w:color w:val="auto"/>
                <w:szCs w:val="21"/>
              </w:rPr>
              <w:t>符合第二章“供应商须知”第</w:t>
            </w:r>
            <w:r>
              <w:rPr>
                <w:rFonts w:ascii="宋体" w:hAnsi="宋体"/>
                <w:color w:val="auto"/>
                <w:szCs w:val="21"/>
              </w:rPr>
              <w:t>1.</w:t>
            </w:r>
            <w:r>
              <w:rPr>
                <w:rFonts w:hint="eastAsia" w:ascii="宋体" w:hAnsi="宋体"/>
                <w:color w:val="auto"/>
                <w:szCs w:val="21"/>
              </w:rPr>
              <w:t>4</w:t>
            </w:r>
            <w:r>
              <w:rPr>
                <w:rFonts w:ascii="宋体" w:hAnsi="宋体"/>
                <w:color w:val="auto"/>
                <w:szCs w:val="21"/>
              </w:rPr>
              <w:t>.2</w:t>
            </w:r>
            <w:r>
              <w:rPr>
                <w:rFonts w:hint="eastAsia" w:ascii="宋体" w:hAnsi="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服务质量</w:t>
            </w:r>
          </w:p>
        </w:tc>
        <w:tc>
          <w:tcPr>
            <w:tcW w:w="5104" w:type="dxa"/>
            <w:noWrap w:val="0"/>
            <w:vAlign w:val="center"/>
          </w:tcPr>
          <w:p>
            <w:pPr>
              <w:spacing w:line="360" w:lineRule="auto"/>
              <w:rPr>
                <w:rFonts w:ascii="宋体" w:hAnsi="宋体"/>
                <w:color w:val="auto"/>
                <w:szCs w:val="21"/>
              </w:rPr>
            </w:pPr>
            <w:r>
              <w:rPr>
                <w:rFonts w:hint="eastAsia" w:ascii="宋体" w:hAnsi="宋体"/>
                <w:color w:val="auto"/>
                <w:szCs w:val="21"/>
              </w:rPr>
              <w:t>符合第二章“供应商须知”第</w:t>
            </w:r>
            <w:r>
              <w:rPr>
                <w:rFonts w:ascii="宋体" w:hAnsi="宋体"/>
                <w:color w:val="auto"/>
                <w:szCs w:val="21"/>
              </w:rPr>
              <w:t>1.</w:t>
            </w:r>
            <w:r>
              <w:rPr>
                <w:rFonts w:hint="eastAsia" w:ascii="宋体" w:hAnsi="宋体"/>
                <w:color w:val="auto"/>
                <w:szCs w:val="21"/>
              </w:rPr>
              <w:t>4</w:t>
            </w:r>
            <w:r>
              <w:rPr>
                <w:rFonts w:ascii="宋体" w:hAnsi="宋体"/>
                <w:color w:val="auto"/>
                <w:szCs w:val="21"/>
              </w:rPr>
              <w:t>.3</w:t>
            </w:r>
            <w:r>
              <w:rPr>
                <w:rFonts w:hint="eastAsia" w:ascii="宋体" w:hAnsi="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ascii="宋体" w:hAnsi="宋体"/>
                <w:color w:val="auto"/>
                <w:szCs w:val="21"/>
              </w:rPr>
            </w:pPr>
            <w:r>
              <w:rPr>
                <w:rFonts w:hint="eastAsia" w:ascii="宋体" w:hAnsi="宋体"/>
                <w:color w:val="auto"/>
                <w:szCs w:val="21"/>
              </w:rPr>
              <w:t>磋商有效期</w:t>
            </w:r>
          </w:p>
        </w:tc>
        <w:tc>
          <w:tcPr>
            <w:tcW w:w="5104" w:type="dxa"/>
            <w:noWrap w:val="0"/>
            <w:vAlign w:val="center"/>
          </w:tcPr>
          <w:p>
            <w:pPr>
              <w:spacing w:line="360" w:lineRule="auto"/>
              <w:rPr>
                <w:rFonts w:ascii="宋体" w:hAnsi="宋体"/>
                <w:color w:val="auto"/>
                <w:szCs w:val="21"/>
              </w:rPr>
            </w:pPr>
            <w:r>
              <w:rPr>
                <w:rFonts w:hint="eastAsia" w:ascii="宋体" w:hAnsi="宋体" w:cs="宋体"/>
                <w:color w:val="auto"/>
                <w:szCs w:val="21"/>
              </w:rPr>
              <w:t>符合第二章“供应商须知”第</w:t>
            </w:r>
            <w:r>
              <w:rPr>
                <w:rFonts w:ascii="宋体" w:hAnsi="宋体" w:cs="宋体"/>
                <w:color w:val="auto"/>
                <w:szCs w:val="21"/>
              </w:rPr>
              <w:t>3.3.1</w:t>
            </w:r>
            <w:r>
              <w:rPr>
                <w:rFonts w:hint="eastAsia"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9" w:type="dxa"/>
            <w:vMerge w:val="continue"/>
            <w:noWrap w:val="0"/>
            <w:vAlign w:val="center"/>
          </w:tcPr>
          <w:p>
            <w:pPr>
              <w:widowControl/>
              <w:spacing w:line="360" w:lineRule="auto"/>
              <w:jc w:val="left"/>
              <w:rPr>
                <w:rFonts w:ascii="宋体" w:hAnsi="宋体" w:cs="宋体"/>
                <w:color w:val="auto"/>
                <w:szCs w:val="21"/>
              </w:rPr>
            </w:pPr>
          </w:p>
        </w:tc>
        <w:tc>
          <w:tcPr>
            <w:tcW w:w="1215" w:type="dxa"/>
            <w:vMerge w:val="continue"/>
            <w:noWrap w:val="0"/>
            <w:vAlign w:val="center"/>
          </w:tcPr>
          <w:p>
            <w:pPr>
              <w:widowControl/>
              <w:spacing w:line="360" w:lineRule="auto"/>
              <w:jc w:val="left"/>
              <w:rPr>
                <w:rFonts w:ascii="宋体" w:hAnsi="宋体"/>
                <w:color w:val="auto"/>
                <w:szCs w:val="21"/>
              </w:rPr>
            </w:pPr>
          </w:p>
        </w:tc>
        <w:tc>
          <w:tcPr>
            <w:tcW w:w="1951" w:type="dxa"/>
            <w:noWrap w:val="0"/>
            <w:vAlign w:val="center"/>
          </w:tcPr>
          <w:p>
            <w:pPr>
              <w:spacing w:line="360" w:lineRule="auto"/>
              <w:jc w:val="center"/>
              <w:rPr>
                <w:rFonts w:ascii="宋体" w:hAnsi="宋体"/>
                <w:color w:val="auto"/>
                <w:szCs w:val="21"/>
              </w:rPr>
            </w:pPr>
            <w:r>
              <w:rPr>
                <w:rFonts w:hint="eastAsia" w:ascii="宋体" w:hAnsi="宋体"/>
                <w:color w:val="auto"/>
                <w:szCs w:val="21"/>
              </w:rPr>
              <w:t>磋商报价</w:t>
            </w:r>
          </w:p>
        </w:tc>
        <w:tc>
          <w:tcPr>
            <w:tcW w:w="5104" w:type="dxa"/>
            <w:noWrap w:val="0"/>
            <w:vAlign w:val="center"/>
          </w:tcPr>
          <w:p>
            <w:pPr>
              <w:spacing w:line="360" w:lineRule="auto"/>
              <w:rPr>
                <w:rFonts w:ascii="宋体" w:hAnsi="宋体"/>
                <w:color w:val="auto"/>
                <w:szCs w:val="21"/>
              </w:rPr>
            </w:pPr>
            <w:r>
              <w:rPr>
                <w:rFonts w:hint="eastAsia" w:ascii="宋体" w:hAnsi="宋体" w:cs="宋体"/>
                <w:color w:val="auto"/>
                <w:szCs w:val="21"/>
              </w:rPr>
              <w:t>磋商报价在规定的报价要求范围之内</w:t>
            </w:r>
          </w:p>
        </w:tc>
      </w:tr>
    </w:tbl>
    <w:p>
      <w:pPr>
        <w:rPr>
          <w:color w:val="auto"/>
        </w:rPr>
      </w:pPr>
      <w:bookmarkStart w:id="772" w:name="_Toc152042377"/>
      <w:bookmarkStart w:id="773" w:name="_Toc31578"/>
      <w:bookmarkStart w:id="774" w:name="_Toc318450722"/>
      <w:bookmarkStart w:id="775" w:name="_Toc281405528"/>
      <w:bookmarkStart w:id="776" w:name="_Toc144974567"/>
      <w:bookmarkStart w:id="777" w:name="_Toc152045600"/>
    </w:p>
    <w:tbl>
      <w:tblPr>
        <w:tblStyle w:val="4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95"/>
        <w:gridCol w:w="1470"/>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48" w:type="dxa"/>
            <w:gridSpan w:val="2"/>
            <w:noWrap/>
            <w:vAlign w:val="center"/>
          </w:tcPr>
          <w:p>
            <w:pPr>
              <w:spacing w:line="240" w:lineRule="auto"/>
              <w:jc w:val="center"/>
              <w:rPr>
                <w:rFonts w:ascii="宋体" w:hAnsi="宋体" w:eastAsia="宋体" w:cs="宋体"/>
                <w:color w:val="auto"/>
                <w:szCs w:val="21"/>
              </w:rPr>
            </w:pPr>
            <w:r>
              <w:rPr>
                <w:rFonts w:hint="eastAsia" w:ascii="宋体" w:hAnsi="宋体" w:eastAsia="宋体" w:cs="宋体"/>
                <w:color w:val="auto"/>
                <w:szCs w:val="21"/>
              </w:rPr>
              <w:t>2.2.1</w:t>
            </w:r>
          </w:p>
        </w:tc>
        <w:tc>
          <w:tcPr>
            <w:tcW w:w="1470" w:type="dxa"/>
            <w:noWrap/>
            <w:vAlign w:val="center"/>
          </w:tcPr>
          <w:p>
            <w:pPr>
              <w:spacing w:line="240" w:lineRule="auto"/>
              <w:jc w:val="center"/>
              <w:rPr>
                <w:rFonts w:ascii="宋体" w:hAnsi="宋体" w:eastAsia="宋体" w:cs="宋体"/>
                <w:color w:val="auto"/>
                <w:szCs w:val="21"/>
              </w:rPr>
            </w:pPr>
            <w:r>
              <w:rPr>
                <w:rFonts w:hint="eastAsia" w:ascii="宋体" w:hAnsi="宋体" w:eastAsia="宋体" w:cs="宋体"/>
                <w:color w:val="auto"/>
                <w:szCs w:val="21"/>
              </w:rPr>
              <w:t>分值构成</w:t>
            </w:r>
          </w:p>
          <w:p>
            <w:pPr>
              <w:spacing w:line="240" w:lineRule="auto"/>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5971" w:type="dxa"/>
            <w:noWrap/>
            <w:vAlign w:val="center"/>
          </w:tcPr>
          <w:p>
            <w:pPr>
              <w:spacing w:line="240" w:lineRule="auto"/>
              <w:jc w:val="left"/>
              <w:rPr>
                <w:rFonts w:ascii="宋体" w:hAnsi="宋体" w:eastAsia="宋体" w:cs="宋体"/>
                <w:color w:val="auto"/>
                <w:szCs w:val="21"/>
              </w:rPr>
            </w:pPr>
            <w:r>
              <w:rPr>
                <w:rFonts w:hint="eastAsia" w:ascii="宋体" w:hAnsi="宋体" w:eastAsia="宋体" w:cs="宋体"/>
                <w:color w:val="auto"/>
                <w:szCs w:val="21"/>
              </w:rPr>
              <w:t>投标报价：</w:t>
            </w:r>
            <w:r>
              <w:rPr>
                <w:rFonts w:hint="eastAsia" w:ascii="宋体" w:hAnsi="宋体" w:cs="宋体"/>
                <w:color w:val="auto"/>
                <w:szCs w:val="21"/>
                <w:lang w:val="en-US" w:eastAsia="zh-CN"/>
              </w:rPr>
              <w:t>2</w:t>
            </w:r>
            <w:r>
              <w:rPr>
                <w:rFonts w:hint="eastAsia" w:ascii="宋体" w:hAnsi="宋体" w:eastAsia="宋体" w:cs="宋体"/>
                <w:color w:val="auto"/>
                <w:szCs w:val="21"/>
              </w:rPr>
              <w:t>0分</w:t>
            </w:r>
          </w:p>
          <w:p>
            <w:pPr>
              <w:spacing w:line="240" w:lineRule="auto"/>
              <w:jc w:val="left"/>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cs="宋体"/>
                <w:color w:val="auto"/>
                <w:szCs w:val="21"/>
                <w:lang w:val="en-US" w:eastAsia="zh-CN"/>
              </w:rPr>
              <w:t>30</w:t>
            </w:r>
            <w:r>
              <w:rPr>
                <w:rFonts w:hint="eastAsia" w:ascii="宋体" w:hAnsi="宋体" w:eastAsia="宋体" w:cs="宋体"/>
                <w:color w:val="auto"/>
                <w:szCs w:val="21"/>
              </w:rPr>
              <w:t>分</w:t>
            </w:r>
          </w:p>
          <w:p>
            <w:pPr>
              <w:spacing w:line="240" w:lineRule="auto"/>
              <w:jc w:val="left"/>
              <w:rPr>
                <w:rFonts w:ascii="宋体" w:hAnsi="宋体" w:eastAsia="宋体" w:cs="宋体"/>
                <w:color w:val="auto"/>
                <w:szCs w:val="21"/>
              </w:rPr>
            </w:pPr>
            <w:r>
              <w:rPr>
                <w:rFonts w:hint="eastAsia" w:ascii="宋体" w:hAnsi="宋体" w:eastAsia="宋体" w:cs="宋体"/>
                <w:color w:val="auto"/>
                <w:szCs w:val="21"/>
              </w:rPr>
              <w:t>综合部分：</w:t>
            </w:r>
            <w:r>
              <w:rPr>
                <w:rFonts w:hint="eastAsia" w:ascii="宋体" w:hAnsi="宋体" w:cs="宋体"/>
                <w:color w:val="auto"/>
                <w:szCs w:val="21"/>
                <w:lang w:val="en-US" w:eastAsia="zh-CN"/>
              </w:rPr>
              <w:t>50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jc w:val="center"/>
        </w:trPr>
        <w:tc>
          <w:tcPr>
            <w:tcW w:w="753" w:type="dxa"/>
            <w:noWrap/>
            <w:vAlign w:val="center"/>
          </w:tcPr>
          <w:p>
            <w:pPr>
              <w:spacing w:line="240" w:lineRule="auto"/>
              <w:jc w:val="center"/>
              <w:rPr>
                <w:rFonts w:ascii="宋体" w:hAnsi="宋体" w:eastAsia="宋体" w:cs="宋体"/>
                <w:b/>
                <w:color w:val="auto"/>
                <w:szCs w:val="21"/>
              </w:rPr>
            </w:pPr>
            <w:r>
              <w:rPr>
                <w:rFonts w:hint="eastAsia" w:ascii="宋体" w:hAnsi="宋体" w:eastAsia="宋体" w:cs="宋体"/>
                <w:bCs/>
                <w:color w:val="auto"/>
                <w:szCs w:val="21"/>
              </w:rPr>
              <w:t>2.2.2</w:t>
            </w:r>
          </w:p>
        </w:tc>
        <w:tc>
          <w:tcPr>
            <w:tcW w:w="1095" w:type="dxa"/>
            <w:noWrap/>
            <w:vAlign w:val="center"/>
          </w:tcPr>
          <w:p>
            <w:pPr>
              <w:spacing w:line="240" w:lineRule="auto"/>
              <w:jc w:val="center"/>
              <w:rPr>
                <w:rFonts w:ascii="宋体" w:hAnsi="宋体" w:eastAsia="宋体" w:cs="宋体"/>
                <w:b/>
                <w:color w:val="auto"/>
                <w:szCs w:val="21"/>
              </w:rPr>
            </w:pPr>
            <w:r>
              <w:rPr>
                <w:rFonts w:hint="eastAsia" w:ascii="宋体" w:hAnsi="宋体" w:eastAsia="宋体" w:cs="宋体"/>
                <w:color w:val="auto"/>
                <w:szCs w:val="21"/>
              </w:rPr>
              <w:t>商务部分（</w:t>
            </w:r>
            <w:r>
              <w:rPr>
                <w:rFonts w:hint="eastAsia" w:ascii="宋体" w:hAnsi="宋体" w:cs="宋体"/>
                <w:color w:val="auto"/>
                <w:szCs w:val="21"/>
                <w:lang w:val="en-US" w:eastAsia="zh-CN"/>
              </w:rPr>
              <w:t>20</w:t>
            </w:r>
            <w:r>
              <w:rPr>
                <w:rFonts w:hint="eastAsia" w:ascii="宋体" w:hAnsi="宋体" w:eastAsia="宋体" w:cs="宋体"/>
                <w:color w:val="auto"/>
                <w:szCs w:val="21"/>
              </w:rPr>
              <w:t>分）</w:t>
            </w:r>
          </w:p>
        </w:tc>
        <w:tc>
          <w:tcPr>
            <w:tcW w:w="147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投标报价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20</w:t>
            </w:r>
            <w:r>
              <w:rPr>
                <w:rFonts w:hint="eastAsia" w:ascii="宋体" w:hAnsi="宋体" w:eastAsia="宋体" w:cs="宋体"/>
                <w:color w:val="auto"/>
                <w:szCs w:val="21"/>
              </w:rPr>
              <w:t>分）</w:t>
            </w:r>
          </w:p>
        </w:tc>
        <w:tc>
          <w:tcPr>
            <w:tcW w:w="5971" w:type="dxa"/>
            <w:noWrap/>
            <w:vAlign w:val="top"/>
          </w:tcPr>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价格分统一采用高价优先法计算，最终</w:t>
            </w:r>
            <w:r>
              <w:rPr>
                <w:rFonts w:hint="eastAsia" w:ascii="宋体" w:hAnsi="宋体" w:cs="宋体"/>
                <w:color w:val="000000"/>
                <w:kern w:val="0"/>
                <w:sz w:val="21"/>
                <w:szCs w:val="21"/>
                <w:lang w:val="en-US" w:eastAsia="zh-CN" w:bidi="ar"/>
              </w:rPr>
              <w:t>磋商</w:t>
            </w:r>
            <w:r>
              <w:rPr>
                <w:rFonts w:hint="eastAsia" w:ascii="宋体" w:hAnsi="宋体" w:eastAsia="宋体" w:cs="宋体"/>
                <w:color w:val="000000"/>
                <w:kern w:val="0"/>
                <w:sz w:val="21"/>
                <w:szCs w:val="21"/>
                <w:lang w:val="en-US" w:eastAsia="zh-CN" w:bidi="ar"/>
              </w:rPr>
              <w:t>报价</w:t>
            </w:r>
            <w:r>
              <w:rPr>
                <w:rFonts w:hint="eastAsia" w:ascii="宋体" w:hAnsi="宋体" w:cs="宋体"/>
                <w:color w:val="000000"/>
                <w:kern w:val="0"/>
                <w:sz w:val="21"/>
                <w:szCs w:val="21"/>
                <w:lang w:val="en-US" w:eastAsia="zh-CN" w:bidi="ar"/>
              </w:rPr>
              <w:t>为食堂营业额的3%的</w:t>
            </w:r>
            <w:r>
              <w:rPr>
                <w:rFonts w:hint="eastAsia" w:ascii="宋体" w:hAnsi="宋体" w:eastAsia="宋体" w:cs="宋体"/>
                <w:color w:val="000000"/>
                <w:kern w:val="0"/>
                <w:sz w:val="21"/>
                <w:szCs w:val="21"/>
                <w:lang w:val="en-US" w:eastAsia="zh-CN" w:bidi="ar"/>
              </w:rPr>
              <w:t>得</w:t>
            </w:r>
            <w:r>
              <w:t>基本分</w:t>
            </w:r>
            <w:r>
              <w:rPr>
                <w:rFonts w:hint="eastAsia"/>
                <w:lang w:val="en-US" w:eastAsia="zh-CN"/>
              </w:rPr>
              <w:t>10</w:t>
            </w:r>
            <w:r>
              <w:t>分</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最终</w:t>
            </w:r>
            <w:r>
              <w:rPr>
                <w:rFonts w:hint="eastAsia" w:ascii="宋体" w:hAnsi="宋体" w:cs="宋体"/>
                <w:color w:val="000000"/>
                <w:kern w:val="0"/>
                <w:sz w:val="21"/>
                <w:szCs w:val="21"/>
                <w:lang w:val="en-US" w:eastAsia="zh-CN" w:bidi="ar"/>
              </w:rPr>
              <w:t>磋商</w:t>
            </w:r>
            <w:r>
              <w:rPr>
                <w:rFonts w:hint="eastAsia" w:ascii="宋体" w:hAnsi="宋体" w:eastAsia="宋体" w:cs="宋体"/>
                <w:color w:val="000000"/>
                <w:kern w:val="0"/>
                <w:sz w:val="21"/>
                <w:szCs w:val="21"/>
                <w:lang w:val="en-US" w:eastAsia="zh-CN" w:bidi="ar"/>
              </w:rPr>
              <w:t>报价</w:t>
            </w:r>
            <w:r>
              <w:t>每</w:t>
            </w:r>
            <w:r>
              <w:rPr>
                <w:rFonts w:hint="eastAsia"/>
                <w:lang w:val="en-US" w:eastAsia="zh-CN"/>
              </w:rPr>
              <w:t>增加</w:t>
            </w:r>
            <w:r>
              <w:t>1%在基本分</w:t>
            </w:r>
            <w:r>
              <w:rPr>
                <w:rFonts w:hint="eastAsia"/>
                <w:lang w:val="en-US" w:eastAsia="zh-CN"/>
              </w:rPr>
              <w:t>10</w:t>
            </w:r>
            <w:r>
              <w:t>分的基础上加2</w:t>
            </w:r>
            <w:r>
              <w:rPr>
                <w:rFonts w:hint="eastAsia"/>
                <w:lang w:val="en-US" w:eastAsia="zh-CN"/>
              </w:rPr>
              <w:t>.5</w:t>
            </w:r>
            <w:r>
              <w:t>分，最多加10分</w:t>
            </w:r>
            <w:r>
              <w:rPr>
                <w:rFonts w:hint="eastAsia" w:ascii="宋体" w:hAnsi="宋体" w:eastAsia="宋体" w:cs="宋体"/>
                <w:color w:val="000000"/>
                <w:kern w:val="0"/>
                <w:sz w:val="21"/>
                <w:szCs w:val="21"/>
                <w:lang w:val="en-US" w:eastAsia="zh-CN" w:bidi="ar"/>
              </w:rPr>
              <w:t>。</w:t>
            </w:r>
          </w:p>
          <w:p>
            <w:pPr>
              <w:pStyle w:val="2"/>
              <w:rPr>
                <w:rFonts w:hint="default"/>
                <w:lang w:val="en-US" w:eastAsia="zh-CN"/>
              </w:rPr>
            </w:pPr>
            <w:r>
              <w:rPr>
                <w:rFonts w:hint="eastAsia" w:ascii="宋体" w:hAnsi="宋体" w:cs="宋体"/>
                <w:color w:val="000000"/>
                <w:kern w:val="0"/>
                <w:sz w:val="21"/>
                <w:szCs w:val="21"/>
                <w:lang w:val="en-US" w:eastAsia="zh-CN" w:bidi="ar"/>
              </w:rPr>
              <w:t>注：对小型和微型企业、监狱企业、残疾人福利性等单位的投标报价给予10%的增加，用增加后的价格（即投标报价*（1+10%））参与评审。参加本项目的中小企业应当提供《中小企业声明函》 （格式详见招标文件内《中小企业声明函》样本）。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753" w:type="dxa"/>
            <w:vMerge w:val="restart"/>
            <w:noWrap/>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2.2.3</w:t>
            </w:r>
          </w:p>
        </w:tc>
        <w:tc>
          <w:tcPr>
            <w:tcW w:w="1095" w:type="dxa"/>
            <w:vMerge w:val="restart"/>
            <w:noWrap/>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技术部分 </w:t>
            </w:r>
          </w:p>
          <w:p>
            <w:pPr>
              <w:keepNext w:val="0"/>
              <w:keepLines w:val="0"/>
              <w:widowControl/>
              <w:suppressLineNumbers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（30 分）</w:t>
            </w:r>
          </w:p>
          <w:p>
            <w:pPr>
              <w:spacing w:line="240" w:lineRule="auto"/>
              <w:jc w:val="center"/>
              <w:rPr>
                <w:rFonts w:hint="eastAsia" w:ascii="宋体" w:hAnsi="宋体" w:eastAsia="宋体" w:cs="宋体"/>
                <w:color w:val="auto"/>
                <w:szCs w:val="21"/>
              </w:rPr>
            </w:pPr>
          </w:p>
        </w:tc>
        <w:tc>
          <w:tcPr>
            <w:tcW w:w="1470" w:type="dxa"/>
            <w:noWrap/>
            <w:vAlign w:val="center"/>
          </w:tcPr>
          <w:p>
            <w:pPr>
              <w:pStyle w:val="69"/>
              <w:spacing w:line="240" w:lineRule="auto"/>
              <w:jc w:val="center"/>
              <w:rPr>
                <w:rFonts w:hint="eastAsia" w:hAnsi="宋体"/>
                <w:color w:val="auto"/>
                <w:sz w:val="21"/>
                <w:szCs w:val="21"/>
              </w:rPr>
            </w:pPr>
            <w:r>
              <w:rPr>
                <w:rFonts w:hint="eastAsia" w:hAnsi="宋体"/>
                <w:color w:val="auto"/>
                <w:sz w:val="21"/>
                <w:szCs w:val="21"/>
                <w:lang w:val="en-US" w:eastAsia="zh-CN"/>
              </w:rPr>
              <w:t>采购</w:t>
            </w:r>
            <w:r>
              <w:rPr>
                <w:rFonts w:hint="eastAsia" w:hAnsi="宋体"/>
                <w:color w:val="auto"/>
                <w:sz w:val="21"/>
                <w:szCs w:val="21"/>
              </w:rPr>
              <w:t>需求</w:t>
            </w:r>
          </w:p>
          <w:p>
            <w:pPr>
              <w:pStyle w:val="69"/>
              <w:spacing w:line="240" w:lineRule="auto"/>
              <w:jc w:val="center"/>
              <w:rPr>
                <w:rFonts w:hint="eastAsia" w:ascii="宋体" w:hAnsi="宋体" w:eastAsia="宋体" w:cs="宋体"/>
                <w:color w:val="auto"/>
                <w:sz w:val="21"/>
                <w:szCs w:val="21"/>
                <w:lang w:val="en-US" w:eastAsia="zh-CN" w:bidi="ar-SA"/>
              </w:rPr>
            </w:pPr>
            <w:r>
              <w:rPr>
                <w:rFonts w:hint="eastAsia" w:hAnsi="宋体"/>
                <w:color w:val="auto"/>
                <w:sz w:val="21"/>
                <w:szCs w:val="21"/>
              </w:rPr>
              <w:t>（</w:t>
            </w:r>
            <w:r>
              <w:rPr>
                <w:rFonts w:hint="eastAsia" w:hAnsi="宋体"/>
                <w:color w:val="auto"/>
                <w:sz w:val="21"/>
                <w:szCs w:val="21"/>
                <w:lang w:val="en-US" w:eastAsia="zh-CN"/>
              </w:rPr>
              <w:t>20</w:t>
            </w:r>
            <w:r>
              <w:rPr>
                <w:rFonts w:hint="eastAsia" w:hAnsi="宋体"/>
                <w:color w:val="auto"/>
                <w:sz w:val="21"/>
                <w:szCs w:val="21"/>
              </w:rPr>
              <w:t>分）</w:t>
            </w:r>
          </w:p>
        </w:tc>
        <w:tc>
          <w:tcPr>
            <w:tcW w:w="5971" w:type="dxa"/>
            <w:noWrap/>
            <w:vAlign w:val="center"/>
          </w:tcPr>
          <w:p>
            <w:pPr>
              <w:pStyle w:val="69"/>
              <w:spacing w:line="320" w:lineRule="exact"/>
              <w:rPr>
                <w:rFonts w:hint="eastAsia" w:ascii="宋体" w:hAnsi="宋体" w:eastAsia="宋体" w:cs="宋体"/>
                <w:color w:val="auto"/>
                <w:sz w:val="21"/>
                <w:szCs w:val="21"/>
                <w:lang w:val="en-US" w:eastAsia="zh-CN" w:bidi="ar-SA"/>
              </w:rPr>
            </w:pPr>
            <w:r>
              <w:rPr>
                <w:rFonts w:hint="eastAsia" w:hAnsi="宋体"/>
                <w:color w:val="auto"/>
                <w:sz w:val="21"/>
                <w:szCs w:val="21"/>
              </w:rPr>
              <w:t>根据供应商对磋商文件</w:t>
            </w:r>
            <w:r>
              <w:rPr>
                <w:rFonts w:hint="eastAsia" w:hAnsi="宋体"/>
                <w:color w:val="auto"/>
                <w:sz w:val="21"/>
                <w:szCs w:val="21"/>
                <w:lang w:eastAsia="zh-CN"/>
              </w:rPr>
              <w:t>“</w:t>
            </w:r>
            <w:r>
              <w:rPr>
                <w:rFonts w:hint="eastAsia" w:hAnsi="宋体"/>
                <w:color w:val="auto"/>
                <w:sz w:val="21"/>
                <w:szCs w:val="21"/>
                <w:lang w:val="en-US" w:eastAsia="zh-CN"/>
              </w:rPr>
              <w:t>第五章采购</w:t>
            </w:r>
            <w:r>
              <w:rPr>
                <w:rFonts w:hint="eastAsia" w:hAnsi="宋体"/>
                <w:color w:val="auto"/>
                <w:sz w:val="21"/>
                <w:szCs w:val="21"/>
              </w:rPr>
              <w:t>需求</w:t>
            </w:r>
            <w:r>
              <w:rPr>
                <w:rFonts w:hint="eastAsia" w:hAnsi="宋体"/>
                <w:color w:val="auto"/>
                <w:sz w:val="21"/>
                <w:szCs w:val="21"/>
                <w:lang w:eastAsia="zh-CN"/>
              </w:rPr>
              <w:t>”</w:t>
            </w:r>
            <w:r>
              <w:rPr>
                <w:rFonts w:hint="eastAsia" w:hAnsi="宋体"/>
                <w:color w:val="auto"/>
                <w:sz w:val="21"/>
                <w:szCs w:val="21"/>
              </w:rPr>
              <w:t>的响应情况，对照判断</w:t>
            </w:r>
            <w:r>
              <w:rPr>
                <w:rFonts w:hint="eastAsia" w:hAnsi="宋体"/>
                <w:color w:val="auto"/>
                <w:sz w:val="21"/>
                <w:szCs w:val="21"/>
                <w:lang w:val="en-US" w:eastAsia="zh-CN"/>
              </w:rPr>
              <w:t>响应</w:t>
            </w:r>
            <w:r>
              <w:rPr>
                <w:rFonts w:hint="eastAsia" w:hAnsi="宋体"/>
                <w:color w:val="auto"/>
                <w:sz w:val="21"/>
                <w:szCs w:val="21"/>
              </w:rPr>
              <w:t>文件内容是否满足磋商文件要求，全部满足或优于磋商文件要求的得满分</w:t>
            </w:r>
            <w:r>
              <w:rPr>
                <w:rFonts w:hint="eastAsia" w:hAnsi="宋体"/>
                <w:color w:val="auto"/>
                <w:sz w:val="21"/>
                <w:szCs w:val="21"/>
                <w:lang w:val="en-US" w:eastAsia="zh-CN"/>
              </w:rPr>
              <w:t>2</w:t>
            </w:r>
            <w:r>
              <w:rPr>
                <w:rFonts w:hint="eastAsia" w:hAnsi="宋体"/>
                <w:color w:val="auto"/>
                <w:sz w:val="21"/>
                <w:szCs w:val="21"/>
              </w:rPr>
              <w:t>0分。有一条不满足的扣</w:t>
            </w:r>
            <w:r>
              <w:rPr>
                <w:rFonts w:hint="eastAsia" w:hAnsi="宋体"/>
                <w:color w:val="auto"/>
                <w:sz w:val="21"/>
                <w:szCs w:val="21"/>
                <w:lang w:val="en-US" w:eastAsia="zh-CN"/>
              </w:rPr>
              <w:t>2</w:t>
            </w:r>
            <w:r>
              <w:rPr>
                <w:rFonts w:hint="eastAsia" w:hAnsi="宋体"/>
                <w:color w:val="auto"/>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753" w:type="dxa"/>
            <w:vMerge w:val="continue"/>
            <w:noWrap/>
            <w:vAlign w:val="center"/>
          </w:tcPr>
          <w:p>
            <w:pPr>
              <w:spacing w:line="240" w:lineRule="auto"/>
              <w:jc w:val="center"/>
              <w:rPr>
                <w:rFonts w:hint="eastAsia" w:ascii="宋体" w:hAnsi="宋体" w:cs="宋体"/>
                <w:color w:val="auto"/>
                <w:szCs w:val="21"/>
                <w:lang w:val="en-US" w:eastAsia="zh-CN"/>
              </w:rPr>
            </w:pPr>
          </w:p>
        </w:tc>
        <w:tc>
          <w:tcPr>
            <w:tcW w:w="1095" w:type="dxa"/>
            <w:vMerge w:val="continue"/>
            <w:noWrap/>
            <w:vAlign w:val="center"/>
          </w:tcPr>
          <w:p>
            <w:pPr>
              <w:spacing w:line="240" w:lineRule="auto"/>
              <w:jc w:val="center"/>
              <w:rPr>
                <w:rFonts w:hint="eastAsia" w:ascii="宋体" w:hAnsi="宋体" w:eastAsia="宋体" w:cs="宋体"/>
                <w:color w:val="auto"/>
                <w:szCs w:val="21"/>
              </w:rPr>
            </w:pPr>
          </w:p>
        </w:tc>
        <w:tc>
          <w:tcPr>
            <w:tcW w:w="1470" w:type="dxa"/>
            <w:noWrap/>
            <w:vAlign w:val="center"/>
          </w:tcPr>
          <w:p>
            <w:pPr>
              <w:keepNext w:val="0"/>
              <w:keepLines w:val="0"/>
              <w:widowControl/>
              <w:suppressLineNumbers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kern w:val="0"/>
                <w:sz w:val="21"/>
                <w:szCs w:val="21"/>
                <w:lang w:val="en-US" w:eastAsia="zh-CN" w:bidi="ar"/>
              </w:rPr>
              <w:t>餐厅经营方案及人员管理服务方案（</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分）</w:t>
            </w:r>
          </w:p>
        </w:tc>
        <w:tc>
          <w:tcPr>
            <w:tcW w:w="5971" w:type="dxa"/>
            <w:noWrap/>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提供合理的经营服务方案（应包含但不限于经营模式、明确成本核算及利润控制区间、明确餐饮服务标准）及人员管理服务方案（应包含但不限于人员职责与管理方案、人员配置方案）；</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方案内容全面完整，可操作性强，得</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方案内容基本完整，有一定的操作性，得</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方案内容不完整，操作性一般，得1分，缺项不得分。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753" w:type="dxa"/>
            <w:vMerge w:val="continue"/>
            <w:noWrap/>
            <w:vAlign w:val="center"/>
          </w:tcPr>
          <w:p>
            <w:pPr>
              <w:spacing w:line="240" w:lineRule="auto"/>
              <w:jc w:val="center"/>
              <w:rPr>
                <w:rFonts w:hint="eastAsia" w:ascii="宋体" w:hAnsi="宋体" w:eastAsia="宋体" w:cs="宋体"/>
                <w:color w:val="auto"/>
                <w:szCs w:val="21"/>
              </w:rPr>
            </w:pPr>
          </w:p>
        </w:tc>
        <w:tc>
          <w:tcPr>
            <w:tcW w:w="1095" w:type="dxa"/>
            <w:vMerge w:val="continue"/>
            <w:noWrap/>
            <w:vAlign w:val="center"/>
          </w:tcPr>
          <w:p>
            <w:pPr>
              <w:spacing w:line="240" w:lineRule="auto"/>
              <w:jc w:val="center"/>
              <w:rPr>
                <w:rFonts w:hint="eastAsia" w:ascii="宋体" w:hAnsi="宋体" w:eastAsia="宋体" w:cs="宋体"/>
                <w:color w:val="auto"/>
                <w:szCs w:val="21"/>
              </w:rPr>
            </w:pPr>
          </w:p>
        </w:tc>
        <w:tc>
          <w:tcPr>
            <w:tcW w:w="1470" w:type="dxa"/>
            <w:noWrap/>
            <w:vAlign w:val="center"/>
          </w:tcPr>
          <w:p>
            <w:pPr>
              <w:keepNext w:val="0"/>
              <w:keepLines w:val="0"/>
              <w:widowControl/>
              <w:suppressLineNumbers w:val="0"/>
              <w:spacing w:line="240" w:lineRule="auto"/>
              <w:jc w:val="center"/>
              <w:rPr>
                <w:rFonts w:hint="eastAsia" w:ascii="Times New Roman" w:hAnsi="Times New Roman" w:eastAsia="宋体" w:cs="宋体"/>
                <w:b w:val="0"/>
                <w:color w:val="auto"/>
                <w:kern w:val="2"/>
                <w:sz w:val="21"/>
                <w:szCs w:val="24"/>
                <w:lang w:val="en-US" w:eastAsia="zh-CN" w:bidi="ar-SA"/>
              </w:rPr>
            </w:pPr>
            <w:r>
              <w:rPr>
                <w:rFonts w:hint="eastAsia" w:ascii="宋体" w:hAnsi="宋体" w:eastAsia="宋体" w:cs="宋体"/>
                <w:color w:val="000000"/>
                <w:kern w:val="0"/>
                <w:sz w:val="21"/>
                <w:szCs w:val="21"/>
                <w:lang w:val="en-US" w:eastAsia="zh-CN" w:bidi="ar"/>
              </w:rPr>
              <w:t>卫生保障管理方案及饮食质量保障（</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分）</w:t>
            </w:r>
          </w:p>
        </w:tc>
        <w:tc>
          <w:tcPr>
            <w:tcW w:w="5971" w:type="dxa"/>
            <w:noWrap/>
            <w:vAlign w:val="center"/>
          </w:tcPr>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卫生保障管理方案（应包含但不限于食品卫生，人员卫生，环境卫生， 垃圾处理等）；饮食质量保障方案（应包含但不限于提供食品营养与健康保障方案、食品种类及搭配方案）；</w:t>
            </w:r>
          </w:p>
          <w:p>
            <w:pPr>
              <w:spacing w:line="240" w:lineRule="auto"/>
              <w:rPr>
                <w:rFonts w:ascii="宋体" w:hAnsi="宋体" w:cs="宋体"/>
                <w:bCs/>
                <w:sz w:val="21"/>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内容全面完整，可操作性强，得</w:t>
            </w:r>
            <w:r>
              <w:rPr>
                <w:rFonts w:hint="eastAsia" w:ascii="宋体" w:hAnsi="宋体" w:cs="宋体"/>
                <w:bCs/>
                <w:sz w:val="21"/>
                <w:lang w:val="en-US" w:eastAsia="zh-CN"/>
              </w:rPr>
              <w:t>3</w:t>
            </w:r>
            <w:r>
              <w:rPr>
                <w:rFonts w:hint="eastAsia" w:ascii="宋体" w:hAnsi="宋体" w:cs="宋体"/>
                <w:bCs/>
                <w:sz w:val="21"/>
              </w:rPr>
              <w:t xml:space="preserve">分。 </w:t>
            </w:r>
          </w:p>
          <w:p>
            <w:pPr>
              <w:spacing w:line="240" w:lineRule="auto"/>
              <w:rPr>
                <w:rFonts w:ascii="宋体" w:hAnsi="宋体" w:cs="宋体"/>
                <w:bCs/>
                <w:sz w:val="21"/>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内容基本完整，有一定的操作性，得</w:t>
            </w:r>
            <w:r>
              <w:rPr>
                <w:rFonts w:hint="eastAsia" w:ascii="宋体" w:hAnsi="宋体" w:cs="宋体"/>
                <w:bCs/>
                <w:sz w:val="21"/>
                <w:lang w:val="en-US" w:eastAsia="zh-CN"/>
              </w:rPr>
              <w:t>2</w:t>
            </w:r>
            <w:r>
              <w:rPr>
                <w:rFonts w:hint="eastAsia" w:ascii="宋体" w:hAnsi="宋体" w:cs="宋体"/>
                <w:bCs/>
                <w:sz w:val="21"/>
              </w:rPr>
              <w:t>分。</w:t>
            </w:r>
          </w:p>
          <w:p>
            <w:pPr>
              <w:keepNext w:val="0"/>
              <w:keepLines w:val="0"/>
              <w:widowControl/>
              <w:suppressLineNumbers w:val="0"/>
              <w:spacing w:line="240" w:lineRule="auto"/>
              <w:jc w:val="left"/>
              <w:rPr>
                <w:rFonts w:hint="eastAsia" w:ascii="Times New Roman" w:hAnsi="Times New Roman" w:eastAsia="宋体" w:cs="宋体"/>
                <w:b w:val="0"/>
                <w:color w:val="auto"/>
                <w:kern w:val="2"/>
                <w:sz w:val="21"/>
                <w:szCs w:val="24"/>
                <w:lang w:val="en-US" w:eastAsia="zh-CN" w:bidi="ar-SA"/>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内容不完整，操作性一般，得</w:t>
            </w:r>
            <w:r>
              <w:rPr>
                <w:rFonts w:hint="eastAsia" w:ascii="宋体" w:hAnsi="宋体" w:cs="宋体"/>
                <w:bCs/>
                <w:sz w:val="21"/>
                <w:lang w:val="en-US" w:eastAsia="zh-CN"/>
              </w:rPr>
              <w:t>1</w:t>
            </w:r>
            <w:r>
              <w:rPr>
                <w:rFonts w:hint="eastAsia" w:ascii="宋体" w:hAnsi="宋体" w:cs="宋体"/>
                <w:bCs/>
                <w:sz w:val="21"/>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753" w:type="dxa"/>
            <w:vMerge w:val="continue"/>
            <w:noWrap/>
            <w:vAlign w:val="center"/>
          </w:tcPr>
          <w:p>
            <w:pPr>
              <w:spacing w:line="240" w:lineRule="auto"/>
              <w:rPr>
                <w:rFonts w:ascii="宋体" w:hAnsi="宋体" w:eastAsia="宋体" w:cs="宋体"/>
                <w:color w:val="auto"/>
                <w:szCs w:val="21"/>
              </w:rPr>
            </w:pPr>
          </w:p>
        </w:tc>
        <w:tc>
          <w:tcPr>
            <w:tcW w:w="1095" w:type="dxa"/>
            <w:vMerge w:val="continue"/>
            <w:noWrap/>
            <w:vAlign w:val="top"/>
          </w:tcPr>
          <w:p>
            <w:pPr>
              <w:spacing w:line="240" w:lineRule="auto"/>
              <w:rPr>
                <w:rFonts w:ascii="宋体" w:hAnsi="宋体" w:eastAsia="宋体" w:cs="宋体"/>
                <w:color w:val="auto"/>
                <w:szCs w:val="21"/>
              </w:rPr>
            </w:pPr>
          </w:p>
        </w:tc>
        <w:tc>
          <w:tcPr>
            <w:tcW w:w="1470" w:type="dxa"/>
            <w:noWrap/>
            <w:vAlign w:val="center"/>
          </w:tcPr>
          <w:p>
            <w:pPr>
              <w:keepNext w:val="0"/>
              <w:keepLines w:val="0"/>
              <w:widowControl/>
              <w:suppressLineNumbers w:val="0"/>
              <w:spacing w:line="240" w:lineRule="auto"/>
              <w:jc w:val="center"/>
            </w:pPr>
            <w:r>
              <w:rPr>
                <w:rFonts w:hint="eastAsia" w:ascii="宋体" w:hAnsi="宋体" w:eastAsia="宋体" w:cs="宋体"/>
                <w:color w:val="000000"/>
                <w:kern w:val="0"/>
                <w:sz w:val="21"/>
                <w:szCs w:val="21"/>
                <w:lang w:val="en-US" w:eastAsia="zh-CN" w:bidi="ar"/>
              </w:rPr>
              <w:t>应急预案方案及投诉处理方案</w:t>
            </w:r>
          </w:p>
          <w:p>
            <w:pPr>
              <w:keepNext w:val="0"/>
              <w:keepLines w:val="0"/>
              <w:widowControl/>
              <w:suppressLineNumbers w:val="0"/>
              <w:spacing w:line="240" w:lineRule="auto"/>
              <w:jc w:val="center"/>
              <w:rPr>
                <w:rFonts w:hint="eastAsia" w:ascii="Times New Roman" w:hAnsi="Times New Roman" w:eastAsia="宋体" w:cs="宋体"/>
                <w:b w:val="0"/>
                <w:color w:val="auto"/>
                <w:kern w:val="2"/>
                <w:sz w:val="21"/>
                <w:szCs w:val="24"/>
                <w:lang w:val="en-US" w:eastAsia="zh-CN" w:bidi="ar-SA"/>
              </w:rPr>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分）</w:t>
            </w:r>
          </w:p>
        </w:tc>
        <w:tc>
          <w:tcPr>
            <w:tcW w:w="5971" w:type="dxa"/>
            <w:noWrap/>
            <w:vAlign w:val="center"/>
          </w:tcPr>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突发事件（应包括但不限于食物中毒、火灾、群体事件、疑似食物中毒、疫情防控、现场安全事故、自然灾害、 </w:t>
            </w:r>
          </w:p>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消防疏散、停水、停电、停气或临时大型供餐活动等情况）及投诉处理应急方案；</w:t>
            </w:r>
          </w:p>
          <w:p>
            <w:pPr>
              <w:spacing w:line="240" w:lineRule="auto"/>
              <w:rPr>
                <w:rFonts w:ascii="宋体" w:hAnsi="宋体" w:cs="宋体"/>
                <w:bCs/>
                <w:sz w:val="21"/>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内容全面完整，可操作性强，得</w:t>
            </w:r>
            <w:r>
              <w:rPr>
                <w:rFonts w:hint="eastAsia" w:ascii="宋体" w:hAnsi="宋体" w:cs="宋体"/>
                <w:bCs/>
                <w:sz w:val="21"/>
                <w:lang w:val="en-US" w:eastAsia="zh-CN"/>
              </w:rPr>
              <w:t>3</w:t>
            </w:r>
            <w:r>
              <w:rPr>
                <w:rFonts w:hint="eastAsia" w:ascii="宋体" w:hAnsi="宋体" w:cs="宋体"/>
                <w:bCs/>
                <w:sz w:val="21"/>
              </w:rPr>
              <w:t xml:space="preserve">分。 </w:t>
            </w:r>
          </w:p>
          <w:p>
            <w:pPr>
              <w:spacing w:line="240" w:lineRule="auto"/>
              <w:rPr>
                <w:rFonts w:ascii="宋体" w:hAnsi="宋体" w:cs="宋体"/>
                <w:bCs/>
                <w:sz w:val="21"/>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内容基本完整，有一定的操作性，得</w:t>
            </w:r>
            <w:r>
              <w:rPr>
                <w:rFonts w:hint="eastAsia" w:ascii="宋体" w:hAnsi="宋体" w:cs="宋体"/>
                <w:bCs/>
                <w:sz w:val="21"/>
                <w:lang w:val="en-US" w:eastAsia="zh-CN"/>
              </w:rPr>
              <w:t>2</w:t>
            </w:r>
            <w:r>
              <w:rPr>
                <w:rFonts w:hint="eastAsia" w:ascii="宋体" w:hAnsi="宋体" w:cs="宋体"/>
                <w:bCs/>
                <w:sz w:val="21"/>
              </w:rPr>
              <w:t>分。</w:t>
            </w:r>
          </w:p>
          <w:p>
            <w:pPr>
              <w:keepNext w:val="0"/>
              <w:keepLines w:val="0"/>
              <w:widowControl/>
              <w:suppressLineNumbers w:val="0"/>
              <w:spacing w:line="240" w:lineRule="auto"/>
              <w:jc w:val="left"/>
              <w:rPr>
                <w:rFonts w:hint="eastAsia" w:ascii="Times New Roman" w:hAnsi="Times New Roman" w:eastAsia="宋体" w:cs="宋体"/>
                <w:b w:val="0"/>
                <w:color w:val="auto"/>
                <w:kern w:val="2"/>
                <w:sz w:val="21"/>
                <w:szCs w:val="24"/>
                <w:lang w:val="en-US" w:eastAsia="zh-CN" w:bidi="ar-SA"/>
              </w:rPr>
            </w:pPr>
            <w:r>
              <w:rPr>
                <w:rFonts w:hint="eastAsia" w:ascii="宋体" w:hAnsi="宋体" w:eastAsia="宋体" w:cs="宋体"/>
                <w:color w:val="000000"/>
                <w:kern w:val="0"/>
                <w:sz w:val="21"/>
                <w:szCs w:val="21"/>
                <w:lang w:val="en-US" w:eastAsia="zh-CN" w:bidi="ar"/>
              </w:rPr>
              <w:t>方案</w:t>
            </w:r>
            <w:r>
              <w:rPr>
                <w:rFonts w:hint="eastAsia" w:ascii="宋体" w:hAnsi="宋体" w:cs="宋体"/>
                <w:bCs/>
                <w:sz w:val="21"/>
              </w:rPr>
              <w:t>内容不完整，操作性一般，得</w:t>
            </w:r>
            <w:r>
              <w:rPr>
                <w:rFonts w:hint="eastAsia" w:ascii="宋体" w:hAnsi="宋体" w:cs="宋体"/>
                <w:bCs/>
                <w:sz w:val="21"/>
                <w:lang w:val="en-US" w:eastAsia="zh-CN"/>
              </w:rPr>
              <w:t>1</w:t>
            </w:r>
            <w:r>
              <w:rPr>
                <w:rFonts w:hint="eastAsia" w:ascii="宋体" w:hAnsi="宋体" w:cs="宋体"/>
                <w:bCs/>
                <w:sz w:val="21"/>
              </w:rPr>
              <w:t>分，缺项不得分。</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blHeader/>
          <w:jc w:val="center"/>
        </w:trPr>
        <w:tc>
          <w:tcPr>
            <w:tcW w:w="753" w:type="dxa"/>
            <w:vMerge w:val="restart"/>
            <w:noWrap/>
            <w:vAlign w:val="center"/>
          </w:tcPr>
          <w:p>
            <w:pPr>
              <w:spacing w:line="240" w:lineRule="auto"/>
              <w:jc w:val="center"/>
              <w:rPr>
                <w:rFonts w:ascii="宋体" w:hAnsi="宋体" w:eastAsia="宋体" w:cs="宋体"/>
                <w:color w:val="auto"/>
                <w:szCs w:val="21"/>
              </w:rPr>
            </w:pPr>
            <w:r>
              <w:rPr>
                <w:rFonts w:hint="eastAsia" w:ascii="宋体" w:hAnsi="宋体" w:eastAsia="宋体" w:cs="宋体"/>
                <w:color w:val="auto"/>
                <w:szCs w:val="21"/>
              </w:rPr>
              <w:t>2.2.4</w:t>
            </w:r>
          </w:p>
        </w:tc>
        <w:tc>
          <w:tcPr>
            <w:tcW w:w="1095" w:type="dxa"/>
            <w:vMerge w:val="restart"/>
            <w:noWrap/>
            <w:vAlign w:val="center"/>
          </w:tcPr>
          <w:p>
            <w:pPr>
              <w:spacing w:line="240" w:lineRule="auto"/>
              <w:jc w:val="center"/>
              <w:rPr>
                <w:rFonts w:ascii="宋体" w:hAnsi="宋体" w:eastAsia="宋体" w:cs="宋体"/>
                <w:color w:val="auto"/>
                <w:szCs w:val="21"/>
              </w:rPr>
            </w:pPr>
            <w:r>
              <w:rPr>
                <w:rFonts w:hint="eastAsia" w:ascii="宋体" w:hAnsi="宋体" w:eastAsia="宋体" w:cs="宋体"/>
                <w:color w:val="auto"/>
                <w:szCs w:val="21"/>
              </w:rPr>
              <w:t>综合部分（</w:t>
            </w:r>
            <w:r>
              <w:rPr>
                <w:rFonts w:hint="eastAsia" w:ascii="宋体" w:hAnsi="宋体" w:cs="宋体"/>
                <w:color w:val="auto"/>
                <w:szCs w:val="21"/>
                <w:lang w:val="en-US" w:eastAsia="zh-CN"/>
              </w:rPr>
              <w:t>50</w:t>
            </w:r>
            <w:r>
              <w:rPr>
                <w:rFonts w:hint="eastAsia" w:ascii="宋体" w:hAnsi="宋体" w:eastAsia="宋体" w:cs="宋体"/>
                <w:color w:val="auto"/>
                <w:szCs w:val="21"/>
              </w:rPr>
              <w:t>分）</w:t>
            </w:r>
          </w:p>
        </w:tc>
        <w:tc>
          <w:tcPr>
            <w:tcW w:w="1470" w:type="dxa"/>
            <w:noWrap/>
            <w:tcMar>
              <w:left w:w="57" w:type="dxa"/>
              <w:right w:w="57" w:type="dxa"/>
            </w:tcMar>
            <w:vAlign w:val="center"/>
          </w:tcPr>
          <w:p>
            <w:pPr>
              <w:spacing w:line="24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企业业绩</w:t>
            </w:r>
          </w:p>
          <w:p>
            <w:pPr>
              <w:spacing w:line="24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（24分）</w:t>
            </w:r>
          </w:p>
        </w:tc>
        <w:tc>
          <w:tcPr>
            <w:tcW w:w="5971" w:type="dxa"/>
            <w:noWrap/>
            <w:vAlign w:val="center"/>
          </w:tcPr>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1、供应商自2019年1月1日以来（以</w:t>
            </w:r>
            <w:r>
              <w:rPr>
                <w:rFonts w:hint="eastAsia" w:ascii="宋体" w:hAnsi="宋体" w:cs="宋体"/>
                <w:color w:val="000000"/>
                <w:kern w:val="0"/>
                <w:sz w:val="21"/>
                <w:szCs w:val="21"/>
                <w:lang w:val="en-US" w:eastAsia="zh-CN" w:bidi="ar"/>
              </w:rPr>
              <w:t>合同</w:t>
            </w:r>
            <w:r>
              <w:rPr>
                <w:rFonts w:hint="eastAsia" w:ascii="宋体" w:hAnsi="宋体" w:eastAsia="宋体" w:cs="宋体"/>
                <w:color w:val="000000"/>
                <w:kern w:val="0"/>
                <w:sz w:val="21"/>
                <w:szCs w:val="21"/>
                <w:lang w:val="en-US" w:eastAsia="zh-CN" w:bidi="ar"/>
              </w:rPr>
              <w:t>签订日期为准）承担过（或正在承担的） 类似项目业绩，每提供一份（中标合同</w:t>
            </w:r>
            <w:r>
              <w:rPr>
                <w:rFonts w:hint="eastAsia" w:ascii="宋体" w:hAnsi="宋体" w:cs="宋体"/>
                <w:color w:val="000000"/>
                <w:kern w:val="0"/>
                <w:sz w:val="21"/>
                <w:szCs w:val="21"/>
                <w:lang w:val="en-US" w:eastAsia="zh-CN" w:bidi="ar"/>
              </w:rPr>
              <w:t>原件</w:t>
            </w:r>
            <w:r>
              <w:rPr>
                <w:rFonts w:hint="eastAsia" w:ascii="宋体" w:hAnsi="宋体" w:eastAsia="宋体" w:cs="宋体"/>
                <w:color w:val="000000"/>
                <w:kern w:val="0"/>
                <w:sz w:val="21"/>
                <w:szCs w:val="21"/>
                <w:lang w:val="en-US" w:eastAsia="zh-CN" w:bidi="ar"/>
              </w:rPr>
              <w:t xml:space="preserve">扫描件）得 </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 分，满分得 </w:t>
            </w:r>
            <w:r>
              <w:rPr>
                <w:rFonts w:hint="eastAsia" w:ascii="宋体" w:hAnsi="宋体" w:cs="宋体"/>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分。</w:t>
            </w:r>
          </w:p>
          <w:p>
            <w:pPr>
              <w:spacing w:line="240" w:lineRule="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2、供应商提供近两年服务过程中无食物中毒、火灾、生产事故、重大投诉等情况的书面承诺得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分，不提供不得分</w:t>
            </w:r>
            <w:r>
              <w:rPr>
                <w:rFonts w:hint="eastAsia" w:ascii="宋体" w:hAnsi="宋体" w:cs="宋体"/>
                <w:color w:val="000000"/>
                <w:kern w:val="0"/>
                <w:sz w:val="21"/>
                <w:szCs w:val="21"/>
                <w:lang w:val="en-US" w:eastAsia="zh-CN" w:bidi="ar"/>
              </w:rPr>
              <w:t>。</w:t>
            </w:r>
          </w:p>
          <w:p>
            <w:pPr>
              <w:spacing w:line="240" w:lineRule="auto"/>
              <w:rPr>
                <w:rFonts w:ascii="宋体" w:hAnsi="宋体" w:eastAsia="宋体" w:cs="宋体"/>
                <w:color w:val="auto"/>
                <w:szCs w:val="21"/>
              </w:rPr>
            </w:pPr>
            <w:r>
              <w:rPr>
                <w:rFonts w:hint="eastAsia" w:ascii="宋体" w:hAnsi="宋体" w:eastAsia="宋体" w:cs="宋体"/>
                <w:color w:val="000000"/>
                <w:kern w:val="0"/>
                <w:sz w:val="21"/>
                <w:szCs w:val="21"/>
                <w:lang w:val="en-US" w:eastAsia="zh-CN" w:bidi="ar"/>
              </w:rPr>
              <w:t>注：因证明材料不全或无法清晰辨别而无法确定是否符合磋商文件要求的业绩，</w:t>
            </w:r>
            <w:r>
              <w:rPr>
                <w:rFonts w:hint="eastAsia" w:ascii="宋体" w:hAnsi="宋体" w:cs="宋体"/>
                <w:color w:val="000000"/>
                <w:kern w:val="0"/>
                <w:sz w:val="21"/>
                <w:szCs w:val="21"/>
                <w:lang w:val="en-US" w:eastAsia="zh-CN" w:bidi="ar"/>
              </w:rPr>
              <w:t>磋商</w:t>
            </w:r>
            <w:r>
              <w:rPr>
                <w:rFonts w:hint="eastAsia" w:ascii="宋体" w:hAnsi="宋体" w:eastAsia="宋体" w:cs="宋体"/>
                <w:color w:val="000000"/>
                <w:kern w:val="0"/>
                <w:sz w:val="21"/>
                <w:szCs w:val="21"/>
                <w:lang w:val="en-US" w:eastAsia="zh-CN" w:bidi="ar"/>
              </w:rPr>
              <w:t>小组有权不予认可。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blHeader/>
          <w:jc w:val="center"/>
        </w:trPr>
        <w:tc>
          <w:tcPr>
            <w:tcW w:w="753" w:type="dxa"/>
            <w:vMerge w:val="continue"/>
            <w:noWrap/>
            <w:vAlign w:val="center"/>
          </w:tcPr>
          <w:p>
            <w:pPr>
              <w:spacing w:line="240" w:lineRule="auto"/>
              <w:jc w:val="center"/>
              <w:rPr>
                <w:rFonts w:hint="eastAsia" w:ascii="宋体" w:hAnsi="宋体" w:eastAsia="宋体" w:cs="宋体"/>
                <w:color w:val="auto"/>
                <w:szCs w:val="21"/>
              </w:rPr>
            </w:pPr>
          </w:p>
        </w:tc>
        <w:tc>
          <w:tcPr>
            <w:tcW w:w="1095" w:type="dxa"/>
            <w:vMerge w:val="continue"/>
            <w:noWrap/>
            <w:vAlign w:val="center"/>
          </w:tcPr>
          <w:p>
            <w:pPr>
              <w:spacing w:line="240" w:lineRule="auto"/>
              <w:jc w:val="center"/>
              <w:rPr>
                <w:rFonts w:hint="eastAsia" w:ascii="宋体" w:hAnsi="宋体" w:eastAsia="宋体" w:cs="宋体"/>
                <w:color w:val="auto"/>
                <w:szCs w:val="21"/>
              </w:rPr>
            </w:pPr>
          </w:p>
        </w:tc>
        <w:tc>
          <w:tcPr>
            <w:tcW w:w="1470" w:type="dxa"/>
            <w:noWrap/>
            <w:tcMar>
              <w:left w:w="57" w:type="dxa"/>
              <w:right w:w="57" w:type="dxa"/>
            </w:tcMar>
            <w:vAlign w:val="center"/>
          </w:tcPr>
          <w:p>
            <w:pPr>
              <w:spacing w:line="24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人员配备</w:t>
            </w:r>
          </w:p>
          <w:p>
            <w:pPr>
              <w:spacing w:line="24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（5分）</w:t>
            </w:r>
          </w:p>
        </w:tc>
        <w:tc>
          <w:tcPr>
            <w:tcW w:w="5971" w:type="dxa"/>
            <w:noWrap/>
            <w:vAlign w:val="center"/>
          </w:tcPr>
          <w:p>
            <w:pPr>
              <w:spacing w:line="240" w:lineRule="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、项目经理</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人得</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需</w:t>
            </w:r>
            <w:r>
              <w:rPr>
                <w:rFonts w:hint="eastAsia" w:ascii="宋体" w:hAnsi="宋体" w:eastAsia="宋体" w:cs="宋体"/>
                <w:color w:val="000000"/>
                <w:kern w:val="0"/>
                <w:sz w:val="21"/>
                <w:szCs w:val="21"/>
                <w:lang w:val="en-US" w:eastAsia="zh-CN" w:bidi="ar"/>
              </w:rPr>
              <w:t>提供本单位劳动合同或劳务合同</w:t>
            </w:r>
            <w:r>
              <w:rPr>
                <w:rFonts w:hint="eastAsia" w:ascii="宋体" w:hAnsi="宋体" w:cs="宋体"/>
                <w:color w:val="000000"/>
                <w:kern w:val="0"/>
                <w:sz w:val="21"/>
                <w:szCs w:val="21"/>
                <w:lang w:val="en-US" w:eastAsia="zh-CN" w:bidi="ar"/>
              </w:rPr>
              <w:t>及</w:t>
            </w:r>
            <w:r>
              <w:rPr>
                <w:rFonts w:hint="eastAsia" w:ascii="宋体" w:hAnsi="宋体" w:eastAsia="宋体" w:cs="宋体"/>
                <w:color w:val="000000"/>
                <w:kern w:val="0"/>
                <w:sz w:val="21"/>
                <w:szCs w:val="21"/>
                <w:lang w:val="en-US" w:eastAsia="zh-CN" w:bidi="ar"/>
              </w:rPr>
              <w:t xml:space="preserve">近 </w:t>
            </w:r>
            <w:r>
              <w:rPr>
                <w:rFonts w:hint="default"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个月社保证明材料</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不提供不得分。 </w:t>
            </w:r>
          </w:p>
          <w:p>
            <w:pPr>
              <w:spacing w:line="240" w:lineRule="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、厨师长</w:t>
            </w:r>
            <w:r>
              <w:rPr>
                <w:rFonts w:hint="default"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人得</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需</w:t>
            </w:r>
            <w:r>
              <w:rPr>
                <w:rFonts w:hint="eastAsia" w:ascii="宋体" w:hAnsi="宋体" w:eastAsia="宋体" w:cs="宋体"/>
                <w:color w:val="000000"/>
                <w:kern w:val="0"/>
                <w:sz w:val="21"/>
                <w:szCs w:val="21"/>
                <w:lang w:val="en-US" w:eastAsia="zh-CN" w:bidi="ar"/>
              </w:rPr>
              <w:t>提供本单位劳动合同或劳务合同</w:t>
            </w:r>
            <w:r>
              <w:rPr>
                <w:rFonts w:hint="eastAsia" w:ascii="宋体" w:hAnsi="宋体" w:cs="宋体"/>
                <w:color w:val="000000"/>
                <w:kern w:val="0"/>
                <w:sz w:val="21"/>
                <w:szCs w:val="21"/>
                <w:lang w:val="en-US" w:eastAsia="zh-CN" w:bidi="ar"/>
              </w:rPr>
              <w:t>及</w:t>
            </w:r>
            <w:r>
              <w:rPr>
                <w:rFonts w:hint="eastAsia" w:ascii="宋体" w:hAnsi="宋体" w:eastAsia="宋体" w:cs="宋体"/>
                <w:color w:val="000000"/>
                <w:kern w:val="0"/>
                <w:sz w:val="21"/>
                <w:szCs w:val="21"/>
                <w:lang w:val="en-US" w:eastAsia="zh-CN" w:bidi="ar"/>
              </w:rPr>
              <w:t xml:space="preserve">近 </w:t>
            </w:r>
            <w:r>
              <w:rPr>
                <w:rFonts w:hint="default"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个月社保证明材料，不提供不得分。 </w:t>
            </w:r>
          </w:p>
          <w:p>
            <w:pPr>
              <w:spacing w:line="240" w:lineRule="auto"/>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、具有食品安全管理人员</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w:t>
            </w:r>
            <w:r>
              <w:rPr>
                <w:rFonts w:hint="eastAsia" w:ascii="宋体" w:hAnsi="宋体" w:cs="宋体"/>
                <w:color w:val="000000"/>
                <w:kern w:val="0"/>
                <w:sz w:val="21"/>
                <w:szCs w:val="21"/>
                <w:lang w:val="en-US" w:eastAsia="zh-CN" w:bidi="ar"/>
              </w:rPr>
              <w:t>得1分，每增加1人加1分，此项最高得3分，需</w:t>
            </w:r>
            <w:r>
              <w:rPr>
                <w:rFonts w:hint="eastAsia" w:ascii="宋体" w:hAnsi="宋体" w:eastAsia="宋体" w:cs="宋体"/>
                <w:color w:val="000000"/>
                <w:kern w:val="0"/>
                <w:sz w:val="21"/>
                <w:szCs w:val="21"/>
                <w:lang w:val="en-US" w:eastAsia="zh-CN" w:bidi="ar"/>
              </w:rPr>
              <w:t>提供本单位劳动合同或劳务合同</w:t>
            </w:r>
            <w:r>
              <w:rPr>
                <w:rFonts w:hint="eastAsia" w:ascii="宋体" w:hAnsi="宋体" w:cs="宋体"/>
                <w:color w:val="000000"/>
                <w:kern w:val="0"/>
                <w:sz w:val="21"/>
                <w:szCs w:val="21"/>
                <w:lang w:val="en-US" w:eastAsia="zh-CN" w:bidi="ar"/>
              </w:rPr>
              <w:t>及</w:t>
            </w:r>
            <w:r>
              <w:rPr>
                <w:rFonts w:hint="eastAsia" w:ascii="宋体" w:hAnsi="宋体" w:eastAsia="宋体" w:cs="宋体"/>
                <w:color w:val="000000"/>
                <w:kern w:val="0"/>
                <w:sz w:val="21"/>
                <w:szCs w:val="21"/>
                <w:lang w:val="en-US" w:eastAsia="zh-CN" w:bidi="ar"/>
              </w:rPr>
              <w:t xml:space="preserve">近 </w:t>
            </w:r>
            <w:r>
              <w:rPr>
                <w:rFonts w:hint="default"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个月社保证明材料</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3" w:type="dxa"/>
            <w:vMerge w:val="continue"/>
            <w:noWrap/>
            <w:vAlign w:val="top"/>
          </w:tcPr>
          <w:p>
            <w:pPr>
              <w:spacing w:line="240" w:lineRule="auto"/>
              <w:rPr>
                <w:rFonts w:ascii="宋体" w:hAnsi="宋体" w:eastAsia="宋体" w:cs="宋体"/>
                <w:color w:val="auto"/>
                <w:szCs w:val="21"/>
              </w:rPr>
            </w:pPr>
          </w:p>
        </w:tc>
        <w:tc>
          <w:tcPr>
            <w:tcW w:w="1095" w:type="dxa"/>
            <w:vMerge w:val="continue"/>
            <w:noWrap/>
            <w:vAlign w:val="top"/>
          </w:tcPr>
          <w:p>
            <w:pPr>
              <w:spacing w:line="240" w:lineRule="auto"/>
              <w:rPr>
                <w:rFonts w:ascii="宋体" w:hAnsi="宋体" w:eastAsia="宋体" w:cs="宋体"/>
                <w:color w:val="auto"/>
                <w:szCs w:val="21"/>
              </w:rPr>
            </w:pPr>
          </w:p>
        </w:tc>
        <w:tc>
          <w:tcPr>
            <w:tcW w:w="1470" w:type="dxa"/>
            <w:noWrap/>
            <w:tcMar>
              <w:left w:w="57" w:type="dxa"/>
              <w:right w:w="57" w:type="dxa"/>
            </w:tcMar>
            <w:vAlign w:val="center"/>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投保金额</w:t>
            </w:r>
          </w:p>
          <w:p>
            <w:pPr>
              <w:spacing w:line="240" w:lineRule="auto"/>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5971" w:type="dxa"/>
            <w:noWrap/>
            <w:vAlign w:val="center"/>
          </w:tcPr>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供应商承诺中标后为本项目食堂投保《公众责任险》，投保金额： </w:t>
            </w:r>
          </w:p>
          <w:p>
            <w:pPr>
              <w:spacing w:line="24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1.公共责任险投保在 </w:t>
            </w:r>
            <w:r>
              <w:rPr>
                <w:rFonts w:hint="default" w:ascii="宋体" w:hAnsi="宋体" w:eastAsia="宋体" w:cs="宋体"/>
                <w:color w:val="000000"/>
                <w:kern w:val="0"/>
                <w:sz w:val="21"/>
                <w:szCs w:val="21"/>
                <w:lang w:val="en-US" w:eastAsia="zh-CN" w:bidi="ar"/>
              </w:rPr>
              <w:t xml:space="preserve">2000 </w:t>
            </w:r>
            <w:r>
              <w:rPr>
                <w:rFonts w:hint="eastAsia" w:ascii="宋体" w:hAnsi="宋体" w:eastAsia="宋体" w:cs="宋体"/>
                <w:color w:val="000000"/>
                <w:kern w:val="0"/>
                <w:sz w:val="21"/>
                <w:szCs w:val="21"/>
                <w:lang w:val="en-US" w:eastAsia="zh-CN" w:bidi="ar"/>
              </w:rPr>
              <w:t xml:space="preserve">万元以上的得 6分。 </w:t>
            </w:r>
          </w:p>
          <w:p>
            <w:pPr>
              <w:spacing w:line="240" w:lineRule="auto"/>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公共责任险投保在 </w:t>
            </w:r>
            <w:r>
              <w:rPr>
                <w:rFonts w:hint="default" w:ascii="宋体" w:hAnsi="宋体" w:eastAsia="宋体" w:cs="宋体"/>
                <w:color w:val="000000"/>
                <w:kern w:val="0"/>
                <w:sz w:val="21"/>
                <w:szCs w:val="21"/>
                <w:lang w:val="en-US" w:eastAsia="zh-CN" w:bidi="ar"/>
              </w:rPr>
              <w:t xml:space="preserve">1500 </w:t>
            </w:r>
            <w:r>
              <w:rPr>
                <w:rFonts w:hint="eastAsia" w:ascii="宋体" w:hAnsi="宋体" w:eastAsia="宋体" w:cs="宋体"/>
                <w:color w:val="000000"/>
                <w:kern w:val="0"/>
                <w:sz w:val="21"/>
                <w:szCs w:val="21"/>
                <w:lang w:val="en-US" w:eastAsia="zh-CN" w:bidi="ar"/>
              </w:rPr>
              <w:t xml:space="preserve">至 </w:t>
            </w:r>
            <w:r>
              <w:rPr>
                <w:rFonts w:hint="default" w:ascii="宋体" w:hAnsi="宋体" w:eastAsia="宋体" w:cs="宋体"/>
                <w:color w:val="000000"/>
                <w:kern w:val="0"/>
                <w:sz w:val="21"/>
                <w:szCs w:val="21"/>
                <w:lang w:val="en-US" w:eastAsia="zh-CN" w:bidi="ar"/>
              </w:rPr>
              <w:t xml:space="preserve">2000 </w:t>
            </w:r>
            <w:r>
              <w:rPr>
                <w:rFonts w:hint="eastAsia" w:ascii="宋体" w:hAnsi="宋体" w:eastAsia="宋体" w:cs="宋体"/>
                <w:color w:val="000000"/>
                <w:kern w:val="0"/>
                <w:sz w:val="21"/>
                <w:szCs w:val="21"/>
                <w:lang w:val="en-US" w:eastAsia="zh-CN" w:bidi="ar"/>
              </w:rPr>
              <w:t>万元的得 4</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分。 </w:t>
            </w:r>
          </w:p>
          <w:p>
            <w:pPr>
              <w:spacing w:line="240" w:lineRule="auto"/>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公共责任险投保在 </w:t>
            </w:r>
            <w:r>
              <w:rPr>
                <w:rFonts w:hint="default" w:ascii="宋体" w:hAnsi="宋体" w:eastAsia="宋体" w:cs="宋体"/>
                <w:color w:val="000000"/>
                <w:kern w:val="0"/>
                <w:sz w:val="21"/>
                <w:szCs w:val="21"/>
                <w:lang w:val="en-US" w:eastAsia="zh-CN" w:bidi="ar"/>
              </w:rPr>
              <w:t xml:space="preserve">1000 </w:t>
            </w:r>
            <w:r>
              <w:rPr>
                <w:rFonts w:hint="eastAsia" w:ascii="宋体" w:hAnsi="宋体" w:eastAsia="宋体" w:cs="宋体"/>
                <w:color w:val="000000"/>
                <w:kern w:val="0"/>
                <w:sz w:val="21"/>
                <w:szCs w:val="21"/>
                <w:lang w:val="en-US" w:eastAsia="zh-CN" w:bidi="ar"/>
              </w:rPr>
              <w:t xml:space="preserve">至 </w:t>
            </w:r>
            <w:r>
              <w:rPr>
                <w:rFonts w:hint="default" w:ascii="宋体" w:hAnsi="宋体" w:eastAsia="宋体" w:cs="宋体"/>
                <w:color w:val="000000"/>
                <w:kern w:val="0"/>
                <w:sz w:val="21"/>
                <w:szCs w:val="21"/>
                <w:lang w:val="en-US" w:eastAsia="zh-CN" w:bidi="ar"/>
              </w:rPr>
              <w:t xml:space="preserve">1500 </w:t>
            </w:r>
            <w:r>
              <w:rPr>
                <w:rFonts w:hint="eastAsia" w:ascii="宋体" w:hAnsi="宋体" w:eastAsia="宋体" w:cs="宋体"/>
                <w:color w:val="000000"/>
                <w:kern w:val="0"/>
                <w:sz w:val="21"/>
                <w:szCs w:val="21"/>
                <w:lang w:val="en-US" w:eastAsia="zh-CN" w:bidi="ar"/>
              </w:rPr>
              <w:t xml:space="preserve">万元的得 2分。 </w:t>
            </w:r>
          </w:p>
          <w:p>
            <w:pPr>
              <w:spacing w:line="240" w:lineRule="auto"/>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公共责任险投保在 </w:t>
            </w:r>
            <w:r>
              <w:rPr>
                <w:rFonts w:hint="default" w:ascii="宋体" w:hAnsi="宋体" w:eastAsia="宋体" w:cs="宋体"/>
                <w:color w:val="000000"/>
                <w:kern w:val="0"/>
                <w:sz w:val="21"/>
                <w:szCs w:val="21"/>
                <w:lang w:val="en-US" w:eastAsia="zh-CN" w:bidi="ar"/>
              </w:rPr>
              <w:t xml:space="preserve">1000 </w:t>
            </w:r>
            <w:r>
              <w:rPr>
                <w:rFonts w:hint="eastAsia" w:ascii="宋体" w:hAnsi="宋体" w:eastAsia="宋体" w:cs="宋体"/>
                <w:color w:val="000000"/>
                <w:kern w:val="0"/>
                <w:sz w:val="21"/>
                <w:szCs w:val="21"/>
                <w:lang w:val="en-US" w:eastAsia="zh-CN" w:bidi="ar"/>
              </w:rPr>
              <w:t>万元以下</w:t>
            </w:r>
            <w:r>
              <w:rPr>
                <w:rFonts w:hint="eastAsia" w:ascii="宋体" w:hAnsi="宋体" w:cs="宋体"/>
                <w:color w:val="000000"/>
                <w:kern w:val="0"/>
                <w:sz w:val="21"/>
                <w:szCs w:val="21"/>
                <w:lang w:val="en-US" w:eastAsia="zh-CN" w:bidi="ar"/>
              </w:rPr>
              <w:t>或未提供</w:t>
            </w:r>
            <w:r>
              <w:rPr>
                <w:rFonts w:hint="eastAsia" w:ascii="宋体" w:hAnsi="宋体" w:eastAsia="宋体" w:cs="宋体"/>
                <w:color w:val="000000"/>
                <w:kern w:val="0"/>
                <w:sz w:val="21"/>
                <w:szCs w:val="21"/>
                <w:lang w:val="en-US" w:eastAsia="zh-CN" w:bidi="ar"/>
              </w:rPr>
              <w:t xml:space="preserve">的不得分。 </w:t>
            </w:r>
          </w:p>
          <w:p>
            <w:pPr>
              <w:spacing w:line="240" w:lineRule="auto"/>
              <w:rPr>
                <w:rFonts w:ascii="宋体" w:hAnsi="宋体" w:cs="宋体"/>
                <w:color w:val="auto"/>
                <w:szCs w:val="21"/>
              </w:rPr>
            </w:pPr>
            <w:r>
              <w:rPr>
                <w:rFonts w:hint="eastAsia" w:ascii="宋体" w:hAnsi="宋体" w:eastAsia="宋体" w:cs="宋体"/>
                <w:color w:val="000000"/>
                <w:kern w:val="0"/>
                <w:sz w:val="21"/>
                <w:szCs w:val="21"/>
                <w:lang w:val="en-US" w:eastAsia="zh-CN" w:bidi="ar"/>
              </w:rPr>
              <w:t>注：供应商需提供加盖本单位公章的承诺书，格式自拟</w:t>
            </w:r>
            <w:r>
              <w:rPr>
                <w:rFonts w:hint="eastAsia" w:ascii="宋体" w:hAnsi="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blHeader/>
          <w:jc w:val="center"/>
        </w:trPr>
        <w:tc>
          <w:tcPr>
            <w:tcW w:w="753" w:type="dxa"/>
            <w:vMerge w:val="continue"/>
            <w:noWrap/>
            <w:vAlign w:val="top"/>
          </w:tcPr>
          <w:p>
            <w:pPr>
              <w:spacing w:line="240" w:lineRule="auto"/>
              <w:rPr>
                <w:rFonts w:ascii="宋体" w:hAnsi="宋体" w:eastAsia="宋体" w:cs="宋体"/>
                <w:color w:val="auto"/>
                <w:szCs w:val="21"/>
              </w:rPr>
            </w:pPr>
          </w:p>
        </w:tc>
        <w:tc>
          <w:tcPr>
            <w:tcW w:w="1095" w:type="dxa"/>
            <w:vMerge w:val="continue"/>
            <w:noWrap/>
            <w:vAlign w:val="top"/>
          </w:tcPr>
          <w:p>
            <w:pPr>
              <w:spacing w:line="240" w:lineRule="auto"/>
              <w:rPr>
                <w:rFonts w:ascii="宋体" w:hAnsi="宋体" w:eastAsia="宋体" w:cs="宋体"/>
                <w:color w:val="auto"/>
                <w:szCs w:val="21"/>
              </w:rPr>
            </w:pPr>
          </w:p>
        </w:tc>
        <w:tc>
          <w:tcPr>
            <w:tcW w:w="1470" w:type="dxa"/>
            <w:noWrap/>
            <w:tcMar>
              <w:left w:w="57" w:type="dxa"/>
              <w:right w:w="57" w:type="dxa"/>
            </w:tcMar>
            <w:vAlign w:val="center"/>
          </w:tcPr>
          <w:p>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体系认证</w:t>
            </w:r>
          </w:p>
          <w:p>
            <w:pPr>
              <w:spacing w:line="240" w:lineRule="auto"/>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c>
          <w:tcPr>
            <w:tcW w:w="5971" w:type="dxa"/>
            <w:noWrap/>
            <w:vAlign w:val="center"/>
          </w:tcPr>
          <w:p>
            <w:pPr>
              <w:spacing w:line="240" w:lineRule="auto"/>
              <w:jc w:val="left"/>
              <w:rPr>
                <w:rFonts w:ascii="宋体" w:hAnsi="宋体" w:eastAsia="宋体" w:cs="宋体"/>
                <w:color w:val="auto"/>
                <w:szCs w:val="21"/>
              </w:rPr>
            </w:pPr>
            <w:r>
              <w:rPr>
                <w:rFonts w:ascii="宋体" w:hAnsi="宋体" w:eastAsia="宋体" w:cs="宋体"/>
                <w:color w:val="auto"/>
                <w:szCs w:val="21"/>
                <w:lang w:val="en-US" w:eastAsia="zh-CN"/>
              </w:rPr>
              <w:t>1.</w:t>
            </w:r>
            <w:r>
              <w:rPr>
                <w:rFonts w:hint="eastAsia" w:ascii="宋体" w:hAnsi="宋体" w:eastAsia="宋体" w:cs="宋体"/>
                <w:color w:val="auto"/>
                <w:szCs w:val="21"/>
                <w:lang w:val="en-US" w:eastAsia="zh-CN"/>
              </w:rPr>
              <w:t>具有质量管理体系认证证书且在有效期内的得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 xml:space="preserve">分。 </w:t>
            </w:r>
          </w:p>
          <w:p>
            <w:pPr>
              <w:spacing w:line="240" w:lineRule="auto"/>
              <w:jc w:val="left"/>
              <w:rPr>
                <w:rFonts w:ascii="宋体" w:hAnsi="宋体" w:eastAsia="宋体" w:cs="宋体"/>
                <w:color w:val="auto"/>
                <w:szCs w:val="21"/>
              </w:rPr>
            </w:pPr>
            <w:r>
              <w:rPr>
                <w:rFonts w:hint="default" w:ascii="宋体" w:hAnsi="宋体" w:eastAsia="宋体" w:cs="宋体"/>
                <w:color w:val="auto"/>
                <w:szCs w:val="21"/>
                <w:lang w:val="en-US" w:eastAsia="zh-CN"/>
              </w:rPr>
              <w:t>2.</w:t>
            </w:r>
            <w:r>
              <w:rPr>
                <w:rFonts w:hint="eastAsia" w:ascii="宋体" w:hAnsi="宋体" w:eastAsia="宋体" w:cs="宋体"/>
                <w:color w:val="auto"/>
                <w:szCs w:val="21"/>
                <w:lang w:val="en-US" w:eastAsia="zh-CN"/>
              </w:rPr>
              <w:t>具有环境管理体系认证证书且在有效期内的得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 xml:space="preserve">分。 </w:t>
            </w:r>
          </w:p>
          <w:p>
            <w:pPr>
              <w:spacing w:line="240" w:lineRule="auto"/>
              <w:jc w:val="left"/>
              <w:rPr>
                <w:rFonts w:ascii="宋体" w:hAnsi="宋体" w:eastAsia="宋体" w:cs="宋体"/>
                <w:color w:val="auto"/>
                <w:szCs w:val="21"/>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具有职业健康安全管理体系认证证书且在有效期内的得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w:t>
            </w:r>
          </w:p>
          <w:p>
            <w:pPr>
              <w:spacing w:line="240" w:lineRule="auto"/>
              <w:jc w:val="left"/>
              <w:rPr>
                <w:rFonts w:ascii="宋体" w:hAnsi="宋体" w:eastAsia="宋体" w:cs="宋体"/>
                <w:color w:val="auto"/>
                <w:szCs w:val="21"/>
              </w:rPr>
            </w:pPr>
            <w:r>
              <w:rPr>
                <w:rFonts w:hint="default" w:ascii="宋体" w:hAnsi="宋体" w:eastAsia="宋体" w:cs="宋体"/>
                <w:color w:val="auto"/>
                <w:szCs w:val="21"/>
                <w:lang w:val="en-US" w:eastAsia="zh-CN"/>
              </w:rPr>
              <w:t>4.</w:t>
            </w:r>
            <w:r>
              <w:rPr>
                <w:rFonts w:hint="eastAsia" w:ascii="宋体" w:hAnsi="宋体" w:eastAsia="宋体" w:cs="宋体"/>
                <w:color w:val="auto"/>
                <w:szCs w:val="21"/>
                <w:lang w:val="en-US" w:eastAsia="zh-CN"/>
              </w:rPr>
              <w:t>具有食品安全管理体系认证证书且在有效期内的得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 xml:space="preserve">分。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注：需提供上述证书原件扫描件及中国国家认证认可监督管理委员会网站证书查询截图的扫描件，不提供或提供不全均不得分。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753" w:type="dxa"/>
            <w:vMerge w:val="continue"/>
            <w:noWrap/>
            <w:vAlign w:val="top"/>
          </w:tcPr>
          <w:p>
            <w:pPr>
              <w:spacing w:line="240" w:lineRule="auto"/>
              <w:rPr>
                <w:rFonts w:ascii="宋体" w:hAnsi="宋体" w:eastAsia="宋体" w:cs="宋体"/>
                <w:color w:val="auto"/>
                <w:szCs w:val="21"/>
              </w:rPr>
            </w:pPr>
          </w:p>
        </w:tc>
        <w:tc>
          <w:tcPr>
            <w:tcW w:w="1095" w:type="dxa"/>
            <w:vMerge w:val="continue"/>
            <w:noWrap/>
            <w:vAlign w:val="top"/>
          </w:tcPr>
          <w:p>
            <w:pPr>
              <w:spacing w:line="240" w:lineRule="auto"/>
              <w:rPr>
                <w:rFonts w:ascii="宋体" w:hAnsi="宋体" w:eastAsia="宋体" w:cs="宋体"/>
                <w:color w:val="auto"/>
                <w:szCs w:val="21"/>
              </w:rPr>
            </w:pPr>
          </w:p>
        </w:tc>
        <w:tc>
          <w:tcPr>
            <w:tcW w:w="1470" w:type="dxa"/>
            <w:noWrap/>
            <w:tcMar>
              <w:left w:w="57" w:type="dxa"/>
              <w:right w:w="57" w:type="dxa"/>
            </w:tcMar>
            <w:vAlign w:val="center"/>
          </w:tcPr>
          <w:p>
            <w:pPr>
              <w:spacing w:line="24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优惠承诺</w:t>
            </w:r>
          </w:p>
          <w:p>
            <w:pPr>
              <w:spacing w:line="24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（6分）</w:t>
            </w:r>
          </w:p>
        </w:tc>
        <w:tc>
          <w:tcPr>
            <w:tcW w:w="5971" w:type="dxa"/>
            <w:noWrap/>
            <w:vAlign w:val="center"/>
          </w:tcPr>
          <w:p>
            <w:pPr>
              <w:spacing w:line="240" w:lineRule="auto"/>
              <w:rPr>
                <w:rFonts w:hint="eastAsia" w:ascii="宋体" w:hAnsi="宋体" w:eastAsia="宋体" w:cs="宋体"/>
                <w:color w:val="auto"/>
                <w:szCs w:val="21"/>
                <w:lang w:val="en-US" w:eastAsia="zh-CN"/>
              </w:rPr>
            </w:pPr>
            <w:r>
              <w:rPr>
                <w:rFonts w:hint="eastAsia"/>
                <w:lang w:val="en-US" w:eastAsia="zh-CN"/>
              </w:rPr>
              <w:t>供应商</w:t>
            </w:r>
            <w:r>
              <w:rPr>
                <w:rFonts w:hint="eastAsia"/>
              </w:rPr>
              <w:t>向商户提点</w:t>
            </w:r>
            <w:r>
              <w:rPr>
                <w:rFonts w:hint="eastAsia"/>
                <w:lang w:val="en-US" w:eastAsia="zh-CN"/>
              </w:rPr>
              <w:t>为</w:t>
            </w:r>
            <w:r>
              <w:rPr>
                <w:rFonts w:hint="eastAsia"/>
              </w:rPr>
              <w:t>营业额的2</w:t>
            </w:r>
            <w:r>
              <w:t>2</w:t>
            </w:r>
            <w:r>
              <w:rPr>
                <w:rFonts w:hint="eastAsia"/>
              </w:rPr>
              <w:t>%</w:t>
            </w:r>
            <w:r>
              <w:rPr>
                <w:rFonts w:hint="eastAsia"/>
                <w:lang w:val="en-US" w:eastAsia="zh-CN"/>
              </w:rPr>
              <w:t>得1分，每再减少1%的加 1 分，此项最高得6分。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blHeader/>
          <w:jc w:val="center"/>
        </w:trPr>
        <w:tc>
          <w:tcPr>
            <w:tcW w:w="753" w:type="dxa"/>
            <w:vMerge w:val="continue"/>
            <w:noWrap/>
            <w:vAlign w:val="top"/>
          </w:tcPr>
          <w:p>
            <w:pPr>
              <w:spacing w:line="240" w:lineRule="auto"/>
              <w:rPr>
                <w:rFonts w:ascii="宋体" w:hAnsi="宋体" w:eastAsia="宋体" w:cs="宋体"/>
                <w:color w:val="auto"/>
                <w:szCs w:val="21"/>
              </w:rPr>
            </w:pPr>
          </w:p>
        </w:tc>
        <w:tc>
          <w:tcPr>
            <w:tcW w:w="1095" w:type="dxa"/>
            <w:vMerge w:val="continue"/>
            <w:noWrap/>
            <w:vAlign w:val="top"/>
          </w:tcPr>
          <w:p>
            <w:pPr>
              <w:spacing w:line="240" w:lineRule="auto"/>
              <w:rPr>
                <w:rFonts w:ascii="宋体" w:hAnsi="宋体" w:eastAsia="宋体" w:cs="宋体"/>
                <w:color w:val="auto"/>
                <w:szCs w:val="21"/>
              </w:rPr>
            </w:pPr>
          </w:p>
        </w:tc>
        <w:tc>
          <w:tcPr>
            <w:tcW w:w="1470" w:type="dxa"/>
            <w:noWrap/>
            <w:tcMar>
              <w:left w:w="57" w:type="dxa"/>
              <w:right w:w="57" w:type="dxa"/>
            </w:tcMar>
            <w:vAlign w:val="center"/>
          </w:tcPr>
          <w:p>
            <w:pPr>
              <w:spacing w:line="24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针对该项 </w:t>
            </w:r>
          </w:p>
          <w:p>
            <w:pPr>
              <w:spacing w:line="24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目的承诺 </w:t>
            </w:r>
          </w:p>
          <w:p>
            <w:pPr>
              <w:spacing w:line="24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w:t>
            </w:r>
          </w:p>
          <w:p>
            <w:pPr>
              <w:spacing w:line="240" w:lineRule="auto"/>
              <w:jc w:val="center"/>
              <w:rPr>
                <w:rFonts w:ascii="宋体" w:hAnsi="宋体" w:eastAsia="宋体" w:cs="宋体"/>
                <w:color w:val="auto"/>
                <w:kern w:val="2"/>
                <w:sz w:val="21"/>
                <w:szCs w:val="21"/>
                <w:lang w:val="en-US" w:eastAsia="zh-CN" w:bidi="ar-SA"/>
              </w:rPr>
            </w:pPr>
          </w:p>
        </w:tc>
        <w:tc>
          <w:tcPr>
            <w:tcW w:w="5971" w:type="dxa"/>
            <w:noWrap/>
            <w:vAlign w:val="center"/>
          </w:tcPr>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供应商应针对</w:t>
            </w:r>
            <w:r>
              <w:rPr>
                <w:rFonts w:hint="eastAsia" w:ascii="宋体" w:hAnsi="宋体" w:cs="宋体"/>
                <w:color w:val="auto"/>
                <w:szCs w:val="21"/>
                <w:lang w:val="en-US" w:eastAsia="zh-CN"/>
              </w:rPr>
              <w:t>本</w:t>
            </w:r>
            <w:r>
              <w:rPr>
                <w:rFonts w:hint="eastAsia" w:ascii="宋体" w:hAnsi="宋体" w:eastAsia="宋体" w:cs="宋体"/>
                <w:color w:val="auto"/>
                <w:szCs w:val="21"/>
                <w:lang w:val="en-US" w:eastAsia="zh-CN"/>
              </w:rPr>
              <w:t xml:space="preserve">项目做以下承诺并加盖本单位公章：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1.需遵守相关法律法规并服从学校相关制度及管理的承诺。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2.饭菜价格不高于当地同类高校平均价格的承诺。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3.严格遵守学校考核办法与准入退出机制的承诺。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4.与现有经营者平稳交接到位的承诺。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5.妥善安置与分流现有临时工的承诺。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6.对本项目各环节安全生产的承诺。 </w:t>
            </w:r>
          </w:p>
          <w:p>
            <w:pPr>
              <w:spacing w:line="24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 xml:space="preserve">7.供应商中标后在本地设立办公场所的承诺。 </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8.供应商针对本项目提供服务计划、应急措施，包括 24 小时电话响应、服务人员1小时到达现场、解决问题时间等服务承诺。</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对本项目到期后无条件退场做好交接工作的承诺</w:t>
            </w:r>
            <w:r>
              <w:rPr>
                <w:rFonts w:hint="eastAsia" w:ascii="宋体" w:hAnsi="宋体" w:cs="宋体"/>
                <w:color w:val="auto"/>
                <w:szCs w:val="21"/>
                <w:lang w:val="en-US" w:eastAsia="zh-CN"/>
              </w:rPr>
              <w:t>。</w:t>
            </w:r>
          </w:p>
          <w:p>
            <w:pPr>
              <w:spacing w:line="24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注：以上全部承诺得满分，缺任何一项不得分，格式自拟。</w:t>
            </w:r>
          </w:p>
        </w:tc>
      </w:tr>
    </w:tbl>
    <w:p>
      <w:pPr>
        <w:pStyle w:val="68"/>
        <w:rPr>
          <w:color w:val="auto"/>
        </w:rPr>
      </w:pPr>
    </w:p>
    <w:bookmarkEnd w:id="772"/>
    <w:bookmarkEnd w:id="773"/>
    <w:bookmarkEnd w:id="774"/>
    <w:bookmarkEnd w:id="775"/>
    <w:bookmarkEnd w:id="776"/>
    <w:bookmarkEnd w:id="777"/>
    <w:p>
      <w:pPr>
        <w:spacing w:line="360" w:lineRule="auto"/>
        <w:outlineLvl w:val="1"/>
        <w:rPr>
          <w:rFonts w:hint="eastAsia" w:ascii="宋体" w:hAnsi="宋体" w:cs="宋体"/>
          <w:b/>
          <w:bCs/>
          <w:color w:val="auto"/>
          <w:szCs w:val="21"/>
        </w:rPr>
      </w:pPr>
      <w:bookmarkStart w:id="778" w:name="_Toc21918"/>
      <w:r>
        <w:rPr>
          <w:rFonts w:hint="eastAsia" w:ascii="宋体" w:hAnsi="宋体" w:cs="宋体"/>
          <w:b/>
          <w:bCs/>
          <w:color w:val="auto"/>
          <w:szCs w:val="21"/>
        </w:rPr>
        <w:t>1. 评审方法</w:t>
      </w:r>
      <w:bookmarkEnd w:id="778"/>
    </w:p>
    <w:p>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lang w:bidi="en-US"/>
        </w:rPr>
        <w:t>本次评审采用综合评分法。磋商小组对满足磋商文件实质性要求的响应文件</w:t>
      </w:r>
      <w:r>
        <w:rPr>
          <w:rFonts w:hint="eastAsia" w:ascii="宋体" w:hAnsi="宋体" w:cs="宋体"/>
          <w:color w:val="auto"/>
          <w:szCs w:val="21"/>
        </w:rPr>
        <w:t>，按照本章规定的评分标准进行打分，并按得分由高到低顺序推荐成交候选人，</w:t>
      </w:r>
      <w:r>
        <w:rPr>
          <w:rFonts w:hint="eastAsia" w:ascii="宋体" w:hAnsi="宋体" w:cs="宋体"/>
          <w:color w:val="auto"/>
          <w:kern w:val="0"/>
          <w:szCs w:val="21"/>
        </w:rPr>
        <w:t>综合评分相等时，以报价得分高的优先；报价得分也相等的，由采购人自行确定。</w:t>
      </w:r>
      <w:bookmarkStart w:id="779" w:name="_Toc490667876"/>
      <w:bookmarkStart w:id="780" w:name="_Toc455867817"/>
      <w:bookmarkStart w:id="781" w:name="_Toc26131"/>
      <w:bookmarkStart w:id="782" w:name="_Toc281405529"/>
      <w:bookmarkStart w:id="783" w:name="_Toc152042378"/>
      <w:bookmarkStart w:id="784" w:name="_Toc466298140"/>
      <w:bookmarkStart w:id="785" w:name="_Toc152045601"/>
      <w:bookmarkStart w:id="786" w:name="_Toc318450723"/>
      <w:bookmarkStart w:id="787" w:name="_Toc455080157"/>
      <w:bookmarkStart w:id="788" w:name="_Toc144974568"/>
      <w:bookmarkStart w:id="789" w:name="_Toc6612"/>
      <w:bookmarkStart w:id="790" w:name="_Toc20837"/>
      <w:bookmarkStart w:id="791" w:name="_Toc29362"/>
      <w:bookmarkStart w:id="792" w:name="_Toc24936"/>
    </w:p>
    <w:p>
      <w:pPr>
        <w:numPr>
          <w:ilvl w:val="0"/>
          <w:numId w:val="0"/>
        </w:numPr>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lang w:val="en-US" w:eastAsia="zh-CN"/>
        </w:rPr>
        <w:t>2.</w:t>
      </w:r>
      <w:r>
        <w:rPr>
          <w:rFonts w:hint="eastAsia" w:ascii="宋体" w:hAnsi="宋体" w:eastAsia="宋体"/>
          <w:b/>
          <w:bCs/>
          <w:color w:val="auto"/>
          <w:sz w:val="21"/>
          <w:szCs w:val="21"/>
        </w:rPr>
        <w:t>评审标准</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Start w:id="793" w:name="_Toc15813"/>
      <w:bookmarkStart w:id="794" w:name="_Toc6711"/>
      <w:bookmarkStart w:id="795" w:name="_Toc144974569"/>
      <w:bookmarkStart w:id="796" w:name="_Toc281405530"/>
      <w:bookmarkStart w:id="797" w:name="_Toc455080158"/>
      <w:bookmarkStart w:id="798" w:name="_Toc455867818"/>
      <w:bookmarkStart w:id="799" w:name="_Toc318450724"/>
      <w:bookmarkStart w:id="800" w:name="_Toc11223"/>
      <w:bookmarkStart w:id="801" w:name="_Toc152045602"/>
      <w:bookmarkStart w:id="802" w:name="_Toc152042379"/>
      <w:bookmarkStart w:id="803" w:name="_Toc21120"/>
      <w:bookmarkStart w:id="804" w:name="_Toc2867"/>
      <w:bookmarkStart w:id="805" w:name="_Toc31037"/>
      <w:bookmarkStart w:id="806" w:name="_Toc25637"/>
      <w:bookmarkStart w:id="807" w:name="_Toc466298141"/>
      <w:bookmarkStart w:id="808" w:name="_Toc19934"/>
      <w:bookmarkStart w:id="809" w:name="_Toc490667877"/>
      <w:bookmarkStart w:id="810" w:name="_Toc24558"/>
    </w:p>
    <w:p>
      <w:pPr>
        <w:numPr>
          <w:ilvl w:val="0"/>
          <w:numId w:val="0"/>
        </w:numPr>
        <w:spacing w:line="360" w:lineRule="auto"/>
        <w:rPr>
          <w:rFonts w:hint="eastAsia" w:ascii="宋体" w:hAnsi="宋体" w:eastAsia="宋体"/>
          <w:b/>
          <w:bCs/>
          <w:color w:val="auto"/>
          <w:sz w:val="21"/>
          <w:szCs w:val="21"/>
        </w:rPr>
      </w:pPr>
      <w:r>
        <w:rPr>
          <w:rFonts w:hint="eastAsia" w:ascii="宋体" w:hAnsi="宋体" w:eastAsia="宋体"/>
          <w:b/>
          <w:bCs/>
          <w:color w:val="auto"/>
          <w:sz w:val="21"/>
          <w:szCs w:val="21"/>
        </w:rPr>
        <w:t>2.1 初步评审标准</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2.1.1 </w:t>
      </w:r>
      <w:r>
        <w:rPr>
          <w:rFonts w:hint="eastAsia" w:ascii="宋体" w:hAnsi="宋体" w:cs="宋体"/>
          <w:color w:val="auto"/>
          <w:szCs w:val="21"/>
          <w:lang w:eastAsia="zh-CN"/>
        </w:rPr>
        <w:t>资格</w:t>
      </w:r>
      <w:r>
        <w:rPr>
          <w:rFonts w:hint="eastAsia" w:ascii="宋体" w:hAnsi="宋体" w:cs="宋体"/>
          <w:color w:val="auto"/>
          <w:szCs w:val="21"/>
        </w:rPr>
        <w:t>评审标准：见评审办法前附表。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w:t>
      </w:r>
      <w:r>
        <w:rPr>
          <w:rFonts w:hint="eastAsia" w:ascii="宋体" w:hAnsi="宋体" w:cs="宋体"/>
          <w:color w:val="auto"/>
          <w:szCs w:val="21"/>
          <w:lang w:eastAsia="zh-CN"/>
        </w:rPr>
        <w:t>符合性</w:t>
      </w:r>
      <w:r>
        <w:rPr>
          <w:rFonts w:hint="eastAsia" w:ascii="宋体" w:hAnsi="宋体" w:cs="宋体"/>
          <w:color w:val="auto"/>
          <w:szCs w:val="21"/>
        </w:rPr>
        <w:t>评审标准：见评审办法前附表。</w:t>
      </w:r>
    </w:p>
    <w:p>
      <w:pPr>
        <w:pStyle w:val="183"/>
        <w:spacing w:line="360" w:lineRule="auto"/>
        <w:outlineLvl w:val="0"/>
        <w:rPr>
          <w:rFonts w:hint="eastAsia" w:ascii="宋体" w:hAnsi="宋体" w:eastAsia="宋体"/>
          <w:b/>
          <w:bCs/>
          <w:color w:val="auto"/>
          <w:sz w:val="21"/>
          <w:szCs w:val="21"/>
        </w:rPr>
      </w:pPr>
      <w:bookmarkStart w:id="811" w:name="_Toc455080159"/>
      <w:bookmarkStart w:id="812" w:name="_Toc26179"/>
      <w:bookmarkStart w:id="813" w:name="_Toc455867819"/>
      <w:bookmarkStart w:id="814" w:name="_Toc5184"/>
      <w:bookmarkStart w:id="815" w:name="_Toc144974570"/>
      <w:bookmarkStart w:id="816" w:name="_Toc490667878"/>
      <w:bookmarkStart w:id="817" w:name="_Toc24825"/>
      <w:bookmarkStart w:id="818" w:name="_Toc12013"/>
      <w:bookmarkStart w:id="819" w:name="_Toc22439"/>
      <w:bookmarkStart w:id="820" w:name="_Toc152042380"/>
      <w:bookmarkStart w:id="821" w:name="_Toc466298142"/>
      <w:bookmarkStart w:id="822" w:name="_Toc318450725"/>
      <w:bookmarkStart w:id="823" w:name="_Toc21970"/>
      <w:bookmarkStart w:id="824" w:name="_Toc11061"/>
      <w:bookmarkStart w:id="825" w:name="_Toc30189"/>
      <w:bookmarkStart w:id="826" w:name="_Toc152045603"/>
      <w:bookmarkStart w:id="827" w:name="_Toc7284"/>
      <w:bookmarkStart w:id="828" w:name="_Toc281405531"/>
      <w:bookmarkStart w:id="829" w:name="_Toc25492"/>
      <w:bookmarkStart w:id="830" w:name="_Toc455867820"/>
      <w:bookmarkStart w:id="831" w:name="_Toc318450726"/>
      <w:bookmarkStart w:id="832" w:name="_Toc281405532"/>
      <w:bookmarkStart w:id="833" w:name="_Toc490667879"/>
      <w:bookmarkStart w:id="834" w:name="_Toc18127"/>
      <w:bookmarkStart w:id="835" w:name="_Toc29297"/>
      <w:bookmarkStart w:id="836" w:name="_Toc17308"/>
      <w:bookmarkStart w:id="837" w:name="_Toc455080160"/>
      <w:bookmarkStart w:id="838" w:name="_Toc16479"/>
      <w:bookmarkStart w:id="839" w:name="_Toc466298143"/>
      <w:bookmarkStart w:id="840" w:name="_Toc32314"/>
      <w:r>
        <w:rPr>
          <w:rFonts w:hint="eastAsia" w:ascii="宋体" w:hAnsi="宋体" w:eastAsia="宋体"/>
          <w:b/>
          <w:bCs/>
          <w:color w:val="auto"/>
          <w:sz w:val="21"/>
          <w:szCs w:val="21"/>
        </w:rPr>
        <w:t>2.2 分值构成与评分标准</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2.2.1 分值构成</w:t>
      </w:r>
    </w:p>
    <w:p>
      <w:pPr>
        <w:adjustRightInd w:val="0"/>
        <w:snapToGrid w:val="0"/>
        <w:spacing w:line="360" w:lineRule="auto"/>
        <w:ind w:firstLine="718" w:firstLineChars="342"/>
        <w:rPr>
          <w:rFonts w:hint="eastAsia" w:ascii="宋体" w:hAnsi="宋体" w:cs="宋体"/>
          <w:color w:val="auto"/>
          <w:szCs w:val="21"/>
        </w:rPr>
      </w:pPr>
      <w:r>
        <w:rPr>
          <w:rFonts w:hint="eastAsia" w:ascii="宋体" w:hAnsi="宋体" w:cs="宋体"/>
          <w:color w:val="auto"/>
          <w:szCs w:val="21"/>
        </w:rPr>
        <w:t>（1）商务</w:t>
      </w:r>
      <w:r>
        <w:rPr>
          <w:rFonts w:hint="eastAsia" w:ascii="宋体" w:hAnsi="宋体" w:cs="宋体"/>
          <w:color w:val="auto"/>
          <w:szCs w:val="21"/>
          <w:lang w:val="en-US" w:eastAsia="zh-CN"/>
        </w:rPr>
        <w:t>部分</w:t>
      </w:r>
      <w:r>
        <w:rPr>
          <w:rFonts w:hint="eastAsia" w:ascii="宋体" w:hAnsi="宋体" w:cs="宋体"/>
          <w:color w:val="auto"/>
          <w:szCs w:val="21"/>
        </w:rPr>
        <w:t>：见评标办法前附表；</w:t>
      </w:r>
    </w:p>
    <w:p>
      <w:pPr>
        <w:adjustRightInd w:val="0"/>
        <w:snapToGrid w:val="0"/>
        <w:spacing w:line="360" w:lineRule="auto"/>
        <w:ind w:firstLine="718" w:firstLineChars="342"/>
        <w:rPr>
          <w:rFonts w:hint="eastAsia" w:ascii="宋体" w:hAnsi="宋体" w:cs="宋体"/>
          <w:color w:val="auto"/>
          <w:szCs w:val="21"/>
          <w:lang w:eastAsia="zh-CN"/>
        </w:rPr>
      </w:pPr>
      <w:r>
        <w:rPr>
          <w:rFonts w:hint="eastAsia" w:ascii="宋体" w:hAnsi="宋体" w:cs="宋体"/>
          <w:color w:val="auto"/>
          <w:szCs w:val="21"/>
        </w:rPr>
        <w:t>（2）技术</w:t>
      </w:r>
      <w:r>
        <w:rPr>
          <w:rFonts w:hint="eastAsia" w:ascii="宋体" w:hAnsi="宋体" w:cs="宋体"/>
          <w:color w:val="auto"/>
          <w:szCs w:val="21"/>
          <w:lang w:val="en-US" w:eastAsia="zh-CN"/>
        </w:rPr>
        <w:t>部分</w:t>
      </w:r>
      <w:r>
        <w:rPr>
          <w:rFonts w:hint="eastAsia" w:ascii="宋体" w:hAnsi="宋体" w:cs="宋体"/>
          <w:color w:val="auto"/>
          <w:szCs w:val="21"/>
        </w:rPr>
        <w:t>：见评标办法前附表；</w:t>
      </w:r>
    </w:p>
    <w:p>
      <w:pPr>
        <w:adjustRightInd w:val="0"/>
        <w:snapToGrid w:val="0"/>
        <w:spacing w:line="360" w:lineRule="auto"/>
        <w:ind w:firstLine="718" w:firstLineChars="342"/>
        <w:rPr>
          <w:rFonts w:hint="eastAsia" w:ascii="宋体" w:hAnsi="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eastAsia="zh-CN"/>
        </w:rPr>
        <w:t>综合</w:t>
      </w:r>
      <w:r>
        <w:rPr>
          <w:rFonts w:hint="eastAsia" w:ascii="宋体" w:hAnsi="宋体" w:cs="宋体"/>
          <w:color w:val="auto"/>
          <w:szCs w:val="21"/>
          <w:lang w:val="en-US" w:eastAsia="zh-CN"/>
        </w:rPr>
        <w:t>部分</w:t>
      </w:r>
      <w:r>
        <w:rPr>
          <w:rFonts w:hint="eastAsia" w:ascii="宋体" w:hAnsi="宋体" w:cs="宋体"/>
          <w:color w:val="auto"/>
          <w:szCs w:val="21"/>
        </w:rPr>
        <w:t>：见评标办法前附表</w:t>
      </w:r>
      <w:r>
        <w:rPr>
          <w:rFonts w:hint="eastAsia" w:ascii="宋体" w:hAnsi="宋体" w:cs="宋体"/>
          <w:color w:val="auto"/>
          <w:szCs w:val="21"/>
          <w:lang w:eastAsia="zh-CN"/>
        </w:rPr>
        <w:t>。</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w:t>
      </w:r>
      <w:r>
        <w:rPr>
          <w:rFonts w:hint="eastAsia" w:ascii="宋体" w:hAnsi="宋体" w:cs="宋体"/>
          <w:color w:val="auto"/>
          <w:szCs w:val="21"/>
          <w:lang w:val="en-US" w:eastAsia="zh-CN"/>
        </w:rPr>
        <w:t>2</w:t>
      </w:r>
      <w:r>
        <w:rPr>
          <w:rFonts w:hint="eastAsia" w:ascii="宋体" w:hAnsi="宋体" w:cs="宋体"/>
          <w:color w:val="auto"/>
          <w:szCs w:val="21"/>
        </w:rPr>
        <w:t xml:space="preserve"> 评分标准</w:t>
      </w:r>
    </w:p>
    <w:p>
      <w:pPr>
        <w:adjustRightInd w:val="0"/>
        <w:snapToGrid w:val="0"/>
        <w:spacing w:line="360" w:lineRule="auto"/>
        <w:ind w:firstLine="718" w:firstLineChars="342"/>
        <w:rPr>
          <w:rFonts w:hint="eastAsia" w:ascii="宋体" w:hAnsi="宋体" w:cs="宋体"/>
          <w:color w:val="auto"/>
          <w:szCs w:val="21"/>
        </w:rPr>
      </w:pPr>
      <w:r>
        <w:rPr>
          <w:rFonts w:hint="eastAsia" w:ascii="宋体" w:hAnsi="宋体" w:cs="宋体"/>
          <w:color w:val="auto"/>
          <w:szCs w:val="21"/>
        </w:rPr>
        <w:t>2.2.</w:t>
      </w:r>
      <w:r>
        <w:rPr>
          <w:rFonts w:hint="eastAsia" w:ascii="宋体" w:hAnsi="宋体" w:cs="宋体"/>
          <w:color w:val="auto"/>
          <w:szCs w:val="21"/>
          <w:lang w:val="en-US" w:eastAsia="zh-CN"/>
        </w:rPr>
        <w:t>2</w:t>
      </w:r>
      <w:r>
        <w:rPr>
          <w:rFonts w:hint="eastAsia" w:ascii="宋体" w:hAnsi="宋体" w:cs="宋体"/>
          <w:color w:val="auto"/>
          <w:szCs w:val="21"/>
        </w:rPr>
        <w:t>.1商务</w:t>
      </w:r>
      <w:r>
        <w:rPr>
          <w:rFonts w:hint="eastAsia" w:ascii="宋体" w:hAnsi="宋体" w:cs="宋体"/>
          <w:color w:val="auto"/>
          <w:szCs w:val="21"/>
          <w:lang w:val="en-US" w:eastAsia="zh-CN"/>
        </w:rPr>
        <w:t>部分</w:t>
      </w:r>
      <w:r>
        <w:rPr>
          <w:rFonts w:hint="eastAsia" w:ascii="宋体" w:hAnsi="宋体" w:cs="宋体"/>
          <w:color w:val="auto"/>
          <w:szCs w:val="21"/>
        </w:rPr>
        <w:t>评分标准：见评标办法前附表；</w:t>
      </w:r>
    </w:p>
    <w:p>
      <w:pPr>
        <w:adjustRightInd w:val="0"/>
        <w:snapToGrid w:val="0"/>
        <w:spacing w:line="360" w:lineRule="auto"/>
        <w:ind w:firstLine="718" w:firstLineChars="342"/>
        <w:rPr>
          <w:rFonts w:hint="eastAsia" w:ascii="宋体" w:hAnsi="宋体" w:cs="宋体"/>
          <w:color w:val="auto"/>
          <w:szCs w:val="21"/>
          <w:lang w:eastAsia="zh-CN"/>
        </w:rPr>
      </w:pPr>
      <w:r>
        <w:rPr>
          <w:rFonts w:hint="eastAsia" w:ascii="宋体" w:hAnsi="宋体" w:cs="宋体"/>
          <w:color w:val="auto"/>
          <w:szCs w:val="21"/>
        </w:rPr>
        <w:t>2.2</w:t>
      </w:r>
      <w:r>
        <w:rPr>
          <w:rFonts w:hint="eastAsia" w:ascii="宋体" w:hAnsi="宋体" w:cs="宋体"/>
          <w:color w:val="auto"/>
          <w:szCs w:val="21"/>
          <w:lang w:val="en-US" w:eastAsia="zh-CN"/>
        </w:rPr>
        <w:t>.2</w:t>
      </w:r>
      <w:r>
        <w:rPr>
          <w:rFonts w:hint="eastAsia" w:ascii="宋体" w:hAnsi="宋体" w:cs="宋体"/>
          <w:color w:val="auto"/>
          <w:szCs w:val="21"/>
        </w:rPr>
        <w:t>.2技术</w:t>
      </w:r>
      <w:r>
        <w:rPr>
          <w:rFonts w:hint="eastAsia" w:ascii="宋体" w:hAnsi="宋体" w:cs="宋体"/>
          <w:color w:val="auto"/>
          <w:szCs w:val="21"/>
          <w:lang w:val="en-US" w:eastAsia="zh-CN"/>
        </w:rPr>
        <w:t>部分</w:t>
      </w:r>
      <w:r>
        <w:rPr>
          <w:rFonts w:hint="eastAsia" w:ascii="宋体" w:hAnsi="宋体" w:cs="宋体"/>
          <w:color w:val="auto"/>
          <w:szCs w:val="21"/>
        </w:rPr>
        <w:t>评分标准：见评标办法前附表</w:t>
      </w:r>
      <w:r>
        <w:rPr>
          <w:rFonts w:hint="eastAsia" w:ascii="宋体" w:hAnsi="宋体" w:cs="宋体"/>
          <w:color w:val="auto"/>
          <w:szCs w:val="21"/>
          <w:lang w:eastAsia="zh-CN"/>
        </w:rPr>
        <w:t>；</w:t>
      </w:r>
    </w:p>
    <w:p>
      <w:pPr>
        <w:adjustRightInd w:val="0"/>
        <w:snapToGrid w:val="0"/>
        <w:spacing w:line="360" w:lineRule="auto"/>
        <w:ind w:firstLine="718" w:firstLineChars="342"/>
        <w:rPr>
          <w:rFonts w:hint="eastAsia" w:ascii="宋体" w:hAnsi="宋体" w:cs="宋体"/>
          <w:color w:val="auto"/>
          <w:szCs w:val="21"/>
          <w:lang w:eastAsia="zh-CN"/>
        </w:rPr>
      </w:pPr>
      <w:r>
        <w:rPr>
          <w:rFonts w:hint="eastAsia" w:ascii="宋体" w:hAnsi="宋体" w:cs="宋体"/>
          <w:color w:val="auto"/>
          <w:szCs w:val="21"/>
        </w:rPr>
        <w:t>2.2.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lang w:eastAsia="zh-CN"/>
        </w:rPr>
        <w:t>综合</w:t>
      </w:r>
      <w:r>
        <w:rPr>
          <w:rFonts w:hint="eastAsia" w:ascii="宋体" w:hAnsi="宋体" w:cs="宋体"/>
          <w:color w:val="auto"/>
          <w:szCs w:val="21"/>
          <w:lang w:val="en-US" w:eastAsia="zh-CN"/>
        </w:rPr>
        <w:t>部分</w:t>
      </w:r>
      <w:r>
        <w:rPr>
          <w:rFonts w:hint="eastAsia" w:ascii="宋体" w:hAnsi="宋体" w:cs="宋体"/>
          <w:color w:val="auto"/>
          <w:szCs w:val="21"/>
        </w:rPr>
        <w:t>评分标准：见评标办法前附表</w:t>
      </w:r>
      <w:r>
        <w:rPr>
          <w:rFonts w:hint="eastAsia" w:ascii="宋体" w:hAnsi="宋体" w:cs="宋体"/>
          <w:color w:val="auto"/>
          <w:szCs w:val="21"/>
          <w:lang w:eastAsia="zh-CN"/>
        </w:rPr>
        <w:t>。</w:t>
      </w:r>
    </w:p>
    <w:p>
      <w:pPr>
        <w:pStyle w:val="177"/>
        <w:spacing w:before="0" w:beforeLines="0" w:line="360" w:lineRule="auto"/>
        <w:rPr>
          <w:rFonts w:hint="eastAsia" w:ascii="宋体" w:hAnsi="宋体" w:eastAsia="宋体"/>
          <w:b/>
          <w:bCs/>
          <w:color w:val="auto"/>
          <w:sz w:val="21"/>
          <w:szCs w:val="21"/>
        </w:rPr>
      </w:pPr>
      <w:bookmarkStart w:id="841" w:name="_Toc25451"/>
      <w:r>
        <w:rPr>
          <w:rFonts w:hint="eastAsia" w:ascii="宋体" w:hAnsi="宋体" w:eastAsia="宋体"/>
          <w:b/>
          <w:bCs/>
          <w:color w:val="auto"/>
          <w:sz w:val="21"/>
          <w:szCs w:val="21"/>
        </w:rPr>
        <w:t>3. 评审程序</w:t>
      </w:r>
      <w:bookmarkEnd w:id="830"/>
      <w:bookmarkEnd w:id="831"/>
      <w:bookmarkEnd w:id="832"/>
      <w:bookmarkEnd w:id="833"/>
      <w:bookmarkEnd w:id="834"/>
      <w:bookmarkEnd w:id="835"/>
      <w:bookmarkEnd w:id="836"/>
      <w:bookmarkEnd w:id="837"/>
      <w:bookmarkEnd w:id="838"/>
      <w:bookmarkEnd w:id="839"/>
      <w:bookmarkEnd w:id="840"/>
      <w:bookmarkEnd w:id="841"/>
    </w:p>
    <w:p>
      <w:pPr>
        <w:pStyle w:val="183"/>
        <w:spacing w:line="360" w:lineRule="auto"/>
        <w:outlineLvl w:val="0"/>
        <w:rPr>
          <w:rFonts w:hint="eastAsia" w:ascii="宋体" w:hAnsi="宋体" w:eastAsia="宋体"/>
          <w:b/>
          <w:bCs/>
          <w:color w:val="auto"/>
          <w:sz w:val="21"/>
          <w:szCs w:val="21"/>
        </w:rPr>
      </w:pPr>
      <w:bookmarkStart w:id="842" w:name="_Toc29614"/>
      <w:bookmarkStart w:id="843" w:name="_Toc14633"/>
      <w:bookmarkStart w:id="844" w:name="_Toc2410"/>
      <w:bookmarkStart w:id="845" w:name="_Toc5427"/>
      <w:bookmarkStart w:id="846" w:name="_Toc466298144"/>
      <w:bookmarkStart w:id="847" w:name="_Toc29092"/>
      <w:bookmarkStart w:id="848" w:name="_Toc7272"/>
      <w:bookmarkStart w:id="849" w:name="_Toc455867821"/>
      <w:bookmarkStart w:id="850" w:name="_Toc32043"/>
      <w:bookmarkStart w:id="851" w:name="_Toc490667880"/>
      <w:bookmarkStart w:id="852" w:name="_Toc281405533"/>
      <w:bookmarkStart w:id="853" w:name="_Toc318450727"/>
      <w:bookmarkStart w:id="854" w:name="_Toc18886"/>
      <w:bookmarkStart w:id="855" w:name="_Toc9433"/>
      <w:bookmarkStart w:id="856" w:name="_Toc30986"/>
      <w:bookmarkStart w:id="857" w:name="_Toc455080161"/>
      <w:bookmarkStart w:id="858" w:name="_Toc16892"/>
      <w:r>
        <w:rPr>
          <w:rFonts w:hint="eastAsia" w:ascii="宋体" w:hAnsi="宋体" w:eastAsia="宋体"/>
          <w:b/>
          <w:bCs/>
          <w:color w:val="auto"/>
          <w:sz w:val="21"/>
          <w:szCs w:val="21"/>
        </w:rPr>
        <w:t>3.1 初步评审</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3.1.1 磋商小组依据本章第2.1款规定的标准对响应文件进行初步评审。有一项不符合评审标准的，作废标处理。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 供应商有以下情形之一的，其响应文件作无效处理：</w:t>
      </w:r>
    </w:p>
    <w:p>
      <w:pPr>
        <w:spacing w:line="360" w:lineRule="auto"/>
        <w:ind w:firstLine="718" w:firstLineChars="342"/>
        <w:rPr>
          <w:rFonts w:hint="eastAsia" w:ascii="宋体" w:hAnsi="宋体" w:cs="宋体"/>
          <w:color w:val="auto"/>
          <w:szCs w:val="21"/>
        </w:rPr>
      </w:pPr>
      <w:r>
        <w:rPr>
          <w:rFonts w:hint="eastAsia" w:ascii="宋体" w:hAnsi="宋体" w:cs="宋体"/>
          <w:color w:val="auto"/>
          <w:szCs w:val="21"/>
        </w:rPr>
        <w:t>（1）串通或弄虚作假或有其他违法行为的；</w:t>
      </w:r>
    </w:p>
    <w:p>
      <w:pPr>
        <w:spacing w:line="360" w:lineRule="auto"/>
        <w:ind w:firstLine="718" w:firstLineChars="342"/>
        <w:rPr>
          <w:rFonts w:hint="eastAsia" w:ascii="宋体" w:hAnsi="宋体" w:cs="宋体"/>
          <w:color w:val="auto"/>
          <w:szCs w:val="21"/>
        </w:rPr>
      </w:pPr>
      <w:r>
        <w:rPr>
          <w:rFonts w:hint="eastAsia" w:ascii="宋体" w:hAnsi="宋体" w:cs="宋体"/>
          <w:color w:val="auto"/>
          <w:szCs w:val="21"/>
        </w:rPr>
        <w:t>（2）不按磋商小组要求澄清、说明或补正的；</w:t>
      </w:r>
    </w:p>
    <w:p>
      <w:pPr>
        <w:spacing w:line="360" w:lineRule="auto"/>
        <w:ind w:firstLine="718" w:firstLineChars="342"/>
        <w:rPr>
          <w:rFonts w:hint="eastAsia" w:ascii="宋体" w:hAnsi="宋体" w:cs="宋体"/>
          <w:color w:val="auto"/>
          <w:szCs w:val="21"/>
        </w:rPr>
      </w:pPr>
      <w:r>
        <w:rPr>
          <w:rFonts w:hint="eastAsia" w:ascii="宋体" w:hAnsi="宋体" w:cs="宋体"/>
          <w:color w:val="auto"/>
          <w:szCs w:val="21"/>
        </w:rPr>
        <w:t>（3）未按规定格式填写、内容不全或关键字迹模糊、无法辨认的；</w:t>
      </w:r>
    </w:p>
    <w:p>
      <w:pPr>
        <w:spacing w:line="360" w:lineRule="auto"/>
        <w:ind w:firstLine="718" w:firstLineChars="342"/>
        <w:rPr>
          <w:rFonts w:hint="eastAsia" w:ascii="宋体" w:hAnsi="宋体" w:cs="宋体"/>
          <w:color w:val="auto"/>
          <w:szCs w:val="21"/>
        </w:rPr>
      </w:pPr>
      <w:r>
        <w:rPr>
          <w:rFonts w:hint="eastAsia" w:ascii="宋体" w:hAnsi="宋体" w:cs="宋体"/>
          <w:color w:val="auto"/>
          <w:szCs w:val="21"/>
        </w:rPr>
        <w:t>（4）响应文件附有采购人不能接受的条件；</w:t>
      </w:r>
    </w:p>
    <w:p>
      <w:pPr>
        <w:spacing w:line="360" w:lineRule="auto"/>
        <w:ind w:firstLine="718" w:firstLineChars="342"/>
        <w:rPr>
          <w:rFonts w:hint="eastAsia" w:ascii="宋体" w:hAnsi="宋体" w:cs="宋体"/>
          <w:color w:val="auto"/>
          <w:szCs w:val="21"/>
        </w:rPr>
      </w:pPr>
      <w:r>
        <w:rPr>
          <w:rFonts w:hint="eastAsia" w:ascii="宋体" w:hAnsi="宋体" w:cs="宋体"/>
          <w:color w:val="auto"/>
          <w:szCs w:val="21"/>
        </w:rPr>
        <w:t>（5）不符合磋商文件规定的其他实质性要求。</w:t>
      </w:r>
    </w:p>
    <w:p>
      <w:pPr>
        <w:pStyle w:val="183"/>
        <w:spacing w:line="360" w:lineRule="auto"/>
        <w:outlineLvl w:val="0"/>
        <w:rPr>
          <w:rFonts w:hint="eastAsia" w:ascii="宋体" w:hAnsi="宋体" w:eastAsia="宋体"/>
          <w:b/>
          <w:bCs/>
          <w:color w:val="auto"/>
          <w:sz w:val="21"/>
          <w:szCs w:val="21"/>
        </w:rPr>
      </w:pPr>
      <w:bookmarkStart w:id="859" w:name="_Toc13386"/>
      <w:bookmarkStart w:id="860" w:name="_Toc466298145"/>
      <w:bookmarkStart w:id="861" w:name="_Toc455080162"/>
      <w:bookmarkStart w:id="862" w:name="_Toc490667881"/>
      <w:bookmarkStart w:id="863" w:name="_Toc12406"/>
      <w:bookmarkStart w:id="864" w:name="_Toc26280"/>
      <w:bookmarkStart w:id="865" w:name="_Toc21570"/>
      <w:bookmarkStart w:id="866" w:name="_Toc16964"/>
      <w:bookmarkStart w:id="867" w:name="_Toc21032"/>
      <w:bookmarkStart w:id="868" w:name="_Toc318450728"/>
      <w:bookmarkStart w:id="869" w:name="_Toc281405534"/>
      <w:bookmarkStart w:id="870" w:name="_Toc24788"/>
      <w:bookmarkStart w:id="871" w:name="_Toc26049"/>
      <w:bookmarkStart w:id="872" w:name="_Toc455867822"/>
      <w:bookmarkStart w:id="873" w:name="_Toc10692"/>
      <w:bookmarkStart w:id="874" w:name="_Toc7121"/>
      <w:bookmarkStart w:id="875" w:name="_Toc22101"/>
      <w:r>
        <w:rPr>
          <w:rFonts w:hint="eastAsia" w:ascii="宋体" w:hAnsi="宋体" w:eastAsia="宋体"/>
          <w:b/>
          <w:bCs/>
          <w:color w:val="auto"/>
          <w:sz w:val="21"/>
          <w:szCs w:val="21"/>
        </w:rPr>
        <w:t>3.2 详细评审</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3.2.1 磋商小组按本章第2.2款规定的量化因素和分值进行打分，并计算出综合评分得分。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3.2.2 评分分值计算保留小数点后两位，小数点后第三位“四舍五入”。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3.2.3供应商的最终得分以全部小组成员打分的算术平均值为准，作为该供应商的最终得分。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3.2.4在磋商过程中，凡遇到磋商文件中无界定或界定不清、前后不一致使磋商小组意见有分歧且又难以协商一致的问题，均由磋商小组予以表决，获半数以上同意的即为通过，未获半数同意的即为否决。</w:t>
      </w:r>
    </w:p>
    <w:p>
      <w:pPr>
        <w:pStyle w:val="183"/>
        <w:spacing w:line="360" w:lineRule="auto"/>
        <w:outlineLvl w:val="0"/>
        <w:rPr>
          <w:rFonts w:hint="eastAsia" w:ascii="宋体" w:hAnsi="宋体" w:eastAsia="宋体"/>
          <w:b/>
          <w:bCs/>
          <w:color w:val="auto"/>
          <w:sz w:val="21"/>
          <w:szCs w:val="21"/>
        </w:rPr>
      </w:pPr>
      <w:bookmarkStart w:id="876" w:name="_Toc8342"/>
      <w:bookmarkStart w:id="877" w:name="_Toc22084"/>
      <w:bookmarkStart w:id="878" w:name="_Toc455080163"/>
      <w:bookmarkStart w:id="879" w:name="_Toc8813"/>
      <w:bookmarkStart w:id="880" w:name="_Toc318450729"/>
      <w:bookmarkStart w:id="881" w:name="_Toc455867823"/>
      <w:bookmarkStart w:id="882" w:name="_Toc281405535"/>
      <w:bookmarkStart w:id="883" w:name="_Toc490667882"/>
      <w:bookmarkStart w:id="884" w:name="_Toc331"/>
      <w:bookmarkStart w:id="885" w:name="_Toc466298146"/>
      <w:bookmarkStart w:id="886" w:name="_Toc24862"/>
      <w:bookmarkStart w:id="887" w:name="_Toc11958"/>
      <w:bookmarkStart w:id="888" w:name="_Toc10153"/>
      <w:bookmarkStart w:id="889" w:name="_Toc3850"/>
      <w:bookmarkStart w:id="890" w:name="_Toc2657"/>
      <w:bookmarkStart w:id="891" w:name="_Toc12374"/>
      <w:bookmarkStart w:id="892" w:name="_Toc28633"/>
      <w:r>
        <w:rPr>
          <w:rFonts w:hint="eastAsia" w:ascii="宋体" w:hAnsi="宋体" w:eastAsia="宋体"/>
          <w:b/>
          <w:bCs/>
          <w:color w:val="auto"/>
          <w:sz w:val="21"/>
          <w:szCs w:val="21"/>
        </w:rPr>
        <w:t>3.3 响应文件的澄清和补正</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3.3.1在磋商过程中，磋商小组可以通过电子平台澄清说明要求供应商对所提交的响应文件中不明确的内容进行书面澄清或说明，或者对细微偏离进行补正。磋商小组不接受供应商主动提出的澄清、说明或补正。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3.3.2 澄清、说明和补正不得超出响应文件的范围或者改变响应文件的实质性内容（算术性错误修正的除外）。供应商的书面澄清、说明和补正属于响应文件的组成部分。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3.3.3 磋商小组对供应商提交的澄清、说明或补正有疑问的，可以要求供应商进一步澄清、说明或补正，直至满足磋商小组的要求。</w:t>
      </w:r>
    </w:p>
    <w:p>
      <w:pPr>
        <w:pStyle w:val="183"/>
        <w:spacing w:line="360" w:lineRule="auto"/>
        <w:outlineLvl w:val="0"/>
        <w:rPr>
          <w:rFonts w:hint="eastAsia" w:ascii="宋体" w:hAnsi="宋体" w:eastAsia="宋体"/>
          <w:color w:val="auto"/>
          <w:sz w:val="21"/>
          <w:szCs w:val="21"/>
        </w:rPr>
      </w:pPr>
      <w:bookmarkStart w:id="893" w:name="_Toc5903"/>
      <w:bookmarkStart w:id="894" w:name="_Toc22986"/>
      <w:bookmarkStart w:id="895" w:name="_Toc318450730"/>
      <w:bookmarkStart w:id="896" w:name="_Toc490667883"/>
      <w:bookmarkStart w:id="897" w:name="_Toc455867824"/>
      <w:bookmarkStart w:id="898" w:name="_Toc19453"/>
      <w:bookmarkStart w:id="899" w:name="_Toc30053"/>
      <w:bookmarkStart w:id="900" w:name="_Toc22049"/>
      <w:bookmarkStart w:id="901" w:name="_Toc281405536"/>
      <w:bookmarkStart w:id="902" w:name="_Toc19938"/>
      <w:bookmarkStart w:id="903" w:name="_Toc22682"/>
      <w:bookmarkStart w:id="904" w:name="_Toc26894"/>
      <w:bookmarkStart w:id="905" w:name="_Toc466298147"/>
      <w:bookmarkStart w:id="906" w:name="_Toc32183"/>
      <w:bookmarkStart w:id="907" w:name="_Toc1857"/>
      <w:bookmarkStart w:id="908" w:name="_Toc455080164"/>
      <w:bookmarkStart w:id="909" w:name="_Toc29957"/>
      <w:r>
        <w:rPr>
          <w:rFonts w:hint="eastAsia" w:ascii="宋体" w:hAnsi="宋体" w:eastAsia="宋体"/>
          <w:color w:val="auto"/>
          <w:sz w:val="21"/>
          <w:szCs w:val="21"/>
        </w:rPr>
        <w:t>3.4 评审结果</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3.4.1除第二章“供应商须知”前附表授权直接确定成交人外，磋商小组按照得分由高到低的顺序推荐成交候选人。</w:t>
      </w:r>
    </w:p>
    <w:p>
      <w:pPr>
        <w:spacing w:line="360" w:lineRule="auto"/>
        <w:rPr>
          <w:rFonts w:hint="eastAsia" w:ascii="宋体" w:hAnsi="宋体" w:cs="宋体"/>
          <w:color w:val="auto"/>
          <w:szCs w:val="21"/>
        </w:rPr>
      </w:pPr>
      <w:r>
        <w:rPr>
          <w:rFonts w:hint="eastAsia" w:ascii="宋体" w:hAnsi="宋体" w:cs="宋体"/>
          <w:color w:val="auto"/>
          <w:szCs w:val="21"/>
        </w:rPr>
        <w:t xml:space="preserve">   3.4.2 磋商小组完成评审后，应当向采购人提交书面评审报告。</w:t>
      </w:r>
    </w:p>
    <w:p>
      <w:pPr>
        <w:keepNext/>
        <w:keepLines/>
        <w:widowControl w:val="0"/>
        <w:spacing w:after="0" w:afterLines="0" w:line="400" w:lineRule="exact"/>
        <w:jc w:val="left"/>
        <w:outlineLvl w:val="2"/>
        <w:rPr>
          <w:rFonts w:hint="eastAsia" w:ascii="宋体" w:hAnsi="宋体" w:eastAsia="宋体" w:cs="宋体"/>
          <w:b/>
          <w:color w:val="000000"/>
          <w:kern w:val="2"/>
          <w:sz w:val="21"/>
          <w:szCs w:val="21"/>
          <w:lang w:val="en-US" w:eastAsia="zh-CN" w:bidi="ar-SA"/>
        </w:rPr>
      </w:pPr>
      <w:bookmarkStart w:id="910" w:name="_Toc4000"/>
      <w:r>
        <w:rPr>
          <w:rFonts w:hint="eastAsia" w:ascii="宋体" w:hAnsi="宋体" w:eastAsia="宋体" w:cs="宋体"/>
          <w:b/>
          <w:color w:val="000000"/>
          <w:kern w:val="2"/>
          <w:sz w:val="21"/>
          <w:szCs w:val="21"/>
          <w:lang w:val="en-US" w:eastAsia="zh-CN" w:bidi="ar-SA"/>
        </w:rPr>
        <w:t>附件：废标条件</w:t>
      </w:r>
      <w:bookmarkEnd w:id="910"/>
    </w:p>
    <w:p>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1.未通过第三章评标办法资格评审、符合性评审的； </w:t>
      </w:r>
    </w:p>
    <w:p>
      <w:pPr>
        <w:spacing w:line="400" w:lineRule="exact"/>
        <w:ind w:firstLine="211" w:firstLineChars="1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2.不按评标委员会要求澄清、说明或补正的；</w:t>
      </w:r>
    </w:p>
    <w:p>
      <w:pPr>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3.投标报价有算术性错误，投标人不接受修正价格的；</w:t>
      </w:r>
    </w:p>
    <w:p>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4.以他人的名义投标、以行贿手段谋取中标或者以其他弄虚作假方式投标的；</w:t>
      </w:r>
    </w:p>
    <w:p>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5.属于串（围）标行为的；</w:t>
      </w:r>
    </w:p>
    <w:p>
      <w:pPr>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.文件制作机器码、文件创建标识码有相同的；</w:t>
      </w:r>
    </w:p>
    <w:p>
      <w:pPr>
        <w:spacing w:line="400" w:lineRule="exact"/>
        <w:ind w:firstLine="211" w:firstLineChars="1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w:t>
      </w:r>
      <w:r>
        <w:rPr>
          <w:rFonts w:hint="eastAsia" w:ascii="宋体" w:hAnsi="宋体" w:cs="宋体"/>
          <w:b/>
          <w:color w:val="000000"/>
          <w:sz w:val="21"/>
          <w:szCs w:val="21"/>
          <w:lang w:val="en-US" w:eastAsia="zh-CN"/>
        </w:rPr>
        <w:t>7</w:t>
      </w:r>
      <w:r>
        <w:rPr>
          <w:rFonts w:hint="eastAsia" w:ascii="宋体" w:hAnsi="宋体" w:eastAsia="宋体" w:cs="宋体"/>
          <w:b/>
          <w:color w:val="000000"/>
          <w:sz w:val="21"/>
          <w:szCs w:val="21"/>
        </w:rPr>
        <w:t>.不符合</w:t>
      </w:r>
      <w:r>
        <w:rPr>
          <w:rFonts w:hint="eastAsia" w:hAnsi="宋体" w:cs="宋体"/>
          <w:b/>
          <w:color w:val="000000"/>
          <w:sz w:val="21"/>
          <w:szCs w:val="21"/>
          <w:lang w:val="en-US" w:eastAsia="zh-CN"/>
        </w:rPr>
        <w:t>磋商</w:t>
      </w:r>
      <w:r>
        <w:rPr>
          <w:rFonts w:hint="eastAsia" w:ascii="宋体" w:hAnsi="宋体" w:eastAsia="宋体" w:cs="宋体"/>
          <w:b/>
          <w:color w:val="000000"/>
          <w:sz w:val="21"/>
          <w:szCs w:val="21"/>
        </w:rPr>
        <w:t>文件规定的其他实质性要求及相关法律、法规或规章规定可以废标的其他情形。</w:t>
      </w:r>
    </w:p>
    <w:p>
      <w:pPr>
        <w:pStyle w:val="69"/>
        <w:ind w:firstLine="422" w:firstLineChars="200"/>
        <w:rPr>
          <w:rFonts w:hint="eastAsia" w:ascii="宋体" w:hAnsi="宋体" w:cs="宋体"/>
          <w:bCs/>
          <w:color w:val="auto"/>
          <w:sz w:val="28"/>
          <w:szCs w:val="28"/>
        </w:rPr>
      </w:pPr>
      <w:r>
        <w:rPr>
          <w:rFonts w:ascii="宋体" w:hAnsi="宋体" w:eastAsia="宋体" w:cs="Times New Roman"/>
          <w:b/>
          <w:color w:val="000000"/>
          <w:sz w:val="21"/>
          <w:szCs w:val="21"/>
        </w:rPr>
        <w:br w:type="page"/>
      </w:r>
    </w:p>
    <w:bookmarkEnd w:id="756"/>
    <w:bookmarkEnd w:id="757"/>
    <w:bookmarkEnd w:id="758"/>
    <w:bookmarkEnd w:id="759"/>
    <w:p>
      <w:pPr>
        <w:pStyle w:val="2"/>
        <w:rPr>
          <w:rFonts w:hint="eastAsia"/>
          <w:color w:val="auto"/>
          <w:spacing w:val="-1"/>
          <w:sz w:val="21"/>
          <w:szCs w:val="21"/>
          <w:lang w:eastAsia="zh-CN"/>
        </w:rPr>
      </w:pPr>
      <w:bookmarkStart w:id="911" w:name="_Toc361673212"/>
      <w:bookmarkStart w:id="912" w:name="_Toc490667886"/>
      <w:bookmarkStart w:id="913" w:name="_Toc16036"/>
      <w:bookmarkStart w:id="914" w:name="_Toc367527766"/>
      <w:bookmarkStart w:id="915" w:name="_Toc475624445"/>
      <w:bookmarkStart w:id="916" w:name="_Toc9239"/>
      <w:bookmarkStart w:id="917" w:name="_Toc361673595"/>
      <w:bookmarkStart w:id="918" w:name="_Toc144974855"/>
      <w:bookmarkStart w:id="919" w:name="_Toc152045786"/>
      <w:bookmarkStart w:id="920" w:name="_Toc152042575"/>
    </w:p>
    <w:bookmarkEnd w:id="911"/>
    <w:bookmarkEnd w:id="912"/>
    <w:bookmarkEnd w:id="913"/>
    <w:bookmarkEnd w:id="914"/>
    <w:bookmarkEnd w:id="915"/>
    <w:bookmarkEnd w:id="916"/>
    <w:bookmarkEnd w:id="917"/>
    <w:p>
      <w:pPr>
        <w:pStyle w:val="5"/>
        <w:numPr>
          <w:ilvl w:val="0"/>
          <w:numId w:val="4"/>
        </w:numPr>
        <w:ind w:left="459"/>
        <w:jc w:val="center"/>
        <w:rPr>
          <w:rFonts w:hint="eastAsia" w:ascii="宋体" w:hAnsi="宋体" w:eastAsia="宋体" w:cs="宋体"/>
          <w:bCs w:val="0"/>
          <w:color w:val="auto"/>
          <w:sz w:val="28"/>
          <w:szCs w:val="28"/>
          <w:lang w:eastAsia="zh-CN"/>
        </w:rPr>
      </w:pPr>
      <w:bookmarkStart w:id="921" w:name="_Toc31782"/>
      <w:bookmarkStart w:id="922" w:name="_Toc30627"/>
      <w:r>
        <w:rPr>
          <w:rFonts w:hint="eastAsia" w:ascii="宋体" w:hAnsi="宋体" w:eastAsia="宋体" w:cs="宋体"/>
          <w:bCs w:val="0"/>
          <w:color w:val="auto"/>
          <w:sz w:val="28"/>
          <w:szCs w:val="28"/>
        </w:rPr>
        <w:t xml:space="preserve">  </w:t>
      </w:r>
      <w:bookmarkStart w:id="923" w:name="_Toc15537"/>
      <w:r>
        <w:rPr>
          <w:rFonts w:hint="eastAsia" w:ascii="宋体" w:hAnsi="宋体" w:eastAsia="宋体" w:cs="宋体"/>
          <w:bCs w:val="0"/>
          <w:color w:val="auto"/>
          <w:sz w:val="28"/>
          <w:szCs w:val="28"/>
        </w:rPr>
        <w:t>合同文本</w:t>
      </w:r>
      <w:r>
        <w:rPr>
          <w:rFonts w:hint="eastAsia" w:ascii="宋体" w:hAnsi="宋体" w:eastAsia="宋体" w:cs="宋体"/>
          <w:bCs w:val="0"/>
          <w:color w:val="auto"/>
          <w:sz w:val="28"/>
          <w:szCs w:val="28"/>
          <w:lang w:eastAsia="zh-CN"/>
        </w:rPr>
        <w:t>（仅供参考）</w:t>
      </w:r>
      <w:bookmarkEnd w:id="923"/>
    </w:p>
    <w:bookmarkEnd w:id="921"/>
    <w:bookmarkEnd w:id="922"/>
    <w:p>
      <w:pPr>
        <w:keepNext/>
        <w:spacing w:line="360" w:lineRule="auto"/>
        <w:jc w:val="center"/>
        <w:outlineLvl w:val="0"/>
        <w:rPr>
          <w:rFonts w:ascii="宋体" w:hAnsi="宋体"/>
          <w:b/>
          <w:bCs/>
          <w:sz w:val="28"/>
          <w:szCs w:val="28"/>
        </w:rPr>
      </w:pPr>
      <w:bookmarkStart w:id="924" w:name="_Toc16661"/>
      <w:bookmarkStart w:id="925" w:name="_Toc3643"/>
      <w:bookmarkStart w:id="926" w:name="_Toc11495"/>
      <w:r>
        <w:rPr>
          <w:rFonts w:hint="eastAsia" w:ascii="宋体" w:hAnsi="宋体"/>
          <w:b/>
          <w:bCs/>
          <w:sz w:val="28"/>
          <w:szCs w:val="28"/>
        </w:rPr>
        <w:t>（合同格式仅供参考）</w:t>
      </w:r>
      <w:bookmarkEnd w:id="924"/>
      <w:bookmarkEnd w:id="925"/>
      <w:bookmarkEnd w:id="926"/>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0"/>
          <w:szCs w:val="20"/>
        </w:rPr>
        <w:t xml:space="preserve"> </w:t>
      </w:r>
      <w:r>
        <w:rPr>
          <w:rFonts w:hint="eastAsia" w:ascii="宋体" w:hAnsi="宋体" w:cs="宋体"/>
          <w:b/>
          <w:bCs/>
          <w:color w:val="FF0000"/>
          <w:sz w:val="28"/>
          <w:szCs w:val="28"/>
          <w:lang w:val="en-US" w:eastAsia="zh-CN"/>
        </w:rPr>
        <w:t>服务类</w:t>
      </w: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bookmarkStart w:id="927" w:name="_Toc24050"/>
      <w:r>
        <w:rPr>
          <w:rFonts w:hint="eastAsia" w:ascii="宋体" w:hAnsi="宋体" w:eastAsia="宋体" w:cs="宋体"/>
          <w:b/>
          <w:bCs/>
          <w:color w:val="000000"/>
          <w:kern w:val="0"/>
          <w:sz w:val="52"/>
          <w:szCs w:val="52"/>
          <w:lang w:val="en-US" w:eastAsia="zh-CN" w:bidi="ar"/>
        </w:rPr>
        <w:t>政府采购合同</w:t>
      </w:r>
    </w:p>
    <w:p>
      <w:pPr>
        <w:pStyle w:val="2"/>
        <w:rPr>
          <w:rFonts w:hint="eastAsia" w:ascii="宋体" w:hAnsi="宋体" w:eastAsia="宋体" w:cs="宋体"/>
          <w:b/>
          <w:bCs/>
          <w:color w:val="000000"/>
          <w:kern w:val="0"/>
          <w:sz w:val="52"/>
          <w:szCs w:val="52"/>
          <w:lang w:val="en-US" w:eastAsia="zh-CN" w:bidi="ar"/>
        </w:rPr>
      </w:pPr>
    </w:p>
    <w:p>
      <w:pPr>
        <w:pStyle w:val="3"/>
      </w:pPr>
    </w:p>
    <w:p>
      <w:pPr>
        <w:keepNext w:val="0"/>
        <w:keepLines w:val="0"/>
        <w:widowControl/>
        <w:suppressLineNumbers w:val="0"/>
        <w:jc w:val="left"/>
      </w:pPr>
      <w:r>
        <w:rPr>
          <w:rFonts w:hint="eastAsia" w:ascii="宋体" w:hAnsi="宋体" w:eastAsia="宋体" w:cs="宋体"/>
          <w:b/>
          <w:bCs/>
          <w:color w:val="000000"/>
          <w:kern w:val="0"/>
          <w:sz w:val="30"/>
          <w:szCs w:val="30"/>
          <w:lang w:val="en-US" w:eastAsia="zh-CN" w:bidi="ar"/>
        </w:rPr>
        <w:t>项目名称：</w:t>
      </w:r>
    </w:p>
    <w:p>
      <w:pPr>
        <w:keepNext w:val="0"/>
        <w:keepLines w:val="0"/>
        <w:widowControl/>
        <w:suppressLineNumbers w:val="0"/>
        <w:jc w:val="left"/>
      </w:pPr>
      <w:r>
        <w:rPr>
          <w:rFonts w:hint="eastAsia" w:ascii="宋体" w:hAnsi="宋体" w:eastAsia="宋体" w:cs="宋体"/>
          <w:b/>
          <w:bCs/>
          <w:color w:val="000000"/>
          <w:kern w:val="0"/>
          <w:sz w:val="30"/>
          <w:szCs w:val="30"/>
          <w:lang w:val="en-US" w:eastAsia="zh-CN" w:bidi="ar"/>
        </w:rPr>
        <w:t>招标采购文件编号：</w:t>
      </w:r>
    </w:p>
    <w:p>
      <w:pPr>
        <w:keepNext w:val="0"/>
        <w:keepLines w:val="0"/>
        <w:widowControl/>
        <w:suppressLineNumbers w:val="0"/>
        <w:jc w:val="left"/>
      </w:pPr>
      <w:r>
        <w:rPr>
          <w:rFonts w:hint="eastAsia" w:ascii="宋体" w:hAnsi="宋体" w:eastAsia="宋体" w:cs="宋体"/>
          <w:b/>
          <w:bCs/>
          <w:color w:val="000000"/>
          <w:kern w:val="0"/>
          <w:sz w:val="30"/>
          <w:szCs w:val="30"/>
          <w:lang w:val="en-US" w:eastAsia="zh-CN" w:bidi="ar"/>
        </w:rPr>
        <w:t>甲方合同编号：</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甲方：</w:t>
      </w:r>
    </w:p>
    <w:p>
      <w:pPr>
        <w:keepNext w:val="0"/>
        <w:keepLines w:val="0"/>
        <w:widowControl/>
        <w:suppressLineNumbers w:val="0"/>
        <w:jc w:val="left"/>
      </w:pPr>
      <w:r>
        <w:rPr>
          <w:rFonts w:hint="eastAsia" w:ascii="宋体" w:hAnsi="宋体" w:eastAsia="宋体" w:cs="宋体"/>
          <w:b/>
          <w:bCs/>
          <w:color w:val="000000"/>
          <w:kern w:val="0"/>
          <w:sz w:val="30"/>
          <w:szCs w:val="30"/>
          <w:lang w:val="en-US" w:eastAsia="zh-CN" w:bidi="ar"/>
        </w:rPr>
        <w:t>乙方：</w:t>
      </w:r>
    </w:p>
    <w:p>
      <w:pPr>
        <w:keepNext w:val="0"/>
        <w:keepLines w:val="0"/>
        <w:widowControl/>
        <w:suppressLineNumbers w:val="0"/>
        <w:jc w:val="left"/>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甲方合同法律审核部门：</w:t>
      </w:r>
    </w:p>
    <w:p>
      <w:pPr>
        <w:pStyle w:val="2"/>
        <w:rPr>
          <w:rFonts w:hint="eastAsia" w:ascii="宋体" w:hAnsi="宋体" w:eastAsia="宋体" w:cs="宋体"/>
          <w:b/>
          <w:bCs/>
          <w:color w:val="000000"/>
          <w:kern w:val="0"/>
          <w:sz w:val="30"/>
          <w:szCs w:val="30"/>
          <w:lang w:val="en-US" w:eastAsia="zh-CN" w:bidi="ar"/>
        </w:rPr>
      </w:pPr>
    </w:p>
    <w:p>
      <w:pPr>
        <w:pStyle w:val="3"/>
      </w:pPr>
    </w:p>
    <w:p>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签订时间：  年  月  日</w:t>
      </w:r>
    </w:p>
    <w:p>
      <w:pPr>
        <w:pStyle w:val="4"/>
        <w:numPr>
          <w:ilvl w:val="0"/>
          <w:numId w:val="0"/>
        </w:numPr>
        <w:spacing w:before="120" w:beforeLines="0" w:after="120" w:afterLines="0" w:line="400" w:lineRule="exact"/>
        <w:jc w:val="center"/>
        <w:rPr>
          <w:rFonts w:hint="eastAsia" w:ascii="宋体" w:hAnsi="宋体" w:cs="宋体"/>
          <w:color w:val="auto"/>
          <w:sz w:val="28"/>
          <w:szCs w:val="28"/>
          <w:lang w:eastAsia="zh-CN"/>
        </w:rPr>
      </w:pPr>
    </w:p>
    <w:p>
      <w:pPr>
        <w:rPr>
          <w:rFonts w:hint="eastAsia" w:ascii="宋体" w:hAnsi="宋体" w:cs="宋体"/>
          <w:color w:val="auto"/>
          <w:sz w:val="28"/>
          <w:szCs w:val="28"/>
          <w:lang w:eastAsia="zh-CN"/>
        </w:rPr>
      </w:pPr>
    </w:p>
    <w:p>
      <w:pPr>
        <w:pStyle w:val="3"/>
        <w:rPr>
          <w:rFonts w:hint="eastAsia" w:ascii="宋体" w:hAnsi="宋体" w:cs="宋体"/>
          <w:color w:val="auto"/>
          <w:sz w:val="28"/>
          <w:szCs w:val="28"/>
          <w:lang w:eastAsia="zh-CN"/>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甲方</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xx项目名称</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委托(代理机构名称)进行了政府采购 。按照评委会评审推荐、甲方确定乙方为中标（成交）单位。现甲乙双方协商同意签订本合同。 </w:t>
      </w:r>
    </w:p>
    <w:p>
      <w:pPr>
        <w:keepNext w:val="0"/>
        <w:keepLines w:val="0"/>
        <w:widowControl/>
        <w:suppressLineNumbers w:val="0"/>
        <w:spacing w:line="360" w:lineRule="auto"/>
        <w:ind w:firstLine="422" w:firstLineChars="200"/>
        <w:jc w:val="left"/>
        <w:rPr>
          <w:sz w:val="21"/>
          <w:szCs w:val="21"/>
        </w:rPr>
      </w:pPr>
      <w:r>
        <w:rPr>
          <w:rFonts w:hint="eastAsia" w:ascii="宋体" w:hAnsi="宋体" w:eastAsia="宋体" w:cs="宋体"/>
          <w:b/>
          <w:bCs/>
          <w:color w:val="000000"/>
          <w:kern w:val="0"/>
          <w:sz w:val="21"/>
          <w:szCs w:val="21"/>
          <w:lang w:val="en-US" w:eastAsia="zh-CN" w:bidi="ar"/>
        </w:rPr>
        <w:t xml:space="preserve">第一条 合同文件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下列与本次采购活动有关的文件及附件是本合同不可分割的组成部分，与本合同具有同等法律效力，这些文件包括但不限于：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1. (xx号)招标采购文件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2.投标文件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3.乙方在投标时的书面承诺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4. (xx号)中标（成交）通知书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5.合同补充条款或说明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6.保密协议或条款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7.相关附件、图纸及电子版资料 </w:t>
      </w:r>
    </w:p>
    <w:p>
      <w:pPr>
        <w:keepNext w:val="0"/>
        <w:keepLines w:val="0"/>
        <w:widowControl/>
        <w:suppressLineNumbers w:val="0"/>
        <w:spacing w:line="360" w:lineRule="auto"/>
        <w:ind w:firstLine="422" w:firstLineChars="200"/>
        <w:jc w:val="left"/>
        <w:rPr>
          <w:sz w:val="21"/>
          <w:szCs w:val="21"/>
        </w:rPr>
      </w:pPr>
      <w:r>
        <w:rPr>
          <w:rFonts w:hint="eastAsia" w:ascii="宋体" w:hAnsi="宋体" w:eastAsia="宋体" w:cs="宋体"/>
          <w:b/>
          <w:bCs/>
          <w:color w:val="000000"/>
          <w:kern w:val="0"/>
          <w:sz w:val="21"/>
          <w:szCs w:val="21"/>
          <w:lang w:val="en-US" w:eastAsia="zh-CN" w:bidi="ar"/>
        </w:rPr>
        <w:t xml:space="preserve">第二条 合同内容 </w:t>
      </w:r>
    </w:p>
    <w:p>
      <w:pPr>
        <w:keepNext w:val="0"/>
        <w:keepLines w:val="0"/>
        <w:widowControl/>
        <w:suppressLineNumbers w:val="0"/>
        <w:spacing w:line="36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服务名称：详见合同附件中《服务一览表》</w:t>
      </w:r>
    </w:p>
    <w:p>
      <w:pPr>
        <w:keepNext w:val="0"/>
        <w:keepLines w:val="0"/>
        <w:widowControl/>
        <w:suppressLineNumbers w:val="0"/>
        <w:spacing w:line="360" w:lineRule="auto"/>
        <w:ind w:firstLine="422" w:firstLineChars="200"/>
        <w:jc w:val="left"/>
        <w:rPr>
          <w:sz w:val="21"/>
          <w:szCs w:val="21"/>
        </w:rPr>
      </w:pPr>
      <w:r>
        <w:rPr>
          <w:rFonts w:hint="eastAsia" w:ascii="宋体" w:hAnsi="宋体" w:eastAsia="宋体" w:cs="宋体"/>
          <w:b/>
          <w:bCs/>
          <w:color w:val="000000"/>
          <w:kern w:val="0"/>
          <w:sz w:val="21"/>
          <w:szCs w:val="21"/>
          <w:lang w:val="en-US" w:eastAsia="zh-CN" w:bidi="ar"/>
        </w:rPr>
        <w:t xml:space="preserve">第三条 合同总金额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本合同服务总金额：￥</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大写：</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分项价款在《服务一览表》中有明确规定。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本合同总价款包括服务期间必须的日常物料、易耗品、工具、调试费、培训费等相关费用。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本合同执行期内因工作量变化而引起的服务费用的变动，在双方事先协商一致的前提下签订补充合同，但因此而增加的服务费用不得超过原中标金额的10%</w:t>
      </w:r>
      <w:r>
        <w:rPr>
          <w:rFonts w:hint="eastAsia" w:ascii="宋体" w:hAnsi="宋体" w:cs="宋体"/>
          <w:b w:val="0"/>
          <w:bCs w:val="0"/>
          <w:color w:val="000000"/>
          <w:kern w:val="0"/>
          <w:sz w:val="21"/>
          <w:szCs w:val="21"/>
          <w:lang w:val="en-US" w:eastAsia="zh-CN" w:bidi="ar"/>
        </w:rPr>
        <w:t>。</w:t>
      </w:r>
    </w:p>
    <w:p>
      <w:pPr>
        <w:keepNext w:val="0"/>
        <w:keepLines w:val="0"/>
        <w:widowControl/>
        <w:suppressLineNumbers w:val="0"/>
        <w:spacing w:line="360" w:lineRule="auto"/>
        <w:ind w:firstLine="422" w:firstLineChars="200"/>
        <w:jc w:val="left"/>
        <w:rPr>
          <w:sz w:val="21"/>
          <w:szCs w:val="21"/>
        </w:rPr>
      </w:pPr>
      <w:r>
        <w:rPr>
          <w:rFonts w:hint="eastAsia" w:ascii="宋体" w:hAnsi="宋体" w:eastAsia="宋体" w:cs="宋体"/>
          <w:b/>
          <w:bCs/>
          <w:color w:val="000000"/>
          <w:kern w:val="0"/>
          <w:sz w:val="21"/>
          <w:szCs w:val="21"/>
          <w:lang w:val="en-US" w:eastAsia="zh-CN" w:bidi="ar"/>
        </w:rPr>
        <w:t xml:space="preserve">第四条 权利义务及质量保证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 否则应承担全部法律责任。</w:t>
      </w:r>
    </w:p>
    <w:p>
      <w:pPr>
        <w:keepNext w:val="0"/>
        <w:keepLines w:val="0"/>
        <w:widowControl/>
        <w:suppressLineNumbers w:val="0"/>
        <w:spacing w:line="360" w:lineRule="auto"/>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第五条 付款方式 </w:t>
      </w:r>
    </w:p>
    <w:p>
      <w:pPr>
        <w:pStyle w:val="2"/>
        <w:rPr>
          <w:rFonts w:hint="default"/>
          <w:lang w:val="en-US"/>
        </w:rPr>
      </w:pPr>
      <w:r>
        <w:rPr>
          <w:rFonts w:hint="eastAsia" w:ascii="宋体" w:hAnsi="宋体" w:cs="宋体"/>
          <w:color w:val="000000"/>
          <w:kern w:val="0"/>
          <w:sz w:val="21"/>
          <w:szCs w:val="21"/>
          <w:u w:val="none"/>
          <w:lang w:val="en-US" w:eastAsia="zh-CN" w:bidi="ar"/>
        </w:rPr>
        <w:t xml:space="preserve">    </w:t>
      </w:r>
      <w:r>
        <w:rPr>
          <w:rFonts w:hint="eastAsia" w:ascii="宋体" w:hAnsi="宋体" w:cs="宋体"/>
          <w:color w:val="000000"/>
          <w:kern w:val="0"/>
          <w:sz w:val="21"/>
          <w:szCs w:val="21"/>
          <w:u w:val="single"/>
          <w:lang w:val="en-US" w:eastAsia="zh-CN" w:bidi="ar"/>
        </w:rPr>
        <w:t xml:space="preserve">                </w:t>
      </w:r>
    </w:p>
    <w:p>
      <w:pPr>
        <w:keepNext w:val="0"/>
        <w:keepLines w:val="0"/>
        <w:widowControl/>
        <w:suppressLineNumbers w:val="0"/>
        <w:spacing w:line="360" w:lineRule="auto"/>
        <w:ind w:firstLine="422" w:firstLineChars="200"/>
        <w:jc w:val="left"/>
        <w:rPr>
          <w:sz w:val="21"/>
          <w:szCs w:val="21"/>
        </w:rPr>
      </w:pPr>
      <w:r>
        <w:rPr>
          <w:rFonts w:hint="eastAsia" w:ascii="宋体" w:hAnsi="宋体" w:eastAsia="宋体" w:cs="宋体"/>
          <w:b/>
          <w:bCs/>
          <w:color w:val="000000"/>
          <w:kern w:val="0"/>
          <w:sz w:val="21"/>
          <w:szCs w:val="21"/>
          <w:lang w:val="en-US" w:eastAsia="zh-CN" w:bidi="ar"/>
        </w:rPr>
        <w:t>第六条 不得收取履约保证金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第七条 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1.服务期限：</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至</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服务地点：</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验收时间：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验收地点：</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2.乙方应对提供的服务成果作出全面自查和整理，并列出清单，作为甲方验收和使用的服务条件依据，清单应随提供的服务成果交给甲方。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4.甲方可以视项目规模或复杂情况聘请专业人员参与验收，大型或复杂项目，以及涉及专业服务内容的应当邀请国家认可的第三方质量检测机构参与验收。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5.如根据项目实施情况需要分阶段验收，则双方分阶段签署《验收报告》。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6.如果合同双方对《验收报告》有分歧，双方须于出现分歧后天内给对方书面声明，以陈述己方的理由及要求，并附有关证据。分歧应通过协商解决。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第八条 项目管理服务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乙方要指定不少于一人全权全程负责本项目服务的落实， 包括服务的咨询、执行和后续工作。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项目负责人姓名：</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联系电话：</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第九条 售后服务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1.乙方提供服务的质量保证期为自服务通过最终验收之日起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个月。若国家有明确规定的质量保证期高于此质量保证期的，执行国家规定。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2.服务期内，乙方应提供相关服务支持。对甲方所反映的任何服务问题在</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日(小时) 之内做出及时响应， 在</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日(小时) 之内赶到现场实地解决问题。若问题在工作</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日(小时) 后仍无法解决， 乙方应在</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日(小时)内免费提供服务的补偿、替换方案， 直至服务恢复正常。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3.乙方必须遵守甲方的有关管理制度、操作规程。对于乙方违规操作造成甲方损失的， 由乙方按照本合同第十二条的约定承担赔偿责任。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第十条 合同的生效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1.本合同经甲乙双方授权代表签字并加盖公章或合同专用章后生效。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2.生效后，除《政府采购法》第49条、第50条第二款规定的情形外，甲乙双方不得擅自变更、中止或终止合同。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第十一条 违约责任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1.乙方所交付服务成果不符合本合同规定的，甲方有权拒收，乙方在得到甲方通知之日起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个工作日内采取补救措施， 逾期仍未采取有效措施的，甲方有权要求乙方赔偿因此造成的损失或扣留履约保证金（如有）；同时乙方应向甲方支付合同总价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％的违约金。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2.甲方无正当理由拒收服务，甲方应向乙方偿付拒付服务费用</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％的违约金。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3.乙方无正当理由逾期交付服务的，每逾期 1 天，乙方向甲方偿付合同总额的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‰的违约金。如乙方逾期达</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天，甲方有权解除合同，甲方解除合同的通知自到达乙方时生效。 在此情况下， 乙方给甲方造成的实际损失高于违约金的，对高出违约金的部分乙方应予以赔偿。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4.甲方未按合同规定的期限向乙方支付合同款的，每逾期 1 天甲方向乙方偿付欠款总额的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‰违约金，但累计违约金总额不超过欠款总额的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5.其它未尽事宜，以《民法典》和《政府采购法》等有关法律法规规定为准，无相关规定的，双方协商解决。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第十二条 不可抗力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甲、乙方中任何一方，因不可抗力不能按时或完全履行合同的，应及时通知对方，并在</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个工作日内提供相应证明，结算服务费用。未履行的部分是否继续履行、如何履行等问题，可由双方初步协商，并向主管部门和政府采购管理部门报告。确定为不可抗力原因造成的损失，免予承担责任。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第十三条 争议的解决方式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1.因服务质量问题发生争议的，应当邀请国家认可的质量检测机构对服务进行鉴定，服务符合标准的，鉴定费由甲方承担；不符合质量标准的，鉴定费由乙方承担。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2.在解释或者执行本合同的过程中发生争议时，双方应通过协商方式解决。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3.经协商不能解决的争议，双方可选择以下第</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b w:val="0"/>
          <w:bCs w:val="0"/>
          <w:color w:val="000000"/>
          <w:kern w:val="0"/>
          <w:sz w:val="21"/>
          <w:szCs w:val="21"/>
          <w:lang w:val="en-US" w:eastAsia="zh-CN" w:bidi="ar"/>
        </w:rPr>
        <w:t>种方式解决：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default" w:ascii="Calibri" w:hAnsi="Calibri" w:eastAsia="宋体" w:cs="Calibri"/>
          <w:b w:val="0"/>
          <w:bCs w:val="0"/>
          <w:color w:val="000000"/>
          <w:kern w:val="0"/>
          <w:sz w:val="21"/>
          <w:szCs w:val="21"/>
          <w:lang w:val="en-US" w:eastAsia="zh-CN" w:bidi="ar"/>
        </w:rPr>
        <w:t>①</w:t>
      </w:r>
      <w:r>
        <w:rPr>
          <w:rFonts w:hint="eastAsia" w:ascii="宋体" w:hAnsi="宋体" w:eastAsia="宋体" w:cs="宋体"/>
          <w:b w:val="0"/>
          <w:bCs w:val="0"/>
          <w:color w:val="000000"/>
          <w:kern w:val="0"/>
          <w:sz w:val="21"/>
          <w:szCs w:val="21"/>
          <w:lang w:val="en-US" w:eastAsia="zh-CN" w:bidi="ar"/>
        </w:rPr>
        <w:t>向信阳市有管辖权的法院提起诉讼；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default" w:ascii="Calibri" w:hAnsi="Calibri" w:eastAsia="宋体" w:cs="Calibri"/>
          <w:b w:val="0"/>
          <w:bCs w:val="0"/>
          <w:color w:val="000000"/>
          <w:kern w:val="0"/>
          <w:sz w:val="21"/>
          <w:szCs w:val="21"/>
          <w:lang w:val="en-US" w:eastAsia="zh-CN" w:bidi="ar"/>
        </w:rPr>
        <w:t>②</w:t>
      </w:r>
      <w:r>
        <w:rPr>
          <w:rFonts w:hint="eastAsia" w:ascii="宋体" w:hAnsi="宋体" w:eastAsia="宋体" w:cs="宋体"/>
          <w:b w:val="0"/>
          <w:bCs w:val="0"/>
          <w:color w:val="000000"/>
          <w:kern w:val="0"/>
          <w:sz w:val="21"/>
          <w:szCs w:val="21"/>
          <w:lang w:val="en-US" w:eastAsia="zh-CN" w:bidi="ar"/>
        </w:rPr>
        <w:t>信阳仲裁委员会提出仲裁。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4.在法院审理和仲裁期间，除有争议部分外，本合同其他部分可以履行的仍应按合同条款继续履行。</w:t>
      </w:r>
    </w:p>
    <w:p>
      <w:pPr>
        <w:keepNext w:val="0"/>
        <w:keepLines w:val="0"/>
        <w:widowControl/>
        <w:suppressLineNumbers w:val="0"/>
        <w:spacing w:line="360" w:lineRule="auto"/>
        <w:ind w:firstLine="402" w:firstLineChars="200"/>
        <w:jc w:val="left"/>
      </w:pPr>
      <w:r>
        <w:rPr>
          <w:rFonts w:hint="eastAsia" w:ascii="宋体" w:hAnsi="宋体" w:eastAsia="宋体" w:cs="宋体"/>
          <w:b/>
          <w:bCs/>
          <w:color w:val="000000"/>
          <w:kern w:val="0"/>
          <w:sz w:val="20"/>
          <w:szCs w:val="20"/>
          <w:lang w:val="en-US" w:eastAsia="zh-CN" w:bidi="ar"/>
        </w:rPr>
        <w:t xml:space="preserve">第十五条 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符合《政府采购法》第 49 条规定的，经双方协商，办理政府采购手续后，可签订补充合同，所签订的补充合同与本合同具有同等法律效力。 本合同一式</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0"/>
          <w:szCs w:val="20"/>
          <w:lang w:val="en-US" w:eastAsia="zh-CN" w:bidi="ar"/>
        </w:rPr>
        <w:t>份，甲、乙双方各执</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份。 </w:t>
      </w:r>
    </w:p>
    <w:p>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 xml:space="preserve">甲方：                               </w:t>
      </w:r>
      <w:r>
        <w:rPr>
          <w:rFonts w:hint="eastAsia" w:ascii="宋体" w:hAnsi="宋体" w:cs="宋体"/>
          <w:color w:val="000000"/>
          <w:kern w:val="0"/>
          <w:sz w:val="20"/>
          <w:szCs w:val="20"/>
          <w:lang w:val="en-US" w:eastAsia="zh-CN" w:bidi="ar"/>
        </w:rPr>
        <w:t>乙</w:t>
      </w:r>
      <w:r>
        <w:rPr>
          <w:rFonts w:hint="eastAsia" w:ascii="宋体" w:hAnsi="宋体" w:eastAsia="宋体" w:cs="宋体"/>
          <w:color w:val="000000"/>
          <w:kern w:val="0"/>
          <w:sz w:val="20"/>
          <w:szCs w:val="20"/>
          <w:lang w:val="en-US" w:eastAsia="zh-CN" w:bidi="ar"/>
        </w:rPr>
        <w:t>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 xml:space="preserve">名称：(盖章)                         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 xml:space="preserve">地址：                               地址：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法定代表人(签字)：                   法定代表人(签字)：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授权代表(签字 )：                    授权代表(签字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开户银行：                           开户银行：</w:t>
      </w:r>
    </w:p>
    <w:p>
      <w:pPr>
        <w:keepNext w:val="0"/>
        <w:keepLines w:val="0"/>
        <w:widowControl/>
        <w:suppressLineNumbers w:val="0"/>
        <w:spacing w:line="360" w:lineRule="auto"/>
        <w:ind w:firstLine="400" w:firstLineChars="200"/>
        <w:jc w:val="left"/>
        <w:rPr>
          <w:rFonts w:hint="eastAsia" w:ascii="宋体" w:hAnsi="宋体" w:cs="宋体"/>
          <w:color w:val="auto"/>
          <w:sz w:val="28"/>
          <w:szCs w:val="28"/>
          <w:lang w:eastAsia="zh-CN"/>
        </w:rPr>
      </w:pPr>
      <w:r>
        <w:rPr>
          <w:rFonts w:hint="eastAsia" w:ascii="宋体" w:hAnsi="宋体" w:eastAsia="宋体" w:cs="宋体"/>
          <w:color w:val="000000"/>
          <w:kern w:val="0"/>
          <w:sz w:val="20"/>
          <w:szCs w:val="20"/>
          <w:lang w:val="en-US" w:eastAsia="zh-CN" w:bidi="ar"/>
        </w:rPr>
        <w:t>银行帐号：                           银行帐号：</w:t>
      </w:r>
    </w:p>
    <w:p>
      <w:pPr>
        <w:keepNext w:val="0"/>
        <w:keepLines w:val="0"/>
        <w:widowControl/>
        <w:suppressLineNumbers w:val="0"/>
        <w:spacing w:line="360" w:lineRule="auto"/>
        <w:ind w:firstLine="400" w:firstLineChars="200"/>
        <w:jc w:val="left"/>
        <w:rPr>
          <w:rFonts w:hint="eastAsia"/>
          <w:lang w:eastAsia="zh-CN"/>
        </w:rPr>
      </w:pPr>
      <w:r>
        <w:rPr>
          <w:rFonts w:hint="eastAsia" w:ascii="宋体" w:hAnsi="宋体" w:eastAsia="宋体" w:cs="宋体"/>
          <w:color w:val="000000"/>
          <w:kern w:val="0"/>
          <w:sz w:val="20"/>
          <w:szCs w:val="20"/>
          <w:lang w:val="en-US" w:eastAsia="zh-CN" w:bidi="ar"/>
        </w:rPr>
        <w:t>合同法律审核(盖章)：</w:t>
      </w:r>
    </w:p>
    <w:p>
      <w:pPr>
        <w:keepNext w:val="0"/>
        <w:keepLines w:val="0"/>
        <w:widowControl/>
        <w:suppressLineNumbers w:val="0"/>
        <w:spacing w:line="360" w:lineRule="auto"/>
        <w:ind w:firstLine="400" w:firstLineChars="200"/>
        <w:jc w:val="left"/>
        <w:rPr>
          <w:rFonts w:hint="eastAsia"/>
          <w:lang w:eastAsia="zh-CN"/>
        </w:rPr>
      </w:pPr>
      <w:r>
        <w:rPr>
          <w:rFonts w:hint="eastAsia" w:ascii="宋体" w:hAnsi="宋体" w:eastAsia="宋体" w:cs="宋体"/>
          <w:color w:val="000000"/>
          <w:kern w:val="0"/>
          <w:sz w:val="20"/>
          <w:szCs w:val="20"/>
          <w:lang w:val="en-US" w:eastAsia="zh-CN" w:bidi="ar"/>
        </w:rPr>
        <w:t>时 间：   年   月   日</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spacing w:line="240" w:lineRule="auto"/>
        <w:jc w:val="left"/>
        <w:rPr>
          <w:color w:val="FF0000"/>
        </w:rPr>
      </w:pPr>
      <w:r>
        <w:rPr>
          <w:rFonts w:hint="eastAsia" w:ascii="宋体" w:hAnsi="宋体" w:eastAsia="宋体" w:cs="宋体"/>
          <w:color w:val="FF0000"/>
          <w:kern w:val="0"/>
          <w:sz w:val="20"/>
          <w:szCs w:val="20"/>
          <w:lang w:val="en-US" w:eastAsia="zh-CN" w:bidi="ar"/>
        </w:rPr>
        <w:t xml:space="preserve">特别说明：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auto"/>
        <w:rPr>
          <w:color w:val="FF0000"/>
        </w:rPr>
      </w:pPr>
      <w:r>
        <w:rPr>
          <w:rFonts w:hint="eastAsia" w:ascii="宋体" w:hAnsi="宋体" w:eastAsia="宋体" w:cs="宋体"/>
          <w:color w:val="FF0000"/>
          <w:kern w:val="0"/>
          <w:sz w:val="20"/>
          <w:szCs w:val="20"/>
          <w:lang w:val="en-US" w:eastAsia="zh-CN" w:bidi="ar"/>
        </w:rPr>
        <w:t xml:space="preserve">1.本范本根据《政府采购法》、《民法典》等法律法规制定。具体项目的采购合同条款，在本范本框架内由甲乙双方协商一致签订。空格处划横线。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auto"/>
        <w:rPr>
          <w:color w:val="FF0000"/>
        </w:rPr>
      </w:pPr>
      <w:r>
        <w:rPr>
          <w:rFonts w:hint="eastAsia" w:ascii="宋体" w:hAnsi="宋体" w:eastAsia="宋体" w:cs="宋体"/>
          <w:color w:val="FF0000"/>
          <w:kern w:val="0"/>
          <w:sz w:val="20"/>
          <w:szCs w:val="20"/>
          <w:lang w:val="en-US" w:eastAsia="zh-CN" w:bidi="ar"/>
        </w:rPr>
        <w:t xml:space="preserve">2.收款单位名称应与本合同乙方单位名称、项目中标（成交）单位名称、开具发票单位名称相一致。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auto"/>
        <w:rPr>
          <w:color w:val="FF0000"/>
        </w:rPr>
      </w:pPr>
      <w:r>
        <w:rPr>
          <w:rFonts w:hint="eastAsia" w:ascii="宋体" w:hAnsi="宋体" w:eastAsia="宋体" w:cs="宋体"/>
          <w:color w:val="FF0000"/>
          <w:kern w:val="0"/>
          <w:sz w:val="20"/>
          <w:szCs w:val="20"/>
          <w:lang w:val="en-US" w:eastAsia="zh-CN" w:bidi="ar"/>
        </w:rPr>
        <w:t xml:space="preserve">3.甲方(采购单位) 应盖本单位公章(不允许盖内设科室章) ，乙方应盖单位公章或合同专用章，合同双方应盖骑缝章。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auto"/>
        <w:rPr>
          <w:color w:val="FF0000"/>
        </w:rPr>
      </w:pPr>
      <w:r>
        <w:rPr>
          <w:rFonts w:hint="eastAsia" w:ascii="宋体" w:hAnsi="宋体" w:eastAsia="宋体" w:cs="宋体"/>
          <w:color w:val="FF0000"/>
          <w:kern w:val="0"/>
          <w:sz w:val="20"/>
          <w:szCs w:val="20"/>
          <w:lang w:val="en-US" w:eastAsia="zh-CN" w:bidi="ar"/>
        </w:rPr>
        <w:t>4.除涉密项目外，根据《政府采购法实施条例》第 50 条规定：采购人应当自政府采购合同签订之日起2个工作日内，将政府采购合同在省级以上人民政府财政部门指定的媒体上公告。</w:t>
      </w:r>
    </w:p>
    <w:p>
      <w:pPr>
        <w:pStyle w:val="2"/>
        <w:rPr>
          <w:rFonts w:hint="eastAsia"/>
          <w:lang w:eastAsia="zh-CN"/>
        </w:rPr>
      </w:pPr>
    </w:p>
    <w:p>
      <w:pPr>
        <w:pStyle w:val="2"/>
        <w:rPr>
          <w:rFonts w:hint="eastAsia"/>
          <w:lang w:val="en-US" w:eastAsia="zh-CN"/>
        </w:rPr>
      </w:pPr>
    </w:p>
    <w:p>
      <w:pPr>
        <w:pStyle w:val="3"/>
        <w:rPr>
          <w:rFonts w:hint="default"/>
          <w:lang w:val="en-US" w:eastAsia="zh-CN"/>
        </w:rPr>
        <w:sectPr>
          <w:footerReference r:id="rId6" w:type="default"/>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4"/>
        <w:numPr>
          <w:ilvl w:val="0"/>
          <w:numId w:val="4"/>
        </w:numPr>
        <w:spacing w:before="120" w:beforeLines="0" w:after="120" w:afterLines="0" w:line="400" w:lineRule="exact"/>
        <w:ind w:left="459" w:leftChars="0" w:firstLine="0" w:firstLineChars="0"/>
        <w:jc w:val="center"/>
        <w:rPr>
          <w:rFonts w:hint="eastAsia" w:ascii="宋体" w:hAnsi="宋体" w:cs="宋体"/>
          <w:color w:val="auto"/>
          <w:sz w:val="28"/>
          <w:szCs w:val="28"/>
          <w:lang w:eastAsia="zh-CN"/>
        </w:rPr>
      </w:pPr>
      <w:r>
        <w:rPr>
          <w:rFonts w:hint="eastAsia" w:ascii="宋体" w:hAnsi="宋体" w:cs="宋体"/>
          <w:color w:val="auto"/>
          <w:sz w:val="28"/>
          <w:szCs w:val="28"/>
          <w:lang w:val="en-US" w:eastAsia="zh-CN"/>
        </w:rPr>
        <w:t xml:space="preserve">  </w:t>
      </w:r>
      <w:bookmarkEnd w:id="927"/>
      <w:r>
        <w:rPr>
          <w:rFonts w:hint="eastAsia" w:ascii="宋体" w:hAnsi="宋体" w:cs="宋体"/>
          <w:color w:val="auto"/>
          <w:sz w:val="28"/>
          <w:szCs w:val="28"/>
          <w:lang w:val="en-US" w:eastAsia="zh-CN"/>
        </w:rPr>
        <w:t>采购</w:t>
      </w:r>
      <w:r>
        <w:rPr>
          <w:rFonts w:hint="eastAsia" w:ascii="宋体" w:hAnsi="宋体" w:cs="宋体"/>
          <w:color w:val="auto"/>
          <w:sz w:val="28"/>
          <w:szCs w:val="28"/>
          <w:lang w:eastAsia="zh-CN"/>
        </w:rPr>
        <w:t>需求</w:t>
      </w:r>
    </w:p>
    <w:p>
      <w:pPr>
        <w:pStyle w:val="41"/>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firstLine="630" w:firstLineChars="300"/>
        <w:textAlignment w:val="auto"/>
        <w:rPr>
          <w:sz w:val="21"/>
          <w:szCs w:val="21"/>
        </w:rPr>
      </w:pPr>
      <w:r>
        <w:rPr>
          <w:rFonts w:hint="eastAsia"/>
          <w:sz w:val="21"/>
          <w:szCs w:val="21"/>
        </w:rPr>
        <w:t>本项目招标的学生食堂共四个餐厅</w:t>
      </w:r>
      <w:r>
        <w:rPr>
          <w:rFonts w:hint="eastAsia" w:ascii="宋体" w:hAnsi="宋体" w:eastAsia="宋体" w:cs="宋体"/>
          <w:bCs/>
          <w:color w:val="auto"/>
          <w:sz w:val="21"/>
          <w:szCs w:val="21"/>
          <w:highlight w:val="none"/>
          <w:lang w:eastAsia="zh-CN"/>
        </w:rPr>
        <w:t>的承包经营权</w:t>
      </w:r>
      <w:r>
        <w:rPr>
          <w:rFonts w:hint="eastAsia"/>
          <w:sz w:val="21"/>
          <w:szCs w:val="21"/>
          <w:lang w:eastAsia="zh-CN"/>
        </w:rPr>
        <w:t>，</w:t>
      </w:r>
      <w:r>
        <w:rPr>
          <w:rFonts w:hint="eastAsia"/>
          <w:sz w:val="21"/>
          <w:szCs w:val="21"/>
          <w:lang w:val="en-US" w:eastAsia="zh-CN"/>
        </w:rPr>
        <w:t>共分为4个包段；1包</w:t>
      </w:r>
      <w:r>
        <w:rPr>
          <w:rFonts w:hint="eastAsia"/>
          <w:sz w:val="21"/>
          <w:szCs w:val="21"/>
        </w:rPr>
        <w:t>为竹香苑餐厅一楼，建筑面积约</w:t>
      </w:r>
      <w:r>
        <w:rPr>
          <w:sz w:val="21"/>
          <w:szCs w:val="21"/>
        </w:rPr>
        <w:t>2800</w:t>
      </w:r>
      <w:r>
        <w:rPr>
          <w:rFonts w:hint="eastAsia"/>
          <w:sz w:val="21"/>
          <w:szCs w:val="21"/>
          <w:lang w:val="en-US" w:eastAsia="zh-CN"/>
        </w:rPr>
        <w:t>㎡</w:t>
      </w:r>
      <w:r>
        <w:rPr>
          <w:rFonts w:hint="eastAsia"/>
          <w:sz w:val="21"/>
          <w:szCs w:val="21"/>
        </w:rPr>
        <w:t>；</w:t>
      </w:r>
      <w:r>
        <w:rPr>
          <w:rFonts w:hint="eastAsia"/>
          <w:sz w:val="21"/>
          <w:szCs w:val="21"/>
          <w:lang w:val="en-US" w:eastAsia="zh-CN"/>
        </w:rPr>
        <w:t>2包</w:t>
      </w:r>
      <w:r>
        <w:rPr>
          <w:rFonts w:hint="eastAsia"/>
          <w:sz w:val="21"/>
          <w:szCs w:val="21"/>
        </w:rPr>
        <w:t>为竹香苑餐厅二楼，建筑面积约</w:t>
      </w:r>
      <w:r>
        <w:rPr>
          <w:sz w:val="21"/>
          <w:szCs w:val="21"/>
        </w:rPr>
        <w:t>2800</w:t>
      </w:r>
      <w:r>
        <w:rPr>
          <w:rFonts w:hint="eastAsia"/>
          <w:sz w:val="21"/>
          <w:szCs w:val="21"/>
          <w:lang w:val="en-US" w:eastAsia="zh-CN"/>
        </w:rPr>
        <w:t>㎡</w:t>
      </w:r>
      <w:r>
        <w:rPr>
          <w:rFonts w:hint="eastAsia"/>
          <w:sz w:val="21"/>
          <w:szCs w:val="21"/>
          <w:vertAlign w:val="superscript"/>
          <w:lang w:val="en-US" w:eastAsia="zh-CN"/>
        </w:rPr>
        <w:t xml:space="preserve"> </w:t>
      </w:r>
      <w:r>
        <w:rPr>
          <w:rFonts w:hint="eastAsia"/>
          <w:sz w:val="21"/>
          <w:szCs w:val="21"/>
          <w:lang w:eastAsia="zh-CN"/>
        </w:rPr>
        <w:t>；</w:t>
      </w:r>
      <w:r>
        <w:rPr>
          <w:rFonts w:hint="eastAsia"/>
          <w:sz w:val="21"/>
          <w:szCs w:val="21"/>
          <w:lang w:val="en-US" w:eastAsia="zh-CN"/>
        </w:rPr>
        <w:t>3包</w:t>
      </w:r>
      <w:r>
        <w:rPr>
          <w:rFonts w:hint="eastAsia"/>
          <w:sz w:val="21"/>
          <w:szCs w:val="21"/>
        </w:rPr>
        <w:t>为银杏食苑餐厅一楼，建筑面积约</w:t>
      </w:r>
      <w:r>
        <w:rPr>
          <w:sz w:val="21"/>
          <w:szCs w:val="21"/>
        </w:rPr>
        <w:t>2300</w:t>
      </w:r>
      <w:r>
        <w:rPr>
          <w:rFonts w:hint="eastAsia"/>
          <w:sz w:val="21"/>
          <w:szCs w:val="21"/>
          <w:lang w:val="en-US" w:eastAsia="zh-CN"/>
        </w:rPr>
        <w:t>㎡</w:t>
      </w:r>
      <w:r>
        <w:rPr>
          <w:rFonts w:hint="eastAsia"/>
          <w:sz w:val="21"/>
          <w:szCs w:val="21"/>
        </w:rPr>
        <w:t>；</w:t>
      </w:r>
      <w:r>
        <w:rPr>
          <w:rFonts w:hint="eastAsia"/>
          <w:sz w:val="21"/>
          <w:szCs w:val="21"/>
          <w:lang w:val="en-US" w:eastAsia="zh-CN"/>
        </w:rPr>
        <w:t>4包</w:t>
      </w:r>
      <w:r>
        <w:rPr>
          <w:rFonts w:hint="eastAsia"/>
          <w:sz w:val="21"/>
          <w:szCs w:val="21"/>
        </w:rPr>
        <w:t>为银杏食苑餐厅二楼，建筑面积约</w:t>
      </w:r>
      <w:r>
        <w:rPr>
          <w:sz w:val="21"/>
          <w:szCs w:val="21"/>
        </w:rPr>
        <w:t>2300</w:t>
      </w:r>
      <w:r>
        <w:rPr>
          <w:rFonts w:hint="eastAsia"/>
          <w:sz w:val="21"/>
          <w:szCs w:val="21"/>
          <w:lang w:val="en-US" w:eastAsia="zh-CN"/>
        </w:rPr>
        <w:t>㎡</w:t>
      </w:r>
      <w:r>
        <w:rPr>
          <w:rFonts w:hint="eastAsia"/>
          <w:sz w:val="21"/>
          <w:szCs w:val="21"/>
          <w:lang w:eastAsia="zh-CN"/>
        </w:rPr>
        <w:t>。</w:t>
      </w:r>
    </w:p>
    <w:p>
      <w:pPr>
        <w:spacing w:line="360" w:lineRule="auto"/>
        <w:ind w:firstLine="420" w:firstLineChars="200"/>
        <w:rPr>
          <w:sz w:val="21"/>
          <w:szCs w:val="21"/>
        </w:rPr>
      </w:pPr>
      <w:r>
        <w:rPr>
          <w:rFonts w:hint="eastAsia"/>
          <w:sz w:val="21"/>
          <w:szCs w:val="21"/>
          <w:lang w:val="en-US" w:eastAsia="zh-CN"/>
        </w:rPr>
        <w:t>1、</w:t>
      </w:r>
      <w:r>
        <w:rPr>
          <w:sz w:val="21"/>
          <w:szCs w:val="21"/>
        </w:rPr>
        <w:t>现有的经营条件：</w:t>
      </w:r>
      <w:r>
        <w:t>学生食堂水、电、天然气等基本设施完善，厨具和洗消间基本齐备。</w:t>
      </w:r>
    </w:p>
    <w:p>
      <w:pPr>
        <w:spacing w:line="360" w:lineRule="auto"/>
        <w:ind w:firstLine="420" w:firstLineChars="200"/>
        <w:rPr>
          <w:sz w:val="21"/>
          <w:szCs w:val="21"/>
        </w:rPr>
      </w:pPr>
      <w:r>
        <w:rPr>
          <w:rFonts w:hint="eastAsia"/>
          <w:sz w:val="21"/>
          <w:szCs w:val="21"/>
          <w:lang w:val="en-US" w:eastAsia="zh-CN"/>
        </w:rPr>
        <w:t>2、</w:t>
      </w:r>
      <w:r>
        <w:t>在校学生约2万人，校内食堂遵循公平竞争，自愿就餐原则。</w:t>
      </w:r>
    </w:p>
    <w:p>
      <w:pPr>
        <w:spacing w:line="360" w:lineRule="auto"/>
        <w:ind w:firstLine="420" w:firstLineChars="200"/>
        <w:rPr>
          <w:sz w:val="21"/>
          <w:szCs w:val="21"/>
        </w:rPr>
      </w:pPr>
      <w:r>
        <w:rPr>
          <w:rFonts w:hint="eastAsia"/>
          <w:sz w:val="21"/>
          <w:szCs w:val="21"/>
          <w:lang w:val="en-US" w:eastAsia="zh-CN"/>
        </w:rPr>
        <w:t>3、合作方式：在学校提供的现有经营条件基础上进行经营。</w:t>
      </w:r>
    </w:p>
    <w:p>
      <w:pPr>
        <w:spacing w:line="360" w:lineRule="auto"/>
        <w:ind w:firstLine="420" w:firstLineChars="200"/>
        <w:rPr>
          <w:sz w:val="21"/>
          <w:szCs w:val="21"/>
        </w:rPr>
      </w:pPr>
      <w:r>
        <w:rPr>
          <w:rFonts w:hint="eastAsia"/>
          <w:sz w:val="21"/>
          <w:szCs w:val="21"/>
          <w:lang w:val="en-US" w:eastAsia="zh-CN"/>
        </w:rPr>
        <w:t>4、经营服务范围：基本大伙和特色风味（包含民族窗口），满足学生不同口味具有地方特色的饮食服务；设施达到标准化食堂建设要求；饭菜价格低于校外周边市场同类价格，具有公益性、普遍性、教育性和服务性，在保证饭菜足量的情况下早餐2元/份以下的品种应达到30%以上，早餐3元/份以下的品种应达到40%以上，早餐5元/份以下的品种应达到80%以上，中晚餐10元/份以下的饭菜品种应达到70%以上、其中8元/份以下饭菜品种应达到30%以上，切实保障家庭经济困难学生的基本伙食要求，保证低价菜和免费汤供应。</w:t>
      </w:r>
    </w:p>
    <w:p>
      <w:pPr>
        <w:spacing w:line="360" w:lineRule="auto"/>
        <w:ind w:firstLine="420" w:firstLineChars="200"/>
        <w:rPr>
          <w:sz w:val="21"/>
          <w:szCs w:val="21"/>
        </w:rPr>
      </w:pPr>
      <w:r>
        <w:rPr>
          <w:rFonts w:hint="eastAsia"/>
          <w:sz w:val="21"/>
          <w:szCs w:val="21"/>
          <w:lang w:val="en-US" w:eastAsia="zh-CN"/>
        </w:rPr>
        <w:t>5、</w:t>
      </w:r>
      <w:r>
        <w:rPr>
          <w:sz w:val="21"/>
          <w:szCs w:val="21"/>
        </w:rPr>
        <w:t>承包经营期限：</w:t>
      </w:r>
      <w:r>
        <w:rPr>
          <w:rFonts w:hint="eastAsia"/>
          <w:sz w:val="21"/>
          <w:szCs w:val="21"/>
        </w:rPr>
        <w:t>半</w:t>
      </w:r>
      <w:r>
        <w:rPr>
          <w:sz w:val="21"/>
          <w:szCs w:val="21"/>
        </w:rPr>
        <w:t>年。</w:t>
      </w:r>
    </w:p>
    <w:p>
      <w:pPr>
        <w:spacing w:line="360" w:lineRule="auto"/>
        <w:ind w:firstLine="420" w:firstLineChars="200"/>
        <w:rPr>
          <w:sz w:val="21"/>
          <w:szCs w:val="21"/>
        </w:rPr>
      </w:pPr>
      <w:r>
        <w:rPr>
          <w:rFonts w:hint="eastAsia"/>
          <w:sz w:val="21"/>
          <w:szCs w:val="21"/>
          <w:lang w:val="en-US" w:eastAsia="zh-CN"/>
        </w:rPr>
        <w:t>6、由餐饮公司与学校共同设立专项帮扶基金账户，按月向基金账户捐赠不低于食堂营业额的3%，用于贫困生奖补及勤工助学岗位工资发放支出。</w:t>
      </w:r>
    </w:p>
    <w:p>
      <w:pPr>
        <w:spacing w:line="360" w:lineRule="auto"/>
        <w:ind w:firstLine="420" w:firstLineChars="200"/>
        <w:rPr>
          <w:sz w:val="21"/>
          <w:szCs w:val="21"/>
        </w:rPr>
      </w:pPr>
      <w:r>
        <w:rPr>
          <w:rFonts w:hint="eastAsia"/>
          <w:sz w:val="21"/>
          <w:szCs w:val="21"/>
          <w:lang w:val="en-US" w:eastAsia="zh-CN"/>
        </w:rPr>
        <w:t>7、</w:t>
      </w:r>
      <w:r>
        <w:t>大宗物资(米、面、油</w:t>
      </w:r>
      <w:r>
        <w:rPr>
          <w:rFonts w:hint="eastAsia"/>
        </w:rPr>
        <w:t>、调料、冻品、禽肉蛋等)按</w:t>
      </w:r>
      <w:r>
        <w:t>照上级部门要求实行大宗物质集中采购。后厨及公共餐厅水、电、天</w:t>
      </w:r>
      <w:r>
        <w:rPr>
          <w:rFonts w:hint="eastAsia"/>
        </w:rPr>
        <w:t>然气费用按表计量，收费标准按学校有关文件制定的标准执行，费用由</w:t>
      </w:r>
      <w:r>
        <w:rPr>
          <w:rFonts w:hint="eastAsia"/>
          <w:lang w:val="en-US" w:eastAsia="zh-CN"/>
        </w:rPr>
        <w:t>成交</w:t>
      </w:r>
      <w:r>
        <w:rPr>
          <w:rFonts w:hint="eastAsia"/>
        </w:rPr>
        <w:t>经营企业承担，就餐费用实行校园一卡通支付，统一结算。</w:t>
      </w:r>
    </w:p>
    <w:p>
      <w:pPr>
        <w:spacing w:line="360" w:lineRule="auto"/>
        <w:ind w:firstLine="420" w:firstLineChars="200"/>
        <w:rPr>
          <w:sz w:val="21"/>
          <w:szCs w:val="21"/>
        </w:rPr>
      </w:pPr>
      <w:r>
        <w:rPr>
          <w:rFonts w:hint="eastAsia"/>
          <w:sz w:val="21"/>
          <w:szCs w:val="21"/>
          <w:lang w:val="en-US" w:eastAsia="zh-CN"/>
        </w:rPr>
        <w:t>8</w:t>
      </w:r>
      <w:r>
        <w:rPr>
          <w:rFonts w:hint="eastAsia"/>
          <w:sz w:val="21"/>
          <w:szCs w:val="21"/>
          <w:lang w:eastAsia="zh-CN"/>
        </w:rPr>
        <w:t>、</w:t>
      </w:r>
      <w:r>
        <w:t>设备、设施和场地使用：招标方提供现有设备设施及用具（按交接清单），合同期满后完好归还，</w:t>
      </w:r>
      <w:r>
        <w:rPr>
          <w:rFonts w:hint="eastAsia"/>
        </w:rPr>
        <w:t>如有损坏或短缺，则赔偿相应费用。设施、设备及用具在承包期内的维修、审验和养护费用由</w:t>
      </w:r>
      <w:r>
        <w:rPr>
          <w:rFonts w:hint="eastAsia"/>
          <w:lang w:val="en-US" w:eastAsia="zh-CN"/>
        </w:rPr>
        <w:t>成交</w:t>
      </w:r>
      <w:r>
        <w:rPr>
          <w:rFonts w:hint="eastAsia"/>
        </w:rPr>
        <w:t>方自行承担。食堂除归属招标方提供的现有设备外，其他所需设备及餐具、易耗品由经营方自行购买，但</w:t>
      </w:r>
      <w:r>
        <w:rPr>
          <w:rFonts w:hint="eastAsia"/>
          <w:lang w:val="en-US" w:eastAsia="zh-CN"/>
        </w:rPr>
        <w:t>成交</w:t>
      </w:r>
      <w:r>
        <w:rPr>
          <w:rFonts w:hint="eastAsia"/>
        </w:rPr>
        <w:t>方在购置设备时需报招标方备案。</w:t>
      </w:r>
      <w:r>
        <w:t>所有餐厨垃圾清运及回收</w:t>
      </w:r>
      <w:r>
        <w:rPr>
          <w:rFonts w:hint="eastAsia"/>
        </w:rPr>
        <w:t>应按学校规定处置，费用</w:t>
      </w:r>
      <w:r>
        <w:t>均由</w:t>
      </w:r>
      <w:r>
        <w:rPr>
          <w:rFonts w:hint="eastAsia"/>
          <w:lang w:val="en-US" w:eastAsia="zh-CN"/>
        </w:rPr>
        <w:t>成交</w:t>
      </w:r>
      <w:r>
        <w:t>人承担。</w:t>
      </w:r>
    </w:p>
    <w:p>
      <w:pPr>
        <w:spacing w:line="360" w:lineRule="auto"/>
        <w:ind w:firstLine="420" w:firstLineChars="200"/>
        <w:rPr>
          <w:rFonts w:hint="eastAsia"/>
        </w:rPr>
      </w:pPr>
      <w:r>
        <w:rPr>
          <w:rFonts w:hint="eastAsia"/>
          <w:sz w:val="21"/>
          <w:szCs w:val="21"/>
          <w:lang w:val="en-US" w:eastAsia="zh-CN"/>
        </w:rPr>
        <w:t>9、</w:t>
      </w:r>
      <w:r>
        <w:rPr>
          <w:rFonts w:hint="eastAsia"/>
          <w:lang w:val="en-US" w:eastAsia="zh-CN"/>
        </w:rPr>
        <w:t>成交</w:t>
      </w:r>
      <w:r>
        <w:rPr>
          <w:rFonts w:hint="eastAsia"/>
        </w:rPr>
        <w:t>方经营方式：不以收取租金的方式进行经营，仅准许向商户进行提点，提点不超过营业额的2</w:t>
      </w:r>
      <w:r>
        <w:t>2</w:t>
      </w:r>
      <w:r>
        <w:rPr>
          <w:rFonts w:hint="eastAsia"/>
        </w:rPr>
        <w:t>%，提点应包含捐赠金额，招标方现有餐厅商户</w:t>
      </w:r>
      <w:r>
        <w:rPr>
          <w:rFonts w:hint="eastAsia"/>
          <w:lang w:val="en-US" w:eastAsia="zh-CN"/>
        </w:rPr>
        <w:t>成交</w:t>
      </w:r>
      <w:r>
        <w:rPr>
          <w:rFonts w:hint="eastAsia"/>
        </w:rPr>
        <w:t>方应留尽留，</w:t>
      </w:r>
      <w:r>
        <w:rPr>
          <w:rFonts w:hint="eastAsia"/>
          <w:lang w:val="en-US" w:eastAsia="zh-CN"/>
        </w:rPr>
        <w:t>成交</w:t>
      </w:r>
      <w:r>
        <w:rPr>
          <w:rFonts w:hint="eastAsia"/>
        </w:rPr>
        <w:t>方应及时向商户结算营业款，向大宗物资供应商结算货款。</w:t>
      </w:r>
    </w:p>
    <w:p>
      <w:pPr>
        <w:spacing w:line="360" w:lineRule="auto"/>
        <w:ind w:firstLine="420" w:firstLineChars="200"/>
        <w:rPr>
          <w:sz w:val="21"/>
          <w:szCs w:val="21"/>
        </w:rPr>
      </w:pPr>
      <w:r>
        <w:rPr>
          <w:rFonts w:hint="eastAsia"/>
          <w:sz w:val="21"/>
          <w:szCs w:val="21"/>
          <w:lang w:val="en-US" w:eastAsia="zh-CN"/>
        </w:rPr>
        <w:t>10、</w:t>
      </w:r>
      <w:r>
        <w:rPr>
          <w:rFonts w:hint="eastAsia"/>
          <w:sz w:val="21"/>
          <w:szCs w:val="21"/>
        </w:rPr>
        <w:t>退场承诺：</w:t>
      </w:r>
      <w:r>
        <w:rPr>
          <w:rFonts w:hint="eastAsia"/>
        </w:rPr>
        <w:t>若招标方重新对本项目进行招标，</w:t>
      </w:r>
      <w:r>
        <w:rPr>
          <w:rFonts w:hint="eastAsia"/>
          <w:lang w:val="en-US" w:eastAsia="zh-CN"/>
        </w:rPr>
        <w:t>成交</w:t>
      </w:r>
      <w:r>
        <w:rPr>
          <w:rFonts w:hint="eastAsia"/>
        </w:rPr>
        <w:t>方应无条件配合招标方做好退场交接工作。</w:t>
      </w:r>
    </w:p>
    <w:bookmarkEnd w:id="918"/>
    <w:bookmarkEnd w:id="919"/>
    <w:bookmarkEnd w:id="920"/>
    <w:p>
      <w:pPr>
        <w:pStyle w:val="4"/>
        <w:numPr>
          <w:ilvl w:val="0"/>
          <w:numId w:val="0"/>
        </w:numPr>
        <w:spacing w:before="120" w:beforeLines="0" w:after="120" w:afterLines="0" w:line="400" w:lineRule="exact"/>
        <w:jc w:val="both"/>
        <w:rPr>
          <w:rFonts w:hint="eastAsia" w:ascii="宋体" w:hAnsi="宋体" w:cs="宋体"/>
          <w:bCs w:val="0"/>
          <w:color w:val="auto"/>
          <w:sz w:val="28"/>
          <w:szCs w:val="28"/>
        </w:rPr>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bookmarkStart w:id="928" w:name="_Toc28130"/>
    </w:p>
    <w:p>
      <w:pPr>
        <w:pStyle w:val="4"/>
        <w:numPr>
          <w:ilvl w:val="0"/>
          <w:numId w:val="0"/>
        </w:numPr>
        <w:spacing w:before="120" w:beforeLines="0" w:after="120" w:afterLines="0" w:line="400" w:lineRule="exact"/>
        <w:jc w:val="center"/>
        <w:rPr>
          <w:rFonts w:hint="eastAsia" w:ascii="宋体" w:hAnsi="宋体" w:cs="宋体"/>
          <w:bCs w:val="0"/>
          <w:color w:val="auto"/>
          <w:sz w:val="28"/>
          <w:szCs w:val="28"/>
        </w:rPr>
      </w:pPr>
      <w:r>
        <w:rPr>
          <w:rFonts w:hint="eastAsia" w:ascii="宋体" w:hAnsi="宋体" w:cs="宋体"/>
          <w:bCs w:val="0"/>
          <w:color w:val="auto"/>
          <w:sz w:val="28"/>
          <w:szCs w:val="28"/>
        </w:rPr>
        <w:t>第六章  竞争性磋商响应文件格式</w:t>
      </w:r>
      <w:bookmarkEnd w:id="928"/>
    </w:p>
    <w:p>
      <w:pPr>
        <w:spacing w:line="400" w:lineRule="exact"/>
        <w:rPr>
          <w:rFonts w:hint="eastAsia" w:ascii="宋体" w:hAnsi="宋体" w:cs="宋体"/>
          <w:color w:val="auto"/>
        </w:rPr>
      </w:pPr>
    </w:p>
    <w:p>
      <w:pPr>
        <w:spacing w:line="440" w:lineRule="exact"/>
        <w:jc w:val="right"/>
        <w:rPr>
          <w:rFonts w:hint="eastAsia" w:ascii="宋体" w:hAnsi="宋体" w:cs="宋体"/>
          <w:color w:val="auto"/>
          <w:sz w:val="24"/>
          <w:bdr w:val="single" w:color="auto" w:sz="4" w:space="0"/>
        </w:rPr>
      </w:pPr>
    </w:p>
    <w:p>
      <w:pPr>
        <w:spacing w:line="440" w:lineRule="exact"/>
        <w:rPr>
          <w:rFonts w:hint="eastAsia" w:ascii="宋体" w:hAnsi="宋体" w:cs="宋体"/>
          <w:color w:val="auto"/>
          <w:sz w:val="24"/>
        </w:rPr>
      </w:pPr>
    </w:p>
    <w:p>
      <w:pPr>
        <w:jc w:val="center"/>
        <w:rPr>
          <w:rFonts w:hint="eastAsia" w:ascii="宋体" w:hAnsi="宋体" w:cs="宋体"/>
          <w:b/>
          <w:bCs/>
          <w:color w:val="auto"/>
          <w:sz w:val="30"/>
          <w:szCs w:val="30"/>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r>
        <w:rPr>
          <w:rFonts w:hint="eastAsia" w:ascii="宋体" w:hAnsi="宋体" w:cs="宋体"/>
          <w:b/>
          <w:bCs/>
          <w:color w:val="auto"/>
          <w:sz w:val="30"/>
          <w:szCs w:val="30"/>
          <w:u w:val="single"/>
          <w:lang w:val="en-US" w:eastAsia="zh-CN"/>
        </w:rPr>
        <w:t xml:space="preserve">   </w:t>
      </w:r>
      <w:r>
        <w:rPr>
          <w:rFonts w:hint="eastAsia" w:ascii="宋体" w:hAnsi="宋体" w:cs="宋体"/>
          <w:b/>
          <w:bCs/>
          <w:color w:val="auto"/>
          <w:sz w:val="30"/>
          <w:szCs w:val="30"/>
          <w:lang w:val="en-US" w:eastAsia="zh-CN"/>
        </w:rPr>
        <w:t>包</w:t>
      </w:r>
      <w:r>
        <w:rPr>
          <w:rFonts w:hint="eastAsia" w:ascii="宋体" w:hAnsi="宋体" w:cs="宋体"/>
          <w:b/>
          <w:bCs/>
          <w:color w:val="auto"/>
          <w:sz w:val="30"/>
          <w:szCs w:val="30"/>
        </w:rPr>
        <w:t>竞争性磋商</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72"/>
          <w:szCs w:val="84"/>
        </w:rPr>
      </w:pPr>
      <w:r>
        <w:rPr>
          <w:rFonts w:hint="eastAsia" w:ascii="宋体" w:hAnsi="宋体" w:cs="宋体"/>
          <w:b/>
          <w:bCs/>
          <w:color w:val="auto"/>
          <w:sz w:val="72"/>
          <w:szCs w:val="84"/>
        </w:rPr>
        <w:t>响 应 文 件</w:t>
      </w: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pStyle w:val="2"/>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80" w:lineRule="auto"/>
        <w:jc w:val="center"/>
        <w:rPr>
          <w:rFonts w:hint="eastAsia"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 （单位电子签章）</w:t>
      </w:r>
    </w:p>
    <w:p>
      <w:pPr>
        <w:spacing w:line="480" w:lineRule="auto"/>
        <w:jc w:val="center"/>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（电子签名或盖章）</w:t>
      </w:r>
    </w:p>
    <w:p>
      <w:pPr>
        <w:spacing w:line="480" w:lineRule="auto"/>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00" w:lineRule="exact"/>
        <w:rPr>
          <w:rFonts w:hint="eastAsia" w:ascii="宋体" w:hAnsi="宋体" w:cs="宋体"/>
          <w:color w:val="auto"/>
          <w:sz w:val="22"/>
          <w:szCs w:val="28"/>
        </w:rPr>
      </w:pPr>
    </w:p>
    <w:p>
      <w:pPr>
        <w:pStyle w:val="177"/>
        <w:jc w:val="center"/>
        <w:rPr>
          <w:rFonts w:hint="eastAsia" w:ascii="宋体" w:hAnsi="宋体" w:eastAsia="宋体"/>
          <w:b/>
          <w:bCs/>
          <w:color w:val="auto"/>
          <w:szCs w:val="28"/>
        </w:rPr>
        <w:sectPr>
          <w:footerReference r:id="rId7" w:type="default"/>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bookmarkStart w:id="929" w:name="_Toc31864"/>
      <w:bookmarkStart w:id="930" w:name="_Toc20198"/>
      <w:bookmarkStart w:id="931" w:name="_Toc152045787"/>
      <w:bookmarkStart w:id="932" w:name="_Toc152042576"/>
      <w:bookmarkStart w:id="933" w:name="_Toc466298157"/>
      <w:bookmarkStart w:id="934" w:name="_Toc144974856"/>
      <w:bookmarkStart w:id="935" w:name="_Toc8978"/>
    </w:p>
    <w:p>
      <w:pPr>
        <w:pStyle w:val="177"/>
        <w:jc w:val="center"/>
        <w:rPr>
          <w:rFonts w:hint="eastAsia" w:ascii="宋体" w:hAnsi="宋体" w:eastAsia="宋体"/>
          <w:b/>
          <w:bCs/>
          <w:color w:val="auto"/>
          <w:szCs w:val="28"/>
        </w:rPr>
      </w:pPr>
      <w:r>
        <w:rPr>
          <w:rFonts w:hint="eastAsia" w:ascii="宋体" w:hAnsi="宋体" w:eastAsia="宋体"/>
          <w:b/>
          <w:bCs/>
          <w:color w:val="auto"/>
          <w:szCs w:val="28"/>
        </w:rPr>
        <w:t>目    录</w:t>
      </w:r>
      <w:bookmarkEnd w:id="929"/>
      <w:bookmarkEnd w:id="930"/>
      <w:bookmarkEnd w:id="931"/>
      <w:bookmarkEnd w:id="932"/>
      <w:bookmarkEnd w:id="933"/>
      <w:bookmarkEnd w:id="934"/>
      <w:bookmarkEnd w:id="935"/>
    </w:p>
    <w:p>
      <w:pPr>
        <w:pStyle w:val="177"/>
        <w:jc w:val="center"/>
        <w:rPr>
          <w:rFonts w:hint="eastAsia" w:ascii="宋体" w:hAnsi="宋体" w:eastAsia="宋体"/>
          <w:color w:val="auto"/>
          <w:szCs w:val="28"/>
        </w:rPr>
      </w:pPr>
    </w:p>
    <w:p>
      <w:pPr>
        <w:pStyle w:val="177"/>
        <w:jc w:val="center"/>
        <w:rPr>
          <w:rFonts w:hint="eastAsia" w:ascii="宋体" w:hAnsi="宋体" w:eastAsia="宋体"/>
          <w:color w:val="auto"/>
          <w:szCs w:val="28"/>
        </w:rPr>
      </w:pP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rPr>
        <w:t>一、磋商函及磋商函附录（第一轮报价）</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lang w:val="en-US" w:eastAsia="zh-CN"/>
        </w:rPr>
        <w:t>二、法定代表人（单位负责人）身份证明和法定代表人授权委托书</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lang w:eastAsia="zh-CN"/>
        </w:rPr>
        <w:t>三</w:t>
      </w:r>
      <w:r>
        <w:rPr>
          <w:rFonts w:hint="eastAsia" w:ascii="宋体" w:hAnsi="宋体" w:cs="宋体"/>
          <w:color w:val="auto"/>
        </w:rPr>
        <w:t>、资格证明材料</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lang w:eastAsia="zh-CN"/>
        </w:rPr>
        <w:t>四</w:t>
      </w:r>
      <w:r>
        <w:rPr>
          <w:rFonts w:hint="eastAsia" w:ascii="宋体" w:hAnsi="宋体" w:cs="宋体"/>
          <w:color w:val="auto"/>
        </w:rPr>
        <w:t>、</w:t>
      </w:r>
      <w:r>
        <w:rPr>
          <w:rFonts w:hint="eastAsia" w:ascii="宋体" w:hAnsi="宋体" w:cs="宋体"/>
          <w:color w:val="auto"/>
          <w:lang w:val="en-US" w:eastAsia="zh-CN"/>
        </w:rPr>
        <w:t>商务及技术偏差表</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eastAsia="宋体" w:cs="宋体"/>
          <w:color w:val="auto"/>
          <w:lang w:val="en-US" w:eastAsia="zh-CN"/>
        </w:rPr>
      </w:pPr>
      <w:r>
        <w:rPr>
          <w:rFonts w:hint="eastAsia" w:ascii="宋体" w:hAnsi="宋体" w:cs="宋体"/>
          <w:color w:val="auto"/>
          <w:lang w:val="en-US" w:eastAsia="zh-CN"/>
        </w:rPr>
        <w:t>五、投标方案</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lang w:val="en-US" w:eastAsia="zh-CN"/>
        </w:rPr>
        <w:t>六</w:t>
      </w:r>
      <w:r>
        <w:rPr>
          <w:rFonts w:hint="eastAsia" w:ascii="宋体" w:hAnsi="宋体" w:cs="宋体"/>
          <w:color w:val="auto"/>
        </w:rPr>
        <w:t>、</w:t>
      </w:r>
      <w:r>
        <w:rPr>
          <w:rFonts w:hint="eastAsia" w:ascii="宋体" w:hAnsi="宋体" w:cs="宋体"/>
          <w:color w:val="auto"/>
          <w:lang w:val="en-US" w:eastAsia="zh-CN"/>
        </w:rPr>
        <w:t>服务承诺</w:t>
      </w:r>
    </w:p>
    <w:p>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cs="宋体"/>
          <w:color w:val="auto"/>
        </w:rPr>
      </w:pPr>
      <w:r>
        <w:rPr>
          <w:rFonts w:hint="eastAsia" w:ascii="宋体" w:hAnsi="宋体" w:cs="宋体"/>
          <w:color w:val="auto"/>
          <w:lang w:val="en-US" w:eastAsia="zh-CN"/>
        </w:rPr>
        <w:t>七、</w:t>
      </w:r>
      <w:r>
        <w:rPr>
          <w:rFonts w:hint="eastAsia" w:ascii="宋体" w:hAnsi="宋体" w:cs="宋体"/>
          <w:color w:val="auto"/>
        </w:rPr>
        <w:t>其他材料</w:t>
      </w:r>
    </w:p>
    <w:p>
      <w:pPr>
        <w:spacing w:line="540" w:lineRule="exact"/>
        <w:jc w:val="center"/>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供应商自行编制页码</w:t>
      </w:r>
      <w:r>
        <w:rPr>
          <w:rFonts w:hint="eastAsia" w:ascii="宋体" w:hAnsi="宋体" w:cs="宋体"/>
          <w:color w:val="auto"/>
          <w:lang w:eastAsia="zh-CN"/>
        </w:rPr>
        <w:t>）</w:t>
      </w: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sz w:val="20"/>
          <w:szCs w:val="20"/>
        </w:rPr>
      </w:pPr>
    </w:p>
    <w:p>
      <w:pPr>
        <w:spacing w:line="540" w:lineRule="exact"/>
        <w:rPr>
          <w:rFonts w:hint="eastAsia" w:ascii="宋体" w:hAnsi="宋体" w:cs="宋体"/>
          <w:color w:val="auto"/>
          <w:sz w:val="20"/>
          <w:szCs w:val="20"/>
        </w:rPr>
      </w:pPr>
    </w:p>
    <w:p>
      <w:pPr>
        <w:spacing w:line="540" w:lineRule="exact"/>
        <w:rPr>
          <w:rFonts w:hint="eastAsia" w:ascii="宋体" w:hAnsi="宋体" w:cs="宋体"/>
          <w:color w:val="auto"/>
          <w:sz w:val="20"/>
          <w:szCs w:val="20"/>
        </w:rPr>
      </w:pPr>
    </w:p>
    <w:p>
      <w:pPr>
        <w:spacing w:line="540" w:lineRule="exact"/>
        <w:rPr>
          <w:rFonts w:hint="eastAsia" w:ascii="宋体" w:hAnsi="宋体" w:cs="宋体"/>
          <w:color w:val="auto"/>
          <w:sz w:val="20"/>
          <w:szCs w:val="20"/>
        </w:rPr>
      </w:pPr>
    </w:p>
    <w:p>
      <w:pPr>
        <w:pStyle w:val="2"/>
        <w:rPr>
          <w:rFonts w:hint="eastAsia"/>
          <w:color w:val="auto"/>
          <w:lang w:val="en-US" w:eastAsia="zh-CN"/>
        </w:rPr>
      </w:pPr>
    </w:p>
    <w:p>
      <w:pPr>
        <w:spacing w:line="540" w:lineRule="exact"/>
        <w:rPr>
          <w:rFonts w:hint="eastAsia" w:ascii="宋体" w:hAnsi="宋体" w:cs="宋体"/>
          <w:color w:val="auto"/>
          <w:sz w:val="20"/>
          <w:szCs w:val="20"/>
        </w:rPr>
      </w:pPr>
    </w:p>
    <w:p>
      <w:pPr>
        <w:pStyle w:val="69"/>
        <w:rPr>
          <w:rFonts w:hint="eastAsia" w:ascii="宋体" w:hAnsi="宋体" w:cs="宋体"/>
          <w:color w:val="auto"/>
          <w:sz w:val="20"/>
          <w:szCs w:val="20"/>
        </w:rPr>
      </w:pPr>
    </w:p>
    <w:p>
      <w:pPr>
        <w:pStyle w:val="69"/>
        <w:rPr>
          <w:rFonts w:hint="eastAsia" w:ascii="宋体" w:hAnsi="宋体" w:cs="宋体"/>
          <w:color w:val="auto"/>
          <w:sz w:val="20"/>
          <w:szCs w:val="20"/>
        </w:rPr>
      </w:pPr>
    </w:p>
    <w:p>
      <w:pPr>
        <w:pStyle w:val="177"/>
        <w:numPr>
          <w:ilvl w:val="0"/>
          <w:numId w:val="5"/>
        </w:numPr>
        <w:jc w:val="center"/>
        <w:rPr>
          <w:rFonts w:hint="eastAsia" w:ascii="宋体" w:hAnsi="宋体" w:eastAsia="宋体"/>
          <w:b/>
          <w:color w:val="auto"/>
          <w:szCs w:val="28"/>
        </w:rPr>
        <w:sectPr>
          <w:footerReference r:id="rId8" w:type="default"/>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bookmarkStart w:id="936" w:name="_Toc152042577"/>
      <w:bookmarkStart w:id="937" w:name="_Toc152045788"/>
      <w:bookmarkStart w:id="938" w:name="_Toc144974857"/>
      <w:bookmarkStart w:id="939" w:name="_Toc8095"/>
      <w:bookmarkStart w:id="940" w:name="_Toc9911"/>
      <w:bookmarkStart w:id="941" w:name="_Toc466298158"/>
      <w:bookmarkStart w:id="942" w:name="_Toc2791"/>
    </w:p>
    <w:p>
      <w:pPr>
        <w:pStyle w:val="177"/>
        <w:numPr>
          <w:ilvl w:val="0"/>
          <w:numId w:val="5"/>
        </w:numPr>
        <w:jc w:val="center"/>
        <w:rPr>
          <w:rFonts w:hint="eastAsia" w:ascii="宋体" w:hAnsi="宋体" w:eastAsia="宋体"/>
          <w:b/>
          <w:color w:val="auto"/>
          <w:szCs w:val="28"/>
        </w:rPr>
      </w:pPr>
      <w:r>
        <w:rPr>
          <w:rFonts w:hint="eastAsia" w:ascii="宋体" w:hAnsi="宋体" w:eastAsia="宋体"/>
          <w:b/>
          <w:color w:val="auto"/>
          <w:szCs w:val="28"/>
        </w:rPr>
        <w:t>磋商函及</w:t>
      </w:r>
      <w:bookmarkEnd w:id="936"/>
      <w:bookmarkEnd w:id="937"/>
      <w:bookmarkEnd w:id="938"/>
      <w:r>
        <w:rPr>
          <w:rFonts w:hint="eastAsia" w:ascii="宋体" w:hAnsi="宋体" w:eastAsia="宋体"/>
          <w:b/>
          <w:color w:val="auto"/>
          <w:szCs w:val="28"/>
        </w:rPr>
        <w:t>磋商函附录</w:t>
      </w:r>
      <w:bookmarkEnd w:id="939"/>
      <w:bookmarkEnd w:id="940"/>
      <w:bookmarkEnd w:id="941"/>
      <w:bookmarkEnd w:id="942"/>
    </w:p>
    <w:p>
      <w:pPr>
        <w:pStyle w:val="183"/>
        <w:numPr>
          <w:ilvl w:val="0"/>
          <w:numId w:val="6"/>
        </w:numPr>
        <w:jc w:val="center"/>
        <w:outlineLvl w:val="0"/>
        <w:rPr>
          <w:rFonts w:hint="eastAsia" w:ascii="宋体" w:hAnsi="宋体" w:eastAsia="宋体"/>
          <w:b/>
          <w:color w:val="auto"/>
          <w:szCs w:val="23"/>
        </w:rPr>
      </w:pPr>
      <w:bookmarkStart w:id="943" w:name="_Toc490667892"/>
      <w:bookmarkStart w:id="944" w:name="_Toc8915"/>
      <w:bookmarkStart w:id="945" w:name="_Toc16901"/>
      <w:bookmarkStart w:id="946" w:name="_Toc23888"/>
      <w:bookmarkStart w:id="947" w:name="_Toc30581"/>
      <w:bookmarkStart w:id="948" w:name="_Toc144974858"/>
      <w:bookmarkStart w:id="949" w:name="_Toc455080170"/>
      <w:bookmarkStart w:id="950" w:name="_Toc26262"/>
      <w:bookmarkStart w:id="951" w:name="_Toc152042578"/>
      <w:bookmarkStart w:id="952" w:name="_Toc466298159"/>
      <w:bookmarkStart w:id="953" w:name="_Toc18705"/>
      <w:bookmarkStart w:id="954" w:name="_Toc11855"/>
      <w:bookmarkStart w:id="955" w:name="_Toc455867830"/>
      <w:bookmarkStart w:id="956" w:name="_Toc6005"/>
      <w:bookmarkStart w:id="957" w:name="_Toc152045789"/>
      <w:bookmarkStart w:id="958" w:name="_Toc318450744"/>
      <w:bookmarkStart w:id="959" w:name="_Toc19633"/>
      <w:r>
        <w:rPr>
          <w:rFonts w:hint="eastAsia" w:ascii="宋体" w:hAnsi="宋体" w:eastAsia="宋体"/>
          <w:b/>
          <w:color w:val="auto"/>
          <w:szCs w:val="23"/>
        </w:rPr>
        <w:t>磋商函</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widowControl/>
        <w:spacing w:line="360" w:lineRule="auto"/>
        <w:rPr>
          <w:rFonts w:hint="eastAsia" w:ascii="宋体" w:hAnsi="宋体"/>
          <w:szCs w:val="21"/>
        </w:rPr>
      </w:pPr>
      <w:bookmarkStart w:id="960" w:name="_Toc466298160"/>
      <w:bookmarkStart w:id="961" w:name="_Toc447888814"/>
      <w:bookmarkStart w:id="962" w:name="_Toc11398"/>
      <w:bookmarkStart w:id="963" w:name="_Toc19056"/>
      <w:bookmarkStart w:id="964" w:name="_Toc11521"/>
      <w:bookmarkStart w:id="965" w:name="_Toc490667893"/>
      <w:r>
        <w:rPr>
          <w:rFonts w:hint="eastAsia" w:ascii="宋体" w:hAnsi="宋体"/>
          <w:szCs w:val="21"/>
          <w:u w:val="single"/>
        </w:rPr>
        <w:t xml:space="preserve">        （采购人）   </w:t>
      </w:r>
      <w:r>
        <w:rPr>
          <w:rFonts w:hint="eastAsia" w:ascii="宋体" w:hAnsi="宋体"/>
          <w:szCs w:val="21"/>
        </w:rPr>
        <w:t>：</w:t>
      </w:r>
    </w:p>
    <w:p>
      <w:pPr>
        <w:widowControl/>
        <w:spacing w:line="360" w:lineRule="auto"/>
        <w:ind w:firstLine="428" w:firstLineChars="204"/>
        <w:rPr>
          <w:rFonts w:hint="eastAsia" w:ascii="宋体" w:hAnsi="宋体"/>
          <w:szCs w:val="21"/>
        </w:rPr>
      </w:pP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供应商</w:t>
      </w:r>
      <w:r>
        <w:rPr>
          <w:rFonts w:hint="eastAsia" w:ascii="宋体" w:hAnsi="宋体"/>
          <w:szCs w:val="21"/>
        </w:rPr>
        <w:t>全称）授权</w:t>
      </w:r>
      <w:r>
        <w:rPr>
          <w:rFonts w:hint="eastAsia" w:ascii="宋体" w:hAnsi="宋体"/>
          <w:szCs w:val="21"/>
          <w:u w:val="single"/>
        </w:rPr>
        <w:t xml:space="preserve">             </w:t>
      </w:r>
      <w:r>
        <w:rPr>
          <w:rFonts w:hint="eastAsia" w:ascii="宋体" w:hAnsi="宋体"/>
          <w:szCs w:val="21"/>
        </w:rPr>
        <w:t>（委托代理人姓名、职务）为本项目委托代理人，参加贵方组织的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（项目编号）招标的有关活动，并对相关</w:t>
      </w:r>
      <w:r>
        <w:rPr>
          <w:rFonts w:hint="eastAsia" w:ascii="宋体" w:hAnsi="宋体"/>
          <w:szCs w:val="21"/>
          <w:lang w:val="en-US" w:eastAsia="zh-CN"/>
        </w:rPr>
        <w:t>服务</w:t>
      </w:r>
      <w:r>
        <w:rPr>
          <w:rFonts w:hint="eastAsia" w:ascii="宋体" w:hAnsi="宋体"/>
          <w:szCs w:val="21"/>
        </w:rPr>
        <w:t>进行投标。为此承诺如下：</w:t>
      </w:r>
    </w:p>
    <w:p>
      <w:pPr>
        <w:autoSpaceDE w:val="0"/>
        <w:autoSpaceDN w:val="0"/>
        <w:adjustRightInd w:val="0"/>
        <w:spacing w:line="360" w:lineRule="auto"/>
        <w:ind w:firstLine="420" w:firstLineChars="200"/>
        <w:rPr>
          <w:rFonts w:hint="eastAsia" w:ascii="宋体" w:hAnsi="宋体" w:cs="黑体"/>
          <w:kern w:val="0"/>
          <w:szCs w:val="21"/>
        </w:rPr>
      </w:pPr>
      <w:r>
        <w:rPr>
          <w:rFonts w:hint="eastAsia" w:ascii="宋体" w:hAnsi="宋体"/>
          <w:szCs w:val="21"/>
        </w:rPr>
        <w:t>1.提供招标规定的全部</w:t>
      </w:r>
      <w:r>
        <w:rPr>
          <w:rFonts w:hint="eastAsia" w:ascii="宋体" w:hAnsi="宋体"/>
          <w:szCs w:val="21"/>
          <w:lang w:val="en-US" w:eastAsia="zh-CN"/>
        </w:rPr>
        <w:t>响应</w:t>
      </w:r>
      <w:r>
        <w:rPr>
          <w:rFonts w:hint="eastAsia" w:ascii="宋体" w:hAnsi="宋体"/>
          <w:szCs w:val="21"/>
        </w:rPr>
        <w:t>文件</w:t>
      </w:r>
      <w:r>
        <w:rPr>
          <w:rFonts w:hint="eastAsia" w:ascii="宋体" w:hAnsi="宋体" w:cs="黑体"/>
          <w:kern w:val="0"/>
          <w:szCs w:val="21"/>
        </w:rPr>
        <w:t>。</w:t>
      </w:r>
    </w:p>
    <w:p>
      <w:pPr>
        <w:tabs>
          <w:tab w:val="left" w:pos="1365"/>
        </w:tabs>
        <w:spacing w:line="360" w:lineRule="auto"/>
        <w:ind w:firstLine="420" w:firstLineChars="200"/>
        <w:rPr>
          <w:rFonts w:hint="eastAsia" w:ascii="宋体" w:hAnsi="宋体"/>
          <w:szCs w:val="21"/>
        </w:rPr>
      </w:pPr>
      <w:r>
        <w:rPr>
          <w:rFonts w:hint="eastAsia" w:ascii="宋体" w:hAnsi="宋体"/>
          <w:szCs w:val="21"/>
        </w:rPr>
        <w:t>2.投标</w:t>
      </w:r>
      <w:r>
        <w:rPr>
          <w:rFonts w:hint="eastAsia" w:ascii="宋体" w:hAnsi="宋体"/>
          <w:szCs w:val="21"/>
          <w:lang w:val="en-US" w:eastAsia="zh-CN"/>
        </w:rPr>
        <w:t>服务</w:t>
      </w:r>
      <w:r>
        <w:rPr>
          <w:rFonts w:hint="eastAsia" w:ascii="宋体" w:hAnsi="宋体"/>
          <w:szCs w:val="21"/>
        </w:rPr>
        <w:t>的总报价为人民币（大写）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w:t>
      </w:r>
    </w:p>
    <w:p>
      <w:pPr>
        <w:tabs>
          <w:tab w:val="left" w:pos="1365"/>
        </w:tabs>
        <w:spacing w:line="360" w:lineRule="auto"/>
        <w:ind w:firstLine="420" w:firstLineChars="200"/>
        <w:rPr>
          <w:rFonts w:hint="eastAsia" w:ascii="宋体" w:hAnsi="宋体"/>
          <w:szCs w:val="21"/>
        </w:rPr>
      </w:pPr>
      <w:r>
        <w:rPr>
          <w:rFonts w:hint="eastAsia" w:ascii="宋体" w:hAnsi="宋体"/>
          <w:szCs w:val="21"/>
        </w:rPr>
        <w:t>3.如我方的</w:t>
      </w:r>
      <w:r>
        <w:rPr>
          <w:rFonts w:hint="eastAsia" w:ascii="宋体" w:hAnsi="宋体"/>
          <w:szCs w:val="21"/>
          <w:lang w:val="en-US" w:eastAsia="zh-CN"/>
        </w:rPr>
        <w:t>响应</w:t>
      </w:r>
      <w:r>
        <w:rPr>
          <w:rFonts w:hint="eastAsia" w:ascii="宋体" w:hAnsi="宋体"/>
          <w:szCs w:val="21"/>
        </w:rPr>
        <w:t>文件被接受，我们将履行</w:t>
      </w:r>
      <w:r>
        <w:rPr>
          <w:rFonts w:hint="eastAsia" w:ascii="宋体" w:hAnsi="宋体"/>
          <w:szCs w:val="21"/>
          <w:lang w:val="en-US" w:eastAsia="zh-CN"/>
        </w:rPr>
        <w:t>磋商</w:t>
      </w:r>
      <w:r>
        <w:rPr>
          <w:rFonts w:hint="eastAsia" w:ascii="宋体" w:hAnsi="宋体"/>
          <w:szCs w:val="21"/>
        </w:rPr>
        <w:t>文件中规定的每一项要求，按期、按质履行合同。我方声明，我单位递交的</w:t>
      </w:r>
      <w:r>
        <w:rPr>
          <w:rFonts w:hint="eastAsia" w:ascii="宋体" w:hAnsi="宋体"/>
          <w:szCs w:val="21"/>
          <w:lang w:val="en-US" w:eastAsia="zh-CN"/>
        </w:rPr>
        <w:t>响应</w:t>
      </w:r>
      <w:r>
        <w:rPr>
          <w:rFonts w:hint="eastAsia" w:ascii="宋体" w:hAnsi="宋体"/>
          <w:szCs w:val="21"/>
        </w:rPr>
        <w:t>文件中所提供全部资料均符合</w:t>
      </w:r>
      <w:r>
        <w:rPr>
          <w:rFonts w:hint="eastAsia" w:ascii="宋体" w:hAnsi="宋体"/>
          <w:szCs w:val="21"/>
          <w:lang w:val="en-US" w:eastAsia="zh-CN"/>
        </w:rPr>
        <w:t>磋商</w:t>
      </w:r>
      <w:r>
        <w:rPr>
          <w:rFonts w:hint="eastAsia" w:ascii="宋体" w:hAnsi="宋体"/>
          <w:szCs w:val="21"/>
        </w:rPr>
        <w:t>文件的要求，合法、真实、有效，并且在以后实施中承担由于与此不符而引起的一切责任。</w:t>
      </w:r>
    </w:p>
    <w:p>
      <w:pPr>
        <w:tabs>
          <w:tab w:val="left" w:pos="1365"/>
        </w:tabs>
        <w:spacing w:line="360" w:lineRule="auto"/>
        <w:ind w:firstLine="420" w:firstLineChars="200"/>
        <w:rPr>
          <w:rFonts w:hint="eastAsia" w:ascii="宋体" w:hAnsi="宋体"/>
          <w:szCs w:val="21"/>
        </w:rPr>
      </w:pPr>
      <w:r>
        <w:rPr>
          <w:rFonts w:hint="eastAsia" w:ascii="宋体" w:hAnsi="宋体"/>
          <w:szCs w:val="21"/>
        </w:rPr>
        <w:t>4.我方愿按《</w:t>
      </w:r>
      <w:r>
        <w:rPr>
          <w:rFonts w:hint="eastAsia" w:ascii="宋体" w:hAnsi="宋体"/>
          <w:szCs w:val="21"/>
          <w:lang w:eastAsia="zh-CN"/>
        </w:rPr>
        <w:t>中华人民共和国民法典</w:t>
      </w:r>
      <w:r>
        <w:rPr>
          <w:rFonts w:hint="eastAsia" w:ascii="宋体" w:hAnsi="宋体"/>
          <w:szCs w:val="21"/>
        </w:rPr>
        <w:t>》履行我方的全部责任。</w:t>
      </w:r>
    </w:p>
    <w:p>
      <w:pPr>
        <w:tabs>
          <w:tab w:val="left" w:pos="1365"/>
        </w:tabs>
        <w:spacing w:line="360" w:lineRule="auto"/>
        <w:ind w:firstLine="420" w:firstLineChars="200"/>
        <w:rPr>
          <w:rFonts w:hint="eastAsia" w:ascii="宋体" w:hAnsi="宋体"/>
          <w:szCs w:val="21"/>
        </w:rPr>
      </w:pPr>
      <w:r>
        <w:rPr>
          <w:rFonts w:hint="eastAsia" w:ascii="宋体" w:hAnsi="宋体"/>
          <w:szCs w:val="21"/>
        </w:rPr>
        <w:t>5.我方已详细审查全部</w:t>
      </w:r>
      <w:r>
        <w:rPr>
          <w:rFonts w:hint="eastAsia" w:ascii="宋体" w:hAnsi="宋体"/>
          <w:szCs w:val="21"/>
          <w:lang w:val="en-US" w:eastAsia="zh-CN"/>
        </w:rPr>
        <w:t>磋商</w:t>
      </w:r>
      <w:r>
        <w:rPr>
          <w:rFonts w:hint="eastAsia" w:ascii="宋体" w:hAnsi="宋体"/>
          <w:szCs w:val="21"/>
        </w:rPr>
        <w:t>文件，包括修改文件以及全部参考资料。我们完全理解并同意放弃对这方面有不明及误解的权力。</w:t>
      </w:r>
    </w:p>
    <w:p>
      <w:pPr>
        <w:tabs>
          <w:tab w:val="left" w:pos="1365"/>
        </w:tabs>
        <w:spacing w:line="360" w:lineRule="auto"/>
        <w:ind w:firstLine="420" w:firstLineChars="200"/>
        <w:rPr>
          <w:rFonts w:hint="eastAsia" w:ascii="宋体" w:hAnsi="宋体"/>
          <w:szCs w:val="21"/>
        </w:rPr>
      </w:pPr>
      <w:r>
        <w:rPr>
          <w:rFonts w:hint="eastAsia" w:ascii="宋体" w:hAnsi="宋体"/>
          <w:szCs w:val="21"/>
        </w:rPr>
        <w:t>6.本项目投标有效期从投标截止之日起60日历天。</w:t>
      </w:r>
    </w:p>
    <w:p>
      <w:pPr>
        <w:tabs>
          <w:tab w:val="left" w:pos="1365"/>
        </w:tabs>
        <w:spacing w:line="360" w:lineRule="auto"/>
        <w:ind w:firstLine="420" w:firstLineChars="200"/>
        <w:rPr>
          <w:rFonts w:hint="eastAsia" w:ascii="宋体" w:hAnsi="宋体"/>
          <w:szCs w:val="21"/>
        </w:rPr>
      </w:pPr>
      <w:r>
        <w:rPr>
          <w:rFonts w:hint="eastAsia" w:ascii="宋体" w:hAnsi="宋体"/>
          <w:szCs w:val="21"/>
        </w:rPr>
        <w:t>7.我方在此声明，所递交的</w:t>
      </w:r>
      <w:r>
        <w:rPr>
          <w:rFonts w:hint="eastAsia" w:ascii="宋体" w:hAnsi="宋体"/>
          <w:szCs w:val="21"/>
          <w:lang w:val="en-US" w:eastAsia="zh-CN"/>
        </w:rPr>
        <w:t>响应</w:t>
      </w:r>
      <w:r>
        <w:rPr>
          <w:rFonts w:hint="eastAsia" w:ascii="宋体" w:hAnsi="宋体"/>
          <w:szCs w:val="21"/>
        </w:rPr>
        <w:t>文件及有关资料内容完整、真实和准确，且不存在第二章“供应商须知”第 1.</w:t>
      </w:r>
      <w:r>
        <w:rPr>
          <w:rFonts w:hint="eastAsia" w:ascii="宋体" w:hAnsi="宋体"/>
          <w:szCs w:val="21"/>
          <w:lang w:val="en-US" w:eastAsia="zh-CN"/>
        </w:rPr>
        <w:t>5.2</w:t>
      </w:r>
      <w:r>
        <w:rPr>
          <w:rFonts w:hint="eastAsia" w:ascii="宋体" w:hAnsi="宋体"/>
          <w:szCs w:val="21"/>
        </w:rPr>
        <w:t>项规定的任何一种情形。</w:t>
      </w:r>
    </w:p>
    <w:p>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如果下列情况发生之一时，我方将放弃投标资格：</w:t>
      </w:r>
    </w:p>
    <w:p>
      <w:pPr>
        <w:tabs>
          <w:tab w:val="left" w:pos="1365"/>
        </w:tabs>
        <w:spacing w:line="360" w:lineRule="auto"/>
        <w:ind w:firstLine="420" w:firstLineChars="200"/>
        <w:rPr>
          <w:rFonts w:hint="eastAsia" w:ascii="宋体" w:hAnsi="宋体"/>
          <w:szCs w:val="21"/>
        </w:rPr>
      </w:pPr>
      <w:r>
        <w:rPr>
          <w:rFonts w:hint="eastAsia" w:ascii="宋体" w:hAnsi="宋体"/>
          <w:szCs w:val="21"/>
        </w:rPr>
        <w:t>（1）我方在</w:t>
      </w:r>
      <w:r>
        <w:rPr>
          <w:rFonts w:hint="eastAsia" w:ascii="宋体" w:hAnsi="宋体"/>
          <w:szCs w:val="21"/>
          <w:lang w:val="en-US" w:eastAsia="zh-CN"/>
        </w:rPr>
        <w:t>响应</w:t>
      </w:r>
      <w:r>
        <w:rPr>
          <w:rFonts w:hint="eastAsia" w:ascii="宋体" w:hAnsi="宋体"/>
          <w:szCs w:val="21"/>
        </w:rPr>
        <w:t>文件规定的投标有效期内撤回其投标。</w:t>
      </w:r>
    </w:p>
    <w:p>
      <w:pPr>
        <w:tabs>
          <w:tab w:val="left" w:pos="1365"/>
        </w:tabs>
        <w:spacing w:line="360" w:lineRule="auto"/>
        <w:ind w:firstLine="420" w:firstLineChars="200"/>
        <w:rPr>
          <w:rFonts w:hint="eastAsia" w:ascii="宋体" w:hAnsi="宋体"/>
          <w:szCs w:val="21"/>
        </w:rPr>
      </w:pPr>
      <w:r>
        <w:rPr>
          <w:rFonts w:hint="eastAsia" w:ascii="宋体" w:hAnsi="宋体"/>
          <w:szCs w:val="21"/>
        </w:rPr>
        <w:t>（2）我方提供虚假材料。</w:t>
      </w:r>
    </w:p>
    <w:p>
      <w:pPr>
        <w:tabs>
          <w:tab w:val="left" w:pos="1365"/>
        </w:tabs>
        <w:spacing w:line="360" w:lineRule="auto"/>
        <w:ind w:firstLine="420" w:firstLineChars="200"/>
        <w:rPr>
          <w:rFonts w:hint="eastAsia" w:ascii="宋体" w:hAnsi="宋体"/>
          <w:szCs w:val="21"/>
        </w:rPr>
      </w:pPr>
      <w:r>
        <w:rPr>
          <w:rFonts w:hint="eastAsia" w:ascii="宋体" w:hAnsi="宋体"/>
          <w:szCs w:val="21"/>
        </w:rPr>
        <w:t>（3）我方因其自身原因未按中标通知书规定的时间与采购人签订合同。</w:t>
      </w:r>
    </w:p>
    <w:p>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.若我方中标，我方愿意按照</w:t>
      </w:r>
      <w:r>
        <w:rPr>
          <w:rFonts w:hint="eastAsia" w:ascii="宋体" w:hAnsi="宋体"/>
          <w:szCs w:val="21"/>
          <w:lang w:val="en-US" w:eastAsia="zh-CN"/>
        </w:rPr>
        <w:t>磋商</w:t>
      </w:r>
      <w:r>
        <w:rPr>
          <w:rFonts w:hint="eastAsia" w:ascii="宋体" w:hAnsi="宋体"/>
          <w:szCs w:val="21"/>
        </w:rPr>
        <w:t>文件参照的标准支付采购代理机构服务费等费用。</w:t>
      </w:r>
    </w:p>
    <w:p>
      <w:pPr>
        <w:tabs>
          <w:tab w:val="left" w:pos="1365"/>
        </w:tabs>
        <w:spacing w:line="360" w:lineRule="auto"/>
        <w:ind w:firstLine="840" w:firstLineChars="400"/>
        <w:rPr>
          <w:rFonts w:hint="eastAsia" w:ascii="宋体" w:hAnsi="宋体"/>
          <w:szCs w:val="21"/>
        </w:rPr>
      </w:pPr>
    </w:p>
    <w:p>
      <w:pPr>
        <w:tabs>
          <w:tab w:val="left" w:pos="1365"/>
        </w:tabs>
        <w:spacing w:line="360" w:lineRule="auto"/>
        <w:ind w:firstLine="840" w:firstLineChars="400"/>
        <w:rPr>
          <w:rFonts w:hint="eastAsia" w:ascii="宋体" w:hAnsi="宋体"/>
          <w:szCs w:val="21"/>
        </w:rPr>
      </w:pPr>
      <w:r>
        <w:rPr>
          <w:rFonts w:hint="eastAsia" w:ascii="宋体" w:hAnsi="宋体"/>
          <w:szCs w:val="21"/>
        </w:rPr>
        <w:t>联系人：                         电话：</w:t>
      </w:r>
    </w:p>
    <w:p>
      <w:pPr>
        <w:tabs>
          <w:tab w:val="left" w:pos="1365"/>
        </w:tabs>
        <w:spacing w:line="360" w:lineRule="auto"/>
        <w:ind w:firstLine="840" w:firstLineChars="400"/>
        <w:rPr>
          <w:rFonts w:hint="eastAsia" w:ascii="宋体" w:hAnsi="宋体"/>
          <w:szCs w:val="21"/>
        </w:rPr>
      </w:pPr>
      <w:r>
        <w:rPr>
          <w:rFonts w:hint="eastAsia" w:ascii="宋体" w:hAnsi="宋体"/>
          <w:szCs w:val="21"/>
        </w:rPr>
        <w:t>传真：                           电子邮箱：</w:t>
      </w:r>
    </w:p>
    <w:p>
      <w:pPr>
        <w:tabs>
          <w:tab w:val="left" w:pos="1365"/>
        </w:tabs>
        <w:spacing w:line="360" w:lineRule="auto"/>
        <w:ind w:firstLine="840" w:firstLineChars="400"/>
        <w:rPr>
          <w:rFonts w:hint="eastAsia" w:ascii="宋体" w:hAnsi="宋体"/>
          <w:szCs w:val="21"/>
        </w:rPr>
      </w:pPr>
      <w:r>
        <w:rPr>
          <w:rFonts w:hint="eastAsia" w:ascii="宋体" w:hAnsi="宋体"/>
          <w:szCs w:val="21"/>
        </w:rPr>
        <w:t>地址：                           邮政编码：</w:t>
      </w:r>
    </w:p>
    <w:p>
      <w:pPr>
        <w:tabs>
          <w:tab w:val="left" w:pos="1365"/>
        </w:tabs>
        <w:spacing w:line="360" w:lineRule="auto"/>
        <w:ind w:firstLine="840" w:firstLineChars="400"/>
        <w:rPr>
          <w:rFonts w:hint="eastAsia" w:ascii="宋体" w:hAnsi="宋体"/>
          <w:szCs w:val="21"/>
        </w:rPr>
      </w:pPr>
      <w:r>
        <w:rPr>
          <w:rFonts w:hint="eastAsia" w:ascii="宋体" w:hAnsi="宋体"/>
          <w:szCs w:val="21"/>
          <w:lang w:eastAsia="zh-CN"/>
        </w:rPr>
        <w:t>供应商</w:t>
      </w:r>
      <w:r>
        <w:rPr>
          <w:rFonts w:hint="eastAsia" w:ascii="宋体" w:hAnsi="宋体"/>
          <w:szCs w:val="21"/>
        </w:rPr>
        <w:t xml:space="preserve">（单位电子签章）：       </w:t>
      </w:r>
      <w:r>
        <w:rPr>
          <w:rFonts w:hint="eastAsia" w:ascii="宋体" w:hAnsi="宋体"/>
          <w:szCs w:val="21"/>
          <w:lang w:val="en-US" w:eastAsia="zh-CN"/>
        </w:rPr>
        <w:t xml:space="preserve">  </w:t>
      </w:r>
      <w:r>
        <w:rPr>
          <w:rFonts w:hint="eastAsia" w:ascii="宋体" w:hAnsi="宋体"/>
          <w:szCs w:val="21"/>
        </w:rPr>
        <w:t>法定代表人</w:t>
      </w:r>
      <w:r>
        <w:rPr>
          <w:rFonts w:hint="eastAsia" w:ascii="宋体" w:hAnsi="宋体"/>
          <w:szCs w:val="21"/>
          <w:lang w:eastAsia="zh-CN"/>
        </w:rPr>
        <w:t>或</w:t>
      </w:r>
      <w:r>
        <w:rPr>
          <w:rFonts w:hint="eastAsia" w:ascii="宋体" w:hAnsi="宋体"/>
          <w:szCs w:val="21"/>
        </w:rPr>
        <w:t>委托代理人（</w:t>
      </w:r>
      <w:r>
        <w:rPr>
          <w:rFonts w:hint="eastAsia" w:ascii="宋体" w:hAnsi="宋体" w:cs="宋体"/>
          <w:kern w:val="0"/>
          <w:szCs w:val="21"/>
          <w:lang w:eastAsia="zh-CN"/>
        </w:rPr>
        <w:t>电子签名或盖章</w:t>
      </w:r>
      <w:r>
        <w:rPr>
          <w:rFonts w:hint="eastAsia" w:ascii="宋体" w:hAnsi="宋体"/>
          <w:szCs w:val="21"/>
        </w:rPr>
        <w:t>）：</w:t>
      </w:r>
    </w:p>
    <w:p>
      <w:pPr>
        <w:spacing w:line="480" w:lineRule="exact"/>
        <w:jc w:val="right"/>
        <w:rPr>
          <w:rFonts w:ascii="宋体" w:hAnsi="宋体"/>
          <w:b/>
          <w:sz w:val="30"/>
          <w:szCs w:val="21"/>
        </w:rPr>
      </w:pPr>
      <w:r>
        <w:rPr>
          <w:rFonts w:hint="eastAsia" w:ascii="宋体" w:hAnsi="宋体"/>
          <w:szCs w:val="21"/>
        </w:rPr>
        <w:t>日期：   年   月     日</w:t>
      </w:r>
    </w:p>
    <w:p>
      <w:pPr>
        <w:pStyle w:val="5"/>
        <w:numPr>
          <w:ilvl w:val="1"/>
          <w:numId w:val="0"/>
        </w:numPr>
        <w:jc w:val="center"/>
        <w:rPr>
          <w:rFonts w:hint="eastAsia" w:ascii="宋体" w:hAnsi="宋体" w:eastAsia="宋体"/>
          <w:color w:val="auto"/>
          <w:sz w:val="28"/>
          <w:szCs w:val="28"/>
        </w:rPr>
      </w:pPr>
      <w:r>
        <w:rPr>
          <w:rFonts w:hint="eastAsia" w:ascii="宋体" w:hAnsi="宋体" w:eastAsia="宋体"/>
          <w:color w:val="auto"/>
          <w:sz w:val="28"/>
          <w:szCs w:val="28"/>
        </w:rPr>
        <w:t>（二）</w:t>
      </w:r>
      <w:bookmarkEnd w:id="960"/>
      <w:bookmarkEnd w:id="961"/>
      <w:r>
        <w:rPr>
          <w:rFonts w:hint="eastAsia" w:ascii="宋体" w:hAnsi="宋体" w:eastAsia="宋体"/>
          <w:color w:val="auto"/>
          <w:sz w:val="28"/>
          <w:szCs w:val="28"/>
        </w:rPr>
        <w:t>磋商函附录</w:t>
      </w:r>
      <w:bookmarkEnd w:id="962"/>
      <w:bookmarkEnd w:id="963"/>
      <w:bookmarkEnd w:id="964"/>
      <w:bookmarkEnd w:id="965"/>
    </w:p>
    <w:tbl>
      <w:tblPr>
        <w:tblStyle w:val="4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4286"/>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项目名称、包</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供应商</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响应内容</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893"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磋商</w:t>
            </w:r>
            <w:r>
              <w:rPr>
                <w:rFonts w:hint="eastAsia" w:ascii="宋体" w:hAnsi="宋体"/>
                <w:color w:val="auto"/>
                <w:szCs w:val="21"/>
              </w:rPr>
              <w:t>总</w:t>
            </w:r>
            <w:r>
              <w:rPr>
                <w:rFonts w:hint="eastAsia" w:ascii="宋体" w:hAnsi="宋体"/>
                <w:color w:val="auto"/>
                <w:szCs w:val="21"/>
                <w:lang w:val="en-US" w:eastAsia="zh-CN"/>
              </w:rPr>
              <w:t>报</w:t>
            </w:r>
            <w:r>
              <w:rPr>
                <w:rFonts w:hint="eastAsia" w:ascii="宋体" w:hAnsi="宋体"/>
                <w:color w:val="auto"/>
                <w:szCs w:val="21"/>
              </w:rPr>
              <w:t>价</w:t>
            </w:r>
            <w:r>
              <w:rPr>
                <w:rFonts w:hint="eastAsia" w:ascii="宋体" w:hAnsi="宋体"/>
                <w:color w:val="auto"/>
                <w:szCs w:val="21"/>
                <w:lang w:eastAsia="zh-CN"/>
              </w:rPr>
              <w:t>（元）</w:t>
            </w:r>
          </w:p>
        </w:tc>
        <w:tc>
          <w:tcPr>
            <w:tcW w:w="428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olor w:val="auto"/>
                <w:szCs w:val="21"/>
                <w:lang w:val="en-US"/>
              </w:rPr>
            </w:pPr>
            <w:r>
              <w:rPr>
                <w:rFonts w:hint="eastAsia" w:ascii="宋体" w:hAnsi="宋体"/>
                <w:color w:val="auto"/>
                <w:szCs w:val="21"/>
              </w:rPr>
              <w:t>（大写）</w:t>
            </w:r>
          </w:p>
        </w:tc>
        <w:tc>
          <w:tcPr>
            <w:tcW w:w="3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宋体" w:hAnsi="宋体"/>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93"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宋体" w:hAnsi="宋体"/>
                <w:b/>
                <w:bCs/>
                <w:color w:val="auto"/>
                <w:szCs w:val="21"/>
              </w:rPr>
              <w:t>（供应商应在此填列第一次报价，但以供应商最后一次的磋商报价为成交价）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eastAsia="宋体"/>
                <w:color w:val="auto"/>
                <w:szCs w:val="21"/>
                <w:lang w:eastAsia="zh-CN"/>
              </w:rPr>
            </w:pPr>
            <w:r>
              <w:rPr>
                <w:rFonts w:hint="eastAsia" w:ascii="宋体" w:hAnsi="宋体" w:eastAsia="宋体"/>
                <w:color w:val="auto"/>
                <w:szCs w:val="21"/>
                <w:highlight w:val="none"/>
                <w:lang w:val="en-US" w:eastAsia="zh-CN"/>
              </w:rPr>
              <w:t>承包经营期限</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8" w:lineRule="auto"/>
              <w:jc w:val="center"/>
              <w:rPr>
                <w:rFonts w:hint="eastAsia" w:ascii="宋体" w:hAnsi="宋体"/>
                <w:color w:val="auto"/>
                <w:szCs w:val="21"/>
              </w:rPr>
            </w:pPr>
            <w:r>
              <w:rPr>
                <w:rFonts w:hint="eastAsia" w:ascii="宋体" w:hAnsi="宋体"/>
                <w:color w:val="auto"/>
                <w:szCs w:val="21"/>
                <w:highlight w:val="none"/>
                <w:lang w:val="en-US" w:eastAsia="zh-CN"/>
              </w:rPr>
              <w:t>服务</w:t>
            </w:r>
            <w:r>
              <w:rPr>
                <w:rFonts w:hint="eastAsia" w:ascii="宋体" w:hAnsi="宋体"/>
                <w:color w:val="auto"/>
                <w:szCs w:val="21"/>
                <w:highlight w:val="none"/>
              </w:rPr>
              <w:t>质量</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磋商有效期</w:t>
            </w:r>
          </w:p>
        </w:tc>
        <w:tc>
          <w:tcPr>
            <w:tcW w:w="75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bl>
    <w:p>
      <w:pPr>
        <w:rPr>
          <w:rFonts w:hint="eastAsia" w:ascii="宋体" w:hAnsi="宋体"/>
          <w:color w:val="auto"/>
          <w:szCs w:val="21"/>
        </w:rPr>
      </w:pPr>
    </w:p>
    <w:p>
      <w:pPr>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供应商法定代表人或其授权委托人(</w:t>
      </w:r>
      <w:r>
        <w:rPr>
          <w:rFonts w:hint="eastAsia" w:ascii="宋体" w:hAnsi="宋体"/>
          <w:color w:val="auto"/>
          <w:szCs w:val="21"/>
          <w:lang w:val="en-US" w:eastAsia="zh-CN"/>
        </w:rPr>
        <w:t>签字</w:t>
      </w:r>
      <w:r>
        <w:rPr>
          <w:rFonts w:hint="eastAsia" w:ascii="宋体" w:hAnsi="宋体"/>
          <w:color w:val="auto"/>
          <w:szCs w:val="21"/>
        </w:rPr>
        <w:t>或盖章)</w:t>
      </w:r>
      <w:r>
        <w:rPr>
          <w:rFonts w:hint="eastAsia" w:ascii="宋体" w:hAnsi="宋体"/>
          <w:color w:val="auto"/>
          <w:szCs w:val="21"/>
          <w:lang w:eastAsia="zh-CN"/>
        </w:rPr>
        <w:t>：</w:t>
      </w:r>
    </w:p>
    <w:p>
      <w:pPr>
        <w:spacing w:line="360" w:lineRule="auto"/>
        <w:rPr>
          <w:rFonts w:hint="eastAsia" w:ascii="宋体" w:hAnsi="宋体"/>
          <w:color w:val="auto"/>
          <w:szCs w:val="21"/>
        </w:rPr>
      </w:pPr>
      <w:r>
        <w:rPr>
          <w:rFonts w:hint="eastAsia" w:ascii="宋体" w:hAnsi="宋体"/>
          <w:color w:val="auto"/>
          <w:szCs w:val="21"/>
        </w:rPr>
        <w:t>供应商</w:t>
      </w:r>
      <w:r>
        <w:rPr>
          <w:rFonts w:ascii="宋体" w:hAnsi="宋体"/>
          <w:color w:val="auto"/>
          <w:szCs w:val="21"/>
        </w:rPr>
        <w:t>(</w:t>
      </w:r>
      <w:r>
        <w:rPr>
          <w:rFonts w:hint="eastAsia" w:ascii="宋体" w:hAnsi="宋体" w:cs="宋体"/>
          <w:color w:val="auto"/>
          <w:szCs w:val="21"/>
        </w:rPr>
        <w:t>单位电子签章</w:t>
      </w:r>
      <w:r>
        <w:rPr>
          <w:rFonts w:ascii="宋体" w:hAnsi="宋体"/>
          <w:color w:val="auto"/>
          <w:szCs w:val="21"/>
        </w:rPr>
        <w:t>):</w:t>
      </w: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ab/>
      </w:r>
    </w:p>
    <w:p>
      <w:pPr>
        <w:spacing w:line="360" w:lineRule="auto"/>
        <w:ind w:firstLine="210" w:firstLineChars="100"/>
        <w:rPr>
          <w:rFonts w:hint="eastAsia" w:ascii="宋体" w:hAnsi="宋体"/>
          <w:color w:val="auto"/>
          <w:szCs w:val="21"/>
        </w:rPr>
      </w:pPr>
      <w:r>
        <w:rPr>
          <w:rFonts w:hint="eastAsia" w:ascii="宋体" w:hAnsi="宋体"/>
          <w:color w:val="auto"/>
          <w:szCs w:val="21"/>
        </w:rPr>
        <w:t xml:space="preserve">年   月   </w:t>
      </w:r>
      <w:bookmarkStart w:id="966" w:name="_Toc287367268"/>
      <w:bookmarkStart w:id="967" w:name="_Toc144974860"/>
      <w:bookmarkStart w:id="968" w:name="_Toc152042580"/>
      <w:bookmarkStart w:id="969" w:name="_Toc152045791"/>
      <w:r>
        <w:rPr>
          <w:rFonts w:hint="eastAsia" w:ascii="宋体" w:hAnsi="宋体"/>
          <w:color w:val="auto"/>
          <w:szCs w:val="21"/>
        </w:rPr>
        <w:t>日</w:t>
      </w:r>
      <w:bookmarkStart w:id="970" w:name="_Toc31033"/>
      <w:bookmarkStart w:id="971" w:name="_Toc466298161"/>
      <w:bookmarkStart w:id="972" w:name="_Toc2481"/>
    </w:p>
    <w:p>
      <w:pPr>
        <w:pStyle w:val="177"/>
        <w:jc w:val="center"/>
        <w:rPr>
          <w:rFonts w:hint="eastAsia" w:ascii="宋体" w:hAnsi="宋体" w:eastAsia="宋体"/>
          <w:b/>
          <w:color w:val="auto"/>
          <w:szCs w:val="28"/>
        </w:rPr>
      </w:pPr>
      <w:r>
        <w:rPr>
          <w:rFonts w:hint="eastAsia" w:ascii="宋体" w:hAnsi="宋体"/>
          <w:color w:val="auto"/>
          <w:szCs w:val="21"/>
        </w:rPr>
        <w:br w:type="page"/>
      </w:r>
      <w:bookmarkEnd w:id="966"/>
      <w:bookmarkEnd w:id="967"/>
      <w:bookmarkEnd w:id="968"/>
      <w:bookmarkEnd w:id="969"/>
      <w:bookmarkEnd w:id="970"/>
      <w:bookmarkEnd w:id="971"/>
      <w:bookmarkEnd w:id="972"/>
      <w:bookmarkStart w:id="973" w:name="_Toc5179"/>
      <w:r>
        <w:rPr>
          <w:rFonts w:hint="eastAsia" w:ascii="宋体" w:hAnsi="宋体" w:eastAsia="宋体"/>
          <w:b/>
          <w:color w:val="auto"/>
          <w:szCs w:val="28"/>
        </w:rPr>
        <w:t>二、法定代表人（单位负责人）身份证明和法定代表人授权委托书</w:t>
      </w:r>
    </w:p>
    <w:p>
      <w:pPr>
        <w:pStyle w:val="177"/>
        <w:jc w:val="center"/>
        <w:rPr>
          <w:rFonts w:hint="eastAsia" w:ascii="宋体" w:hAnsi="宋体"/>
          <w:b/>
          <w:color w:val="auto"/>
          <w:szCs w:val="28"/>
        </w:rPr>
      </w:pPr>
      <w:r>
        <w:rPr>
          <w:rFonts w:hint="eastAsia" w:ascii="宋体" w:hAnsi="宋体" w:eastAsia="宋体"/>
          <w:b/>
          <w:color w:val="auto"/>
          <w:szCs w:val="28"/>
          <w:lang w:eastAsia="zh-CN"/>
        </w:rPr>
        <w:t>（一）</w:t>
      </w:r>
      <w:r>
        <w:rPr>
          <w:rFonts w:hint="eastAsia" w:ascii="宋体" w:hAnsi="宋体" w:eastAsia="宋体"/>
          <w:b/>
          <w:color w:val="auto"/>
          <w:szCs w:val="28"/>
        </w:rPr>
        <w:t>法定代表人（单位负责人）身份证明</w:t>
      </w:r>
      <w:bookmarkEnd w:id="973"/>
    </w:p>
    <w:p>
      <w:pPr>
        <w:spacing w:line="440" w:lineRule="exact"/>
        <w:jc w:val="center"/>
        <w:rPr>
          <w:rFonts w:hint="eastAsia" w:ascii="宋体" w:hAnsi="宋体" w:cs="宋体"/>
          <w:color w:val="auto"/>
          <w:szCs w:val="21"/>
        </w:rPr>
      </w:pPr>
    </w:p>
    <w:p>
      <w:pPr>
        <w:spacing w:line="440" w:lineRule="exact"/>
        <w:rPr>
          <w:rFonts w:hint="eastAsia"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pPr>
        <w:spacing w:line="440" w:lineRule="exact"/>
        <w:rPr>
          <w:rFonts w:hint="eastAsia"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特此证明。</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jc w:val="right"/>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pPr>
        <w:spacing w:line="440" w:lineRule="exact"/>
        <w:jc w:val="righ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tbl>
      <w:tblPr>
        <w:tblStyle w:val="4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noWrap w:val="0"/>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法定代表人身份证扫描件</w:t>
            </w:r>
          </w:p>
          <w:p>
            <w:pPr>
              <w:spacing w:line="440" w:lineRule="exact"/>
              <w:jc w:val="center"/>
              <w:rPr>
                <w:rFonts w:hint="eastAsia" w:ascii="宋体" w:hAnsi="宋体" w:cs="宋体"/>
                <w:color w:val="auto"/>
                <w:szCs w:val="21"/>
              </w:rPr>
            </w:pPr>
          </w:p>
        </w:tc>
      </w:tr>
    </w:tbl>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rPr>
          <w:rFonts w:hint="eastAsia" w:ascii="宋体" w:hAnsi="宋体" w:cs="宋体"/>
          <w:color w:val="auto"/>
          <w:sz w:val="20"/>
          <w:szCs w:val="20"/>
        </w:rPr>
      </w:pPr>
    </w:p>
    <w:p>
      <w:pPr>
        <w:spacing w:line="440" w:lineRule="exact"/>
        <w:rPr>
          <w:rFonts w:hint="eastAsia" w:ascii="宋体" w:hAnsi="宋体" w:cs="宋体"/>
          <w:color w:val="auto"/>
          <w:sz w:val="20"/>
          <w:szCs w:val="20"/>
        </w:rPr>
      </w:pPr>
    </w:p>
    <w:p>
      <w:pPr>
        <w:spacing w:line="440" w:lineRule="exact"/>
        <w:rPr>
          <w:rFonts w:hint="eastAsia" w:ascii="宋体" w:hAnsi="宋体" w:cs="宋体"/>
          <w:color w:val="auto"/>
          <w:sz w:val="20"/>
          <w:szCs w:val="20"/>
        </w:rPr>
      </w:pPr>
    </w:p>
    <w:p>
      <w:pPr>
        <w:pStyle w:val="5"/>
        <w:numPr>
          <w:ilvl w:val="1"/>
          <w:numId w:val="0"/>
        </w:numPr>
        <w:jc w:val="center"/>
        <w:rPr>
          <w:rFonts w:hint="eastAsia" w:ascii="Times New Roman" w:hAnsi="Times New Roman" w:eastAsia="宋体"/>
          <w:color w:val="auto"/>
          <w:sz w:val="28"/>
        </w:rPr>
      </w:pPr>
      <w:bookmarkStart w:id="974" w:name="_Toc466298162"/>
      <w:bookmarkStart w:id="975" w:name="_Toc6781"/>
      <w:bookmarkStart w:id="976" w:name="_Toc318989765"/>
      <w:bookmarkStart w:id="977" w:name="_Toc4123"/>
      <w:bookmarkStart w:id="978" w:name="_Toc202941490"/>
      <w:bookmarkStart w:id="979" w:name="_Toc441791190"/>
      <w:bookmarkStart w:id="980" w:name="_Toc26203"/>
      <w:r>
        <w:rPr>
          <w:rFonts w:hint="eastAsia" w:ascii="Times New Roman" w:hAnsi="Times New Roman" w:eastAsia="宋体"/>
          <w:color w:val="auto"/>
          <w:sz w:val="28"/>
          <w:lang w:eastAsia="zh-CN"/>
        </w:rPr>
        <w:t>（二）法定代表人</w:t>
      </w:r>
      <w:r>
        <w:rPr>
          <w:rFonts w:ascii="Times New Roman" w:hAnsi="Times New Roman" w:eastAsia="宋体"/>
          <w:color w:val="auto"/>
          <w:sz w:val="28"/>
        </w:rPr>
        <w:t>授权书</w:t>
      </w:r>
      <w:bookmarkEnd w:id="974"/>
      <w:bookmarkEnd w:id="975"/>
      <w:bookmarkEnd w:id="976"/>
      <w:bookmarkEnd w:id="977"/>
      <w:bookmarkEnd w:id="978"/>
      <w:bookmarkEnd w:id="979"/>
      <w:bookmarkEnd w:id="980"/>
    </w:p>
    <w:p>
      <w:pPr>
        <w:topLinePunct/>
        <w:spacing w:line="440" w:lineRule="exact"/>
        <w:ind w:firstLine="420" w:firstLineChars="200"/>
        <w:rPr>
          <w:rFonts w:hint="eastAsia"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（供应商名称）的法定代表人，现委托</w:t>
      </w:r>
      <w:r>
        <w:rPr>
          <w:rFonts w:hint="eastAsia"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p>
    <w:p>
      <w:pPr>
        <w:topLinePunct/>
        <w:spacing w:line="440" w:lineRule="exac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（项目名称</w:t>
      </w:r>
      <w:r>
        <w:rPr>
          <w:rFonts w:hint="eastAsia" w:ascii="宋体" w:hAnsi="宋体" w:cs="宋体"/>
          <w:color w:val="auto"/>
          <w:szCs w:val="21"/>
          <w:lang w:eastAsia="zh-CN"/>
        </w:rPr>
        <w:t>、</w:t>
      </w:r>
      <w:r>
        <w:rPr>
          <w:rFonts w:hint="eastAsia" w:ascii="宋体" w:hAnsi="宋体" w:cs="宋体"/>
          <w:color w:val="auto"/>
          <w:szCs w:val="21"/>
          <w:lang w:val="en-US" w:eastAsia="zh-CN"/>
        </w:rPr>
        <w:t>包</w:t>
      </w:r>
      <w:r>
        <w:rPr>
          <w:rFonts w:hint="eastAsia" w:ascii="宋体" w:hAnsi="宋体" w:cs="宋体"/>
          <w:color w:val="auto"/>
          <w:szCs w:val="21"/>
        </w:rPr>
        <w:t>）响应文件、签订合同和处理有关事宜，其法律后果由我方承担。</w:t>
      </w:r>
    </w:p>
    <w:p>
      <w:pPr>
        <w:spacing w:line="440" w:lineRule="exact"/>
        <w:rPr>
          <w:rFonts w:hint="eastAsia" w:ascii="宋体" w:hAnsi="宋体" w:cs="宋体"/>
          <w:color w:val="auto"/>
          <w:szCs w:val="21"/>
        </w:rPr>
      </w:pPr>
      <w:r>
        <w:rPr>
          <w:rFonts w:hint="eastAsia" w:ascii="宋体" w:hAnsi="宋体" w:cs="宋体"/>
          <w:color w:val="auto"/>
          <w:szCs w:val="21"/>
        </w:rPr>
        <w:t xml:space="preserve">    委托期限：</w:t>
      </w:r>
      <w:r>
        <w:rPr>
          <w:rFonts w:hint="eastAsia" w:ascii="宋体" w:hAnsi="宋体" w:cs="宋体"/>
          <w:color w:val="auto"/>
        </w:rPr>
        <w:t>自本委托书签署之日起至</w:t>
      </w:r>
      <w:r>
        <w:rPr>
          <w:rFonts w:hint="eastAsia" w:ascii="宋体" w:hAnsi="宋体" w:cs="宋体"/>
          <w:color w:val="auto"/>
          <w:lang w:eastAsia="zh-CN"/>
        </w:rPr>
        <w:t>磋商</w:t>
      </w:r>
      <w:r>
        <w:rPr>
          <w:rFonts w:hint="eastAsia" w:ascii="宋体" w:hAnsi="宋体" w:cs="宋体"/>
          <w:color w:val="auto"/>
        </w:rPr>
        <w:t>有效期期满。</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代理人无转委托权。</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jc w:val="center"/>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pPr>
        <w:spacing w:line="440" w:lineRule="exact"/>
        <w:jc w:val="center"/>
        <w:rPr>
          <w:rFonts w:hint="eastAsia"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hint="eastAsia" w:ascii="宋体" w:hAnsi="宋体" w:cs="宋体"/>
          <w:color w:val="auto"/>
          <w:szCs w:val="21"/>
        </w:rPr>
        <w:t>（电子签名或盖章）</w:t>
      </w:r>
    </w:p>
    <w:p>
      <w:pPr>
        <w:spacing w:line="440" w:lineRule="exact"/>
        <w:ind w:firstLine="2730" w:firstLineChars="13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40" w:lineRule="exact"/>
        <w:jc w:val="center"/>
        <w:rPr>
          <w:rFonts w:hint="eastAsia"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w:t>
      </w:r>
      <w:r>
        <w:rPr>
          <w:rFonts w:hint="eastAsia" w:ascii="宋体" w:hAnsi="宋体" w:cs="宋体"/>
          <w:color w:val="auto"/>
          <w:szCs w:val="21"/>
        </w:rPr>
        <w:t>或盖章）</w:t>
      </w:r>
    </w:p>
    <w:p>
      <w:pPr>
        <w:spacing w:line="440" w:lineRule="exact"/>
        <w:ind w:firstLine="2730" w:firstLineChars="13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pacing w:line="440" w:lineRule="exact"/>
        <w:jc w:val="righ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rPr>
          <w:rFonts w:hint="eastAsia" w:ascii="宋体" w:hAnsi="宋体" w:cs="宋体"/>
          <w:color w:val="auto"/>
          <w:szCs w:val="21"/>
        </w:rPr>
      </w:pPr>
    </w:p>
    <w:p>
      <w:pPr>
        <w:pStyle w:val="2"/>
        <w:rPr>
          <w:rFonts w:hint="eastAsia"/>
          <w:color w:val="auto"/>
        </w:rPr>
      </w:pPr>
    </w:p>
    <w:tbl>
      <w:tblPr>
        <w:tblStyle w:val="4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noWrap w:val="0"/>
            <w:vAlign w:val="center"/>
          </w:tcPr>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rPr>
              <w:t>委托代理人身份证扫描件</w:t>
            </w:r>
          </w:p>
          <w:p>
            <w:pPr>
              <w:spacing w:line="440" w:lineRule="exact"/>
              <w:jc w:val="center"/>
              <w:rPr>
                <w:rFonts w:hint="eastAsia" w:ascii="宋体" w:hAnsi="宋体" w:cs="宋体"/>
                <w:color w:val="auto"/>
                <w:szCs w:val="21"/>
              </w:rPr>
            </w:pPr>
          </w:p>
        </w:tc>
      </w:tr>
    </w:tbl>
    <w:p>
      <w:pPr>
        <w:spacing w:line="440" w:lineRule="exact"/>
        <w:rPr>
          <w:rFonts w:hint="eastAsia" w:ascii="宋体" w:hAnsi="宋体" w:cs="宋体"/>
          <w:color w:val="auto"/>
          <w:szCs w:val="21"/>
        </w:rPr>
      </w:pPr>
    </w:p>
    <w:p>
      <w:pPr>
        <w:spacing w:line="440" w:lineRule="exact"/>
        <w:ind w:firstLine="2310" w:firstLineChars="1100"/>
        <w:rPr>
          <w:rFonts w:hint="eastAsia" w:ascii="宋体" w:hAnsi="宋体" w:cs="宋体"/>
          <w:color w:val="auto"/>
          <w:szCs w:val="21"/>
        </w:rPr>
      </w:pPr>
    </w:p>
    <w:p>
      <w:pPr>
        <w:spacing w:line="400" w:lineRule="exact"/>
        <w:rPr>
          <w:rFonts w:hint="eastAsia" w:ascii="宋体" w:hAnsi="宋体" w:cs="宋体"/>
          <w:color w:val="auto"/>
          <w:sz w:val="20"/>
          <w:szCs w:val="20"/>
        </w:rPr>
      </w:pPr>
    </w:p>
    <w:p>
      <w:pPr>
        <w:rPr>
          <w:rFonts w:hint="eastAsia"/>
          <w:color w:val="auto"/>
        </w:rPr>
      </w:pPr>
      <w:bookmarkStart w:id="981" w:name="_Toc144974862"/>
    </w:p>
    <w:p>
      <w:pPr>
        <w:rPr>
          <w:rFonts w:hint="eastAsia"/>
          <w:color w:val="auto"/>
        </w:rPr>
      </w:pPr>
    </w:p>
    <w:bookmarkEnd w:id="981"/>
    <w:p>
      <w:pPr>
        <w:pStyle w:val="5"/>
        <w:numPr>
          <w:ilvl w:val="1"/>
          <w:numId w:val="0"/>
        </w:numPr>
        <w:jc w:val="center"/>
        <w:rPr>
          <w:rFonts w:hint="eastAsia" w:ascii="Times New Roman" w:hAnsi="Times New Roman" w:eastAsia="宋体"/>
          <w:color w:val="auto"/>
          <w:sz w:val="28"/>
        </w:rPr>
      </w:pPr>
      <w:bookmarkStart w:id="982" w:name="_Toc5437"/>
      <w:bookmarkStart w:id="983" w:name="_Toc475624458"/>
      <w:bookmarkStart w:id="984" w:name="_Toc11835"/>
      <w:bookmarkStart w:id="985" w:name="_Toc24725"/>
      <w:r>
        <w:rPr>
          <w:rFonts w:hint="eastAsia" w:ascii="Times New Roman" w:hAnsi="Times New Roman" w:eastAsia="宋体"/>
          <w:color w:val="auto"/>
          <w:sz w:val="28"/>
          <w:lang w:val="en-US" w:eastAsia="zh-CN"/>
        </w:rPr>
        <w:t>三</w:t>
      </w:r>
      <w:r>
        <w:rPr>
          <w:rFonts w:hint="eastAsia" w:ascii="Times New Roman" w:hAnsi="Times New Roman" w:eastAsia="宋体"/>
          <w:color w:val="auto"/>
          <w:sz w:val="28"/>
          <w:lang w:eastAsia="zh-CN"/>
        </w:rPr>
        <w:t>、</w:t>
      </w:r>
      <w:r>
        <w:rPr>
          <w:rFonts w:hint="eastAsia" w:ascii="Times New Roman" w:hAnsi="Times New Roman" w:eastAsia="宋体"/>
          <w:color w:val="auto"/>
          <w:sz w:val="28"/>
        </w:rPr>
        <w:t>资格</w:t>
      </w:r>
      <w:bookmarkEnd w:id="982"/>
      <w:bookmarkEnd w:id="983"/>
      <w:r>
        <w:rPr>
          <w:rFonts w:hint="eastAsia" w:ascii="Times New Roman" w:hAnsi="Times New Roman" w:eastAsia="宋体"/>
          <w:color w:val="auto"/>
          <w:sz w:val="28"/>
          <w:lang w:eastAsia="zh-CN"/>
        </w:rPr>
        <w:t>证明材料</w:t>
      </w:r>
      <w:bookmarkEnd w:id="984"/>
      <w:bookmarkEnd w:id="985"/>
    </w:p>
    <w:p>
      <w:pPr>
        <w:spacing w:line="360" w:lineRule="auto"/>
        <w:ind w:left="0" w:leftChars="0" w:firstLine="482" w:firstLineChars="200"/>
        <w:jc w:val="center"/>
        <w:rPr>
          <w:rFonts w:hint="eastAsia" w:ascii="宋体" w:hAnsi="宋体"/>
          <w:color w:val="auto"/>
          <w:szCs w:val="21"/>
        </w:rPr>
      </w:pPr>
      <w:bookmarkStart w:id="986" w:name="_Toc456185720"/>
      <w:r>
        <w:rPr>
          <w:rFonts w:hint="eastAsia" w:ascii="宋体" w:hAnsi="宋体" w:cs="宋体"/>
          <w:b/>
          <w:bCs/>
          <w:sz w:val="24"/>
          <w:szCs w:val="24"/>
          <w:lang w:val="en-US" w:eastAsia="zh-CN"/>
        </w:rPr>
        <w:t>1、供应商基本情况表</w:t>
      </w:r>
    </w:p>
    <w:tbl>
      <w:tblPr>
        <w:tblStyle w:val="4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884"/>
        <w:gridCol w:w="1007"/>
        <w:gridCol w:w="1260"/>
        <w:gridCol w:w="195"/>
        <w:gridCol w:w="1230"/>
        <w:gridCol w:w="255"/>
        <w:gridCol w:w="699"/>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供应商名称</w:t>
            </w:r>
          </w:p>
        </w:tc>
        <w:tc>
          <w:tcPr>
            <w:tcW w:w="7175" w:type="dxa"/>
            <w:gridSpan w:val="8"/>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注册地址</w:t>
            </w:r>
          </w:p>
        </w:tc>
        <w:tc>
          <w:tcPr>
            <w:tcW w:w="3346" w:type="dxa"/>
            <w:gridSpan w:val="4"/>
            <w:vAlign w:val="center"/>
          </w:tcPr>
          <w:p>
            <w:pPr>
              <w:ind w:firstLine="0" w:firstLineChars="0"/>
              <w:jc w:val="center"/>
              <w:rPr>
                <w:rFonts w:ascii="宋体" w:hAnsi="宋体"/>
                <w:color w:val="auto"/>
                <w:szCs w:val="21"/>
                <w:highlight w:val="none"/>
                <w:shd w:val="clear" w:color="auto" w:fill="auto"/>
              </w:rPr>
            </w:pPr>
          </w:p>
        </w:tc>
        <w:tc>
          <w:tcPr>
            <w:tcW w:w="1230"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邮政编码</w:t>
            </w:r>
          </w:p>
        </w:tc>
        <w:tc>
          <w:tcPr>
            <w:tcW w:w="2599" w:type="dxa"/>
            <w:gridSpan w:val="3"/>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Merge w:val="restart"/>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w:t>
            </w:r>
          </w:p>
        </w:tc>
        <w:tc>
          <w:tcPr>
            <w:tcW w:w="884"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联系人</w:t>
            </w:r>
          </w:p>
        </w:tc>
        <w:tc>
          <w:tcPr>
            <w:tcW w:w="2462" w:type="dxa"/>
            <w:gridSpan w:val="3"/>
            <w:vAlign w:val="center"/>
          </w:tcPr>
          <w:p>
            <w:pPr>
              <w:ind w:firstLine="0" w:firstLineChars="0"/>
              <w:jc w:val="center"/>
              <w:rPr>
                <w:rFonts w:ascii="宋体" w:hAnsi="宋体"/>
                <w:color w:val="auto"/>
                <w:szCs w:val="21"/>
                <w:highlight w:val="none"/>
                <w:shd w:val="clear" w:color="auto" w:fill="auto"/>
              </w:rPr>
            </w:pPr>
          </w:p>
        </w:tc>
        <w:tc>
          <w:tcPr>
            <w:tcW w:w="1230"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  话</w:t>
            </w:r>
          </w:p>
        </w:tc>
        <w:tc>
          <w:tcPr>
            <w:tcW w:w="2599" w:type="dxa"/>
            <w:gridSpan w:val="3"/>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Merge w:val="continue"/>
            <w:vAlign w:val="center"/>
          </w:tcPr>
          <w:p>
            <w:pPr>
              <w:ind w:firstLine="0" w:firstLineChars="0"/>
              <w:jc w:val="center"/>
              <w:rPr>
                <w:rFonts w:ascii="宋体" w:hAnsi="宋体"/>
                <w:color w:val="auto"/>
                <w:szCs w:val="21"/>
                <w:highlight w:val="none"/>
                <w:shd w:val="clear" w:color="auto" w:fill="auto"/>
              </w:rPr>
            </w:pPr>
          </w:p>
        </w:tc>
        <w:tc>
          <w:tcPr>
            <w:tcW w:w="884"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传  真</w:t>
            </w:r>
          </w:p>
        </w:tc>
        <w:tc>
          <w:tcPr>
            <w:tcW w:w="2462" w:type="dxa"/>
            <w:gridSpan w:val="3"/>
            <w:vAlign w:val="center"/>
          </w:tcPr>
          <w:p>
            <w:pPr>
              <w:ind w:firstLine="0" w:firstLineChars="0"/>
              <w:jc w:val="center"/>
              <w:rPr>
                <w:rFonts w:ascii="宋体" w:hAnsi="宋体"/>
                <w:color w:val="auto"/>
                <w:szCs w:val="21"/>
                <w:highlight w:val="none"/>
                <w:shd w:val="clear" w:color="auto" w:fill="auto"/>
              </w:rPr>
            </w:pPr>
          </w:p>
        </w:tc>
        <w:tc>
          <w:tcPr>
            <w:tcW w:w="1230"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网  址</w:t>
            </w:r>
          </w:p>
        </w:tc>
        <w:tc>
          <w:tcPr>
            <w:tcW w:w="2599" w:type="dxa"/>
            <w:gridSpan w:val="3"/>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组织结构</w:t>
            </w:r>
          </w:p>
        </w:tc>
        <w:tc>
          <w:tcPr>
            <w:tcW w:w="7175" w:type="dxa"/>
            <w:gridSpan w:val="8"/>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w:t>
            </w:r>
          </w:p>
        </w:tc>
        <w:tc>
          <w:tcPr>
            <w:tcW w:w="884"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姓名</w:t>
            </w:r>
          </w:p>
        </w:tc>
        <w:tc>
          <w:tcPr>
            <w:tcW w:w="1007" w:type="dxa"/>
            <w:vAlign w:val="center"/>
          </w:tcPr>
          <w:p>
            <w:pPr>
              <w:ind w:firstLine="0" w:firstLineChars="0"/>
              <w:jc w:val="center"/>
              <w:rPr>
                <w:rFonts w:ascii="宋体" w:hAnsi="宋体"/>
                <w:color w:val="auto"/>
                <w:szCs w:val="21"/>
                <w:highlight w:val="none"/>
                <w:shd w:val="clear" w:color="auto" w:fill="auto"/>
              </w:rPr>
            </w:pPr>
          </w:p>
        </w:tc>
        <w:tc>
          <w:tcPr>
            <w:tcW w:w="1260"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技术职称</w:t>
            </w:r>
          </w:p>
        </w:tc>
        <w:tc>
          <w:tcPr>
            <w:tcW w:w="1680" w:type="dxa"/>
            <w:gridSpan w:val="3"/>
            <w:vAlign w:val="center"/>
          </w:tcPr>
          <w:p>
            <w:pPr>
              <w:ind w:firstLine="0" w:firstLineChars="0"/>
              <w:jc w:val="center"/>
              <w:rPr>
                <w:rFonts w:ascii="宋体" w:hAnsi="宋体"/>
                <w:color w:val="auto"/>
                <w:szCs w:val="21"/>
                <w:highlight w:val="none"/>
                <w:shd w:val="clear" w:color="auto" w:fill="auto"/>
              </w:rPr>
            </w:pPr>
          </w:p>
        </w:tc>
        <w:tc>
          <w:tcPr>
            <w:tcW w:w="699"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c>
          <w:tcPr>
            <w:tcW w:w="1645" w:type="dxa"/>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项目负责人</w:t>
            </w:r>
          </w:p>
        </w:tc>
        <w:tc>
          <w:tcPr>
            <w:tcW w:w="884"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姓名</w:t>
            </w:r>
          </w:p>
        </w:tc>
        <w:tc>
          <w:tcPr>
            <w:tcW w:w="1007" w:type="dxa"/>
            <w:vAlign w:val="center"/>
          </w:tcPr>
          <w:p>
            <w:pPr>
              <w:ind w:firstLine="0" w:firstLineChars="0"/>
              <w:jc w:val="center"/>
              <w:rPr>
                <w:rFonts w:ascii="宋体" w:hAnsi="宋体"/>
                <w:color w:val="auto"/>
                <w:szCs w:val="21"/>
                <w:highlight w:val="none"/>
                <w:shd w:val="clear" w:color="auto" w:fill="auto"/>
              </w:rPr>
            </w:pPr>
          </w:p>
        </w:tc>
        <w:tc>
          <w:tcPr>
            <w:tcW w:w="1260"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技术职称</w:t>
            </w:r>
          </w:p>
        </w:tc>
        <w:tc>
          <w:tcPr>
            <w:tcW w:w="1680" w:type="dxa"/>
            <w:gridSpan w:val="3"/>
            <w:vAlign w:val="center"/>
          </w:tcPr>
          <w:p>
            <w:pPr>
              <w:ind w:firstLine="0" w:firstLineChars="0"/>
              <w:jc w:val="center"/>
              <w:rPr>
                <w:rFonts w:ascii="宋体" w:hAnsi="宋体"/>
                <w:color w:val="auto"/>
                <w:szCs w:val="21"/>
                <w:highlight w:val="none"/>
                <w:shd w:val="clear" w:color="auto" w:fill="auto"/>
              </w:rPr>
            </w:pPr>
          </w:p>
        </w:tc>
        <w:tc>
          <w:tcPr>
            <w:tcW w:w="699"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c>
          <w:tcPr>
            <w:tcW w:w="1645" w:type="dxa"/>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成立时间</w:t>
            </w:r>
          </w:p>
        </w:tc>
        <w:tc>
          <w:tcPr>
            <w:tcW w:w="1891" w:type="dxa"/>
            <w:gridSpan w:val="2"/>
            <w:vAlign w:val="center"/>
          </w:tcPr>
          <w:p>
            <w:pPr>
              <w:ind w:firstLine="0" w:firstLineChars="0"/>
              <w:jc w:val="center"/>
              <w:rPr>
                <w:rFonts w:ascii="宋体" w:hAnsi="宋体"/>
                <w:color w:val="auto"/>
                <w:szCs w:val="21"/>
                <w:highlight w:val="none"/>
                <w:shd w:val="clear" w:color="auto" w:fill="auto"/>
              </w:rPr>
            </w:pPr>
          </w:p>
        </w:tc>
        <w:tc>
          <w:tcPr>
            <w:tcW w:w="5284" w:type="dxa"/>
            <w:gridSpan w:val="6"/>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经营范围</w:t>
            </w:r>
          </w:p>
        </w:tc>
        <w:tc>
          <w:tcPr>
            <w:tcW w:w="7175" w:type="dxa"/>
            <w:gridSpan w:val="8"/>
            <w:vAlign w:val="center"/>
          </w:tcPr>
          <w:p>
            <w:pPr>
              <w:ind w:firstLine="0" w:firstLineChars="0"/>
              <w:jc w:val="center"/>
              <w:rPr>
                <w:rFonts w:ascii="宋体" w:hAnsi="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05" w:type="dxa"/>
            <w:vAlign w:val="center"/>
          </w:tcPr>
          <w:p>
            <w:pPr>
              <w:ind w:firstLine="0" w:firstLineChars="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备注</w:t>
            </w:r>
          </w:p>
        </w:tc>
        <w:tc>
          <w:tcPr>
            <w:tcW w:w="7175" w:type="dxa"/>
            <w:gridSpan w:val="8"/>
            <w:vAlign w:val="center"/>
          </w:tcPr>
          <w:p>
            <w:pPr>
              <w:ind w:firstLine="0" w:firstLineChars="0"/>
              <w:jc w:val="center"/>
              <w:rPr>
                <w:rFonts w:ascii="宋体" w:hAnsi="宋体"/>
                <w:color w:val="auto"/>
                <w:szCs w:val="21"/>
                <w:highlight w:val="none"/>
                <w:shd w:val="clear" w:color="auto" w:fill="auto"/>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注：在本表后附相应的资格证明相关材料。</w:t>
      </w:r>
    </w:p>
    <w:p>
      <w:pPr>
        <w:tabs>
          <w:tab w:val="left" w:pos="1365"/>
        </w:tabs>
        <w:spacing w:line="360" w:lineRule="auto"/>
        <w:ind w:firstLine="4322" w:firstLineChars="2050"/>
        <w:jc w:val="right"/>
        <w:rPr>
          <w:rFonts w:ascii="宋体" w:hAnsi="宋体"/>
          <w:b/>
          <w:bCs/>
          <w:color w:val="auto"/>
          <w:szCs w:val="21"/>
          <w:highlight w:val="none"/>
          <w:u w:val="single"/>
          <w:shd w:val="clear" w:color="auto" w:fill="auto"/>
        </w:rPr>
      </w:pPr>
      <w:r>
        <w:rPr>
          <w:rFonts w:hint="eastAsia" w:ascii="宋体" w:hAnsi="宋体"/>
          <w:b/>
          <w:bCs/>
          <w:color w:val="auto"/>
          <w:szCs w:val="21"/>
          <w:highlight w:val="none"/>
          <w:shd w:val="clear" w:color="auto" w:fill="auto"/>
        </w:rPr>
        <w:t>供应商（单位电子签章）：</w:t>
      </w:r>
    </w:p>
    <w:p>
      <w:pPr>
        <w:tabs>
          <w:tab w:val="left" w:pos="1365"/>
        </w:tabs>
        <w:spacing w:line="360" w:lineRule="auto"/>
        <w:ind w:firstLine="4322" w:firstLineChars="2050"/>
        <w:jc w:val="righ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法定代表人或其委托代理人（签字或盖章）：</w:t>
      </w:r>
    </w:p>
    <w:p>
      <w:pPr>
        <w:spacing w:line="360" w:lineRule="auto"/>
        <w:ind w:firstLine="562"/>
        <w:jc w:val="right"/>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lang w:val="en-US" w:eastAsia="zh-CN"/>
        </w:rPr>
        <w:t xml:space="preserve">                              </w:t>
      </w:r>
      <w:r>
        <w:rPr>
          <w:rFonts w:hint="eastAsia" w:ascii="宋体" w:hAnsi="宋体"/>
          <w:b/>
          <w:bCs/>
          <w:color w:val="auto"/>
          <w:szCs w:val="21"/>
          <w:highlight w:val="none"/>
          <w:shd w:val="clear" w:color="auto" w:fill="auto"/>
        </w:rPr>
        <w:t>日   期：     年    月    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b/>
          <w:bCs/>
          <w:color w:val="auto"/>
          <w:szCs w:val="21"/>
          <w:highlight w:val="none"/>
          <w:shd w:val="clear" w:color="auto" w:fill="auto"/>
          <w:lang w:val="en-US" w:eastAsia="zh-CN"/>
        </w:rPr>
        <w:sectPr>
          <w:footerReference r:id="rId9" w:type="default"/>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信阳市政府采购供应商信用承诺函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致</w:t>
      </w:r>
      <w:r>
        <w:rPr>
          <w:rFonts w:hint="eastAsia" w:ascii="宋体" w:hAnsi="宋体" w:eastAsia="宋体" w:cs="宋体"/>
          <w:color w:val="auto"/>
          <w:kern w:val="0"/>
          <w:sz w:val="21"/>
          <w:szCs w:val="21"/>
          <w:u w:val="single"/>
          <w:lang w:val="en-US" w:eastAsia="zh-CN" w:bidi="ar"/>
        </w:rPr>
        <w:t xml:space="preserve">（采购人或采购代理机构）：         </w:t>
      </w:r>
      <w:r>
        <w:rPr>
          <w:rFonts w:hint="eastAsia" w:ascii="宋体" w:hAnsi="宋体" w:eastAsia="宋体" w:cs="宋体"/>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单位名称（自然人姓名）</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default"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统一社会信用代码（身份证号码）</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default"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default"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联系地址和电话</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为维护公平、公正、公开的政府采购市场秩序，树立诚实守信的政府采购供应商形象，我单位（本人）自愿作出以下承诺：</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具有独立承担民事责任的能力；</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具有良好的商业信誉和健全的财务会计制度；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具有履行合同所必需的设备和专业技术能力；</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有依法缴纳税收和社会保障资金的良好记录；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参加政府采购活动前三年内，在经营活动中没有重大违法记录；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未被列入经营异常名录或者严重违法失信名单、失信被执行人、重大税收违法案件当事人名单、政府采购严重违法失信行为记录名单；</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未被相关监管部门作出行政处罚且尚在处罚有效期内；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未曾做出虚假采购承诺；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（九）符合法律、行政法规规定的其他条件。</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供应商（公章）：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法定代表人、负责人、本人或授权代表（签字或盖章）：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注：1、供应商须在响应文件中按此模板提供承诺函，未提供视为未实质性响应磋商文件要求，按无效投标处理。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firstLine="735" w:firstLineChars="35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2、供应商的法定代表人或者授权代表的签字或盖章应真实、有效，如由授权代表签字或盖章的，应提供“法定代表人授权书”。</w:t>
      </w:r>
    </w:p>
    <w:p>
      <w:pPr>
        <w:spacing w:before="312" w:beforeLines="100" w:after="156" w:afterLines="50" w:line="240" w:lineRule="auto"/>
        <w:rPr>
          <w:rFonts w:hint="eastAsia" w:ascii="宋体" w:hAnsi="宋体"/>
          <w:b/>
          <w:color w:val="auto"/>
          <w:szCs w:val="21"/>
        </w:rPr>
      </w:pPr>
    </w:p>
    <w:bookmarkEnd w:id="986"/>
    <w:p>
      <w:pPr>
        <w:spacing w:line="440" w:lineRule="exact"/>
        <w:rPr>
          <w:rFonts w:hint="eastAsia" w:ascii="宋体" w:hAnsi="宋体"/>
          <w:color w:val="auto"/>
          <w:szCs w:val="21"/>
        </w:rPr>
      </w:pPr>
    </w:p>
    <w:p>
      <w:pPr>
        <w:pStyle w:val="45"/>
        <w:ind w:firstLine="210"/>
        <w:rPr>
          <w:rFonts w:hint="eastAsia" w:ascii="宋体" w:hAnsi="宋体"/>
          <w:color w:val="auto"/>
          <w:szCs w:val="21"/>
        </w:rPr>
      </w:pPr>
    </w:p>
    <w:p>
      <w:pPr>
        <w:pStyle w:val="45"/>
        <w:ind w:left="0" w:leftChars="0" w:firstLine="0" w:firstLineChars="0"/>
        <w:rPr>
          <w:rFonts w:hint="eastAsia" w:eastAsia="宋体"/>
          <w:color w:val="auto"/>
          <w:lang w:val="en-US" w:eastAsia="zh-CN"/>
        </w:rPr>
      </w:pPr>
    </w:p>
    <w:p>
      <w:pPr>
        <w:pStyle w:val="5"/>
        <w:numPr>
          <w:ilvl w:val="1"/>
          <w:numId w:val="0"/>
        </w:numPr>
        <w:ind w:leftChars="200"/>
        <w:jc w:val="center"/>
        <w:rPr>
          <w:rFonts w:hint="eastAsia" w:ascii="宋体" w:hAnsi="宋体" w:eastAsia="宋体"/>
          <w:color w:val="auto"/>
          <w:sz w:val="28"/>
          <w:szCs w:val="28"/>
          <w:lang w:val="en-US" w:eastAsia="zh-CN"/>
        </w:rPr>
      </w:pPr>
      <w:bookmarkStart w:id="987" w:name="_Toc23603"/>
      <w:bookmarkStart w:id="988" w:name="_Toc475624464"/>
      <w:bookmarkStart w:id="989" w:name="_Toc30087"/>
      <w:bookmarkStart w:id="990" w:name="_Toc29238"/>
      <w:r>
        <w:rPr>
          <w:rFonts w:hint="eastAsia" w:ascii="宋体" w:hAnsi="宋体" w:eastAsia="宋体"/>
          <w:color w:val="auto"/>
          <w:sz w:val="28"/>
          <w:szCs w:val="28"/>
          <w:lang w:val="en-US" w:eastAsia="zh-CN"/>
        </w:rPr>
        <w:t>四、商务及技术偏差表</w:t>
      </w:r>
    </w:p>
    <w:p>
      <w:pPr>
        <w:numPr>
          <w:ilvl w:val="0"/>
          <w:numId w:val="0"/>
        </w:numPr>
        <w:jc w:val="center"/>
        <w:rPr>
          <w:rFonts w:hint="eastAsia"/>
          <w:b/>
          <w:bCs/>
          <w:sz w:val="24"/>
          <w:szCs w:val="24"/>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rPr>
        <w:t>商务偏差表</w:t>
      </w:r>
    </w:p>
    <w:tbl>
      <w:tblPr>
        <w:tblStyle w:val="4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604"/>
        <w:gridCol w:w="2733"/>
        <w:gridCol w:w="112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6"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序号</w:t>
            </w:r>
          </w:p>
        </w:tc>
        <w:tc>
          <w:tcPr>
            <w:tcW w:w="360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竞争性磋商文件要求</w:t>
            </w:r>
          </w:p>
        </w:tc>
        <w:tc>
          <w:tcPr>
            <w:tcW w:w="2733"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响应文件要求</w:t>
            </w:r>
          </w:p>
        </w:tc>
        <w:tc>
          <w:tcPr>
            <w:tcW w:w="1126"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偏差描述</w:t>
            </w:r>
          </w:p>
        </w:tc>
        <w:tc>
          <w:tcPr>
            <w:tcW w:w="748"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2</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3</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4</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5</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6</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bl>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注：1、供应商可根据本磋商文件中商务要求编制此表，在此表中客观真实的做出响应及</w:t>
      </w:r>
      <w:r>
        <w:rPr>
          <w:rFonts w:hint="eastAsia" w:ascii="宋体" w:hAnsi="宋体" w:eastAsia="宋体" w:cs="宋体"/>
          <w:b/>
          <w:bCs/>
          <w:color w:val="000000"/>
          <w:kern w:val="0"/>
          <w:sz w:val="20"/>
          <w:szCs w:val="20"/>
          <w:lang w:val="en-US" w:eastAsia="zh-CN" w:bidi="ar"/>
        </w:rPr>
        <w:t>偏差描述</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并根据情况在偏离情况中填写“无偏离”“负偏离”“正偏离”。</w:t>
      </w:r>
    </w:p>
    <w:p>
      <w:pPr>
        <w:pStyle w:val="5"/>
        <w:numPr>
          <w:ilvl w:val="1"/>
          <w:numId w:val="0"/>
        </w:numPr>
        <w:ind w:leftChars="0"/>
        <w:rPr>
          <w:rFonts w:hint="eastAsia"/>
        </w:rPr>
      </w:pP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供应商（单位电子签章）：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法定代表人或其委托代理人（签字或盖章）：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日 期：  年  月  日</w:t>
      </w:r>
    </w:p>
    <w:p>
      <w:pPr>
        <w:pStyle w:val="5"/>
        <w:numPr>
          <w:ilvl w:val="1"/>
          <w:numId w:val="0"/>
        </w:numPr>
        <w:jc w:val="center"/>
        <w:rPr>
          <w:rFonts w:hint="eastAsia" w:ascii="宋体" w:hAnsi="宋体" w:eastAsia="宋体"/>
          <w:color w:val="auto"/>
          <w:sz w:val="28"/>
          <w:szCs w:val="28"/>
          <w:lang w:val="en-US" w:eastAsia="zh-CN"/>
        </w:rPr>
      </w:pPr>
    </w:p>
    <w:p>
      <w:pPr>
        <w:rPr>
          <w:rFonts w:hint="eastAsia" w:ascii="宋体" w:hAnsi="宋体" w:eastAsia="宋体"/>
          <w:color w:val="auto"/>
          <w:sz w:val="28"/>
          <w:szCs w:val="28"/>
          <w:lang w:val="en-US" w:eastAsia="zh-CN"/>
        </w:rPr>
      </w:pP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（二）技术偏差表</w:t>
      </w:r>
    </w:p>
    <w:tbl>
      <w:tblPr>
        <w:tblStyle w:val="4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604"/>
        <w:gridCol w:w="2733"/>
        <w:gridCol w:w="112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6"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序号</w:t>
            </w:r>
          </w:p>
        </w:tc>
        <w:tc>
          <w:tcPr>
            <w:tcW w:w="360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竞争性磋商文件要求</w:t>
            </w:r>
          </w:p>
        </w:tc>
        <w:tc>
          <w:tcPr>
            <w:tcW w:w="2733"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响应文件要求</w:t>
            </w:r>
          </w:p>
        </w:tc>
        <w:tc>
          <w:tcPr>
            <w:tcW w:w="1126"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偏差描述</w:t>
            </w:r>
          </w:p>
        </w:tc>
        <w:tc>
          <w:tcPr>
            <w:tcW w:w="748" w:type="dxa"/>
            <w:vAlign w:val="center"/>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2</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3</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4</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5</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6</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6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w:t>
            </w:r>
          </w:p>
        </w:tc>
        <w:tc>
          <w:tcPr>
            <w:tcW w:w="3604"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s="宋体"/>
                <w:b/>
                <w:bCs/>
                <w:color w:val="000000"/>
                <w:kern w:val="0"/>
                <w:sz w:val="20"/>
                <w:szCs w:val="20"/>
                <w:lang w:val="en-US" w:eastAsia="zh-CN" w:bidi="ar"/>
              </w:rPr>
            </w:pPr>
          </w:p>
        </w:tc>
        <w:tc>
          <w:tcPr>
            <w:tcW w:w="2733"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1126"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c>
          <w:tcPr>
            <w:tcW w:w="748" w:type="dxa"/>
          </w:tcPr>
          <w:p>
            <w:pPr>
              <w:pStyle w:val="5"/>
              <w:pageBreakBefore w:val="0"/>
              <w:numPr>
                <w:ilvl w:val="1"/>
                <w:numId w:val="0"/>
              </w:numPr>
              <w:kinsoku/>
              <w:wordWrap/>
              <w:overflowPunct/>
              <w:topLinePunct w:val="0"/>
              <w:autoSpaceDE/>
              <w:autoSpaceDN/>
              <w:bidi w:val="0"/>
              <w:adjustRightInd/>
              <w:snapToGrid/>
              <w:spacing w:before="0" w:beforeLines="0" w:after="0" w:afterLines="0"/>
              <w:jc w:val="center"/>
              <w:textAlignment w:val="auto"/>
              <w:rPr>
                <w:rFonts w:hint="eastAsia" w:ascii="宋体" w:hAnsi="宋体" w:eastAsia="宋体"/>
                <w:color w:val="auto"/>
                <w:sz w:val="28"/>
                <w:szCs w:val="28"/>
                <w:vertAlign w:val="baseline"/>
              </w:rPr>
            </w:pPr>
          </w:p>
        </w:tc>
      </w:tr>
    </w:tbl>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注：1、供应商可根据本磋商文件中商务要求编制此表，在此表中客观真实的做出响应及</w:t>
      </w:r>
      <w:r>
        <w:rPr>
          <w:rFonts w:hint="eastAsia" w:ascii="宋体" w:hAnsi="宋体" w:eastAsia="宋体" w:cs="宋体"/>
          <w:b/>
          <w:bCs/>
          <w:color w:val="000000"/>
          <w:kern w:val="0"/>
          <w:sz w:val="20"/>
          <w:szCs w:val="20"/>
          <w:lang w:val="en-US" w:eastAsia="zh-CN" w:bidi="ar"/>
        </w:rPr>
        <w:t>偏差描述</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并根据情况在偏离情况中填写“无偏离”“负偏离”“正偏离”。</w:t>
      </w:r>
    </w:p>
    <w:p>
      <w:pPr>
        <w:pStyle w:val="5"/>
        <w:numPr>
          <w:ilvl w:val="1"/>
          <w:numId w:val="0"/>
        </w:numPr>
        <w:ind w:leftChars="0"/>
        <w:rPr>
          <w:rFonts w:hint="eastAsia"/>
        </w:rPr>
      </w:pP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供应商（单位电子签章）：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法定代表人或其委托代理人（签字或盖章）：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日 期：  年  月  日</w:t>
      </w:r>
    </w:p>
    <w:p>
      <w:pPr>
        <w:pStyle w:val="5"/>
        <w:rPr>
          <w:rFonts w:hint="eastAsia"/>
          <w:lang w:val="en-US" w:eastAsia="zh-CN"/>
        </w:rPr>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5"/>
        <w:numPr>
          <w:ilvl w:val="1"/>
          <w:numId w:val="0"/>
        </w:numPr>
        <w:jc w:val="center"/>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五、投标方案</w:t>
      </w:r>
    </w:p>
    <w:p>
      <w:pPr>
        <w:jc w:val="center"/>
        <w:rPr>
          <w:rFonts w:hint="default"/>
          <w:sz w:val="21"/>
          <w:szCs w:val="21"/>
          <w:lang w:val="en-US" w:eastAsia="zh-CN"/>
        </w:rPr>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color w:val="auto"/>
          <w:sz w:val="21"/>
          <w:szCs w:val="21"/>
          <w:lang w:val="en-US" w:eastAsia="zh-CN"/>
        </w:rPr>
        <w:t>格式自拟</w:t>
      </w:r>
    </w:p>
    <w:p>
      <w:pPr>
        <w:pStyle w:val="5"/>
        <w:numPr>
          <w:ilvl w:val="0"/>
          <w:numId w:val="9"/>
        </w:numPr>
        <w:jc w:val="center"/>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服务承诺</w:t>
      </w:r>
    </w:p>
    <w:p>
      <w:pPr>
        <w:numPr>
          <w:ilvl w:val="0"/>
          <w:numId w:val="0"/>
        </w:numPr>
        <w:jc w:val="center"/>
        <w:rPr>
          <w:rFonts w:hint="default"/>
          <w:lang w:val="en-US" w:eastAsia="zh-CN"/>
        </w:rPr>
      </w:pPr>
      <w:r>
        <w:rPr>
          <w:rFonts w:hint="eastAsia"/>
          <w:lang w:val="en-US" w:eastAsia="zh-CN"/>
        </w:rPr>
        <w:t>格式自拟</w:t>
      </w:r>
    </w:p>
    <w:p>
      <w:pPr>
        <w:pStyle w:val="5"/>
        <w:numPr>
          <w:ilvl w:val="1"/>
          <w:numId w:val="0"/>
        </w:numPr>
        <w:jc w:val="center"/>
        <w:rPr>
          <w:rFonts w:hint="eastAsia" w:ascii="宋体" w:hAnsi="宋体" w:eastAsia="宋体"/>
          <w:color w:val="auto"/>
          <w:sz w:val="28"/>
          <w:szCs w:val="28"/>
          <w:lang w:val="en-US" w:eastAsia="zh-CN"/>
        </w:rPr>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5"/>
        <w:numPr>
          <w:ilvl w:val="1"/>
          <w:numId w:val="0"/>
        </w:numPr>
        <w:jc w:val="center"/>
        <w:rPr>
          <w:rFonts w:ascii="宋体" w:hAnsi="宋体"/>
          <w:color w:val="auto"/>
          <w:szCs w:val="21"/>
        </w:rPr>
      </w:pPr>
      <w:r>
        <w:rPr>
          <w:rFonts w:hint="eastAsia" w:ascii="宋体" w:hAnsi="宋体" w:eastAsia="宋体"/>
          <w:color w:val="auto"/>
          <w:sz w:val="28"/>
          <w:szCs w:val="28"/>
          <w:lang w:val="en-US" w:eastAsia="zh-CN"/>
        </w:rPr>
        <w:t>七、</w:t>
      </w:r>
      <w:r>
        <w:rPr>
          <w:rFonts w:hint="eastAsia" w:ascii="宋体" w:hAnsi="宋体" w:eastAsia="宋体"/>
          <w:color w:val="auto"/>
          <w:sz w:val="28"/>
          <w:szCs w:val="28"/>
        </w:rPr>
        <w:t>其他材料</w:t>
      </w:r>
      <w:bookmarkEnd w:id="987"/>
      <w:bookmarkEnd w:id="988"/>
      <w:bookmarkEnd w:id="989"/>
      <w:bookmarkEnd w:id="990"/>
    </w:p>
    <w:p>
      <w:pPr>
        <w:spacing w:line="360" w:lineRule="auto"/>
        <w:jc w:val="center"/>
        <w:rPr>
          <w:rFonts w:ascii="宋体" w:hAnsi="宋体"/>
          <w:b/>
          <w:color w:val="auto"/>
          <w:szCs w:val="21"/>
        </w:rPr>
      </w:pPr>
      <w:bookmarkStart w:id="991" w:name="_Toc457469585"/>
      <w:r>
        <w:rPr>
          <w:rFonts w:hint="eastAsia" w:ascii="宋体" w:hAnsi="宋体"/>
          <w:b/>
          <w:color w:val="auto"/>
          <w:szCs w:val="21"/>
        </w:rPr>
        <w:t>1、反商业贿赂承诺书</w:t>
      </w:r>
      <w:bookmarkEnd w:id="991"/>
    </w:p>
    <w:p>
      <w:pPr>
        <w:pStyle w:val="45"/>
        <w:ind w:firstLine="210"/>
        <w:rPr>
          <w:rFonts w:ascii="宋体" w:hAnsi="宋体"/>
          <w:color w:val="auto"/>
          <w:szCs w:val="21"/>
        </w:rPr>
      </w:pPr>
    </w:p>
    <w:p>
      <w:pPr>
        <w:autoSpaceDE w:val="0"/>
        <w:autoSpaceDN w:val="0"/>
        <w:adjustRightInd w:val="0"/>
        <w:spacing w:line="360" w:lineRule="auto"/>
        <w:ind w:firstLine="630" w:firstLineChars="300"/>
        <w:jc w:val="left"/>
        <w:rPr>
          <w:rFonts w:ascii="宋体" w:hAnsi="宋体"/>
          <w:color w:val="auto"/>
          <w:szCs w:val="21"/>
          <w:lang w:val="zh-CN"/>
        </w:rPr>
      </w:pPr>
      <w:r>
        <w:rPr>
          <w:rFonts w:hint="eastAsia" w:ascii="宋体" w:hAnsi="宋体"/>
          <w:color w:val="auto"/>
          <w:szCs w:val="21"/>
          <w:lang w:val="zh-CN"/>
        </w:rPr>
        <w:t>我方承诺：</w:t>
      </w:r>
    </w:p>
    <w:p>
      <w:pPr>
        <w:autoSpaceDE w:val="0"/>
        <w:autoSpaceDN w:val="0"/>
        <w:adjustRightInd w:val="0"/>
        <w:spacing w:line="360" w:lineRule="auto"/>
        <w:ind w:firstLine="630" w:firstLineChars="300"/>
        <w:jc w:val="left"/>
        <w:rPr>
          <w:rFonts w:ascii="宋体" w:hAnsi="宋体"/>
          <w:color w:val="auto"/>
          <w:szCs w:val="21"/>
          <w:lang w:val="zh-CN"/>
        </w:rPr>
      </w:pPr>
      <w:r>
        <w:rPr>
          <w:rFonts w:hint="eastAsia" w:ascii="宋体" w:hAnsi="宋体"/>
          <w:color w:val="auto"/>
          <w:szCs w:val="21"/>
          <w:lang w:val="zh-CN"/>
        </w:rPr>
        <w:t>在</w:t>
      </w:r>
      <w:r>
        <w:rPr>
          <w:rFonts w:hint="eastAsia" w:ascii="宋体" w:hAnsi="宋体"/>
          <w:color w:val="auto"/>
          <w:szCs w:val="21"/>
          <w:u w:val="single"/>
        </w:rPr>
        <w:t xml:space="preserve">                    </w:t>
      </w:r>
      <w:r>
        <w:rPr>
          <w:rFonts w:hint="eastAsia" w:ascii="宋体" w:hAnsi="宋体"/>
          <w:color w:val="auto"/>
          <w:szCs w:val="21"/>
          <w:u w:val="single"/>
          <w:lang w:val="zh-CN"/>
        </w:rPr>
        <w:t>（项目名称、</w:t>
      </w:r>
      <w:r>
        <w:rPr>
          <w:rFonts w:hint="eastAsia" w:ascii="宋体" w:hAnsi="宋体"/>
          <w:color w:val="auto"/>
          <w:szCs w:val="21"/>
          <w:u w:val="single"/>
          <w:lang w:val="en-US" w:eastAsia="zh-CN"/>
        </w:rPr>
        <w:t>包</w:t>
      </w:r>
      <w:r>
        <w:rPr>
          <w:rFonts w:hint="eastAsia" w:ascii="宋体" w:hAnsi="宋体"/>
          <w:color w:val="auto"/>
          <w:szCs w:val="21"/>
          <w:u w:val="single"/>
          <w:lang w:val="zh-CN"/>
        </w:rPr>
        <w:t>）</w:t>
      </w:r>
      <w:r>
        <w:rPr>
          <w:rFonts w:hint="eastAsia" w:ascii="宋体" w:hAnsi="宋体"/>
          <w:color w:val="auto"/>
          <w:szCs w:val="21"/>
          <w:u w:val="none"/>
          <w:lang w:val="zh-CN"/>
        </w:rPr>
        <w:t>，</w:t>
      </w:r>
      <w:r>
        <w:rPr>
          <w:rFonts w:hint="eastAsia" w:hAnsi="宋体"/>
          <w:szCs w:val="21"/>
        </w:rPr>
        <w:t xml:space="preserve">项目编号为： </w:t>
      </w:r>
      <w:r>
        <w:rPr>
          <w:rFonts w:hint="eastAsia" w:hAnsi="宋体"/>
          <w:szCs w:val="21"/>
          <w:u w:val="single"/>
        </w:rPr>
        <w:t xml:space="preserve">            </w:t>
      </w:r>
      <w:r>
        <w:rPr>
          <w:rFonts w:hint="eastAsia" w:ascii="宋体" w:hAnsi="宋体"/>
          <w:color w:val="auto"/>
          <w:szCs w:val="21"/>
          <w:lang w:val="zh-CN"/>
        </w:rPr>
        <w:t>磋商活动中，我方保证做到：</w:t>
      </w:r>
    </w:p>
    <w:p>
      <w:pPr>
        <w:autoSpaceDE w:val="0"/>
        <w:autoSpaceDN w:val="0"/>
        <w:adjustRightInd w:val="0"/>
        <w:spacing w:line="360" w:lineRule="auto"/>
        <w:ind w:firstLine="630" w:firstLineChars="300"/>
        <w:jc w:val="left"/>
        <w:rPr>
          <w:rFonts w:ascii="宋体" w:hAnsi="宋体"/>
          <w:color w:val="auto"/>
          <w:szCs w:val="21"/>
          <w:lang w:val="zh-CN"/>
        </w:rPr>
      </w:pPr>
      <w:r>
        <w:rPr>
          <w:rFonts w:hint="eastAsia" w:ascii="宋体" w:hAnsi="宋体"/>
          <w:color w:val="auto"/>
          <w:szCs w:val="21"/>
          <w:lang w:val="zh-CN"/>
        </w:rPr>
        <w:t>一、公平竞争参加本次磋商采购活动。</w:t>
      </w:r>
    </w:p>
    <w:p>
      <w:pPr>
        <w:autoSpaceDE w:val="0"/>
        <w:autoSpaceDN w:val="0"/>
        <w:adjustRightInd w:val="0"/>
        <w:spacing w:line="360" w:lineRule="auto"/>
        <w:ind w:firstLine="630" w:firstLineChars="300"/>
        <w:jc w:val="left"/>
        <w:rPr>
          <w:rFonts w:ascii="宋体" w:hAnsi="宋体"/>
          <w:color w:val="auto"/>
          <w:szCs w:val="21"/>
          <w:lang w:val="zh-CN"/>
        </w:rPr>
      </w:pPr>
      <w:r>
        <w:rPr>
          <w:rFonts w:hint="eastAsia" w:ascii="宋体" w:hAnsi="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630" w:firstLineChars="300"/>
        <w:jc w:val="left"/>
        <w:rPr>
          <w:rFonts w:ascii="宋体" w:hAnsi="宋体"/>
          <w:color w:val="auto"/>
          <w:szCs w:val="21"/>
          <w:lang w:val="zh-CN"/>
        </w:rPr>
      </w:pPr>
      <w:r>
        <w:rPr>
          <w:rFonts w:hint="eastAsia" w:ascii="宋体" w:hAnsi="宋体"/>
          <w:color w:val="auto"/>
          <w:szCs w:val="21"/>
          <w:lang w:val="zh-CN"/>
        </w:rPr>
        <w:t>三、若出现上述行为，我方及参与投标的工作人员愿意接受按照国家法律法规等有关规定给予的处罚。</w:t>
      </w:r>
    </w:p>
    <w:p>
      <w:pPr>
        <w:spacing w:line="360" w:lineRule="auto"/>
        <w:ind w:left="645"/>
        <w:outlineLvl w:val="0"/>
        <w:rPr>
          <w:rFonts w:ascii="宋体" w:hAnsi="宋体"/>
          <w:color w:val="auto"/>
          <w:szCs w:val="21"/>
        </w:rPr>
      </w:pPr>
    </w:p>
    <w:p>
      <w:pPr>
        <w:spacing w:line="360" w:lineRule="auto"/>
        <w:ind w:left="645"/>
        <w:outlineLvl w:val="0"/>
        <w:rPr>
          <w:rFonts w:ascii="宋体" w:hAnsi="宋体"/>
          <w:color w:val="auto"/>
          <w:szCs w:val="21"/>
        </w:rPr>
      </w:pPr>
    </w:p>
    <w:p>
      <w:pPr>
        <w:spacing w:line="360" w:lineRule="auto"/>
        <w:ind w:left="645"/>
        <w:outlineLvl w:val="0"/>
        <w:rPr>
          <w:rFonts w:ascii="宋体" w:hAnsi="宋体"/>
          <w:color w:val="auto"/>
          <w:szCs w:val="21"/>
        </w:rPr>
      </w:pPr>
    </w:p>
    <w:p>
      <w:pPr>
        <w:spacing w:line="360" w:lineRule="auto"/>
        <w:ind w:left="645"/>
        <w:outlineLvl w:val="0"/>
        <w:rPr>
          <w:rFonts w:ascii="宋体" w:hAnsi="宋体"/>
          <w:color w:val="auto"/>
          <w:szCs w:val="21"/>
        </w:rPr>
      </w:pPr>
    </w:p>
    <w:p>
      <w:pPr>
        <w:spacing w:line="360" w:lineRule="auto"/>
        <w:ind w:left="645"/>
        <w:outlineLvl w:val="0"/>
        <w:rPr>
          <w:rFonts w:ascii="宋体" w:hAnsi="宋体"/>
          <w:color w:val="auto"/>
          <w:szCs w:val="21"/>
        </w:rPr>
      </w:pP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供应商（单位电子签章）：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 xml:space="preserve">法定代表人或其委托代理人（签字或盖章）： </w:t>
      </w:r>
    </w:p>
    <w:p>
      <w:pPr>
        <w:keepNext w:val="0"/>
        <w:keepLines w:val="0"/>
        <w:widowControl/>
        <w:suppressLineNumbers w:val="0"/>
        <w:spacing w:line="360" w:lineRule="auto"/>
        <w:jc w:val="right"/>
        <w:rPr>
          <w:b w:val="0"/>
          <w:bCs w:val="0"/>
          <w:sz w:val="21"/>
          <w:szCs w:val="21"/>
        </w:rPr>
      </w:pPr>
      <w:r>
        <w:rPr>
          <w:rFonts w:hint="eastAsia" w:ascii="宋体" w:hAnsi="宋体" w:eastAsia="宋体" w:cs="宋体"/>
          <w:b w:val="0"/>
          <w:bCs w:val="0"/>
          <w:color w:val="000000"/>
          <w:kern w:val="0"/>
          <w:sz w:val="21"/>
          <w:szCs w:val="21"/>
          <w:lang w:val="en-US" w:eastAsia="zh-CN" w:bidi="ar"/>
        </w:rPr>
        <w:t>日 期：  年  月  日</w:t>
      </w:r>
    </w:p>
    <w:p>
      <w:pPr>
        <w:spacing w:line="360" w:lineRule="auto"/>
        <w:ind w:left="645"/>
        <w:outlineLvl w:val="0"/>
        <w:rPr>
          <w:rFonts w:hint="eastAsia" w:ascii="宋体" w:hAnsi="宋体"/>
          <w:color w:val="auto"/>
          <w:szCs w:val="21"/>
        </w:rPr>
      </w:pPr>
    </w:p>
    <w:p>
      <w:pPr>
        <w:spacing w:line="360" w:lineRule="auto"/>
        <w:ind w:left="645"/>
        <w:outlineLvl w:val="0"/>
        <w:rPr>
          <w:rFonts w:hint="eastAsia" w:ascii="宋体" w:hAnsi="宋体"/>
          <w:color w:val="auto"/>
          <w:szCs w:val="21"/>
        </w:rPr>
      </w:pPr>
    </w:p>
    <w:p>
      <w:pPr>
        <w:spacing w:line="360" w:lineRule="auto"/>
        <w:ind w:left="645"/>
        <w:outlineLvl w:val="0"/>
        <w:rPr>
          <w:rFonts w:hint="eastAsia" w:ascii="宋体" w:hAnsi="宋体"/>
          <w:color w:val="auto"/>
          <w:szCs w:val="21"/>
        </w:rPr>
      </w:pPr>
    </w:p>
    <w:p>
      <w:pPr>
        <w:pStyle w:val="45"/>
        <w:ind w:firstLine="210"/>
        <w:rPr>
          <w:rFonts w:hint="eastAsia" w:ascii="宋体" w:hAnsi="宋体"/>
          <w:color w:val="auto"/>
          <w:szCs w:val="21"/>
        </w:rPr>
      </w:pPr>
    </w:p>
    <w:p>
      <w:pPr>
        <w:pStyle w:val="45"/>
        <w:ind w:firstLine="210"/>
        <w:rPr>
          <w:rFonts w:hint="eastAsia" w:ascii="宋体" w:hAnsi="宋体"/>
          <w:color w:val="auto"/>
          <w:szCs w:val="21"/>
        </w:rPr>
      </w:pPr>
    </w:p>
    <w:p>
      <w:pPr>
        <w:pStyle w:val="45"/>
        <w:ind w:firstLine="210"/>
        <w:rPr>
          <w:rFonts w:hint="eastAsia" w:ascii="宋体" w:hAnsi="宋体"/>
          <w:color w:val="auto"/>
          <w:szCs w:val="21"/>
        </w:rPr>
      </w:pPr>
    </w:p>
    <w:p>
      <w:pPr>
        <w:pStyle w:val="45"/>
        <w:ind w:firstLine="210"/>
        <w:rPr>
          <w:rFonts w:hint="eastAsia" w:ascii="宋体" w:hAnsi="宋体"/>
          <w:color w:val="auto"/>
          <w:szCs w:val="21"/>
        </w:rPr>
      </w:pPr>
    </w:p>
    <w:p>
      <w:pPr>
        <w:pStyle w:val="45"/>
        <w:ind w:firstLine="0" w:firstLineChars="0"/>
        <w:rPr>
          <w:rFonts w:hint="eastAsia" w:ascii="宋体" w:hAnsi="宋体"/>
          <w:color w:val="auto"/>
          <w:szCs w:val="21"/>
        </w:rPr>
      </w:pPr>
    </w:p>
    <w:p>
      <w:pPr>
        <w:spacing w:line="360" w:lineRule="auto"/>
        <w:jc w:val="center"/>
        <w:rPr>
          <w:rFonts w:hint="eastAsia" w:ascii="宋体" w:hAnsi="宋体"/>
          <w:b/>
          <w:color w:val="auto"/>
          <w:szCs w:val="21"/>
        </w:rPr>
      </w:pPr>
      <w:bookmarkStart w:id="992" w:name="_Toc523494085"/>
      <w:bookmarkStart w:id="993" w:name="_Toc525210051"/>
    </w:p>
    <w:p>
      <w:pPr>
        <w:spacing w:line="360" w:lineRule="auto"/>
        <w:jc w:val="center"/>
        <w:rPr>
          <w:rFonts w:hint="eastAsia" w:ascii="宋体" w:hAnsi="宋体"/>
          <w:color w:val="auto"/>
          <w:szCs w:val="21"/>
        </w:rPr>
      </w:pPr>
      <w:r>
        <w:rPr>
          <w:rFonts w:hint="eastAsia" w:ascii="宋体" w:hAnsi="宋体"/>
          <w:b/>
          <w:color w:val="auto"/>
          <w:szCs w:val="21"/>
        </w:rPr>
        <w:t>2、</w:t>
      </w:r>
      <w:bookmarkEnd w:id="992"/>
      <w:bookmarkEnd w:id="993"/>
      <w:r>
        <w:rPr>
          <w:rFonts w:hint="eastAsia" w:ascii="宋体" w:hAnsi="宋体"/>
          <w:b/>
          <w:color w:val="auto"/>
          <w:szCs w:val="21"/>
        </w:rPr>
        <w:t>中小企业声明函（</w:t>
      </w:r>
      <w:r>
        <w:rPr>
          <w:rFonts w:hint="eastAsia" w:ascii="宋体" w:hAnsi="宋体"/>
          <w:b/>
          <w:color w:val="auto"/>
          <w:szCs w:val="21"/>
          <w:lang w:eastAsia="zh-CN"/>
        </w:rPr>
        <w:t>服务</w:t>
      </w:r>
      <w:r>
        <w:rPr>
          <w:rFonts w:hint="eastAsia" w:ascii="宋体" w:hAnsi="宋体"/>
          <w:b/>
          <w:color w:val="auto"/>
          <w:szCs w:val="21"/>
        </w:rPr>
        <w:t>）</w:t>
      </w:r>
    </w:p>
    <w:p>
      <w:pPr>
        <w:spacing w:line="400" w:lineRule="exact"/>
        <w:jc w:val="center"/>
        <w:rPr>
          <w:rFonts w:hint="eastAsia" w:ascii="宋体" w:hAnsi="宋体"/>
          <w:color w:val="auto"/>
          <w:szCs w:val="21"/>
        </w:rPr>
      </w:pPr>
      <w:r>
        <w:rPr>
          <w:rFonts w:hint="eastAsia" w:ascii="宋体" w:hAnsi="宋体"/>
          <w:color w:val="auto"/>
          <w:szCs w:val="21"/>
        </w:rPr>
        <w:t>（属于中小微企业的填写，不属于的无需填写此项内容）</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本公司（联合体）郑重声明，根据《政府采购促进中小企业发展管理办法》（财库﹝2020﹞46 号）的规定，本公司（联合体）参加</w:t>
      </w:r>
      <w:r>
        <w:rPr>
          <w:rFonts w:hint="eastAsia" w:ascii="宋体" w:hAnsi="宋体" w:eastAsia="宋体" w:cs="宋体"/>
          <w:i w:val="0"/>
          <w:iCs w:val="0"/>
          <w:kern w:val="0"/>
          <w:sz w:val="21"/>
          <w:szCs w:val="21"/>
          <w:highlight w:val="none"/>
          <w:u w:val="single"/>
          <w:lang w:bidi="ar"/>
        </w:rPr>
        <w:t>（单位名称）</w:t>
      </w:r>
      <w:r>
        <w:rPr>
          <w:rFonts w:hint="eastAsia" w:ascii="宋体" w:hAnsi="宋体" w:eastAsia="宋体" w:cs="宋体"/>
          <w:i w:val="0"/>
          <w:iCs w:val="0"/>
          <w:kern w:val="0"/>
          <w:sz w:val="21"/>
          <w:szCs w:val="21"/>
          <w:highlight w:val="none"/>
          <w:lang w:bidi="ar"/>
        </w:rPr>
        <w:t>的</w:t>
      </w:r>
      <w:r>
        <w:rPr>
          <w:rFonts w:hint="eastAsia" w:ascii="宋体" w:hAnsi="宋体" w:eastAsia="宋体" w:cs="宋体"/>
          <w:i w:val="0"/>
          <w:iCs w:val="0"/>
          <w:kern w:val="0"/>
          <w:sz w:val="21"/>
          <w:szCs w:val="21"/>
          <w:highlight w:val="none"/>
          <w:u w:val="single"/>
          <w:lang w:bidi="ar"/>
        </w:rPr>
        <w:t>（项目名称）</w:t>
      </w:r>
      <w:r>
        <w:rPr>
          <w:rFonts w:hint="eastAsia" w:ascii="宋体" w:hAnsi="宋体" w:eastAsia="宋体" w:cs="宋体"/>
          <w:i w:val="0"/>
          <w:iCs w:val="0"/>
          <w:kern w:val="0"/>
          <w:sz w:val="21"/>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1.</w:t>
      </w:r>
      <w:r>
        <w:rPr>
          <w:rFonts w:hint="eastAsia" w:ascii="宋体" w:hAnsi="宋体" w:eastAsia="宋体" w:cs="宋体"/>
          <w:i w:val="0"/>
          <w:iCs w:val="0"/>
          <w:kern w:val="0"/>
          <w:sz w:val="21"/>
          <w:szCs w:val="21"/>
          <w:highlight w:val="none"/>
          <w:u w:val="single"/>
          <w:lang w:bidi="ar"/>
        </w:rPr>
        <w:t>（标的名称）</w:t>
      </w:r>
      <w:r>
        <w:rPr>
          <w:rFonts w:hint="eastAsia" w:ascii="宋体" w:hAnsi="宋体" w:eastAsia="宋体" w:cs="宋体"/>
          <w:i w:val="0"/>
          <w:iCs w:val="0"/>
          <w:kern w:val="0"/>
          <w:sz w:val="21"/>
          <w:szCs w:val="21"/>
          <w:highlight w:val="none"/>
          <w:lang w:bidi="ar"/>
        </w:rPr>
        <w:t>，属于</w:t>
      </w:r>
      <w:r>
        <w:rPr>
          <w:rFonts w:hint="eastAsia" w:ascii="宋体" w:hAnsi="宋体" w:eastAsia="宋体" w:cs="宋体"/>
          <w:i w:val="0"/>
          <w:iCs w:val="0"/>
          <w:kern w:val="0"/>
          <w:sz w:val="21"/>
          <w:szCs w:val="21"/>
          <w:highlight w:val="none"/>
          <w:u w:val="single"/>
          <w:lang w:bidi="ar"/>
        </w:rPr>
        <w:t>（采购文件中明确的所属行业）</w:t>
      </w:r>
      <w:r>
        <w:rPr>
          <w:rFonts w:hint="eastAsia" w:ascii="宋体" w:hAnsi="宋体" w:eastAsia="宋体" w:cs="宋体"/>
          <w:i w:val="0"/>
          <w:iCs w:val="0"/>
          <w:kern w:val="0"/>
          <w:sz w:val="21"/>
          <w:szCs w:val="21"/>
          <w:highlight w:val="none"/>
          <w:lang w:bidi="ar"/>
        </w:rPr>
        <w:t>；承建（承接）企业为</w:t>
      </w:r>
      <w:r>
        <w:rPr>
          <w:rFonts w:hint="eastAsia" w:ascii="宋体" w:hAnsi="宋体" w:eastAsia="宋体" w:cs="宋体"/>
          <w:i w:val="0"/>
          <w:iCs w:val="0"/>
          <w:kern w:val="0"/>
          <w:sz w:val="21"/>
          <w:szCs w:val="21"/>
          <w:highlight w:val="none"/>
          <w:u w:val="single"/>
          <w:lang w:bidi="ar"/>
        </w:rPr>
        <w:t>（企业名称）</w:t>
      </w:r>
      <w:r>
        <w:rPr>
          <w:rFonts w:hint="eastAsia" w:ascii="宋体" w:hAnsi="宋体" w:eastAsia="宋体" w:cs="宋体"/>
          <w:i w:val="0"/>
          <w:iCs w:val="0"/>
          <w:kern w:val="0"/>
          <w:sz w:val="21"/>
          <w:szCs w:val="21"/>
          <w:highlight w:val="none"/>
          <w:lang w:bidi="ar"/>
        </w:rPr>
        <w:t>，从业人员</w:t>
      </w:r>
      <w:r>
        <w:rPr>
          <w:rFonts w:hint="eastAsia" w:ascii="宋体" w:hAnsi="宋体" w:eastAsia="宋体" w:cs="宋体"/>
          <w:i w:val="0"/>
          <w:iCs w:val="0"/>
          <w:kern w:val="0"/>
          <w:sz w:val="21"/>
          <w:szCs w:val="21"/>
          <w:highlight w:val="none"/>
          <w:u w:val="single"/>
          <w:lang w:bidi="ar"/>
        </w:rPr>
        <w:t xml:space="preserve">  </w:t>
      </w:r>
      <w:r>
        <w:rPr>
          <w:rFonts w:hint="eastAsia" w:ascii="宋体" w:hAnsi="宋体" w:eastAsia="宋体" w:cs="宋体"/>
          <w:i w:val="0"/>
          <w:iCs w:val="0"/>
          <w:kern w:val="0"/>
          <w:sz w:val="21"/>
          <w:szCs w:val="21"/>
          <w:highlight w:val="none"/>
          <w:lang w:bidi="ar"/>
        </w:rPr>
        <w:t>人，营业收入为</w:t>
      </w:r>
      <w:r>
        <w:rPr>
          <w:rFonts w:hint="eastAsia" w:ascii="宋体" w:hAnsi="宋体" w:eastAsia="宋体" w:cs="宋体"/>
          <w:i w:val="0"/>
          <w:iCs w:val="0"/>
          <w:kern w:val="0"/>
          <w:sz w:val="21"/>
          <w:szCs w:val="21"/>
          <w:highlight w:val="none"/>
          <w:u w:val="single"/>
          <w:lang w:bidi="ar"/>
        </w:rPr>
        <w:t xml:space="preserve">  </w:t>
      </w:r>
      <w:r>
        <w:rPr>
          <w:rFonts w:hint="eastAsia" w:ascii="宋体" w:hAnsi="宋体" w:eastAsia="宋体" w:cs="宋体"/>
          <w:i w:val="0"/>
          <w:iCs w:val="0"/>
          <w:kern w:val="0"/>
          <w:sz w:val="21"/>
          <w:szCs w:val="21"/>
          <w:highlight w:val="none"/>
          <w:lang w:bidi="ar"/>
        </w:rPr>
        <w:t>万元，资产总额为</w:t>
      </w:r>
      <w:r>
        <w:rPr>
          <w:rFonts w:hint="eastAsia" w:ascii="宋体" w:hAnsi="宋体" w:eastAsia="宋体" w:cs="宋体"/>
          <w:i w:val="0"/>
          <w:iCs w:val="0"/>
          <w:kern w:val="0"/>
          <w:sz w:val="21"/>
          <w:szCs w:val="21"/>
          <w:highlight w:val="none"/>
          <w:u w:val="single"/>
          <w:lang w:bidi="ar"/>
        </w:rPr>
        <w:t xml:space="preserve">   </w:t>
      </w:r>
      <w:r>
        <w:rPr>
          <w:rFonts w:hint="eastAsia" w:ascii="宋体" w:hAnsi="宋体" w:eastAsia="宋体" w:cs="宋体"/>
          <w:i w:val="0"/>
          <w:iCs w:val="0"/>
          <w:kern w:val="0"/>
          <w:sz w:val="21"/>
          <w:szCs w:val="21"/>
          <w:highlight w:val="none"/>
          <w:lang w:bidi="ar"/>
        </w:rPr>
        <w:t>万元，属于</w:t>
      </w:r>
      <w:r>
        <w:rPr>
          <w:rFonts w:hint="eastAsia" w:ascii="宋体" w:hAnsi="宋体" w:eastAsia="宋体" w:cs="宋体"/>
          <w:i w:val="0"/>
          <w:iCs w:val="0"/>
          <w:kern w:val="0"/>
          <w:sz w:val="21"/>
          <w:szCs w:val="21"/>
          <w:highlight w:val="none"/>
          <w:u w:val="single"/>
          <w:lang w:bidi="ar"/>
        </w:rPr>
        <w:t>（中型企业、小型企业、微型企业）</w:t>
      </w:r>
      <w:r>
        <w:rPr>
          <w:rFonts w:hint="eastAsia" w:ascii="宋体" w:hAnsi="宋体" w:eastAsia="宋体" w:cs="宋体"/>
          <w:i w:val="0"/>
          <w:iCs w:val="0"/>
          <w:kern w:val="0"/>
          <w:sz w:val="21"/>
          <w:szCs w:val="21"/>
          <w:highlight w:val="none"/>
          <w:lang w:bidi="ar"/>
        </w:rPr>
        <w:t>；</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2.</w:t>
      </w:r>
      <w:r>
        <w:rPr>
          <w:rFonts w:hint="eastAsia" w:ascii="宋体" w:hAnsi="宋体" w:eastAsia="宋体" w:cs="宋体"/>
          <w:i w:val="0"/>
          <w:iCs w:val="0"/>
          <w:kern w:val="0"/>
          <w:sz w:val="21"/>
          <w:szCs w:val="21"/>
          <w:highlight w:val="none"/>
          <w:u w:val="single"/>
          <w:lang w:bidi="ar"/>
        </w:rPr>
        <w:t>（标的名称）</w:t>
      </w:r>
      <w:r>
        <w:rPr>
          <w:rFonts w:hint="eastAsia" w:ascii="宋体" w:hAnsi="宋体" w:eastAsia="宋体" w:cs="宋体"/>
          <w:i w:val="0"/>
          <w:iCs w:val="0"/>
          <w:kern w:val="0"/>
          <w:sz w:val="21"/>
          <w:szCs w:val="21"/>
          <w:highlight w:val="none"/>
          <w:lang w:bidi="ar"/>
        </w:rPr>
        <w:t>，属于</w:t>
      </w:r>
      <w:r>
        <w:rPr>
          <w:rFonts w:hint="eastAsia" w:ascii="宋体" w:hAnsi="宋体" w:eastAsia="宋体" w:cs="宋体"/>
          <w:i w:val="0"/>
          <w:iCs w:val="0"/>
          <w:kern w:val="0"/>
          <w:sz w:val="21"/>
          <w:szCs w:val="21"/>
          <w:highlight w:val="none"/>
          <w:u w:val="single"/>
          <w:lang w:bidi="ar"/>
        </w:rPr>
        <w:t>（采购文件中明确的所属行业）</w:t>
      </w:r>
      <w:r>
        <w:rPr>
          <w:rFonts w:hint="eastAsia" w:ascii="宋体" w:hAnsi="宋体" w:eastAsia="宋体" w:cs="宋体"/>
          <w:i w:val="0"/>
          <w:iCs w:val="0"/>
          <w:kern w:val="0"/>
          <w:sz w:val="21"/>
          <w:szCs w:val="21"/>
          <w:highlight w:val="none"/>
          <w:lang w:bidi="ar"/>
        </w:rPr>
        <w:t>；承建（承接）企业为（企业名称），从业人员</w:t>
      </w:r>
      <w:r>
        <w:rPr>
          <w:rFonts w:hint="eastAsia" w:ascii="宋体" w:hAnsi="宋体" w:eastAsia="宋体" w:cs="宋体"/>
          <w:i w:val="0"/>
          <w:iCs w:val="0"/>
          <w:kern w:val="0"/>
          <w:sz w:val="21"/>
          <w:szCs w:val="21"/>
          <w:highlight w:val="none"/>
          <w:u w:val="single"/>
          <w:lang w:bidi="ar"/>
        </w:rPr>
        <w:t xml:space="preserve">   </w:t>
      </w:r>
      <w:r>
        <w:rPr>
          <w:rFonts w:hint="eastAsia" w:ascii="宋体" w:hAnsi="宋体" w:eastAsia="宋体" w:cs="宋体"/>
          <w:i w:val="0"/>
          <w:iCs w:val="0"/>
          <w:kern w:val="0"/>
          <w:sz w:val="21"/>
          <w:szCs w:val="21"/>
          <w:highlight w:val="none"/>
          <w:lang w:bidi="ar"/>
        </w:rPr>
        <w:t>人，营业收入为</w:t>
      </w:r>
      <w:r>
        <w:rPr>
          <w:rFonts w:hint="eastAsia" w:ascii="宋体" w:hAnsi="宋体" w:eastAsia="宋体" w:cs="宋体"/>
          <w:i w:val="0"/>
          <w:iCs w:val="0"/>
          <w:kern w:val="0"/>
          <w:sz w:val="21"/>
          <w:szCs w:val="21"/>
          <w:highlight w:val="none"/>
          <w:u w:val="single"/>
          <w:lang w:bidi="ar"/>
        </w:rPr>
        <w:t xml:space="preserve">  </w:t>
      </w:r>
      <w:r>
        <w:rPr>
          <w:rFonts w:hint="eastAsia" w:ascii="宋体" w:hAnsi="宋体" w:eastAsia="宋体" w:cs="宋体"/>
          <w:i w:val="0"/>
          <w:iCs w:val="0"/>
          <w:kern w:val="0"/>
          <w:sz w:val="21"/>
          <w:szCs w:val="21"/>
          <w:highlight w:val="none"/>
          <w:lang w:bidi="ar"/>
        </w:rPr>
        <w:t>万元，资产总额为万元，属于</w:t>
      </w:r>
      <w:r>
        <w:rPr>
          <w:rFonts w:hint="eastAsia" w:ascii="宋体" w:hAnsi="宋体" w:eastAsia="宋体" w:cs="宋体"/>
          <w:i w:val="0"/>
          <w:iCs w:val="0"/>
          <w:kern w:val="0"/>
          <w:sz w:val="21"/>
          <w:szCs w:val="21"/>
          <w:highlight w:val="none"/>
          <w:u w:val="single"/>
          <w:lang w:bidi="ar"/>
        </w:rPr>
        <w:t>（中型企业、小型企业、微型企业）</w:t>
      </w:r>
      <w:r>
        <w:rPr>
          <w:rFonts w:hint="eastAsia" w:ascii="宋体" w:hAnsi="宋体" w:eastAsia="宋体" w:cs="宋体"/>
          <w:i w:val="0"/>
          <w:iCs w:val="0"/>
          <w:kern w:val="0"/>
          <w:sz w:val="21"/>
          <w:szCs w:val="21"/>
          <w:highlight w:val="none"/>
          <w:lang w:bidi="ar"/>
        </w:rPr>
        <w:t>；</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以上企业，不属于大企业的分支机构，不存在控股股东为大企业的情形，也不存在与大企业的负责人为同一人的情形。</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本企业对上述声明内容的真实性负责。如有虚假，将依法承担相应责任。</w:t>
      </w:r>
    </w:p>
    <w:p>
      <w:pPr>
        <w:widowControl/>
        <w:spacing w:line="420" w:lineRule="exact"/>
        <w:ind w:firstLine="480"/>
        <w:jc w:val="right"/>
        <w:rPr>
          <w:rFonts w:hint="eastAsia" w:ascii="宋体" w:hAnsi="宋体" w:eastAsia="宋体" w:cs="宋体"/>
          <w:i w:val="0"/>
          <w:iCs w:val="0"/>
          <w:kern w:val="0"/>
          <w:sz w:val="21"/>
          <w:szCs w:val="21"/>
          <w:highlight w:val="none"/>
          <w:lang w:bidi="ar"/>
        </w:rPr>
      </w:pPr>
    </w:p>
    <w:p>
      <w:pPr>
        <w:widowControl/>
        <w:spacing w:line="420" w:lineRule="exact"/>
        <w:ind w:firstLine="480"/>
        <w:jc w:val="center"/>
        <w:rPr>
          <w:rFonts w:hint="eastAsia" w:ascii="宋体" w:hAnsi="宋体" w:eastAsia="宋体" w:cs="宋体"/>
          <w:i w:val="0"/>
          <w:iCs w:val="0"/>
          <w:kern w:val="0"/>
          <w:sz w:val="21"/>
          <w:szCs w:val="21"/>
          <w:highlight w:val="none"/>
          <w:lang w:bidi="ar"/>
        </w:rPr>
      </w:pPr>
      <w:r>
        <w:rPr>
          <w:rFonts w:hint="eastAsia" w:ascii="宋体" w:hAnsi="宋体" w:eastAsia="宋体" w:cs="宋体"/>
          <w:i w:val="0"/>
          <w:iCs w:val="0"/>
          <w:kern w:val="0"/>
          <w:sz w:val="21"/>
          <w:szCs w:val="21"/>
          <w:highlight w:val="none"/>
          <w:lang w:bidi="ar"/>
        </w:rPr>
        <w:t xml:space="preserve">                                  </w:t>
      </w:r>
    </w:p>
    <w:p>
      <w:pPr>
        <w:widowControl/>
        <w:spacing w:line="420" w:lineRule="exact"/>
        <w:ind w:firstLine="480"/>
        <w:jc w:val="center"/>
        <w:rPr>
          <w:rFonts w:hint="eastAsia" w:ascii="宋体" w:hAnsi="宋体" w:eastAsia="宋体" w:cs="宋体"/>
          <w:i w:val="0"/>
          <w:iCs w:val="0"/>
          <w:sz w:val="21"/>
          <w:szCs w:val="21"/>
          <w:highlight w:val="none"/>
        </w:rPr>
      </w:pPr>
      <w:r>
        <w:rPr>
          <w:rFonts w:hint="eastAsia" w:ascii="宋体" w:hAnsi="宋体" w:cs="宋体"/>
          <w:i w:val="0"/>
          <w:iCs w:val="0"/>
          <w:kern w:val="0"/>
          <w:sz w:val="21"/>
          <w:szCs w:val="21"/>
          <w:highlight w:val="none"/>
          <w:lang w:val="en-US" w:eastAsia="zh-CN" w:bidi="ar"/>
        </w:rPr>
        <w:t xml:space="preserve">                                     </w:t>
      </w:r>
      <w:r>
        <w:rPr>
          <w:rFonts w:hint="eastAsia" w:ascii="宋体" w:hAnsi="宋体" w:eastAsia="宋体" w:cs="宋体"/>
          <w:i w:val="0"/>
          <w:iCs w:val="0"/>
          <w:kern w:val="0"/>
          <w:sz w:val="21"/>
          <w:szCs w:val="21"/>
          <w:highlight w:val="none"/>
          <w:lang w:bidi="ar"/>
        </w:rPr>
        <w:t>企业名称（盖章）：</w:t>
      </w:r>
    </w:p>
    <w:p>
      <w:pPr>
        <w:widowControl/>
        <w:spacing w:line="420" w:lineRule="exact"/>
        <w:ind w:firstLine="5670" w:firstLineChars="270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日 期：</w:t>
      </w:r>
    </w:p>
    <w:p>
      <w:pPr>
        <w:widowControl/>
        <w:spacing w:line="420" w:lineRule="exact"/>
        <w:ind w:firstLine="480"/>
        <w:jc w:val="left"/>
        <w:rPr>
          <w:rFonts w:hint="eastAsia" w:ascii="宋体" w:hAnsi="宋体" w:eastAsia="宋体" w:cs="宋体"/>
          <w:i w:val="0"/>
          <w:iCs w:val="0"/>
          <w:sz w:val="21"/>
          <w:szCs w:val="21"/>
          <w:highlight w:val="none"/>
        </w:rPr>
      </w:pPr>
      <w:r>
        <w:rPr>
          <w:rFonts w:hint="eastAsia" w:ascii="宋体" w:hAnsi="宋体" w:eastAsia="宋体" w:cs="宋体"/>
          <w:i w:val="0"/>
          <w:iCs w:val="0"/>
          <w:kern w:val="0"/>
          <w:sz w:val="21"/>
          <w:szCs w:val="21"/>
          <w:highlight w:val="none"/>
          <w:lang w:bidi="ar"/>
        </w:rPr>
        <w:t>从业人员、营业收入、资产总额填报上一年度数据，无上一年度数据的新成立企业可不填报。</w:t>
      </w:r>
    </w:p>
    <w:p>
      <w:pPr>
        <w:pStyle w:val="14"/>
        <w:spacing w:line="360" w:lineRule="auto"/>
        <w:ind w:left="0" w:leftChars="0" w:firstLine="0" w:firstLineChars="0"/>
        <w:rPr>
          <w:rFonts w:hint="eastAsia" w:ascii="宋体" w:hAnsi="宋体" w:eastAsia="宋体" w:cs="Times New Roman"/>
          <w:color w:val="auto"/>
          <w:kern w:val="2"/>
          <w:sz w:val="21"/>
          <w:szCs w:val="21"/>
          <w:lang w:val="en-US" w:eastAsia="zh-CN" w:bidi="ar-SA"/>
        </w:rPr>
      </w:pPr>
    </w:p>
    <w:p>
      <w:pPr>
        <w:spacing w:line="360" w:lineRule="auto"/>
        <w:ind w:firstLine="420" w:firstLineChars="200"/>
        <w:jc w:val="center"/>
        <w:rPr>
          <w:rFonts w:hint="eastAsia" w:ascii="宋体" w:hAnsi="宋体"/>
          <w:color w:val="auto"/>
          <w:sz w:val="21"/>
          <w:szCs w:val="21"/>
        </w:rPr>
      </w:pPr>
      <w:r>
        <w:rPr>
          <w:rFonts w:hint="eastAsia" w:ascii="宋体" w:hAnsi="宋体"/>
          <w:color w:val="auto"/>
          <w:sz w:val="21"/>
          <w:szCs w:val="21"/>
        </w:rPr>
        <w:t xml:space="preserve">         </w:t>
      </w:r>
    </w:p>
    <w:p>
      <w:pPr>
        <w:rPr>
          <w:rFonts w:hint="eastAsia" w:ascii="宋体" w:hAnsi="宋体" w:eastAsia="宋体" w:cs="宋体"/>
          <w:color w:val="auto"/>
        </w:rPr>
      </w:pPr>
      <w:bookmarkStart w:id="994" w:name="_Toc8395"/>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pStyle w:val="3"/>
        <w:rPr>
          <w:rFonts w:hint="eastAsia"/>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附件1.</w:t>
      </w:r>
      <w:bookmarkEnd w:id="994"/>
      <w:r>
        <w:rPr>
          <w:rFonts w:hint="eastAsia" w:ascii="宋体" w:hAnsi="宋体" w:eastAsia="宋体" w:cs="宋体"/>
          <w:color w:val="auto"/>
        </w:rPr>
        <w:t xml:space="preserve"> </w:t>
      </w:r>
    </w:p>
    <w:p>
      <w:pPr>
        <w:widowControl/>
        <w:spacing w:line="330" w:lineRule="atLeast"/>
        <w:jc w:val="center"/>
        <w:outlineLvl w:val="0"/>
        <w:rPr>
          <w:rFonts w:hint="eastAsia" w:ascii="宋体" w:hAnsi="宋体" w:eastAsia="宋体" w:cs="宋体"/>
          <w:color w:val="auto"/>
          <w:kern w:val="0"/>
          <w:sz w:val="36"/>
          <w:szCs w:val="32"/>
        </w:rPr>
      </w:pPr>
      <w:bookmarkStart w:id="995" w:name="_Toc12697"/>
      <w:bookmarkStart w:id="996" w:name="_Toc10200"/>
      <w:r>
        <w:rPr>
          <w:rFonts w:hint="eastAsia" w:ascii="宋体" w:hAnsi="宋体" w:eastAsia="宋体" w:cs="宋体"/>
          <w:color w:val="auto"/>
          <w:kern w:val="0"/>
          <w:sz w:val="36"/>
          <w:szCs w:val="32"/>
        </w:rPr>
        <w:t>国家统计局《统计上大中小微型企业划分标准》</w:t>
      </w:r>
      <w:bookmarkEnd w:id="995"/>
      <w:bookmarkEnd w:id="996"/>
    </w:p>
    <w:tbl>
      <w:tblPr>
        <w:tblStyle w:val="48"/>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计量</w:t>
            </w:r>
          </w:p>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50≤Y＜500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300≤Y＜2000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300≤Y＜6000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300≤Z＜5000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5≤X＜20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tcBorders>
              <w:top w:val="nil"/>
              <w:left w:val="nil"/>
              <w:bottom w:val="nil"/>
              <w:right w:val="single" w:color="auto" w:sz="4" w:space="0"/>
            </w:tcBorders>
            <w:noWrap w:val="0"/>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100≤Y＜500 </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200≤Y＜3000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50≤Y＜1000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2000≤Z＜5000   </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500≤Y＜1000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100≤Z＜8000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single" w:color="auto" w:sz="4" w:space="0"/>
              <w:right w:val="single" w:color="auto" w:sz="4" w:space="0"/>
            </w:tcBorders>
            <w:noWrap w:val="0"/>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widowControl/>
        <w:spacing w:line="540" w:lineRule="exact"/>
        <w:rPr>
          <w:rFonts w:hint="eastAsia" w:ascii="宋体" w:hAnsi="宋体" w:eastAsia="宋体" w:cs="宋体"/>
          <w:color w:val="auto"/>
          <w:spacing w:val="8"/>
          <w:kern w:val="0"/>
          <w:sz w:val="32"/>
          <w:szCs w:val="32"/>
        </w:rPr>
      </w:pP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Cs w:val="21"/>
        </w:rPr>
        <w:br w:type="page"/>
      </w:r>
      <w:r>
        <w:rPr>
          <w:rFonts w:hint="eastAsia" w:ascii="宋体" w:hAnsi="宋体" w:eastAsia="宋体" w:cs="宋体"/>
          <w:color w:val="auto"/>
          <w:spacing w:val="8"/>
          <w:kern w:val="0"/>
          <w:sz w:val="21"/>
          <w:szCs w:val="21"/>
        </w:rPr>
        <w:t>说明：</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　　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pacing w:val="8"/>
          <w:kern w:val="0"/>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ind w:firstLine="420" w:firstLineChars="200"/>
        <w:jc w:val="center"/>
        <w:rPr>
          <w:rFonts w:hint="eastAsia" w:ascii="宋体" w:hAnsi="宋体"/>
          <w:color w:val="auto"/>
          <w:sz w:val="21"/>
          <w:szCs w:val="21"/>
        </w:rPr>
      </w:pPr>
      <w:r>
        <w:rPr>
          <w:rFonts w:hint="eastAsia" w:ascii="宋体" w:hAnsi="宋体"/>
          <w:color w:val="auto"/>
          <w:sz w:val="21"/>
          <w:szCs w:val="21"/>
        </w:rPr>
        <w:t xml:space="preserve">         </w:t>
      </w:r>
    </w:p>
    <w:p>
      <w:pPr>
        <w:pStyle w:val="41"/>
        <w:shd w:val="clear" w:color="auto" w:fill="FFFFFF"/>
        <w:spacing w:before="0" w:beforeLines="0" w:beforeAutospacing="0" w:after="0" w:afterLines="0" w:afterAutospacing="0" w:line="405" w:lineRule="atLeast"/>
        <w:ind w:firstLine="495"/>
        <w:jc w:val="both"/>
        <w:rPr>
          <w:rFonts w:hint="eastAsia" w:ascii="宋体" w:hAnsi="宋体" w:eastAsia="宋体" w:cs="微软雅黑"/>
          <w:color w:val="auto"/>
          <w:spacing w:val="8"/>
          <w:sz w:val="21"/>
          <w:szCs w:val="21"/>
        </w:rPr>
      </w:pPr>
      <w:r>
        <w:rPr>
          <w:rFonts w:hint="eastAsia" w:ascii="宋体" w:hAnsi="宋体"/>
          <w:color w:val="auto"/>
          <w:sz w:val="21"/>
          <w:szCs w:val="21"/>
        </w:rPr>
        <w:br w:type="page"/>
      </w:r>
    </w:p>
    <w:p>
      <w:pPr>
        <w:pStyle w:val="41"/>
        <w:shd w:val="clear" w:color="auto" w:fill="FFFFFF"/>
        <w:spacing w:before="0" w:beforeLines="0" w:beforeAutospacing="0" w:after="180" w:afterLines="0" w:afterAutospacing="0" w:line="405" w:lineRule="atLeast"/>
        <w:jc w:val="center"/>
        <w:rPr>
          <w:rFonts w:hint="eastAsia" w:ascii="宋体" w:hAnsi="宋体" w:eastAsia="宋体"/>
          <w:color w:val="000000"/>
          <w:sz w:val="24"/>
          <w:szCs w:val="24"/>
          <w:highlight w:val="none"/>
          <w:lang w:val="en-US" w:eastAsia="zh-CN"/>
        </w:rPr>
      </w:pPr>
      <w:bookmarkStart w:id="997" w:name="_Toc7961"/>
      <w:bookmarkStart w:id="998" w:name="_Toc30036"/>
      <w:r>
        <w:rPr>
          <w:rFonts w:hint="eastAsia" w:cs="宋体"/>
          <w:sz w:val="22"/>
          <w:szCs w:val="22"/>
          <w:lang w:val="en-US" w:eastAsia="zh-CN"/>
        </w:rPr>
        <w:t>3、</w:t>
      </w:r>
      <w:r>
        <w:rPr>
          <w:rFonts w:hint="eastAsia" w:ascii="宋体" w:hAnsi="宋体" w:eastAsia="宋体" w:cs="宋体"/>
          <w:b/>
          <w:bCs w:val="0"/>
          <w:color w:val="auto"/>
          <w:kern w:val="0"/>
          <w:sz w:val="22"/>
          <w:szCs w:val="22"/>
          <w:lang w:val="en-US" w:eastAsia="zh-CN" w:bidi="ar-SA"/>
        </w:rPr>
        <w:t>残疾人福利性单位声明函</w:t>
      </w:r>
      <w:bookmarkEnd w:id="997"/>
      <w:r>
        <w:rPr>
          <w:rFonts w:hint="eastAsia" w:ascii="宋体" w:hAnsi="宋体" w:eastAsia="宋体" w:cs="宋体"/>
          <w:b/>
          <w:bCs w:val="0"/>
          <w:color w:val="auto"/>
          <w:kern w:val="0"/>
          <w:sz w:val="22"/>
          <w:szCs w:val="22"/>
          <w:lang w:val="en-US" w:eastAsia="zh-CN" w:bidi="ar-SA"/>
        </w:rPr>
        <w:t>（如有）</w:t>
      </w:r>
    </w:p>
    <w:p>
      <w:pPr>
        <w:spacing w:line="360" w:lineRule="auto"/>
        <w:rPr>
          <w:rFonts w:hint="eastAsia" w:ascii="宋体" w:hAnsi="宋体" w:cs="宋体"/>
          <w:b/>
          <w:spacing w:val="6"/>
          <w:szCs w:val="21"/>
          <w:highlight w:val="none"/>
        </w:rPr>
      </w:pPr>
    </w:p>
    <w:p>
      <w:pPr>
        <w:spacing w:line="360" w:lineRule="auto"/>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sz w:val="21"/>
          <w:szCs w:val="21"/>
          <w:highlight w:val="none"/>
        </w:rPr>
        <w:t>〔2017〕 141</w:t>
      </w:r>
      <w:r>
        <w:rPr>
          <w:rFonts w:hint="eastAsia" w:ascii="宋体" w:hAnsi="宋体" w:eastAsia="宋体" w:cs="宋体"/>
          <w:spacing w:val="6"/>
          <w:sz w:val="21"/>
          <w:szCs w:val="21"/>
          <w:highlight w:val="none"/>
        </w:rPr>
        <w:t>号）的规定，本单位为符合条件的残疾人福利性单位，且本单位参加</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单位的</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spacing w:val="6"/>
          <w:sz w:val="21"/>
          <w:szCs w:val="21"/>
          <w:highlight w:val="none"/>
        </w:rPr>
      </w:pPr>
    </w:p>
    <w:p>
      <w:pPr>
        <w:spacing w:line="360" w:lineRule="auto"/>
        <w:ind w:firstLine="444" w:firstLineChars="200"/>
        <w:rPr>
          <w:rFonts w:hint="eastAsia" w:ascii="宋体" w:hAnsi="宋体" w:eastAsia="宋体" w:cs="宋体"/>
          <w:spacing w:val="6"/>
          <w:sz w:val="21"/>
          <w:szCs w:val="21"/>
          <w:highlight w:val="none"/>
        </w:rPr>
      </w:pPr>
    </w:p>
    <w:p>
      <w:pPr>
        <w:spacing w:line="360" w:lineRule="auto"/>
        <w:jc w:val="righ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 xml:space="preserve">               投标人：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rPr>
        <w:t>（</w:t>
      </w:r>
      <w:r>
        <w:rPr>
          <w:rFonts w:hint="eastAsia" w:ascii="宋体" w:hAnsi="宋体" w:eastAsia="宋体" w:cs="宋体"/>
          <w:color w:val="000000"/>
          <w:sz w:val="21"/>
          <w:szCs w:val="21"/>
          <w:highlight w:val="none"/>
          <w:lang w:eastAsia="zh-CN"/>
        </w:rPr>
        <w:t>盖章</w:t>
      </w:r>
      <w:r>
        <w:rPr>
          <w:rFonts w:hint="eastAsia" w:ascii="宋体" w:hAnsi="宋体" w:eastAsia="宋体" w:cs="宋体"/>
          <w:spacing w:val="6"/>
          <w:sz w:val="21"/>
          <w:szCs w:val="21"/>
          <w:highlight w:val="none"/>
        </w:rPr>
        <w:t>）</w:t>
      </w:r>
    </w:p>
    <w:p>
      <w:pPr>
        <w:jc w:val="center"/>
        <w:rPr>
          <w:rFonts w:hint="eastAsia" w:ascii="宋体" w:hAnsi="宋体" w:eastAsia="宋体" w:cs="宋体"/>
          <w:b/>
          <w:color w:val="000000"/>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年   月   日</w:t>
      </w:r>
    </w:p>
    <w:p>
      <w:pPr>
        <w:widowControl/>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（提醒：如果投标</w:t>
      </w:r>
      <w:r>
        <w:rPr>
          <w:rFonts w:hint="eastAsia" w:ascii="宋体" w:hAnsi="宋体" w:eastAsia="宋体" w:cs="宋体"/>
          <w:b/>
          <w:color w:val="auto"/>
          <w:sz w:val="21"/>
          <w:szCs w:val="21"/>
          <w:highlight w:val="none"/>
        </w:rPr>
        <w:t>人</w:t>
      </w:r>
      <w:r>
        <w:rPr>
          <w:rFonts w:hint="eastAsia" w:ascii="宋体" w:hAnsi="宋体" w:eastAsia="宋体" w:cs="宋体"/>
          <w:b/>
          <w:color w:val="auto"/>
          <w:spacing w:val="10"/>
          <w:kern w:val="0"/>
          <w:sz w:val="21"/>
          <w:szCs w:val="21"/>
          <w:highlight w:val="none"/>
        </w:rPr>
        <w:t>不是残疾人福利性单位</w:t>
      </w:r>
      <w:r>
        <w:rPr>
          <w:rFonts w:hint="eastAsia" w:ascii="宋体" w:hAnsi="宋体" w:eastAsia="宋体" w:cs="宋体"/>
          <w:b/>
          <w:color w:val="auto"/>
          <w:sz w:val="21"/>
          <w:szCs w:val="21"/>
          <w:highlight w:val="none"/>
        </w:rPr>
        <w:t>，</w:t>
      </w:r>
      <w:r>
        <w:rPr>
          <w:rFonts w:hint="eastAsia" w:ascii="宋体" w:hAnsi="宋体" w:eastAsia="宋体" w:cs="宋体"/>
          <w:b/>
          <w:sz w:val="21"/>
          <w:szCs w:val="21"/>
          <w:highlight w:val="none"/>
        </w:rPr>
        <w:t>则不需要提供《残疾人福利性单位声明函》。否则，因此导致虚假投标的后果由投标人自行承担。）</w:t>
      </w:r>
    </w:p>
    <w:p>
      <w:pPr>
        <w:tabs>
          <w:tab w:val="left" w:pos="840"/>
        </w:tabs>
        <w:autoSpaceDE w:val="0"/>
        <w:autoSpaceDN w:val="0"/>
        <w:adjustRightInd w:val="0"/>
        <w:spacing w:line="360" w:lineRule="auto"/>
        <w:jc w:val="center"/>
        <w:rPr>
          <w:rFonts w:hint="eastAsia" w:ascii="宋体" w:hAnsi="宋体" w:eastAsia="宋体" w:cs="宋体"/>
          <w:b/>
          <w:color w:val="000000"/>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《财政部民政部中国残疾人联合会关于促进残疾人就业政府采购政策的通知》（财库（2017〔141〕号）的规定：</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享受政府采购支持政策的残疾人福利性单位应当同时满足以下条件：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（1）安置的残疾人占本单位在职职工人数的比例不低于25%（含25%），并且安置的残疾人人数不少于10人（含10人）；</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（2）依法与安置的每位残疾人签订了一年以上（含一年）的劳动合同或服务协议；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（3）为安置的每位残疾人按月足额缴纳了基本养老保险、基本医疗保险、失业保险、工伤保险和生育保险等社会保险费；</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（4）通过银行等金融机构向安置的每位残疾人，按月支付了不低于单位所在区县适用的经省级人民政府批准的月最低工资标准的工资；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hint="eastAsia" w:cs="宋体"/>
          <w:sz w:val="22"/>
          <w:szCs w:val="22"/>
        </w:rPr>
      </w:pPr>
      <w:r>
        <w:rPr>
          <w:rFonts w:hint="eastAsia" w:ascii="宋体" w:hAnsi="宋体" w:eastAsia="宋体" w:cs="宋体"/>
          <w:sz w:val="21"/>
          <w:szCs w:val="21"/>
          <w:highlight w:val="none"/>
        </w:rPr>
        <w:t>2. 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为残疾人福利性单位的，采购人或者其委托的采购代理机构应当随中标、成交结果同时公告其《残疾人福利性单位声明函》，接受社会监督。</w:t>
      </w:r>
    </w:p>
    <w:p>
      <w:pPr>
        <w:pStyle w:val="4"/>
        <w:numPr>
          <w:ilvl w:val="0"/>
          <w:numId w:val="0"/>
        </w:numPr>
        <w:bidi w:val="0"/>
        <w:ind w:left="425"/>
        <w:jc w:val="center"/>
        <w:rPr>
          <w:rFonts w:hint="eastAsia" w:ascii="宋体" w:hAnsi="宋体" w:eastAsia="宋体" w:cs="宋体"/>
          <w:b/>
          <w:bCs w:val="0"/>
          <w:color w:val="auto"/>
          <w:kern w:val="0"/>
          <w:sz w:val="22"/>
          <w:szCs w:val="22"/>
          <w:lang w:val="en-US" w:eastAsia="zh-CN" w:bidi="ar-SA"/>
        </w:rPr>
      </w:pPr>
      <w:r>
        <w:rPr>
          <w:rFonts w:hint="eastAsia" w:ascii="宋体" w:hAnsi="宋体" w:eastAsia="宋体" w:cs="宋体"/>
          <w:b/>
          <w:bCs w:val="0"/>
          <w:color w:val="auto"/>
          <w:kern w:val="0"/>
          <w:sz w:val="22"/>
          <w:szCs w:val="22"/>
          <w:lang w:val="en-US" w:eastAsia="zh-CN" w:bidi="ar-SA"/>
        </w:rPr>
        <w:br w:type="page"/>
      </w:r>
      <w:bookmarkStart w:id="999" w:name="_Toc4215"/>
      <w:r>
        <w:rPr>
          <w:rFonts w:hint="eastAsia" w:ascii="宋体" w:hAnsi="宋体" w:cs="宋体"/>
          <w:b/>
          <w:bCs w:val="0"/>
          <w:color w:val="auto"/>
          <w:kern w:val="0"/>
          <w:sz w:val="22"/>
          <w:szCs w:val="22"/>
          <w:lang w:val="en-US" w:eastAsia="zh-CN" w:bidi="ar-SA"/>
        </w:rPr>
        <w:t>4</w:t>
      </w:r>
      <w:r>
        <w:rPr>
          <w:rFonts w:hint="eastAsia" w:ascii="宋体" w:hAnsi="宋体" w:eastAsia="宋体" w:cs="宋体"/>
          <w:b/>
          <w:bCs w:val="0"/>
          <w:color w:val="auto"/>
          <w:kern w:val="0"/>
          <w:sz w:val="22"/>
          <w:szCs w:val="22"/>
          <w:lang w:val="en-US" w:eastAsia="zh-CN" w:bidi="ar-SA"/>
        </w:rPr>
        <w:t>、监狱企业证明文件（如有）</w:t>
      </w:r>
      <w:bookmarkEnd w:id="998"/>
      <w:bookmarkEnd w:id="999"/>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GB" w:eastAsia="zh-CN"/>
        </w:rPr>
      </w:pPr>
      <w:r>
        <w:rPr>
          <w:rFonts w:hint="eastAsia"/>
          <w:color w:val="auto"/>
          <w:sz w:val="21"/>
          <w:szCs w:val="21"/>
          <w:highlight w:val="none"/>
          <w:lang w:val="en-GB" w:eastAsia="zh-CN"/>
        </w:rPr>
        <w:t>监狱企业参加政府采购活动时，应当提供由省级以上监狱管理局、戒毒管理局（含新疆生产建设兵团）出具的属于监狱企业的证明文件。</w:t>
      </w:r>
    </w:p>
    <w:p>
      <w:pPr>
        <w:rPr>
          <w:rFonts w:hint="eastAsia"/>
          <w:color w:val="FF0000"/>
          <w:sz w:val="21"/>
          <w:szCs w:val="21"/>
          <w:highlight w:val="none"/>
          <w:lang w:val="en-US" w:eastAsia="zh-CN"/>
        </w:rPr>
      </w:pPr>
    </w:p>
    <w:p>
      <w:pPr>
        <w:rPr>
          <w:rFonts w:hint="eastAsia"/>
          <w:color w:val="FF0000"/>
          <w:sz w:val="21"/>
          <w:szCs w:val="21"/>
          <w:highlight w:val="none"/>
          <w:lang w:val="en-US" w:eastAsia="zh-CN"/>
        </w:rPr>
      </w:pPr>
    </w:p>
    <w:p>
      <w:pPr>
        <w:widowControl/>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（提醒：如果投标人</w:t>
      </w:r>
      <w:r>
        <w:rPr>
          <w:rFonts w:hint="eastAsia" w:ascii="宋体" w:hAnsi="宋体" w:eastAsia="宋体" w:cs="宋体"/>
          <w:b/>
          <w:bCs w:val="0"/>
          <w:color w:val="auto"/>
          <w:spacing w:val="10"/>
          <w:kern w:val="0"/>
          <w:sz w:val="21"/>
          <w:szCs w:val="21"/>
          <w:highlight w:val="none"/>
        </w:rPr>
        <w:t>不是</w:t>
      </w:r>
      <w:r>
        <w:rPr>
          <w:rFonts w:hint="eastAsia" w:ascii="宋体" w:hAnsi="宋体" w:eastAsia="宋体" w:cs="宋体"/>
          <w:b/>
          <w:bCs w:val="0"/>
          <w:color w:val="auto"/>
          <w:sz w:val="21"/>
          <w:szCs w:val="21"/>
          <w:highlight w:val="none"/>
          <w:lang w:val="en-GB" w:eastAsia="zh-CN"/>
        </w:rPr>
        <w:t>监狱企业</w:t>
      </w:r>
      <w:r>
        <w:rPr>
          <w:rFonts w:hint="eastAsia" w:ascii="宋体" w:hAnsi="宋体" w:eastAsia="宋体" w:cs="宋体"/>
          <w:b/>
          <w:bCs w:val="0"/>
          <w:color w:val="auto"/>
          <w:sz w:val="21"/>
          <w:szCs w:val="21"/>
          <w:highlight w:val="none"/>
        </w:rPr>
        <w:t>，则不需要提供</w:t>
      </w:r>
      <w:r>
        <w:rPr>
          <w:rFonts w:hint="eastAsia" w:ascii="宋体" w:hAnsi="宋体" w:eastAsia="宋体" w:cs="宋体"/>
          <w:b/>
          <w:bCs w:val="0"/>
          <w:color w:val="auto"/>
          <w:sz w:val="21"/>
          <w:szCs w:val="21"/>
          <w:highlight w:val="none"/>
          <w:lang w:val="en-GB" w:eastAsia="zh-CN"/>
        </w:rPr>
        <w:t>监狱企业证明材料</w:t>
      </w:r>
      <w:r>
        <w:rPr>
          <w:rFonts w:hint="eastAsia" w:ascii="宋体" w:hAnsi="宋体" w:eastAsia="宋体" w:cs="宋体"/>
          <w:b/>
          <w:bCs w:val="0"/>
          <w:color w:val="auto"/>
          <w:sz w:val="21"/>
          <w:szCs w:val="21"/>
          <w:highlight w:val="none"/>
        </w:rPr>
        <w:t>）</w:t>
      </w:r>
    </w:p>
    <w:p>
      <w:pPr>
        <w:spacing w:line="360" w:lineRule="auto"/>
        <w:jc w:val="center"/>
        <w:rPr>
          <w:rFonts w:hint="eastAsia"/>
          <w:b/>
          <w:color w:val="auto"/>
          <w:lang w:val="en-US" w:eastAsia="zh-CN"/>
        </w:rPr>
      </w:pPr>
    </w:p>
    <w:p>
      <w:pPr>
        <w:spacing w:line="360" w:lineRule="auto"/>
        <w:jc w:val="center"/>
        <w:rPr>
          <w:rFonts w:hint="eastAsia"/>
          <w:b/>
          <w:color w:val="auto"/>
          <w:lang w:val="en-US" w:eastAsia="zh-CN"/>
        </w:rPr>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p>
    <w:p>
      <w:pPr>
        <w:spacing w:line="360" w:lineRule="auto"/>
        <w:jc w:val="center"/>
        <w:rPr>
          <w:rFonts w:hint="eastAsia" w:ascii="宋体" w:hAnsi="宋体"/>
          <w:b/>
          <w:color w:val="auto"/>
          <w:szCs w:val="21"/>
        </w:rPr>
      </w:pPr>
      <w:r>
        <w:rPr>
          <w:rFonts w:hint="eastAsia"/>
          <w:b/>
          <w:color w:val="auto"/>
          <w:lang w:val="en-US" w:eastAsia="zh-CN"/>
        </w:rPr>
        <w:t>5</w:t>
      </w:r>
      <w:r>
        <w:rPr>
          <w:rFonts w:hint="eastAsia"/>
          <w:b/>
          <w:color w:val="auto"/>
        </w:rPr>
        <w:t>、采购代理服务费承诺函</w:t>
      </w:r>
    </w:p>
    <w:p>
      <w:pPr>
        <w:pStyle w:val="41"/>
        <w:shd w:val="clear" w:color="auto" w:fill="FFFFFF"/>
        <w:spacing w:before="0" w:beforeLines="0" w:beforeAutospacing="0" w:after="0" w:afterLines="0" w:afterAutospacing="0"/>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 </w:t>
      </w:r>
    </w:p>
    <w:p>
      <w:pPr>
        <w:pStyle w:val="41"/>
        <w:shd w:val="clear" w:color="auto" w:fill="FFFFFF"/>
        <w:spacing w:before="0" w:beforeLines="0" w:beforeAutospacing="0" w:after="0" w:afterLines="0" w:afterAutospacing="0" w:line="360" w:lineRule="auto"/>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致</w:t>
      </w:r>
      <w:r>
        <w:rPr>
          <w:rFonts w:hint="eastAsia" w:ascii="宋体" w:hAnsi="宋体" w:eastAsia="宋体" w:cs="宋体"/>
          <w:color w:val="auto"/>
          <w:spacing w:val="8"/>
          <w:sz w:val="21"/>
          <w:szCs w:val="21"/>
          <w:u w:val="single"/>
          <w:shd w:val="clear" w:color="auto" w:fill="FFFFFF"/>
        </w:rPr>
        <w:t>（采购人及采购代理机构） </w:t>
      </w:r>
      <w:r>
        <w:rPr>
          <w:rFonts w:hint="eastAsia" w:ascii="宋体" w:hAnsi="宋体" w:eastAsia="宋体" w:cs="宋体"/>
          <w:color w:val="auto"/>
          <w:spacing w:val="8"/>
          <w:sz w:val="21"/>
          <w:szCs w:val="21"/>
          <w:shd w:val="clear" w:color="auto" w:fill="FFFFFF"/>
        </w:rPr>
        <w:t>：</w:t>
      </w:r>
    </w:p>
    <w:p>
      <w:pPr>
        <w:pStyle w:val="41"/>
        <w:shd w:val="clear" w:color="auto" w:fill="FFFFFF"/>
        <w:spacing w:before="0" w:beforeLines="0" w:beforeAutospacing="0" w:after="0" w:afterLines="0" w:afterAutospacing="0" w:line="360" w:lineRule="auto"/>
        <w:ind w:firstLine="480"/>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我们在贵公司组织的（项目名称：</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，采购编号：</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）招标采购中若获中标（成交），我们保证在中标(成交）结果公告发布后</w:t>
      </w:r>
      <w:r>
        <w:rPr>
          <w:rFonts w:hint="eastAsia" w:ascii="宋体" w:hAnsi="宋体" w:eastAsia="宋体" w:cs="宋体"/>
          <w:color w:val="auto"/>
          <w:spacing w:val="8"/>
          <w:sz w:val="21"/>
          <w:szCs w:val="21"/>
          <w:shd w:val="clear" w:color="auto" w:fill="FFFFFF"/>
          <w:lang w:val="en-US" w:eastAsia="zh-CN"/>
        </w:rPr>
        <w:t>1</w:t>
      </w:r>
      <w:r>
        <w:rPr>
          <w:rFonts w:hint="eastAsia" w:ascii="宋体" w:hAnsi="宋体" w:eastAsia="宋体" w:cs="宋体"/>
          <w:color w:val="auto"/>
          <w:spacing w:val="8"/>
          <w:sz w:val="21"/>
          <w:szCs w:val="21"/>
          <w:shd w:val="clear" w:color="auto" w:fill="FFFFFF"/>
        </w:rPr>
        <w:t>日内，按</w:t>
      </w:r>
      <w:r>
        <w:rPr>
          <w:rFonts w:hint="eastAsia" w:ascii="宋体" w:hAnsi="宋体" w:eastAsia="宋体" w:cs="宋体"/>
          <w:color w:val="auto"/>
          <w:spacing w:val="8"/>
          <w:sz w:val="21"/>
          <w:szCs w:val="21"/>
          <w:shd w:val="clear" w:color="auto" w:fill="FFFFFF"/>
          <w:lang w:eastAsia="zh-CN"/>
        </w:rPr>
        <w:t>磋商文件</w:t>
      </w:r>
      <w:r>
        <w:rPr>
          <w:rFonts w:hint="eastAsia" w:ascii="宋体" w:hAnsi="宋体" w:eastAsia="宋体" w:cs="宋体"/>
          <w:color w:val="auto"/>
          <w:spacing w:val="8"/>
          <w:sz w:val="21"/>
          <w:szCs w:val="21"/>
          <w:shd w:val="clear" w:color="auto" w:fill="FFFFFF"/>
        </w:rPr>
        <w:t>的规定，以支票、银行转账、汇票或现金，向贵公司一次性支付招标代理服务费用。否则，由此产生的一切法律后果和责任由我公司承担。我公司声明放弃对此提出任何异议和追索的权利。</w:t>
      </w:r>
    </w:p>
    <w:p>
      <w:pPr>
        <w:pStyle w:val="41"/>
        <w:shd w:val="clear" w:color="auto" w:fill="FFFFFF"/>
        <w:spacing w:before="0" w:beforeLines="0" w:beforeAutospacing="0" w:after="0" w:afterLines="0" w:afterAutospacing="0" w:line="360" w:lineRule="auto"/>
        <w:ind w:firstLine="452" w:firstLineChars="200"/>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特此承诺。</w:t>
      </w:r>
    </w:p>
    <w:p>
      <w:pPr>
        <w:pStyle w:val="41"/>
        <w:shd w:val="clear" w:color="auto" w:fill="FFFFFF"/>
        <w:spacing w:before="0" w:beforeLines="0" w:beforeAutospacing="0" w:after="0" w:afterLines="0" w:afterAutospacing="0" w:line="360" w:lineRule="auto"/>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 </w:t>
      </w:r>
    </w:p>
    <w:p>
      <w:pPr>
        <w:pStyle w:val="41"/>
        <w:shd w:val="clear" w:color="auto" w:fill="FFFFFF"/>
        <w:spacing w:before="0" w:beforeLines="0" w:beforeAutospacing="0" w:after="0" w:afterLines="0" w:afterAutospacing="0" w:line="360" w:lineRule="auto"/>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 </w:t>
      </w:r>
    </w:p>
    <w:p>
      <w:pPr>
        <w:pStyle w:val="41"/>
        <w:shd w:val="clear" w:color="auto" w:fill="FFFFFF"/>
        <w:spacing w:before="0" w:beforeLines="0" w:beforeAutospacing="0" w:after="0" w:afterLines="0" w:afterAutospacing="0" w:line="360" w:lineRule="auto"/>
        <w:ind w:firstLine="465"/>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供应商名称：</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（单位电子签章）</w:t>
      </w:r>
    </w:p>
    <w:p>
      <w:pPr>
        <w:pStyle w:val="41"/>
        <w:shd w:val="clear" w:color="auto" w:fill="FFFFFF"/>
        <w:spacing w:before="0" w:beforeLines="0" w:beforeAutospacing="0" w:after="0" w:afterLines="0" w:afterAutospacing="0" w:line="360" w:lineRule="auto"/>
        <w:ind w:firstLine="465"/>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法定代表人或授权代表：</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w:t>
      </w:r>
      <w:r>
        <w:rPr>
          <w:rFonts w:hint="eastAsia" w:ascii="宋体" w:hAnsi="宋体" w:eastAsia="宋体" w:cs="宋体"/>
          <w:color w:val="auto"/>
          <w:spacing w:val="8"/>
          <w:sz w:val="21"/>
          <w:szCs w:val="21"/>
          <w:shd w:val="clear" w:color="auto" w:fill="FFFFFF"/>
          <w:lang w:val="en-US" w:eastAsia="zh-CN"/>
        </w:rPr>
        <w:t>签字</w:t>
      </w:r>
      <w:r>
        <w:rPr>
          <w:rFonts w:hint="eastAsia" w:ascii="宋体" w:hAnsi="宋体" w:eastAsia="宋体" w:cs="宋体"/>
          <w:color w:val="auto"/>
          <w:spacing w:val="8"/>
          <w:sz w:val="21"/>
          <w:szCs w:val="21"/>
          <w:shd w:val="clear" w:color="auto" w:fill="FFFFFF"/>
        </w:rPr>
        <w:t>或盖章）</w:t>
      </w:r>
    </w:p>
    <w:p>
      <w:pPr>
        <w:pStyle w:val="41"/>
        <w:shd w:val="clear" w:color="auto" w:fill="FFFFFF"/>
        <w:spacing w:before="0" w:beforeLines="0" w:beforeAutospacing="0" w:after="0" w:afterLines="0" w:afterAutospacing="0" w:line="360" w:lineRule="auto"/>
        <w:ind w:firstLine="480"/>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日期：</w:t>
      </w:r>
      <w:r>
        <w:rPr>
          <w:rFonts w:hint="eastAsia" w:ascii="宋体" w:hAnsi="宋体" w:eastAsia="宋体" w:cs="宋体"/>
          <w:color w:val="auto"/>
          <w:spacing w:val="8"/>
          <w:sz w:val="21"/>
          <w:szCs w:val="21"/>
          <w:u w:val="single"/>
          <w:shd w:val="clear" w:color="auto" w:fill="FFFFFF"/>
        </w:rPr>
        <w:t>              </w:t>
      </w:r>
    </w:p>
    <w:p>
      <w:pPr>
        <w:pStyle w:val="41"/>
        <w:shd w:val="clear" w:color="auto" w:fill="FFFFFF"/>
        <w:spacing w:before="0" w:beforeLines="0" w:beforeAutospacing="0" w:after="0" w:afterLines="0" w:afterAutospacing="0" w:line="360" w:lineRule="auto"/>
        <w:jc w:val="both"/>
        <w:rPr>
          <w:rFonts w:hint="eastAsia" w:ascii="宋体" w:hAnsi="宋体" w:eastAsia="宋体" w:cs="微软雅黑"/>
          <w:color w:val="auto"/>
          <w:spacing w:val="8"/>
          <w:sz w:val="21"/>
          <w:szCs w:val="21"/>
        </w:rPr>
      </w:pPr>
      <w:r>
        <w:rPr>
          <w:rFonts w:hint="eastAsia" w:ascii="宋体" w:hAnsi="宋体" w:eastAsia="宋体" w:cs="宋体"/>
          <w:color w:val="auto"/>
          <w:spacing w:val="8"/>
          <w:sz w:val="21"/>
          <w:szCs w:val="21"/>
          <w:shd w:val="clear" w:color="auto" w:fill="FFFFFF"/>
        </w:rPr>
        <w:t> </w:t>
      </w:r>
    </w:p>
    <w:p>
      <w:pPr>
        <w:rPr>
          <w:rFonts w:ascii="宋体" w:hAnsi="宋体"/>
          <w:color w:val="auto"/>
          <w:szCs w:val="21"/>
        </w:rPr>
      </w:pPr>
    </w:p>
    <w:p>
      <w:pPr>
        <w:spacing w:line="360" w:lineRule="auto"/>
        <w:jc w:val="center"/>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69"/>
        <w:rPr>
          <w:rFonts w:ascii="宋体" w:hAnsi="宋体"/>
          <w:color w:val="auto"/>
          <w:szCs w:val="21"/>
        </w:rPr>
      </w:pPr>
    </w:p>
    <w:p>
      <w:pPr>
        <w:pStyle w:val="70"/>
        <w:rPr>
          <w:rFonts w:ascii="宋体" w:hAnsi="宋体"/>
          <w:color w:val="auto"/>
          <w:szCs w:val="21"/>
        </w:rPr>
      </w:pPr>
    </w:p>
    <w:p>
      <w:pPr>
        <w:pStyle w:val="71"/>
        <w:rPr>
          <w:rFonts w:ascii="宋体" w:hAnsi="宋体"/>
          <w:color w:val="auto"/>
          <w:szCs w:val="21"/>
        </w:rPr>
      </w:pPr>
    </w:p>
    <w:p>
      <w:pPr>
        <w:pStyle w:val="72"/>
      </w:pPr>
    </w:p>
    <w:p>
      <w:pPr>
        <w:pStyle w:val="69"/>
        <w:rPr>
          <w:rFonts w:ascii="宋体" w:hAnsi="宋体"/>
          <w:color w:val="auto"/>
          <w:szCs w:val="21"/>
        </w:rPr>
      </w:pPr>
    </w:p>
    <w:p>
      <w:pPr>
        <w:numPr>
          <w:ilvl w:val="0"/>
          <w:numId w:val="0"/>
        </w:numPr>
        <w:ind w:leftChars="200"/>
        <w:jc w:val="center"/>
        <w:rPr>
          <w:rFonts w:hint="eastAsia" w:ascii="宋体" w:hAnsi="宋体"/>
          <w:b/>
          <w:color w:val="auto"/>
          <w:szCs w:val="21"/>
          <w:lang w:val="en-US" w:eastAsia="zh-CN"/>
        </w:rPr>
      </w:pPr>
    </w:p>
    <w:p>
      <w:pPr>
        <w:numPr>
          <w:ilvl w:val="0"/>
          <w:numId w:val="0"/>
        </w:numPr>
        <w:ind w:leftChars="200"/>
        <w:jc w:val="center"/>
        <w:rPr>
          <w:rFonts w:hint="eastAsia" w:ascii="宋体" w:hAnsi="宋体"/>
          <w:b/>
          <w:color w:val="auto"/>
          <w:szCs w:val="21"/>
        </w:rPr>
      </w:pPr>
      <w:r>
        <w:rPr>
          <w:rFonts w:hint="eastAsia" w:ascii="宋体" w:hAnsi="宋体"/>
          <w:b/>
          <w:color w:val="auto"/>
          <w:szCs w:val="21"/>
          <w:lang w:val="en-US" w:eastAsia="zh-CN"/>
        </w:rPr>
        <w:t>6、</w:t>
      </w:r>
      <w:r>
        <w:rPr>
          <w:rFonts w:hint="eastAsia" w:ascii="宋体" w:hAnsi="宋体"/>
          <w:b/>
          <w:color w:val="auto"/>
          <w:szCs w:val="21"/>
        </w:rPr>
        <w:t>供应商认为需要的其它资料</w:t>
      </w: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ind w:leftChars="200"/>
        <w:jc w:val="both"/>
        <w:rPr>
          <w:rFonts w:hint="eastAsia" w:ascii="宋体" w:hAnsi="宋体" w:eastAsia="宋体" w:cs="宋体"/>
          <w:b/>
          <w:color w:val="auto"/>
          <w:sz w:val="21"/>
          <w:szCs w:val="21"/>
        </w:rPr>
      </w:pPr>
    </w:p>
    <w:p>
      <w:pPr>
        <w:numPr>
          <w:ilvl w:val="0"/>
          <w:numId w:val="0"/>
        </w:numPr>
        <w:jc w:val="both"/>
        <w:rPr>
          <w:rFonts w:hint="eastAsia" w:ascii="宋体" w:hAnsi="宋体" w:eastAsia="宋体" w:cs="宋体"/>
          <w:b/>
          <w:color w:val="auto"/>
          <w:sz w:val="21"/>
          <w:szCs w:val="21"/>
        </w:rPr>
      </w:pPr>
    </w:p>
    <w:p>
      <w:pPr>
        <w:numPr>
          <w:ilvl w:val="0"/>
          <w:numId w:val="0"/>
        </w:numPr>
        <w:ind w:leftChars="200"/>
        <w:jc w:val="center"/>
        <w:rPr>
          <w:rFonts w:hint="eastAsia" w:ascii="宋体" w:hAnsi="宋体" w:eastAsia="宋体" w:cs="宋体"/>
          <w:b/>
          <w:color w:val="auto"/>
          <w:sz w:val="21"/>
          <w:szCs w:val="21"/>
        </w:rPr>
      </w:pPr>
    </w:p>
    <w:p>
      <w:pPr>
        <w:numPr>
          <w:ilvl w:val="0"/>
          <w:numId w:val="0"/>
        </w:numPr>
        <w:ind w:leftChars="200"/>
        <w:jc w:val="center"/>
        <w:rPr>
          <w:rFonts w:hint="eastAsia" w:ascii="宋体" w:hAnsi="宋体" w:eastAsia="宋体" w:cs="宋体"/>
          <w:b/>
          <w:color w:val="auto"/>
          <w:sz w:val="21"/>
          <w:szCs w:val="21"/>
        </w:rPr>
      </w:pPr>
    </w:p>
    <w:p>
      <w:pPr>
        <w:numPr>
          <w:ilvl w:val="0"/>
          <w:numId w:val="0"/>
        </w:numPr>
        <w:ind w:leftChars="200"/>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河南省政府采购合同融资政策告知函</w:t>
      </w:r>
    </w:p>
    <w:p>
      <w:pPr>
        <w:rPr>
          <w:rFonts w:hint="default" w:ascii="Calibri" w:hAnsi="Calibri" w:eastAsia="仿宋" w:cs="Calibri"/>
          <w:color w:val="auto"/>
          <w:sz w:val="21"/>
          <w:szCs w:val="21"/>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720" w:lineRule="auto"/>
        <w:rPr>
          <w:rFonts w:hint="eastAsia"/>
          <w:color w:val="auto"/>
          <w:sz w:val="21"/>
          <w:szCs w:val="21"/>
        </w:rPr>
      </w:pPr>
      <w:r>
        <w:rPr>
          <w:rFonts w:hint="eastAsia" w:ascii="宋体" w:hAnsi="宋体" w:eastAsia="宋体" w:cs="宋体"/>
          <w:color w:val="auto"/>
          <w:sz w:val="21"/>
          <w:szCs w:val="21"/>
        </w:rPr>
        <w:t>贷款渠道和提供贷款的金融机构，可在河南省政府采购网“河南省政府采购合同融资平台”查询联系。</w:t>
      </w:r>
      <w:r>
        <w:rPr>
          <w:rFonts w:hint="eastAsia" w:ascii="宋体" w:hAnsi="宋体" w:eastAsia="宋体" w:cs="宋体"/>
          <w:color w:val="auto"/>
          <w:sz w:val="21"/>
          <w:szCs w:val="21"/>
          <w:lang w:eastAsia="zh-CN"/>
        </w:rPr>
        <w:t>政策解读网址：</w:t>
      </w:r>
      <w:r>
        <w:rPr>
          <w:rFonts w:hint="eastAsia" w:ascii="宋体" w:hAnsi="宋体" w:eastAsia="宋体" w:cs="宋体"/>
          <w:color w:val="auto"/>
          <w:sz w:val="21"/>
          <w:szCs w:val="21"/>
        </w:rPr>
        <w:t>http://www.hngp.gov.cn/henan/conte</w:t>
      </w:r>
    </w:p>
    <w:p>
      <w:pPr>
        <w:pStyle w:val="41"/>
        <w:shd w:val="clear" w:color="070000" w:fill="FFFFFF"/>
        <w:spacing w:before="0" w:beforeLines="0" w:beforeAutospacing="0" w:after="0" w:afterLines="0" w:afterAutospacing="0" w:line="360" w:lineRule="auto"/>
        <w:jc w:val="both"/>
        <w:rPr>
          <w:rFonts w:hint="eastAsia" w:ascii="宋体" w:hAnsi="宋体" w:eastAsia="宋体" w:cs="宋体"/>
          <w:color w:val="auto"/>
          <w:spacing w:val="8"/>
          <w:sz w:val="21"/>
          <w:szCs w:val="21"/>
          <w:shd w:val="clear" w:color="080000" w:fill="FFFFFF"/>
        </w:rPr>
      </w:pP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注:此项仅为告知，无须附到响应文件中。</w:t>
      </w:r>
    </w:p>
    <w:sectPr>
      <w:pgSz w:w="11905" w:h="16838"/>
      <w:pgMar w:top="1440" w:right="1576" w:bottom="1440" w:left="1576"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lbertus">
    <w:altName w:val="Segoe Print"/>
    <w:panose1 w:val="020E0702040304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4937"/>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493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7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7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7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rFonts w:hint="eastAsia" w:ascii="Times New Roman" w:hAnsi="Times New Roman"/>
        <w:i/>
        <w:iCs/>
        <w:color w:val="0000FF"/>
        <w:kern w:val="0"/>
        <w:sz w:val="18"/>
        <w:szCs w:val="18"/>
        <w:lang w:val="en-US" w:eastAsia="zh-CN" w:bidi="ar-SA"/>
      </w:rPr>
    </w:pPr>
    <w:r>
      <w:rPr>
        <w:rFonts w:hint="eastAsia" w:ascii="Times New Roman" w:hAnsi="Times New Roman"/>
        <w:i/>
        <w:iCs/>
        <w:color w:val="0000FF"/>
        <w:kern w:val="0"/>
        <w:sz w:val="18"/>
        <w:szCs w:val="18"/>
        <w:lang w:val="en-US" w:eastAsia="zh-CN" w:bidi="ar-SA"/>
      </w:rPr>
      <w:t xml:space="preserve">     </w:t>
    </w:r>
  </w:p>
  <w:p>
    <w:pPr>
      <w:pStyle w:val="3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B83"/>
    <w:multiLevelType w:val="singleLevel"/>
    <w:tmpl w:val="80A5EB83"/>
    <w:lvl w:ilvl="0" w:tentative="0">
      <w:start w:val="4"/>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DB385914"/>
    <w:multiLevelType w:val="singleLevel"/>
    <w:tmpl w:val="DB385914"/>
    <w:lvl w:ilvl="0" w:tentative="0">
      <w:start w:val="6"/>
      <w:numFmt w:val="chineseCounting"/>
      <w:suff w:val="nothing"/>
      <w:lvlText w:val="%1、"/>
      <w:lvlJc w:val="left"/>
      <w:rPr>
        <w:rFonts w:hint="eastAsia"/>
      </w:rPr>
    </w:lvl>
  </w:abstractNum>
  <w:abstractNum w:abstractNumId="3">
    <w:nsid w:val="0000000E"/>
    <w:multiLevelType w:val="multilevel"/>
    <w:tmpl w:val="0000000E"/>
    <w:lvl w:ilvl="0" w:tentative="0">
      <w:start w:val="1"/>
      <w:numFmt w:val="decimal"/>
      <w:pStyle w:val="4"/>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pStyle w:val="5"/>
      <w:suff w:val="nothing"/>
      <w:lvlText w:val="    %2、"/>
      <w:lvlJc w:val="left"/>
      <w:pPr>
        <w:ind w:left="0" w:firstLine="0"/>
      </w:pPr>
      <w:rPr>
        <w:rFonts w:hint="eastAsia" w:ascii="黑体" w:eastAsia="黑体"/>
        <w:b/>
        <w:i w:val="0"/>
        <w:sz w:val="30"/>
        <w:szCs w:val="30"/>
      </w:rPr>
    </w:lvl>
    <w:lvl w:ilvl="2" w:tentative="0">
      <w:start w:val="1"/>
      <w:numFmt w:val="decimal"/>
      <w:pStyle w:val="6"/>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7"/>
      <w:suff w:val="nothing"/>
      <w:lvlText w:val="    %2.%3.%4  "/>
      <w:lvlJc w:val="left"/>
      <w:pPr>
        <w:ind w:left="0" w:firstLine="0"/>
      </w:pPr>
      <w:rPr>
        <w:rFonts w:hint="eastAsia" w:ascii="仿宋_GB2312" w:eastAsia="仿宋_GB2312"/>
        <w:b/>
        <w:i w:val="0"/>
        <w:sz w:val="28"/>
        <w:szCs w:val="28"/>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EAFA48"/>
    <w:multiLevelType w:val="singleLevel"/>
    <w:tmpl w:val="27EAFA48"/>
    <w:lvl w:ilvl="0" w:tentative="0">
      <w:start w:val="1"/>
      <w:numFmt w:val="decimal"/>
      <w:suff w:val="nothing"/>
      <w:lvlText w:val="%1、"/>
      <w:lvlJc w:val="left"/>
    </w:lvl>
  </w:abstractNum>
  <w:abstractNum w:abstractNumId="6">
    <w:nsid w:val="42A989AA"/>
    <w:multiLevelType w:val="singleLevel"/>
    <w:tmpl w:val="42A989AA"/>
    <w:lvl w:ilvl="0" w:tentative="0">
      <w:start w:val="1"/>
      <w:numFmt w:val="chineseCounting"/>
      <w:suff w:val="nothing"/>
      <w:lvlText w:val="（%1）"/>
      <w:lvlJc w:val="left"/>
      <w:pPr>
        <w:ind w:left="735" w:firstLine="0"/>
      </w:pPr>
      <w:rPr>
        <w:rFonts w:hint="eastAsia"/>
      </w:rPr>
    </w:lvl>
  </w:abstractNum>
  <w:abstractNum w:abstractNumId="7">
    <w:nsid w:val="5FE0943A"/>
    <w:multiLevelType w:val="singleLevel"/>
    <w:tmpl w:val="5FE0943A"/>
    <w:lvl w:ilvl="0" w:tentative="0">
      <w:start w:val="5"/>
      <w:numFmt w:val="decimal"/>
      <w:suff w:val="nothing"/>
      <w:lvlText w:val="%1、"/>
      <w:lvlJc w:val="left"/>
    </w:lvl>
  </w:abstractNum>
  <w:abstractNum w:abstractNumId="8">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5"/>
  </w:num>
  <w:num w:numId="4">
    <w:abstractNumId w:val="0"/>
  </w:num>
  <w:num w:numId="5">
    <w:abstractNumId w:val="4"/>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jFiOWJkN2NmOWY2ZjQwOTcyZjMwMzcwOGQwNWIifQ=="/>
  </w:docVars>
  <w:rsids>
    <w:rsidRoot w:val="00172A27"/>
    <w:rsid w:val="001113BD"/>
    <w:rsid w:val="00145420"/>
    <w:rsid w:val="002D269B"/>
    <w:rsid w:val="003208B1"/>
    <w:rsid w:val="00B06E28"/>
    <w:rsid w:val="00C34DAD"/>
    <w:rsid w:val="00EA2518"/>
    <w:rsid w:val="011D3673"/>
    <w:rsid w:val="013730A5"/>
    <w:rsid w:val="015E7D83"/>
    <w:rsid w:val="01602469"/>
    <w:rsid w:val="01AB7572"/>
    <w:rsid w:val="01EF1F0E"/>
    <w:rsid w:val="01F40F97"/>
    <w:rsid w:val="022976FF"/>
    <w:rsid w:val="026B3007"/>
    <w:rsid w:val="0273010D"/>
    <w:rsid w:val="029563F1"/>
    <w:rsid w:val="029E76DE"/>
    <w:rsid w:val="02C80C82"/>
    <w:rsid w:val="02D2752A"/>
    <w:rsid w:val="02E334E5"/>
    <w:rsid w:val="03242545"/>
    <w:rsid w:val="03337D3F"/>
    <w:rsid w:val="034B2E38"/>
    <w:rsid w:val="035D1F6C"/>
    <w:rsid w:val="03661347"/>
    <w:rsid w:val="037E6BB8"/>
    <w:rsid w:val="04161698"/>
    <w:rsid w:val="041F679F"/>
    <w:rsid w:val="042042C5"/>
    <w:rsid w:val="04284A00"/>
    <w:rsid w:val="048940E4"/>
    <w:rsid w:val="04EC3FFC"/>
    <w:rsid w:val="04ED44B9"/>
    <w:rsid w:val="04F67A04"/>
    <w:rsid w:val="05634469"/>
    <w:rsid w:val="05802B57"/>
    <w:rsid w:val="05B747B5"/>
    <w:rsid w:val="05C70E9C"/>
    <w:rsid w:val="06723C94"/>
    <w:rsid w:val="06B9000B"/>
    <w:rsid w:val="06BD143E"/>
    <w:rsid w:val="06C21A92"/>
    <w:rsid w:val="06DA4BFF"/>
    <w:rsid w:val="06EB5F9B"/>
    <w:rsid w:val="06FA704F"/>
    <w:rsid w:val="07117ADC"/>
    <w:rsid w:val="071E0F8F"/>
    <w:rsid w:val="072A35C7"/>
    <w:rsid w:val="07391925"/>
    <w:rsid w:val="08421A12"/>
    <w:rsid w:val="08473158"/>
    <w:rsid w:val="085E4BA3"/>
    <w:rsid w:val="08A62AB0"/>
    <w:rsid w:val="08A857A0"/>
    <w:rsid w:val="08C461D1"/>
    <w:rsid w:val="08D95826"/>
    <w:rsid w:val="093E0F26"/>
    <w:rsid w:val="094C3826"/>
    <w:rsid w:val="09606D99"/>
    <w:rsid w:val="0992531D"/>
    <w:rsid w:val="09A40779"/>
    <w:rsid w:val="09BC7DF2"/>
    <w:rsid w:val="0A7E5C22"/>
    <w:rsid w:val="0A8A06EA"/>
    <w:rsid w:val="0AA97202"/>
    <w:rsid w:val="0ADD4CBE"/>
    <w:rsid w:val="0B3F3282"/>
    <w:rsid w:val="0B61144B"/>
    <w:rsid w:val="0B94451C"/>
    <w:rsid w:val="0BE3399A"/>
    <w:rsid w:val="0BE95975"/>
    <w:rsid w:val="0C4D5E73"/>
    <w:rsid w:val="0C7F2531"/>
    <w:rsid w:val="0C8278CB"/>
    <w:rsid w:val="0C8C24F7"/>
    <w:rsid w:val="0CD35D2B"/>
    <w:rsid w:val="0CE340E1"/>
    <w:rsid w:val="0CE822C6"/>
    <w:rsid w:val="0D533015"/>
    <w:rsid w:val="0D683F97"/>
    <w:rsid w:val="0DA6583B"/>
    <w:rsid w:val="0E4017EB"/>
    <w:rsid w:val="0E4F5B04"/>
    <w:rsid w:val="0E536A10"/>
    <w:rsid w:val="0E975183"/>
    <w:rsid w:val="0EA53D44"/>
    <w:rsid w:val="0EB07EEB"/>
    <w:rsid w:val="0F0740B7"/>
    <w:rsid w:val="0F0D5446"/>
    <w:rsid w:val="0F1B4006"/>
    <w:rsid w:val="0F4478F3"/>
    <w:rsid w:val="0FA8366D"/>
    <w:rsid w:val="0FA967B3"/>
    <w:rsid w:val="10060813"/>
    <w:rsid w:val="100E1475"/>
    <w:rsid w:val="10177626"/>
    <w:rsid w:val="10270FEE"/>
    <w:rsid w:val="10BB15FD"/>
    <w:rsid w:val="10ED3781"/>
    <w:rsid w:val="10F82823"/>
    <w:rsid w:val="1102722C"/>
    <w:rsid w:val="11124DBD"/>
    <w:rsid w:val="114A472F"/>
    <w:rsid w:val="1162765E"/>
    <w:rsid w:val="11A00946"/>
    <w:rsid w:val="11BA18B5"/>
    <w:rsid w:val="12224E20"/>
    <w:rsid w:val="12635AA8"/>
    <w:rsid w:val="126C3579"/>
    <w:rsid w:val="12E60488"/>
    <w:rsid w:val="1300779B"/>
    <w:rsid w:val="132536A6"/>
    <w:rsid w:val="13600E46"/>
    <w:rsid w:val="136E3521"/>
    <w:rsid w:val="13EE12F6"/>
    <w:rsid w:val="13F217DA"/>
    <w:rsid w:val="140859B3"/>
    <w:rsid w:val="143F3C13"/>
    <w:rsid w:val="14515DD5"/>
    <w:rsid w:val="14551D69"/>
    <w:rsid w:val="14732B33"/>
    <w:rsid w:val="147A3710"/>
    <w:rsid w:val="14E37374"/>
    <w:rsid w:val="14FB46BE"/>
    <w:rsid w:val="15301D70"/>
    <w:rsid w:val="15AC7766"/>
    <w:rsid w:val="15BD0474"/>
    <w:rsid w:val="15CF2E52"/>
    <w:rsid w:val="15EB7B98"/>
    <w:rsid w:val="15FE5EA8"/>
    <w:rsid w:val="1608035C"/>
    <w:rsid w:val="163969E2"/>
    <w:rsid w:val="164812CA"/>
    <w:rsid w:val="165027E8"/>
    <w:rsid w:val="16595FF8"/>
    <w:rsid w:val="16623E92"/>
    <w:rsid w:val="169721C5"/>
    <w:rsid w:val="172779EC"/>
    <w:rsid w:val="175C6F6A"/>
    <w:rsid w:val="17D033C0"/>
    <w:rsid w:val="17ED334D"/>
    <w:rsid w:val="17F65611"/>
    <w:rsid w:val="180E6B9E"/>
    <w:rsid w:val="18B92BC4"/>
    <w:rsid w:val="18CB2C2D"/>
    <w:rsid w:val="18D14EC0"/>
    <w:rsid w:val="18FF5CC8"/>
    <w:rsid w:val="196D36B1"/>
    <w:rsid w:val="196E2CEA"/>
    <w:rsid w:val="19B27315"/>
    <w:rsid w:val="19DD6340"/>
    <w:rsid w:val="1A6745A4"/>
    <w:rsid w:val="1ABF72BC"/>
    <w:rsid w:val="1ADD0C76"/>
    <w:rsid w:val="1B3F107D"/>
    <w:rsid w:val="1C394030"/>
    <w:rsid w:val="1C417BA2"/>
    <w:rsid w:val="1C746B04"/>
    <w:rsid w:val="1C8E5E18"/>
    <w:rsid w:val="1CEE6C1A"/>
    <w:rsid w:val="1CEF6FB4"/>
    <w:rsid w:val="1D5D339A"/>
    <w:rsid w:val="1DBE097F"/>
    <w:rsid w:val="1DC74620"/>
    <w:rsid w:val="1DCA10D2"/>
    <w:rsid w:val="1E4C1894"/>
    <w:rsid w:val="1EA72C55"/>
    <w:rsid w:val="1EA9518B"/>
    <w:rsid w:val="1EAC5E50"/>
    <w:rsid w:val="1F0B3750"/>
    <w:rsid w:val="1F2B7C50"/>
    <w:rsid w:val="1F574BE7"/>
    <w:rsid w:val="1F645912"/>
    <w:rsid w:val="1F772EDC"/>
    <w:rsid w:val="1F802125"/>
    <w:rsid w:val="1FAB6B97"/>
    <w:rsid w:val="20117C39"/>
    <w:rsid w:val="2039253E"/>
    <w:rsid w:val="206413C0"/>
    <w:rsid w:val="206E470C"/>
    <w:rsid w:val="20C0056A"/>
    <w:rsid w:val="20CC33B3"/>
    <w:rsid w:val="20E95D37"/>
    <w:rsid w:val="20F85F56"/>
    <w:rsid w:val="2106781A"/>
    <w:rsid w:val="212136FE"/>
    <w:rsid w:val="219C4B33"/>
    <w:rsid w:val="22453BA2"/>
    <w:rsid w:val="226F7C8D"/>
    <w:rsid w:val="229A04C0"/>
    <w:rsid w:val="229C4BB4"/>
    <w:rsid w:val="232304AB"/>
    <w:rsid w:val="23930B51"/>
    <w:rsid w:val="23D31814"/>
    <w:rsid w:val="23D34643"/>
    <w:rsid w:val="23F84985"/>
    <w:rsid w:val="2403380F"/>
    <w:rsid w:val="243674C1"/>
    <w:rsid w:val="247B3D0C"/>
    <w:rsid w:val="24B55BA5"/>
    <w:rsid w:val="24F86524"/>
    <w:rsid w:val="250273A3"/>
    <w:rsid w:val="254B5963"/>
    <w:rsid w:val="25524FC9"/>
    <w:rsid w:val="257C53A7"/>
    <w:rsid w:val="258778A8"/>
    <w:rsid w:val="25B05051"/>
    <w:rsid w:val="26891CF2"/>
    <w:rsid w:val="27181209"/>
    <w:rsid w:val="27351CB2"/>
    <w:rsid w:val="27465246"/>
    <w:rsid w:val="27636091"/>
    <w:rsid w:val="277B168E"/>
    <w:rsid w:val="27A92CFD"/>
    <w:rsid w:val="27CC44BD"/>
    <w:rsid w:val="280471ED"/>
    <w:rsid w:val="280C3C5C"/>
    <w:rsid w:val="282E04AF"/>
    <w:rsid w:val="283E16C3"/>
    <w:rsid w:val="28771E56"/>
    <w:rsid w:val="28C72DDD"/>
    <w:rsid w:val="29253660"/>
    <w:rsid w:val="299231C1"/>
    <w:rsid w:val="29BC50D2"/>
    <w:rsid w:val="29D9384A"/>
    <w:rsid w:val="2A3646FC"/>
    <w:rsid w:val="2AFB6D6E"/>
    <w:rsid w:val="2B397896"/>
    <w:rsid w:val="2B3A03F5"/>
    <w:rsid w:val="2B3B716B"/>
    <w:rsid w:val="2B4A1AA4"/>
    <w:rsid w:val="2B4B6D0E"/>
    <w:rsid w:val="2B5E72FD"/>
    <w:rsid w:val="2BA74026"/>
    <w:rsid w:val="2BAD0C2F"/>
    <w:rsid w:val="2BC135F7"/>
    <w:rsid w:val="2BDC315C"/>
    <w:rsid w:val="2BE75544"/>
    <w:rsid w:val="2C0D2E18"/>
    <w:rsid w:val="2C1B0D4A"/>
    <w:rsid w:val="2C5113AD"/>
    <w:rsid w:val="2C6A1CB2"/>
    <w:rsid w:val="2CC56716"/>
    <w:rsid w:val="2CD62FBF"/>
    <w:rsid w:val="2D021C8E"/>
    <w:rsid w:val="2D256324"/>
    <w:rsid w:val="2D46597F"/>
    <w:rsid w:val="2DD54FC4"/>
    <w:rsid w:val="2DDF4725"/>
    <w:rsid w:val="2E405189"/>
    <w:rsid w:val="2E6B483B"/>
    <w:rsid w:val="2E755745"/>
    <w:rsid w:val="2E976DAE"/>
    <w:rsid w:val="2FB41BE1"/>
    <w:rsid w:val="2FF63FA8"/>
    <w:rsid w:val="30266061"/>
    <w:rsid w:val="3033511D"/>
    <w:rsid w:val="3058422F"/>
    <w:rsid w:val="30640F12"/>
    <w:rsid w:val="309612E7"/>
    <w:rsid w:val="30B72950"/>
    <w:rsid w:val="30C65728"/>
    <w:rsid w:val="31071BD3"/>
    <w:rsid w:val="310B4ECA"/>
    <w:rsid w:val="31CF69DC"/>
    <w:rsid w:val="322F45A1"/>
    <w:rsid w:val="3233326A"/>
    <w:rsid w:val="324E3C27"/>
    <w:rsid w:val="3267118D"/>
    <w:rsid w:val="32673C7A"/>
    <w:rsid w:val="329C7909"/>
    <w:rsid w:val="32E73C6C"/>
    <w:rsid w:val="33BD5853"/>
    <w:rsid w:val="33C81E73"/>
    <w:rsid w:val="33CD7CD3"/>
    <w:rsid w:val="340B21E3"/>
    <w:rsid w:val="345614B9"/>
    <w:rsid w:val="347C6FB1"/>
    <w:rsid w:val="348002E4"/>
    <w:rsid w:val="3495784E"/>
    <w:rsid w:val="34A57D4B"/>
    <w:rsid w:val="34F85849"/>
    <w:rsid w:val="352D5BCD"/>
    <w:rsid w:val="357137E0"/>
    <w:rsid w:val="35A87AF3"/>
    <w:rsid w:val="35B83BD2"/>
    <w:rsid w:val="35EC4772"/>
    <w:rsid w:val="35F03248"/>
    <w:rsid w:val="361E2E89"/>
    <w:rsid w:val="363C023B"/>
    <w:rsid w:val="363F1A80"/>
    <w:rsid w:val="36CC467B"/>
    <w:rsid w:val="36FD3E6E"/>
    <w:rsid w:val="370A018F"/>
    <w:rsid w:val="37645C9B"/>
    <w:rsid w:val="37AB3AD7"/>
    <w:rsid w:val="37BD7EC0"/>
    <w:rsid w:val="37F61ECE"/>
    <w:rsid w:val="385D308B"/>
    <w:rsid w:val="38766CBF"/>
    <w:rsid w:val="38767A34"/>
    <w:rsid w:val="38CE3F42"/>
    <w:rsid w:val="395D7169"/>
    <w:rsid w:val="398624EB"/>
    <w:rsid w:val="39AF4AFB"/>
    <w:rsid w:val="39B0341A"/>
    <w:rsid w:val="39F850F3"/>
    <w:rsid w:val="3A190FBF"/>
    <w:rsid w:val="3A443B62"/>
    <w:rsid w:val="3A5F4369"/>
    <w:rsid w:val="3A810912"/>
    <w:rsid w:val="3A9E7716"/>
    <w:rsid w:val="3AC2225A"/>
    <w:rsid w:val="3B021A53"/>
    <w:rsid w:val="3B2E2848"/>
    <w:rsid w:val="3B413267"/>
    <w:rsid w:val="3B5C16AC"/>
    <w:rsid w:val="3B6F0E1C"/>
    <w:rsid w:val="3B6F7EB3"/>
    <w:rsid w:val="3BA24FE4"/>
    <w:rsid w:val="3BB00D7F"/>
    <w:rsid w:val="3BE03915"/>
    <w:rsid w:val="3C24618B"/>
    <w:rsid w:val="3C4452EA"/>
    <w:rsid w:val="3C6A511A"/>
    <w:rsid w:val="3C7C37CC"/>
    <w:rsid w:val="3CBE423C"/>
    <w:rsid w:val="3D182767"/>
    <w:rsid w:val="3D2C1009"/>
    <w:rsid w:val="3D541C00"/>
    <w:rsid w:val="3D583BAC"/>
    <w:rsid w:val="3D634838"/>
    <w:rsid w:val="3D734E8A"/>
    <w:rsid w:val="3D820C29"/>
    <w:rsid w:val="3E021D6A"/>
    <w:rsid w:val="3E06185A"/>
    <w:rsid w:val="3E187A1E"/>
    <w:rsid w:val="3E611D98"/>
    <w:rsid w:val="3E90381A"/>
    <w:rsid w:val="3E9575E4"/>
    <w:rsid w:val="3EA12316"/>
    <w:rsid w:val="3EC12A23"/>
    <w:rsid w:val="3EE65D0D"/>
    <w:rsid w:val="3EF773F5"/>
    <w:rsid w:val="3F055FB6"/>
    <w:rsid w:val="3F4E0AB0"/>
    <w:rsid w:val="3F4F0FDF"/>
    <w:rsid w:val="3F551CDA"/>
    <w:rsid w:val="3F812560"/>
    <w:rsid w:val="3F8F3FC4"/>
    <w:rsid w:val="3FDF45D6"/>
    <w:rsid w:val="3FF249CA"/>
    <w:rsid w:val="3FF34624"/>
    <w:rsid w:val="40273D0A"/>
    <w:rsid w:val="40327B28"/>
    <w:rsid w:val="404C539D"/>
    <w:rsid w:val="4085718A"/>
    <w:rsid w:val="40EE6C76"/>
    <w:rsid w:val="41401D0D"/>
    <w:rsid w:val="416F5968"/>
    <w:rsid w:val="41730083"/>
    <w:rsid w:val="41C37A62"/>
    <w:rsid w:val="41C537DA"/>
    <w:rsid w:val="41D13682"/>
    <w:rsid w:val="42274495"/>
    <w:rsid w:val="424B1F31"/>
    <w:rsid w:val="42782F04"/>
    <w:rsid w:val="428B4A24"/>
    <w:rsid w:val="428D6AB0"/>
    <w:rsid w:val="42A33B1C"/>
    <w:rsid w:val="43141BB3"/>
    <w:rsid w:val="4340580E"/>
    <w:rsid w:val="43715FF6"/>
    <w:rsid w:val="43AE09CA"/>
    <w:rsid w:val="43B6127C"/>
    <w:rsid w:val="44355A54"/>
    <w:rsid w:val="44435AED"/>
    <w:rsid w:val="447D214A"/>
    <w:rsid w:val="449E4DE8"/>
    <w:rsid w:val="44A7314C"/>
    <w:rsid w:val="44B831E3"/>
    <w:rsid w:val="44D4644D"/>
    <w:rsid w:val="44E12089"/>
    <w:rsid w:val="44F6751E"/>
    <w:rsid w:val="44F73845"/>
    <w:rsid w:val="45097E82"/>
    <w:rsid w:val="457631DB"/>
    <w:rsid w:val="459D6C40"/>
    <w:rsid w:val="45CF1B64"/>
    <w:rsid w:val="45FB6FE8"/>
    <w:rsid w:val="46377398"/>
    <w:rsid w:val="463B6A87"/>
    <w:rsid w:val="463D2513"/>
    <w:rsid w:val="4667066F"/>
    <w:rsid w:val="468477C0"/>
    <w:rsid w:val="46900FBA"/>
    <w:rsid w:val="46B362F7"/>
    <w:rsid w:val="47015747"/>
    <w:rsid w:val="47174AD8"/>
    <w:rsid w:val="472E1E7D"/>
    <w:rsid w:val="476E7AE8"/>
    <w:rsid w:val="482C45B3"/>
    <w:rsid w:val="485052AE"/>
    <w:rsid w:val="48B3438D"/>
    <w:rsid w:val="48EC3143"/>
    <w:rsid w:val="492125A0"/>
    <w:rsid w:val="494871CB"/>
    <w:rsid w:val="496839BB"/>
    <w:rsid w:val="4984528E"/>
    <w:rsid w:val="4991483C"/>
    <w:rsid w:val="49CF51F6"/>
    <w:rsid w:val="49E07CB3"/>
    <w:rsid w:val="4AC76136"/>
    <w:rsid w:val="4AFA5BA7"/>
    <w:rsid w:val="4B117A90"/>
    <w:rsid w:val="4B1B2864"/>
    <w:rsid w:val="4B364751"/>
    <w:rsid w:val="4B62575E"/>
    <w:rsid w:val="4BD3527A"/>
    <w:rsid w:val="4BD44F92"/>
    <w:rsid w:val="4BDC1E4C"/>
    <w:rsid w:val="4C3E6663"/>
    <w:rsid w:val="4CE4720A"/>
    <w:rsid w:val="4D2C295F"/>
    <w:rsid w:val="4DB13FD2"/>
    <w:rsid w:val="4E1C4782"/>
    <w:rsid w:val="4E3A0251"/>
    <w:rsid w:val="4E6A7B35"/>
    <w:rsid w:val="4E99003A"/>
    <w:rsid w:val="4F571390"/>
    <w:rsid w:val="5043249A"/>
    <w:rsid w:val="504639A3"/>
    <w:rsid w:val="507C2BA1"/>
    <w:rsid w:val="50834194"/>
    <w:rsid w:val="509448C9"/>
    <w:rsid w:val="50C51101"/>
    <w:rsid w:val="50DB26D2"/>
    <w:rsid w:val="50EA4F10"/>
    <w:rsid w:val="51316796"/>
    <w:rsid w:val="51590FF9"/>
    <w:rsid w:val="516C6703"/>
    <w:rsid w:val="5193645D"/>
    <w:rsid w:val="51942351"/>
    <w:rsid w:val="51B74BC8"/>
    <w:rsid w:val="51C92E73"/>
    <w:rsid w:val="51D96B05"/>
    <w:rsid w:val="5244074B"/>
    <w:rsid w:val="524E3378"/>
    <w:rsid w:val="52C8137C"/>
    <w:rsid w:val="52DD47BD"/>
    <w:rsid w:val="52F6716B"/>
    <w:rsid w:val="535A2989"/>
    <w:rsid w:val="53630C1B"/>
    <w:rsid w:val="539E655A"/>
    <w:rsid w:val="53AB2545"/>
    <w:rsid w:val="53E45D42"/>
    <w:rsid w:val="544C2359"/>
    <w:rsid w:val="545F73FE"/>
    <w:rsid w:val="546B2F8E"/>
    <w:rsid w:val="548D0188"/>
    <w:rsid w:val="54CA641E"/>
    <w:rsid w:val="54EA063F"/>
    <w:rsid w:val="552A2FA5"/>
    <w:rsid w:val="55545039"/>
    <w:rsid w:val="556829A3"/>
    <w:rsid w:val="55741347"/>
    <w:rsid w:val="559B1C90"/>
    <w:rsid w:val="55FF41A4"/>
    <w:rsid w:val="56156687"/>
    <w:rsid w:val="567E4136"/>
    <w:rsid w:val="56AB2B47"/>
    <w:rsid w:val="56D402F0"/>
    <w:rsid w:val="56E878F7"/>
    <w:rsid w:val="57376AD1"/>
    <w:rsid w:val="577218B7"/>
    <w:rsid w:val="57801388"/>
    <w:rsid w:val="57D60097"/>
    <w:rsid w:val="58A81A34"/>
    <w:rsid w:val="58DA02E1"/>
    <w:rsid w:val="58E578F5"/>
    <w:rsid w:val="58FE5300"/>
    <w:rsid w:val="591C4E51"/>
    <w:rsid w:val="59905505"/>
    <w:rsid w:val="599166C2"/>
    <w:rsid w:val="59F64A21"/>
    <w:rsid w:val="5A074D09"/>
    <w:rsid w:val="5A137381"/>
    <w:rsid w:val="5A587D72"/>
    <w:rsid w:val="5A5C4332"/>
    <w:rsid w:val="5AB1171C"/>
    <w:rsid w:val="5AE64A95"/>
    <w:rsid w:val="5B4D68C3"/>
    <w:rsid w:val="5BA04C44"/>
    <w:rsid w:val="5BC87CF7"/>
    <w:rsid w:val="5BEA4111"/>
    <w:rsid w:val="5BF538EE"/>
    <w:rsid w:val="5C221AFD"/>
    <w:rsid w:val="5C2B0143"/>
    <w:rsid w:val="5C4E634B"/>
    <w:rsid w:val="5C72548C"/>
    <w:rsid w:val="5C7B771E"/>
    <w:rsid w:val="5CB75C80"/>
    <w:rsid w:val="5CD503DD"/>
    <w:rsid w:val="5D005803"/>
    <w:rsid w:val="5D407EEB"/>
    <w:rsid w:val="5D485594"/>
    <w:rsid w:val="5D49251B"/>
    <w:rsid w:val="5D720862"/>
    <w:rsid w:val="5D80510C"/>
    <w:rsid w:val="5D845EA0"/>
    <w:rsid w:val="5DDD6A1A"/>
    <w:rsid w:val="5DDE3802"/>
    <w:rsid w:val="5E916927"/>
    <w:rsid w:val="5ED701D4"/>
    <w:rsid w:val="5EE25110"/>
    <w:rsid w:val="5EE82DF1"/>
    <w:rsid w:val="5EFD5F0A"/>
    <w:rsid w:val="5F2C54A2"/>
    <w:rsid w:val="5F8D458F"/>
    <w:rsid w:val="5FCB3720"/>
    <w:rsid w:val="5FD72CDD"/>
    <w:rsid w:val="5FE13A7D"/>
    <w:rsid w:val="5FF23595"/>
    <w:rsid w:val="5FFE6219"/>
    <w:rsid w:val="606A3CE4"/>
    <w:rsid w:val="612754C0"/>
    <w:rsid w:val="6129748A"/>
    <w:rsid w:val="613B5772"/>
    <w:rsid w:val="616E30EF"/>
    <w:rsid w:val="61D63D39"/>
    <w:rsid w:val="62065FBB"/>
    <w:rsid w:val="628E1C9B"/>
    <w:rsid w:val="62A25A72"/>
    <w:rsid w:val="62AA63A9"/>
    <w:rsid w:val="62AE40EB"/>
    <w:rsid w:val="62C466C8"/>
    <w:rsid w:val="62CE19DB"/>
    <w:rsid w:val="62CF7BBD"/>
    <w:rsid w:val="62E73159"/>
    <w:rsid w:val="63125CA0"/>
    <w:rsid w:val="635F53E5"/>
    <w:rsid w:val="63C96D02"/>
    <w:rsid w:val="63F7408D"/>
    <w:rsid w:val="63FA2A84"/>
    <w:rsid w:val="6424218B"/>
    <w:rsid w:val="64BF4D2A"/>
    <w:rsid w:val="64D4770D"/>
    <w:rsid w:val="65022D2C"/>
    <w:rsid w:val="652E0A4C"/>
    <w:rsid w:val="65744A4C"/>
    <w:rsid w:val="65764C68"/>
    <w:rsid w:val="65841289"/>
    <w:rsid w:val="658A2747"/>
    <w:rsid w:val="65D9682D"/>
    <w:rsid w:val="65DA6FA5"/>
    <w:rsid w:val="65F22EA0"/>
    <w:rsid w:val="66006F7A"/>
    <w:rsid w:val="664D3C1B"/>
    <w:rsid w:val="66501015"/>
    <w:rsid w:val="66CA300B"/>
    <w:rsid w:val="66F12F44"/>
    <w:rsid w:val="67852F40"/>
    <w:rsid w:val="67B37A94"/>
    <w:rsid w:val="67B70710"/>
    <w:rsid w:val="67B81568"/>
    <w:rsid w:val="67E4410B"/>
    <w:rsid w:val="686E7F6F"/>
    <w:rsid w:val="68727968"/>
    <w:rsid w:val="687C4343"/>
    <w:rsid w:val="68C44649"/>
    <w:rsid w:val="68F05E71"/>
    <w:rsid w:val="69670B4F"/>
    <w:rsid w:val="69A16971"/>
    <w:rsid w:val="69DA2213"/>
    <w:rsid w:val="69EF164D"/>
    <w:rsid w:val="69FF3DA6"/>
    <w:rsid w:val="6A274166"/>
    <w:rsid w:val="6A56551E"/>
    <w:rsid w:val="6B1F03E8"/>
    <w:rsid w:val="6B3C06B7"/>
    <w:rsid w:val="6B82348E"/>
    <w:rsid w:val="6B983D3F"/>
    <w:rsid w:val="6BFC07EB"/>
    <w:rsid w:val="6C2A179D"/>
    <w:rsid w:val="6CDA6A99"/>
    <w:rsid w:val="6CEB4304"/>
    <w:rsid w:val="6CF7043C"/>
    <w:rsid w:val="6D635AD2"/>
    <w:rsid w:val="6D745E29"/>
    <w:rsid w:val="6D897A6C"/>
    <w:rsid w:val="6D97577B"/>
    <w:rsid w:val="6DBB4905"/>
    <w:rsid w:val="6DEE183F"/>
    <w:rsid w:val="6E4B26CA"/>
    <w:rsid w:val="6E770DF5"/>
    <w:rsid w:val="6E9E269F"/>
    <w:rsid w:val="6EB83BFB"/>
    <w:rsid w:val="6EDC1FE0"/>
    <w:rsid w:val="6F1F3721"/>
    <w:rsid w:val="6F435BA4"/>
    <w:rsid w:val="6F563B40"/>
    <w:rsid w:val="6F773AB6"/>
    <w:rsid w:val="6FD64C81"/>
    <w:rsid w:val="70041E1F"/>
    <w:rsid w:val="700B4601"/>
    <w:rsid w:val="703F2826"/>
    <w:rsid w:val="70586A0D"/>
    <w:rsid w:val="705E5D7C"/>
    <w:rsid w:val="70757FF6"/>
    <w:rsid w:val="70CF631E"/>
    <w:rsid w:val="70E1568B"/>
    <w:rsid w:val="71366BF3"/>
    <w:rsid w:val="71451FDC"/>
    <w:rsid w:val="717608FC"/>
    <w:rsid w:val="718129CA"/>
    <w:rsid w:val="721D4439"/>
    <w:rsid w:val="722A12B4"/>
    <w:rsid w:val="722F0A51"/>
    <w:rsid w:val="72677C92"/>
    <w:rsid w:val="72A11576"/>
    <w:rsid w:val="72BC0B3D"/>
    <w:rsid w:val="7305498B"/>
    <w:rsid w:val="73893D99"/>
    <w:rsid w:val="739C3AEB"/>
    <w:rsid w:val="7452064E"/>
    <w:rsid w:val="74642706"/>
    <w:rsid w:val="746B65F0"/>
    <w:rsid w:val="74B55DA6"/>
    <w:rsid w:val="751D2AF0"/>
    <w:rsid w:val="751D6EAE"/>
    <w:rsid w:val="754737CF"/>
    <w:rsid w:val="757315C2"/>
    <w:rsid w:val="759016F1"/>
    <w:rsid w:val="75C5557C"/>
    <w:rsid w:val="75C910E8"/>
    <w:rsid w:val="75D7705D"/>
    <w:rsid w:val="762A3631"/>
    <w:rsid w:val="76473B23"/>
    <w:rsid w:val="764F70AC"/>
    <w:rsid w:val="76830F93"/>
    <w:rsid w:val="76CB6FF6"/>
    <w:rsid w:val="76E77774"/>
    <w:rsid w:val="771300BB"/>
    <w:rsid w:val="771C566F"/>
    <w:rsid w:val="77334767"/>
    <w:rsid w:val="777A4144"/>
    <w:rsid w:val="780E04FB"/>
    <w:rsid w:val="78104AA8"/>
    <w:rsid w:val="784A6593"/>
    <w:rsid w:val="786F609A"/>
    <w:rsid w:val="78767001"/>
    <w:rsid w:val="78B2790D"/>
    <w:rsid w:val="795F5C20"/>
    <w:rsid w:val="7999173E"/>
    <w:rsid w:val="79A92498"/>
    <w:rsid w:val="79C4251B"/>
    <w:rsid w:val="79E678D8"/>
    <w:rsid w:val="7A6F0F50"/>
    <w:rsid w:val="7AD62C51"/>
    <w:rsid w:val="7B107B21"/>
    <w:rsid w:val="7B22574A"/>
    <w:rsid w:val="7B307067"/>
    <w:rsid w:val="7B4F2954"/>
    <w:rsid w:val="7BBF741B"/>
    <w:rsid w:val="7BC41E31"/>
    <w:rsid w:val="7BCC6F38"/>
    <w:rsid w:val="7C0D0F06"/>
    <w:rsid w:val="7C910AC6"/>
    <w:rsid w:val="7CC320E9"/>
    <w:rsid w:val="7CD27140"/>
    <w:rsid w:val="7D0A63E5"/>
    <w:rsid w:val="7D0D7525"/>
    <w:rsid w:val="7D2A7290"/>
    <w:rsid w:val="7D526DCF"/>
    <w:rsid w:val="7D6C2781"/>
    <w:rsid w:val="7D7F162A"/>
    <w:rsid w:val="7DE53AE8"/>
    <w:rsid w:val="7E4D4AB6"/>
    <w:rsid w:val="7ED06AC8"/>
    <w:rsid w:val="7F033168"/>
    <w:rsid w:val="7F961D37"/>
    <w:rsid w:val="7FA52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qFormat="1" w:uiPriority="99" w:name="HTML Typewriter"/>
    <w:lsdException w:qFormat="1"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autoRedefine/>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5">
    <w:name w:val="heading 2"/>
    <w:basedOn w:val="1"/>
    <w:next w:val="1"/>
    <w:link w:val="67"/>
    <w:autoRedefine/>
    <w:qFormat/>
    <w:uiPriority w:val="0"/>
    <w:pPr>
      <w:keepNext/>
      <w:keepLines/>
      <w:numPr>
        <w:ilvl w:val="1"/>
        <w:numId w:val="1"/>
      </w:numPr>
      <w:spacing w:before="260" w:beforeLines="0" w:after="260" w:afterLines="0" w:line="415" w:lineRule="auto"/>
      <w:outlineLvl w:val="1"/>
    </w:pPr>
    <w:rPr>
      <w:rFonts w:ascii="Arial" w:hAnsi="Arial" w:eastAsia="黑体"/>
      <w:b/>
      <w:bCs/>
      <w:kern w:val="0"/>
      <w:sz w:val="32"/>
      <w:szCs w:val="32"/>
    </w:rPr>
  </w:style>
  <w:style w:type="paragraph" w:styleId="6">
    <w:name w:val="heading 3"/>
    <w:basedOn w:val="1"/>
    <w:next w:val="1"/>
    <w:link w:val="66"/>
    <w:autoRedefine/>
    <w:qFormat/>
    <w:uiPriority w:val="0"/>
    <w:pPr>
      <w:keepNext/>
      <w:keepLines/>
      <w:numPr>
        <w:ilvl w:val="2"/>
        <w:numId w:val="1"/>
      </w:numPr>
      <w:spacing w:before="260" w:beforeLines="0" w:after="260" w:afterLines="0" w:line="415" w:lineRule="auto"/>
      <w:outlineLvl w:val="2"/>
    </w:pPr>
    <w:rPr>
      <w:rFonts w:ascii="Times New Roman" w:hAnsi="Times New Roman" w:eastAsia="仿宋_GB2312"/>
      <w:b/>
      <w:bCs/>
      <w:kern w:val="0"/>
      <w:sz w:val="32"/>
      <w:szCs w:val="32"/>
    </w:rPr>
  </w:style>
  <w:style w:type="paragraph" w:styleId="7">
    <w:name w:val="heading 4"/>
    <w:basedOn w:val="1"/>
    <w:next w:val="1"/>
    <w:link w:val="74"/>
    <w:autoRedefine/>
    <w:qFormat/>
    <w:uiPriority w:val="0"/>
    <w:pPr>
      <w:keepNext/>
      <w:keepLines/>
      <w:numPr>
        <w:ilvl w:val="3"/>
        <w:numId w:val="1"/>
      </w:numPr>
      <w:spacing w:before="280" w:beforeLines="0" w:after="290" w:afterLines="0" w:line="374" w:lineRule="auto"/>
      <w:outlineLvl w:val="3"/>
    </w:pPr>
    <w:rPr>
      <w:rFonts w:ascii="Arial" w:hAnsi="Arial" w:eastAsia="黑体"/>
      <w:b/>
      <w:bCs/>
      <w:kern w:val="0"/>
      <w:sz w:val="28"/>
      <w:szCs w:val="28"/>
    </w:rPr>
  </w:style>
  <w:style w:type="paragraph" w:styleId="8">
    <w:name w:val="heading 5"/>
    <w:basedOn w:val="1"/>
    <w:next w:val="1"/>
    <w:link w:val="75"/>
    <w:autoRedefine/>
    <w:qFormat/>
    <w:uiPriority w:val="0"/>
    <w:pPr>
      <w:keepNext/>
      <w:keepLines/>
      <w:numPr>
        <w:ilvl w:val="4"/>
        <w:numId w:val="1"/>
      </w:numPr>
      <w:spacing w:before="280" w:beforeLines="0" w:after="290" w:afterLines="0" w:line="374" w:lineRule="auto"/>
      <w:outlineLvl w:val="4"/>
    </w:pPr>
    <w:rPr>
      <w:rFonts w:ascii="Times New Roman" w:hAnsi="Times New Roman" w:eastAsia="仿宋_GB2312"/>
      <w:b/>
      <w:bCs/>
      <w:kern w:val="0"/>
      <w:sz w:val="28"/>
      <w:szCs w:val="28"/>
    </w:rPr>
  </w:style>
  <w:style w:type="paragraph" w:styleId="9">
    <w:name w:val="heading 6"/>
    <w:basedOn w:val="1"/>
    <w:next w:val="1"/>
    <w:link w:val="76"/>
    <w:autoRedefine/>
    <w:qFormat/>
    <w:uiPriority w:val="0"/>
    <w:pPr>
      <w:keepNext/>
      <w:keepLines/>
      <w:numPr>
        <w:ilvl w:val="5"/>
        <w:numId w:val="1"/>
      </w:numPr>
      <w:spacing w:before="240" w:beforeLines="0" w:after="64" w:afterLines="0" w:line="319" w:lineRule="auto"/>
      <w:outlineLvl w:val="5"/>
    </w:pPr>
    <w:rPr>
      <w:rFonts w:ascii="Arial" w:hAnsi="Arial" w:eastAsia="黑体"/>
      <w:b/>
      <w:bCs/>
      <w:kern w:val="0"/>
      <w:sz w:val="24"/>
    </w:rPr>
  </w:style>
  <w:style w:type="paragraph" w:styleId="10">
    <w:name w:val="heading 7"/>
    <w:basedOn w:val="1"/>
    <w:next w:val="1"/>
    <w:link w:val="77"/>
    <w:autoRedefine/>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kern w:val="0"/>
      <w:sz w:val="24"/>
    </w:rPr>
  </w:style>
  <w:style w:type="paragraph" w:styleId="11">
    <w:name w:val="heading 8"/>
    <w:basedOn w:val="1"/>
    <w:next w:val="1"/>
    <w:link w:val="78"/>
    <w:autoRedefine/>
    <w:qFormat/>
    <w:uiPriority w:val="0"/>
    <w:pPr>
      <w:keepNext/>
      <w:keepLines/>
      <w:numPr>
        <w:ilvl w:val="7"/>
        <w:numId w:val="1"/>
      </w:numPr>
      <w:spacing w:before="240" w:beforeLines="0" w:after="64" w:afterLines="0" w:line="319" w:lineRule="auto"/>
      <w:outlineLvl w:val="7"/>
    </w:pPr>
    <w:rPr>
      <w:rFonts w:ascii="Arial" w:hAnsi="Arial" w:eastAsia="黑体"/>
      <w:kern w:val="0"/>
      <w:sz w:val="24"/>
    </w:rPr>
  </w:style>
  <w:style w:type="paragraph" w:styleId="12">
    <w:name w:val="heading 9"/>
    <w:basedOn w:val="1"/>
    <w:next w:val="1"/>
    <w:link w:val="79"/>
    <w:autoRedefine/>
    <w:qFormat/>
    <w:uiPriority w:val="0"/>
    <w:pPr>
      <w:keepNext/>
      <w:keepLines/>
      <w:numPr>
        <w:ilvl w:val="8"/>
        <w:numId w:val="1"/>
      </w:numPr>
      <w:spacing w:before="240" w:beforeLines="0" w:after="64" w:afterLines="0" w:line="319" w:lineRule="auto"/>
      <w:outlineLvl w:val="8"/>
    </w:pPr>
    <w:rPr>
      <w:rFonts w:ascii="Arial" w:hAnsi="Arial" w:eastAsia="黑体"/>
      <w:kern w:val="0"/>
      <w:sz w:val="20"/>
      <w:szCs w:val="21"/>
    </w:rPr>
  </w:style>
  <w:style w:type="character" w:default="1" w:styleId="50">
    <w:name w:val="Default Paragraph Font"/>
    <w:autoRedefine/>
    <w:unhideWhenUsed/>
    <w:qFormat/>
    <w:uiPriority w:val="1"/>
  </w:style>
  <w:style w:type="table" w:default="1" w:styleId="4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73"/>
    <w:autoRedefine/>
    <w:qFormat/>
    <w:uiPriority w:val="0"/>
    <w:pPr>
      <w:spacing w:after="120" w:afterLines="0"/>
    </w:pPr>
    <w:rPr>
      <w:rFonts w:ascii="Times New Roman" w:hAnsi="Times New Roman"/>
      <w:kern w:val="0"/>
      <w:sz w:val="20"/>
    </w:rPr>
  </w:style>
  <w:style w:type="paragraph" w:styleId="3">
    <w:name w:val="Body Text 2"/>
    <w:basedOn w:val="1"/>
    <w:next w:val="2"/>
    <w:autoRedefine/>
    <w:qFormat/>
    <w:uiPriority w:val="0"/>
    <w:pPr>
      <w:spacing w:line="700" w:lineRule="exact"/>
    </w:pPr>
    <w:rPr>
      <w:sz w:val="28"/>
    </w:rPr>
  </w:style>
  <w:style w:type="paragraph" w:styleId="13">
    <w:name w:val="toc 7"/>
    <w:basedOn w:val="1"/>
    <w:next w:val="1"/>
    <w:autoRedefine/>
    <w:qFormat/>
    <w:uiPriority w:val="39"/>
    <w:pPr>
      <w:ind w:left="2520" w:leftChars="1200"/>
    </w:pPr>
    <w:rPr>
      <w:rFonts w:ascii="Calibri" w:hAnsi="Calibri"/>
      <w:szCs w:val="22"/>
    </w:rPr>
  </w:style>
  <w:style w:type="paragraph" w:styleId="14">
    <w:name w:val="Normal Indent"/>
    <w:basedOn w:val="1"/>
    <w:link w:val="80"/>
    <w:autoRedefine/>
    <w:qFormat/>
    <w:uiPriority w:val="0"/>
    <w:pPr>
      <w:ind w:firstLine="420" w:firstLineChars="200"/>
    </w:pPr>
    <w:rPr>
      <w:rFonts w:ascii="Times New Roman" w:hAnsi="Times New Roman"/>
    </w:rPr>
  </w:style>
  <w:style w:type="paragraph" w:styleId="15">
    <w:name w:val="caption"/>
    <w:basedOn w:val="1"/>
    <w:next w:val="1"/>
    <w:autoRedefine/>
    <w:qFormat/>
    <w:uiPriority w:val="0"/>
    <w:rPr>
      <w:rFonts w:ascii="Cambria" w:hAnsi="Cambria" w:eastAsia="黑体" w:cs="Cambria"/>
      <w:sz w:val="20"/>
      <w:szCs w:val="20"/>
    </w:rPr>
  </w:style>
  <w:style w:type="paragraph" w:styleId="16">
    <w:name w:val="Document Map"/>
    <w:basedOn w:val="1"/>
    <w:link w:val="81"/>
    <w:autoRedefine/>
    <w:qFormat/>
    <w:uiPriority w:val="0"/>
    <w:rPr>
      <w:rFonts w:hAnsi="Times New Roman"/>
      <w:kern w:val="0"/>
      <w:sz w:val="18"/>
      <w:szCs w:val="18"/>
    </w:rPr>
  </w:style>
  <w:style w:type="paragraph" w:styleId="17">
    <w:name w:val="annotation text"/>
    <w:basedOn w:val="1"/>
    <w:link w:val="82"/>
    <w:autoRedefine/>
    <w:unhideWhenUsed/>
    <w:qFormat/>
    <w:uiPriority w:val="99"/>
    <w:pPr>
      <w:jc w:val="left"/>
    </w:pPr>
    <w:rPr>
      <w:rFonts w:ascii="Times New Roman" w:hAnsi="Times New Roman"/>
      <w:kern w:val="0"/>
      <w:sz w:val="20"/>
    </w:rPr>
  </w:style>
  <w:style w:type="paragraph" w:styleId="18">
    <w:name w:val="Body Text 3"/>
    <w:basedOn w:val="1"/>
    <w:link w:val="83"/>
    <w:autoRedefine/>
    <w:qFormat/>
    <w:uiPriority w:val="0"/>
    <w:rPr>
      <w:rFonts w:hAnsi="Times New Roman"/>
      <w:kern w:val="0"/>
      <w:sz w:val="24"/>
      <w:szCs w:val="20"/>
    </w:rPr>
  </w:style>
  <w:style w:type="paragraph" w:styleId="19">
    <w:name w:val="Body Text Indent"/>
    <w:basedOn w:val="1"/>
    <w:link w:val="84"/>
    <w:autoRedefine/>
    <w:qFormat/>
    <w:uiPriority w:val="0"/>
    <w:pPr>
      <w:spacing w:after="120" w:afterLines="0"/>
      <w:ind w:left="420" w:leftChars="200"/>
    </w:pPr>
    <w:rPr>
      <w:rFonts w:ascii="Times New Roman" w:hAnsi="Times New Roman"/>
      <w:kern w:val="0"/>
      <w:sz w:val="20"/>
    </w:rPr>
  </w:style>
  <w:style w:type="paragraph" w:styleId="20">
    <w:name w:val="List 2"/>
    <w:basedOn w:val="1"/>
    <w:autoRedefine/>
    <w:qFormat/>
    <w:uiPriority w:val="0"/>
    <w:pPr>
      <w:ind w:left="100" w:leftChars="200" w:hanging="200" w:hangingChars="200"/>
    </w:pPr>
  </w:style>
  <w:style w:type="paragraph" w:styleId="21">
    <w:name w:val="index 4"/>
    <w:basedOn w:val="1"/>
    <w:next w:val="1"/>
    <w:autoRedefine/>
    <w:semiHidden/>
    <w:qFormat/>
    <w:uiPriority w:val="0"/>
    <w:pPr>
      <w:ind w:left="600" w:leftChars="600"/>
    </w:pPr>
    <w:rPr>
      <w:szCs w:val="21"/>
    </w:r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85"/>
    <w:autoRedefine/>
    <w:qFormat/>
    <w:uiPriority w:val="0"/>
    <w:rPr>
      <w:rFonts w:hAnsi="Courier New"/>
      <w:kern w:val="0"/>
      <w:sz w:val="20"/>
      <w:szCs w:val="21"/>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6"/>
    <w:autoRedefine/>
    <w:qFormat/>
    <w:uiPriority w:val="0"/>
    <w:rPr>
      <w:rFonts w:ascii="Times New Roman" w:hAnsi="Times New Roman"/>
      <w:kern w:val="0"/>
      <w:sz w:val="24"/>
      <w:szCs w:val="20"/>
    </w:rPr>
  </w:style>
  <w:style w:type="paragraph" w:styleId="27">
    <w:name w:val="Body Text Indent 2"/>
    <w:basedOn w:val="1"/>
    <w:link w:val="87"/>
    <w:autoRedefine/>
    <w:qFormat/>
    <w:uiPriority w:val="0"/>
    <w:pPr>
      <w:ind w:left="424" w:leftChars="202"/>
    </w:pPr>
    <w:rPr>
      <w:rFonts w:ascii="Times New Roman" w:hAnsi="Times New Roman" w:eastAsia="楷体_GB2312"/>
      <w:kern w:val="0"/>
      <w:sz w:val="28"/>
    </w:rPr>
  </w:style>
  <w:style w:type="paragraph" w:styleId="28">
    <w:name w:val="Balloon Text"/>
    <w:basedOn w:val="1"/>
    <w:link w:val="88"/>
    <w:autoRedefine/>
    <w:qFormat/>
    <w:uiPriority w:val="0"/>
    <w:rPr>
      <w:rFonts w:ascii="Times New Roman" w:hAnsi="Times New Roman"/>
      <w:kern w:val="0"/>
      <w:sz w:val="18"/>
      <w:szCs w:val="18"/>
    </w:rPr>
  </w:style>
  <w:style w:type="paragraph" w:styleId="29">
    <w:name w:val="footer"/>
    <w:basedOn w:val="1"/>
    <w:link w:val="89"/>
    <w:autoRedefine/>
    <w:qFormat/>
    <w:uiPriority w:val="0"/>
    <w:pPr>
      <w:tabs>
        <w:tab w:val="center" w:pos="4153"/>
        <w:tab w:val="right" w:pos="8306"/>
      </w:tabs>
      <w:snapToGrid w:val="0"/>
      <w:jc w:val="left"/>
    </w:pPr>
    <w:rPr>
      <w:rFonts w:ascii="Times New Roman" w:hAnsi="Times New Roman"/>
      <w:kern w:val="0"/>
      <w:sz w:val="18"/>
      <w:szCs w:val="18"/>
    </w:rPr>
  </w:style>
  <w:style w:type="paragraph" w:styleId="30">
    <w:name w:val="envelope return"/>
    <w:basedOn w:val="1"/>
    <w:autoRedefine/>
    <w:unhideWhenUsed/>
    <w:qFormat/>
    <w:uiPriority w:val="99"/>
    <w:pPr>
      <w:snapToGrid w:val="0"/>
    </w:pPr>
    <w:rPr>
      <w:rFonts w:ascii="Arial" w:hAnsi="Arial"/>
    </w:rPr>
  </w:style>
  <w:style w:type="paragraph" w:styleId="31">
    <w:name w:val="header"/>
    <w:basedOn w:val="1"/>
    <w:link w:val="90"/>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2">
    <w:name w:val="toc 1"/>
    <w:basedOn w:val="1"/>
    <w:next w:val="1"/>
    <w:autoRedefine/>
    <w:qFormat/>
    <w:uiPriority w:val="39"/>
    <w:pPr>
      <w:widowControl/>
      <w:spacing w:after="100" w:afterLines="0" w:line="276" w:lineRule="auto"/>
      <w:jc w:val="center"/>
    </w:pPr>
    <w:rPr>
      <w:rFonts w:ascii="Calibri" w:hAnsi="Calibri"/>
      <w:kern w:val="0"/>
      <w:sz w:val="22"/>
      <w:szCs w:val="22"/>
    </w:rPr>
  </w:style>
  <w:style w:type="paragraph" w:styleId="33">
    <w:name w:val="toc 4"/>
    <w:basedOn w:val="1"/>
    <w:next w:val="1"/>
    <w:qFormat/>
    <w:uiPriority w:val="39"/>
    <w:pPr>
      <w:ind w:left="1260" w:leftChars="600"/>
    </w:pPr>
    <w:rPr>
      <w:rFonts w:ascii="Calibri" w:hAnsi="Calibri"/>
      <w:szCs w:val="22"/>
    </w:rPr>
  </w:style>
  <w:style w:type="paragraph" w:styleId="34">
    <w:name w:val="Subtitle"/>
    <w:basedOn w:val="1"/>
    <w:next w:val="1"/>
    <w:link w:val="91"/>
    <w:qFormat/>
    <w:uiPriority w:val="0"/>
    <w:pPr>
      <w:spacing w:before="240" w:beforeLines="0" w:after="60" w:afterLines="0" w:line="312" w:lineRule="auto"/>
      <w:jc w:val="center"/>
      <w:outlineLvl w:val="1"/>
    </w:pPr>
    <w:rPr>
      <w:rFonts w:ascii="Calibri Light" w:hAnsi="Calibri Light"/>
      <w:b/>
      <w:bCs/>
      <w:kern w:val="28"/>
      <w:sz w:val="32"/>
      <w:szCs w:val="32"/>
    </w:rPr>
  </w:style>
  <w:style w:type="paragraph" w:styleId="35">
    <w:name w:val="footnote text"/>
    <w:basedOn w:val="1"/>
    <w:qFormat/>
    <w:uiPriority w:val="0"/>
    <w:rPr>
      <w:sz w:val="20"/>
      <w:szCs w:val="20"/>
    </w:rPr>
  </w:style>
  <w:style w:type="paragraph" w:styleId="36">
    <w:name w:val="toc 6"/>
    <w:basedOn w:val="1"/>
    <w:next w:val="1"/>
    <w:autoRedefine/>
    <w:qFormat/>
    <w:uiPriority w:val="39"/>
    <w:pPr>
      <w:ind w:left="2100" w:leftChars="1000"/>
    </w:pPr>
    <w:rPr>
      <w:rFonts w:ascii="Calibri" w:hAnsi="Calibri"/>
      <w:szCs w:val="22"/>
    </w:rPr>
  </w:style>
  <w:style w:type="paragraph" w:styleId="37">
    <w:name w:val="Body Text Indent 3"/>
    <w:basedOn w:val="1"/>
    <w:link w:val="92"/>
    <w:autoRedefine/>
    <w:qFormat/>
    <w:uiPriority w:val="0"/>
    <w:pPr>
      <w:spacing w:after="120" w:afterLines="0"/>
      <w:ind w:left="420" w:leftChars="200"/>
    </w:pPr>
    <w:rPr>
      <w:rFonts w:ascii="Times New Roman" w:hAnsi="Times New Roman"/>
      <w:kern w:val="0"/>
      <w:sz w:val="16"/>
      <w:szCs w:val="16"/>
    </w:rPr>
  </w:style>
  <w:style w:type="paragraph" w:styleId="38">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39">
    <w:name w:val="toc 9"/>
    <w:basedOn w:val="1"/>
    <w:next w:val="1"/>
    <w:qFormat/>
    <w:uiPriority w:val="39"/>
    <w:pPr>
      <w:ind w:left="3360" w:leftChars="1600"/>
    </w:pPr>
    <w:rPr>
      <w:rFonts w:ascii="Calibri" w:hAnsi="Calibri"/>
      <w:szCs w:val="22"/>
    </w:rPr>
  </w:style>
  <w:style w:type="paragraph" w:styleId="4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1">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next w:val="1"/>
    <w:link w:val="93"/>
    <w:autoRedefine/>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4">
    <w:name w:val="annotation subject"/>
    <w:basedOn w:val="17"/>
    <w:next w:val="17"/>
    <w:link w:val="94"/>
    <w:autoRedefine/>
    <w:qFormat/>
    <w:uiPriority w:val="0"/>
    <w:rPr>
      <w:rFonts w:ascii="Times New Roman" w:hAnsi="Times New Roman"/>
      <w:b/>
      <w:bCs/>
      <w:kern w:val="2"/>
      <w:sz w:val="21"/>
    </w:rPr>
  </w:style>
  <w:style w:type="paragraph" w:styleId="45">
    <w:name w:val="Body Text First Indent"/>
    <w:basedOn w:val="2"/>
    <w:next w:val="1"/>
    <w:link w:val="95"/>
    <w:autoRedefine/>
    <w:qFormat/>
    <w:uiPriority w:val="0"/>
    <w:pPr>
      <w:adjustRightInd/>
      <w:spacing w:after="120" w:afterLines="0" w:line="240" w:lineRule="auto"/>
      <w:ind w:left="0" w:leftChars="0" w:right="0" w:rightChars="0" w:firstLine="420" w:firstLineChars="100"/>
      <w:jc w:val="both"/>
      <w:textAlignment w:val="auto"/>
    </w:pPr>
    <w:rPr>
      <w:rFonts w:ascii="Times New Roman" w:hAnsi="Times New Roman"/>
      <w:kern w:val="2"/>
      <w:sz w:val="21"/>
    </w:rPr>
  </w:style>
  <w:style w:type="paragraph" w:styleId="46">
    <w:name w:val="Body Text First Indent 2"/>
    <w:basedOn w:val="19"/>
    <w:next w:val="47"/>
    <w:autoRedefine/>
    <w:unhideWhenUsed/>
    <w:qFormat/>
    <w:uiPriority w:val="0"/>
    <w:pPr>
      <w:widowControl/>
      <w:ind w:firstLine="200" w:firstLineChars="200"/>
      <w:jc w:val="left"/>
    </w:pPr>
    <w:rPr>
      <w:rFonts w:ascii="Calibri" w:hAnsi="Calibri" w:eastAsia="宋体" w:cs="Times New Roman"/>
      <w:sz w:val="28"/>
    </w:rPr>
  </w:style>
  <w:style w:type="paragraph" w:customStyle="1" w:styleId="47">
    <w:name w:val="样式 正文首行缩进 2 + Arial"/>
    <w:basedOn w:val="1"/>
    <w:next w:val="1"/>
    <w:autoRedefine/>
    <w:qFormat/>
    <w:uiPriority w:val="0"/>
    <w:pPr>
      <w:spacing w:after="120" w:afterLines="0" w:line="320" w:lineRule="atLeast"/>
      <w:ind w:firstLine="200" w:firstLineChars="200"/>
    </w:pPr>
    <w:rPr>
      <w:rFonts w:ascii="Arial" w:hAnsi="Arial"/>
      <w:kern w:val="0"/>
      <w:sz w:val="20"/>
      <w:szCs w:val="24"/>
    </w:rPr>
  </w:style>
  <w:style w:type="table" w:styleId="49">
    <w:name w:val="Table Grid"/>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rPr>
  </w:style>
  <w:style w:type="character" w:styleId="52">
    <w:name w:val="page number"/>
    <w:basedOn w:val="50"/>
    <w:qFormat/>
    <w:uiPriority w:val="0"/>
  </w:style>
  <w:style w:type="character" w:styleId="53">
    <w:name w:val="FollowedHyperlink"/>
    <w:qFormat/>
    <w:uiPriority w:val="0"/>
    <w:rPr>
      <w:color w:val="333333"/>
      <w:u w:val="none"/>
    </w:rPr>
  </w:style>
  <w:style w:type="character" w:styleId="54">
    <w:name w:val="Emphasis"/>
    <w:qFormat/>
    <w:uiPriority w:val="0"/>
    <w:rPr>
      <w:color w:val="CC0033"/>
    </w:rPr>
  </w:style>
  <w:style w:type="character" w:styleId="55">
    <w:name w:val="HTML Definition"/>
    <w:basedOn w:val="50"/>
    <w:semiHidden/>
    <w:unhideWhenUsed/>
    <w:qFormat/>
    <w:uiPriority w:val="99"/>
  </w:style>
  <w:style w:type="character" w:styleId="56">
    <w:name w:val="HTML Typewriter"/>
    <w:basedOn w:val="50"/>
    <w:autoRedefine/>
    <w:semiHidden/>
    <w:unhideWhenUsed/>
    <w:qFormat/>
    <w:uiPriority w:val="99"/>
    <w:rPr>
      <w:rFonts w:hint="default" w:ascii="monospace" w:hAnsi="monospace" w:eastAsia="monospace" w:cs="monospace"/>
      <w:sz w:val="20"/>
    </w:rPr>
  </w:style>
  <w:style w:type="character" w:styleId="57">
    <w:name w:val="HTML Acronym"/>
    <w:basedOn w:val="50"/>
    <w:autoRedefine/>
    <w:semiHidden/>
    <w:unhideWhenUsed/>
    <w:qFormat/>
    <w:uiPriority w:val="99"/>
  </w:style>
  <w:style w:type="character" w:styleId="58">
    <w:name w:val="HTML Variable"/>
    <w:basedOn w:val="50"/>
    <w:semiHidden/>
    <w:unhideWhenUsed/>
    <w:qFormat/>
    <w:uiPriority w:val="99"/>
  </w:style>
  <w:style w:type="character" w:styleId="59">
    <w:name w:val="Hyperlink"/>
    <w:qFormat/>
    <w:uiPriority w:val="99"/>
    <w:rPr>
      <w:color w:val="333333"/>
      <w:u w:val="none"/>
    </w:rPr>
  </w:style>
  <w:style w:type="character" w:styleId="60">
    <w:name w:val="HTML Code"/>
    <w:basedOn w:val="50"/>
    <w:autoRedefine/>
    <w:semiHidden/>
    <w:unhideWhenUsed/>
    <w:qFormat/>
    <w:uiPriority w:val="99"/>
    <w:rPr>
      <w:rFonts w:ascii="monospace" w:hAnsi="monospace" w:eastAsia="monospace" w:cs="monospace"/>
      <w:sz w:val="20"/>
    </w:rPr>
  </w:style>
  <w:style w:type="character" w:styleId="61">
    <w:name w:val="annotation reference"/>
    <w:autoRedefine/>
    <w:qFormat/>
    <w:uiPriority w:val="0"/>
    <w:rPr>
      <w:sz w:val="21"/>
      <w:szCs w:val="21"/>
    </w:rPr>
  </w:style>
  <w:style w:type="character" w:styleId="62">
    <w:name w:val="HTML Cite"/>
    <w:basedOn w:val="50"/>
    <w:autoRedefine/>
    <w:semiHidden/>
    <w:unhideWhenUsed/>
    <w:qFormat/>
    <w:uiPriority w:val="99"/>
  </w:style>
  <w:style w:type="character" w:styleId="63">
    <w:name w:val="HTML Keyboard"/>
    <w:basedOn w:val="50"/>
    <w:semiHidden/>
    <w:unhideWhenUsed/>
    <w:qFormat/>
    <w:uiPriority w:val="99"/>
    <w:rPr>
      <w:rFonts w:hint="default" w:ascii="monospace" w:hAnsi="monospace" w:eastAsia="monospace" w:cs="monospace"/>
      <w:sz w:val="20"/>
    </w:rPr>
  </w:style>
  <w:style w:type="character" w:styleId="64">
    <w:name w:val="HTML Sample"/>
    <w:basedOn w:val="50"/>
    <w:semiHidden/>
    <w:unhideWhenUsed/>
    <w:uiPriority w:val="99"/>
    <w:rPr>
      <w:rFonts w:hint="default" w:ascii="monospace" w:hAnsi="monospace" w:eastAsia="monospace" w:cs="monospace"/>
    </w:rPr>
  </w:style>
  <w:style w:type="character" w:customStyle="1" w:styleId="65">
    <w:name w:val="标题 1 Char"/>
    <w:link w:val="4"/>
    <w:qFormat/>
    <w:uiPriority w:val="0"/>
    <w:rPr>
      <w:b/>
      <w:bCs/>
      <w:kern w:val="44"/>
      <w:sz w:val="44"/>
      <w:szCs w:val="44"/>
    </w:rPr>
  </w:style>
  <w:style w:type="character" w:customStyle="1" w:styleId="66">
    <w:name w:val="标题 3 Char"/>
    <w:link w:val="6"/>
    <w:qFormat/>
    <w:uiPriority w:val="0"/>
    <w:rPr>
      <w:rFonts w:ascii="Times New Roman" w:hAnsi="Times New Roman" w:eastAsia="仿宋_GB2312"/>
      <w:b/>
      <w:bCs/>
      <w:sz w:val="32"/>
      <w:szCs w:val="32"/>
    </w:rPr>
  </w:style>
  <w:style w:type="character" w:customStyle="1" w:styleId="67">
    <w:name w:val="标题 2 Char"/>
    <w:link w:val="5"/>
    <w:qFormat/>
    <w:uiPriority w:val="0"/>
    <w:rPr>
      <w:rFonts w:ascii="Arial" w:hAnsi="Arial" w:eastAsia="黑体"/>
      <w:b/>
      <w:bCs/>
      <w:sz w:val="32"/>
      <w:szCs w:val="32"/>
    </w:rPr>
  </w:style>
  <w:style w:type="paragraph" w:customStyle="1" w:styleId="68">
    <w:name w:val="无间隔1"/>
    <w:basedOn w:val="1"/>
    <w:qFormat/>
    <w:uiPriority w:val="1"/>
    <w:pPr>
      <w:spacing w:line="400" w:lineRule="exact"/>
    </w:pPr>
    <w:rPr>
      <w:sz w:val="24"/>
    </w:rPr>
  </w:style>
  <w:style w:type="paragraph" w:customStyle="1" w:styleId="69">
    <w:name w:val="Default"/>
    <w:next w:val="7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Char Char10 Char Char Char Char"/>
    <w:basedOn w:val="1"/>
    <w:next w:val="71"/>
    <w:qFormat/>
    <w:uiPriority w:val="0"/>
    <w:rPr>
      <w:rFonts w:ascii="Calibri" w:hAnsi="Calibri"/>
      <w:kern w:val="0"/>
    </w:rPr>
  </w:style>
  <w:style w:type="paragraph" w:customStyle="1" w:styleId="71">
    <w:name w:val="xl87"/>
    <w:basedOn w:val="1"/>
    <w:next w:val="72"/>
    <w:qFormat/>
    <w:uiPriority w:val="0"/>
    <w:pPr>
      <w:widowControl/>
      <w:shd w:val="clear" w:color="FFFFFF" w:fill="FFFFFF"/>
      <w:spacing w:before="280" w:after="280"/>
      <w:jc w:val="right"/>
    </w:pPr>
    <w:rPr>
      <w:rFonts w:ascii="宋体" w:hAnsi="Calibri"/>
      <w:kern w:val="0"/>
      <w:sz w:val="24"/>
    </w:rPr>
  </w:style>
  <w:style w:type="paragraph" w:customStyle="1" w:styleId="72">
    <w:name w:val="xl72"/>
    <w:basedOn w:val="1"/>
    <w:next w:val="26"/>
    <w:qFormat/>
    <w:uiPriority w:val="0"/>
    <w:pPr>
      <w:widowControl/>
      <w:shd w:val="clear" w:color="FFFFFF" w:fill="FFFFFF"/>
      <w:spacing w:before="280" w:after="280"/>
      <w:jc w:val="right"/>
    </w:pPr>
    <w:rPr>
      <w:rFonts w:ascii="宋体" w:hAnsi="Calibri"/>
      <w:kern w:val="0"/>
      <w:sz w:val="24"/>
    </w:rPr>
  </w:style>
  <w:style w:type="character" w:customStyle="1" w:styleId="73">
    <w:name w:val="正文文本 Char"/>
    <w:link w:val="2"/>
    <w:qFormat/>
    <w:uiPriority w:val="0"/>
    <w:rPr>
      <w:rFonts w:ascii="Times New Roman" w:hAnsi="Times New Roman" w:cs="Times New Roman"/>
      <w:szCs w:val="24"/>
    </w:rPr>
  </w:style>
  <w:style w:type="character" w:customStyle="1" w:styleId="74">
    <w:name w:val="标题 4 Char"/>
    <w:link w:val="7"/>
    <w:qFormat/>
    <w:uiPriority w:val="0"/>
    <w:rPr>
      <w:rFonts w:ascii="Arial" w:hAnsi="Arial" w:eastAsia="黑体"/>
      <w:b/>
      <w:bCs/>
      <w:sz w:val="28"/>
      <w:szCs w:val="28"/>
    </w:rPr>
  </w:style>
  <w:style w:type="character" w:customStyle="1" w:styleId="75">
    <w:name w:val="标题 5 Char"/>
    <w:link w:val="8"/>
    <w:qFormat/>
    <w:uiPriority w:val="0"/>
    <w:rPr>
      <w:rFonts w:ascii="Times New Roman" w:hAnsi="Times New Roman" w:eastAsia="仿宋_GB2312"/>
      <w:b/>
      <w:bCs/>
      <w:sz w:val="28"/>
      <w:szCs w:val="28"/>
    </w:rPr>
  </w:style>
  <w:style w:type="character" w:customStyle="1" w:styleId="76">
    <w:name w:val="标题 6 Char"/>
    <w:link w:val="9"/>
    <w:qFormat/>
    <w:uiPriority w:val="0"/>
    <w:rPr>
      <w:rFonts w:ascii="Arial" w:hAnsi="Arial" w:eastAsia="黑体"/>
      <w:b/>
      <w:bCs/>
      <w:sz w:val="24"/>
      <w:szCs w:val="24"/>
    </w:rPr>
  </w:style>
  <w:style w:type="character" w:customStyle="1" w:styleId="77">
    <w:name w:val="标题 7 Char"/>
    <w:link w:val="10"/>
    <w:qFormat/>
    <w:uiPriority w:val="0"/>
    <w:rPr>
      <w:rFonts w:ascii="Times New Roman" w:hAnsi="Times New Roman" w:eastAsia="仿宋_GB2312"/>
      <w:b/>
      <w:bCs/>
      <w:sz w:val="24"/>
      <w:szCs w:val="24"/>
    </w:rPr>
  </w:style>
  <w:style w:type="character" w:customStyle="1" w:styleId="78">
    <w:name w:val="标题 8 Char"/>
    <w:link w:val="11"/>
    <w:qFormat/>
    <w:uiPriority w:val="0"/>
    <w:rPr>
      <w:rFonts w:ascii="Arial" w:hAnsi="Arial" w:eastAsia="黑体"/>
      <w:sz w:val="24"/>
      <w:szCs w:val="24"/>
    </w:rPr>
  </w:style>
  <w:style w:type="character" w:customStyle="1" w:styleId="79">
    <w:name w:val="标题 9 Char"/>
    <w:link w:val="12"/>
    <w:qFormat/>
    <w:uiPriority w:val="0"/>
    <w:rPr>
      <w:rFonts w:ascii="Arial" w:hAnsi="Arial" w:eastAsia="黑体"/>
      <w:szCs w:val="21"/>
    </w:rPr>
  </w:style>
  <w:style w:type="character" w:customStyle="1" w:styleId="80">
    <w:name w:val="正文缩进 Char"/>
    <w:link w:val="14"/>
    <w:qFormat/>
    <w:locked/>
    <w:uiPriority w:val="0"/>
    <w:rPr>
      <w:rFonts w:ascii="Times New Roman" w:hAnsi="Times New Roman"/>
      <w:kern w:val="2"/>
      <w:sz w:val="21"/>
      <w:szCs w:val="24"/>
    </w:rPr>
  </w:style>
  <w:style w:type="character" w:customStyle="1" w:styleId="81">
    <w:name w:val="文档结构图 Char"/>
    <w:link w:val="16"/>
    <w:qFormat/>
    <w:uiPriority w:val="0"/>
    <w:rPr>
      <w:rFonts w:hAnsi="Times New Roman"/>
      <w:sz w:val="18"/>
      <w:szCs w:val="18"/>
    </w:rPr>
  </w:style>
  <w:style w:type="character" w:customStyle="1" w:styleId="82">
    <w:name w:val="批注文字 Char1"/>
    <w:link w:val="17"/>
    <w:semiHidden/>
    <w:qFormat/>
    <w:uiPriority w:val="99"/>
    <w:rPr>
      <w:rFonts w:ascii="Times New Roman" w:hAnsi="Times New Roman" w:eastAsia="宋体" w:cs="Times New Roman"/>
      <w:szCs w:val="24"/>
    </w:rPr>
  </w:style>
  <w:style w:type="character" w:customStyle="1" w:styleId="83">
    <w:name w:val="正文文本 3 Char"/>
    <w:link w:val="18"/>
    <w:qFormat/>
    <w:uiPriority w:val="0"/>
    <w:rPr>
      <w:rFonts w:hAnsi="Times New Roman" w:cs="Times New Roman"/>
      <w:sz w:val="24"/>
      <w:szCs w:val="20"/>
    </w:rPr>
  </w:style>
  <w:style w:type="character" w:customStyle="1" w:styleId="84">
    <w:name w:val="正文文本缩进 Char"/>
    <w:link w:val="19"/>
    <w:qFormat/>
    <w:uiPriority w:val="0"/>
    <w:rPr>
      <w:rFonts w:ascii="Times New Roman" w:hAnsi="Times New Roman" w:cs="Times New Roman"/>
      <w:szCs w:val="24"/>
    </w:rPr>
  </w:style>
  <w:style w:type="character" w:customStyle="1" w:styleId="85">
    <w:name w:val="纯文本 Char"/>
    <w:link w:val="24"/>
    <w:autoRedefine/>
    <w:qFormat/>
    <w:uiPriority w:val="0"/>
    <w:rPr>
      <w:rFonts w:hAnsi="Courier New" w:cs="Courier New"/>
      <w:szCs w:val="21"/>
    </w:rPr>
  </w:style>
  <w:style w:type="character" w:customStyle="1" w:styleId="86">
    <w:name w:val="日期 Char"/>
    <w:link w:val="26"/>
    <w:qFormat/>
    <w:uiPriority w:val="0"/>
    <w:rPr>
      <w:rFonts w:ascii="Times New Roman" w:hAnsi="Times New Roman" w:cs="Times New Roman"/>
      <w:sz w:val="24"/>
      <w:szCs w:val="20"/>
    </w:rPr>
  </w:style>
  <w:style w:type="character" w:customStyle="1" w:styleId="87">
    <w:name w:val="正文文本缩进 2 Char"/>
    <w:link w:val="27"/>
    <w:autoRedefine/>
    <w:qFormat/>
    <w:uiPriority w:val="0"/>
    <w:rPr>
      <w:rFonts w:ascii="Times New Roman" w:hAnsi="Times New Roman" w:eastAsia="楷体_GB2312" w:cs="Times New Roman"/>
      <w:sz w:val="28"/>
      <w:szCs w:val="24"/>
    </w:rPr>
  </w:style>
  <w:style w:type="character" w:customStyle="1" w:styleId="88">
    <w:name w:val="批注框文本 Char"/>
    <w:link w:val="28"/>
    <w:autoRedefine/>
    <w:qFormat/>
    <w:uiPriority w:val="0"/>
    <w:rPr>
      <w:rFonts w:ascii="Times New Roman" w:hAnsi="Times New Roman" w:cs="Times New Roman"/>
      <w:sz w:val="18"/>
      <w:szCs w:val="18"/>
    </w:rPr>
  </w:style>
  <w:style w:type="character" w:customStyle="1" w:styleId="89">
    <w:name w:val="页脚 Char"/>
    <w:link w:val="29"/>
    <w:autoRedefine/>
    <w:qFormat/>
    <w:uiPriority w:val="0"/>
    <w:rPr>
      <w:rFonts w:ascii="Times New Roman" w:hAnsi="Times New Roman" w:cs="Times New Roman"/>
      <w:sz w:val="18"/>
      <w:szCs w:val="18"/>
    </w:rPr>
  </w:style>
  <w:style w:type="character" w:customStyle="1" w:styleId="90">
    <w:name w:val="页眉 Char"/>
    <w:link w:val="31"/>
    <w:autoRedefine/>
    <w:qFormat/>
    <w:uiPriority w:val="0"/>
    <w:rPr>
      <w:rFonts w:ascii="Times New Roman" w:hAnsi="Times New Roman" w:cs="Times New Roman"/>
      <w:sz w:val="18"/>
      <w:szCs w:val="18"/>
    </w:rPr>
  </w:style>
  <w:style w:type="character" w:customStyle="1" w:styleId="91">
    <w:name w:val="副标题 Char"/>
    <w:link w:val="34"/>
    <w:autoRedefine/>
    <w:qFormat/>
    <w:uiPriority w:val="0"/>
    <w:rPr>
      <w:rFonts w:ascii="Calibri Light" w:hAnsi="Calibri Light" w:cs="Times New Roman"/>
      <w:b/>
      <w:bCs/>
      <w:kern w:val="28"/>
      <w:sz w:val="32"/>
      <w:szCs w:val="32"/>
    </w:rPr>
  </w:style>
  <w:style w:type="character" w:customStyle="1" w:styleId="92">
    <w:name w:val="正文文本缩进 3 Char"/>
    <w:link w:val="37"/>
    <w:autoRedefine/>
    <w:qFormat/>
    <w:uiPriority w:val="0"/>
    <w:rPr>
      <w:rFonts w:ascii="Times New Roman" w:hAnsi="Times New Roman" w:cs="Times New Roman"/>
      <w:sz w:val="16"/>
      <w:szCs w:val="16"/>
    </w:rPr>
  </w:style>
  <w:style w:type="character" w:customStyle="1" w:styleId="93">
    <w:name w:val="标题 Char"/>
    <w:link w:val="43"/>
    <w:autoRedefine/>
    <w:qFormat/>
    <w:uiPriority w:val="0"/>
    <w:rPr>
      <w:rFonts w:ascii="Arial" w:hAnsi="Arial" w:cs="Times New Roman"/>
      <w:b/>
      <w:sz w:val="32"/>
      <w:szCs w:val="20"/>
    </w:rPr>
  </w:style>
  <w:style w:type="character" w:customStyle="1" w:styleId="94">
    <w:name w:val="批注主题 Char"/>
    <w:link w:val="44"/>
    <w:autoRedefine/>
    <w:qFormat/>
    <w:uiPriority w:val="0"/>
    <w:rPr>
      <w:rFonts w:ascii="Times New Roman" w:hAnsi="Times New Roman" w:cs="Times New Roman"/>
      <w:b/>
      <w:bCs/>
      <w:kern w:val="2"/>
      <w:sz w:val="21"/>
      <w:szCs w:val="24"/>
    </w:rPr>
  </w:style>
  <w:style w:type="character" w:customStyle="1" w:styleId="95">
    <w:name w:val="正文首行缩进 Char"/>
    <w:link w:val="45"/>
    <w:autoRedefine/>
    <w:qFormat/>
    <w:uiPriority w:val="0"/>
    <w:rPr>
      <w:rFonts w:ascii="Times New Roman" w:hAnsi="Times New Roman" w:cs="Times New Roman"/>
      <w:kern w:val="2"/>
      <w:sz w:val="21"/>
      <w:szCs w:val="24"/>
    </w:rPr>
  </w:style>
  <w:style w:type="paragraph" w:customStyle="1" w:styleId="96">
    <w:name w:val="style4"/>
    <w:basedOn w:val="97"/>
    <w:next w:val="99"/>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97">
    <w:name w:val="正文1"/>
    <w:basedOn w:val="1"/>
    <w:next w:val="98"/>
    <w:autoRedefine/>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98">
    <w:name w:val="正文文本1"/>
    <w:basedOn w:val="97"/>
    <w:next w:val="96"/>
    <w:qFormat/>
    <w:uiPriority w:val="0"/>
    <w:pPr>
      <w:spacing w:after="120" w:afterLines="0"/>
    </w:pPr>
    <w:rPr>
      <w:rFonts w:ascii="Times New Roman" w:hAnsi="Times New Roman" w:eastAsia="宋体" w:cs="Times New Roman"/>
      <w:kern w:val="0"/>
      <w:sz w:val="20"/>
    </w:rPr>
  </w:style>
  <w:style w:type="paragraph" w:customStyle="1" w:styleId="9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Intense Reference"/>
    <w:qFormat/>
    <w:uiPriority w:val="0"/>
    <w:rPr>
      <w:b/>
      <w:bCs/>
      <w:smallCaps/>
      <w:color w:val="auto"/>
      <w:spacing w:val="5"/>
      <w:u w:val="single"/>
    </w:rPr>
  </w:style>
  <w:style w:type="character" w:customStyle="1" w:styleId="101">
    <w:name w:val="z-窗体底端 Char"/>
    <w:link w:val="102"/>
    <w:qFormat/>
    <w:uiPriority w:val="0"/>
    <w:rPr>
      <w:rFonts w:ascii="Arial" w:hAnsi="Times New Roman" w:eastAsia="宋体" w:cs="Times New Roman"/>
      <w:vanish/>
      <w:sz w:val="16"/>
      <w:szCs w:val="24"/>
    </w:rPr>
  </w:style>
  <w:style w:type="paragraph" w:customStyle="1" w:styleId="102">
    <w:name w:val="_Style 88"/>
    <w:basedOn w:val="1"/>
    <w:next w:val="1"/>
    <w:link w:val="101"/>
    <w:qFormat/>
    <w:uiPriority w:val="0"/>
    <w:pPr>
      <w:pBdr>
        <w:top w:val="single" w:color="auto" w:sz="6" w:space="1"/>
      </w:pBdr>
      <w:jc w:val="center"/>
    </w:pPr>
    <w:rPr>
      <w:rFonts w:ascii="Arial" w:hAnsi="Times New Roman"/>
      <w:vanish/>
      <w:kern w:val="0"/>
      <w:sz w:val="16"/>
    </w:rPr>
  </w:style>
  <w:style w:type="character" w:customStyle="1" w:styleId="103">
    <w:name w:val="Subtle Emphasis"/>
    <w:qFormat/>
    <w:uiPriority w:val="0"/>
    <w:rPr>
      <w:i/>
      <w:iCs/>
      <w:color w:val="808080"/>
    </w:rPr>
  </w:style>
  <w:style w:type="character" w:customStyle="1" w:styleId="104">
    <w:name w:val="Quote Char1"/>
    <w:qFormat/>
    <w:uiPriority w:val="0"/>
    <w:rPr>
      <w:rFonts w:cs="Calibri"/>
      <w:i/>
      <w:iCs/>
      <w:color w:val="000000"/>
      <w:szCs w:val="21"/>
    </w:rPr>
  </w:style>
  <w:style w:type="character" w:customStyle="1" w:styleId="105">
    <w:name w:val="页脚 Char1"/>
    <w:semiHidden/>
    <w:qFormat/>
    <w:uiPriority w:val="99"/>
    <w:rPr>
      <w:rFonts w:ascii="Times New Roman" w:hAnsi="Times New Roman" w:eastAsia="宋体" w:cs="Times New Roman"/>
      <w:sz w:val="18"/>
      <w:szCs w:val="18"/>
    </w:rPr>
  </w:style>
  <w:style w:type="character" w:customStyle="1" w:styleId="106">
    <w:name w:val="Intense Quote Char1"/>
    <w:autoRedefine/>
    <w:qFormat/>
    <w:uiPriority w:val="0"/>
    <w:rPr>
      <w:rFonts w:cs="Calibri"/>
      <w:b/>
      <w:bCs/>
      <w:i/>
      <w:iCs/>
      <w:color w:val="4F81BD"/>
      <w:szCs w:val="21"/>
    </w:rPr>
  </w:style>
  <w:style w:type="character" w:customStyle="1" w:styleId="107">
    <w:name w:val="标题 Char1"/>
    <w:autoRedefine/>
    <w:qFormat/>
    <w:uiPriority w:val="10"/>
    <w:rPr>
      <w:rFonts w:ascii="Cambria" w:hAnsi="Cambria" w:eastAsia="宋体" w:cs="Times New Roman"/>
      <w:b/>
      <w:bCs/>
      <w:sz w:val="32"/>
      <w:szCs w:val="32"/>
    </w:rPr>
  </w:style>
  <w:style w:type="character" w:customStyle="1" w:styleId="108">
    <w:name w:val="副标题 Char1"/>
    <w:autoRedefine/>
    <w:qFormat/>
    <w:uiPriority w:val="11"/>
    <w:rPr>
      <w:rFonts w:ascii="Cambria" w:hAnsi="Cambria" w:eastAsia="宋体" w:cs="Times New Roman"/>
      <w:b/>
      <w:bCs/>
      <w:kern w:val="28"/>
      <w:sz w:val="32"/>
      <w:szCs w:val="32"/>
    </w:rPr>
  </w:style>
  <w:style w:type="character" w:customStyle="1" w:styleId="109">
    <w:name w:val="正文文本 3 Char1"/>
    <w:semiHidden/>
    <w:qFormat/>
    <w:uiPriority w:val="99"/>
    <w:rPr>
      <w:rFonts w:ascii="Times New Roman" w:hAnsi="Times New Roman" w:eastAsia="宋体" w:cs="Times New Roman"/>
      <w:sz w:val="16"/>
      <w:szCs w:val="16"/>
    </w:rPr>
  </w:style>
  <w:style w:type="character" w:customStyle="1" w:styleId="110">
    <w:name w:val="批注文字 Char"/>
    <w:qFormat/>
    <w:uiPriority w:val="0"/>
    <w:rPr>
      <w:rFonts w:ascii="Times New Roman" w:hAnsi="Times New Roman" w:cs="Times New Roman"/>
      <w:kern w:val="2"/>
      <w:sz w:val="21"/>
      <w:szCs w:val="24"/>
    </w:rPr>
  </w:style>
  <w:style w:type="character" w:customStyle="1" w:styleId="111">
    <w:name w:val=" Char Char16"/>
    <w:autoRedefine/>
    <w:qFormat/>
    <w:locked/>
    <w:uiPriority w:val="0"/>
    <w:rPr>
      <w:b/>
      <w:bCs/>
      <w:kern w:val="2"/>
      <w:sz w:val="32"/>
      <w:szCs w:val="32"/>
    </w:rPr>
  </w:style>
  <w:style w:type="character" w:customStyle="1" w:styleId="112">
    <w:name w:val="普通文字1 Char"/>
    <w:qFormat/>
    <w:uiPriority w:val="0"/>
    <w:rPr>
      <w:rFonts w:ascii="宋体" w:hAnsi="Courier New" w:eastAsia="宋体" w:cs="Courier New"/>
      <w:kern w:val="2"/>
      <w:sz w:val="21"/>
      <w:szCs w:val="21"/>
      <w:lang w:val="en-US" w:eastAsia="zh-CN" w:bidi="ar-SA"/>
    </w:rPr>
  </w:style>
  <w:style w:type="character" w:customStyle="1" w:styleId="113">
    <w:name w:val="Subtle Reference"/>
    <w:qFormat/>
    <w:uiPriority w:val="0"/>
    <w:rPr>
      <w:smallCaps/>
      <w:color w:val="auto"/>
      <w:u w:val="single"/>
    </w:rPr>
  </w:style>
  <w:style w:type="character" w:customStyle="1" w:styleId="114">
    <w:name w:val="textcontents"/>
    <w:autoRedefine/>
    <w:qFormat/>
    <w:uiPriority w:val="0"/>
  </w:style>
  <w:style w:type="character" w:customStyle="1" w:styleId="115">
    <w:name w:val="页眉 Char1"/>
    <w:semiHidden/>
    <w:qFormat/>
    <w:uiPriority w:val="99"/>
    <w:rPr>
      <w:rFonts w:ascii="Times New Roman" w:hAnsi="Times New Roman" w:eastAsia="宋体" w:cs="Times New Roman"/>
      <w:sz w:val="18"/>
      <w:szCs w:val="18"/>
    </w:rPr>
  </w:style>
  <w:style w:type="character" w:customStyle="1" w:styleId="116">
    <w:name w:val="font161"/>
    <w:qFormat/>
    <w:uiPriority w:val="0"/>
    <w:rPr>
      <w:b/>
      <w:bCs/>
      <w:sz w:val="32"/>
      <w:szCs w:val="32"/>
    </w:rPr>
  </w:style>
  <w:style w:type="character" w:customStyle="1" w:styleId="117">
    <w:name w:val="Book Title"/>
    <w:qFormat/>
    <w:uiPriority w:val="0"/>
    <w:rPr>
      <w:b/>
      <w:bCs/>
      <w:smallCaps/>
      <w:spacing w:val="5"/>
    </w:rPr>
  </w:style>
  <w:style w:type="character" w:customStyle="1" w:styleId="118">
    <w:name w:val="正文文本 Char1"/>
    <w:qFormat/>
    <w:uiPriority w:val="0"/>
    <w:rPr>
      <w:rFonts w:ascii="Times New Roman" w:hAnsi="Times New Roman" w:eastAsia="宋体" w:cs="Times New Roman"/>
      <w:szCs w:val="24"/>
    </w:rPr>
  </w:style>
  <w:style w:type="character" w:customStyle="1" w:styleId="119">
    <w:name w:val=" Char Char17"/>
    <w:qFormat/>
    <w:locked/>
    <w:uiPriority w:val="0"/>
    <w:rPr>
      <w:rFonts w:ascii="Cambria" w:hAnsi="Cambria" w:eastAsia="宋体" w:cs="Cambria"/>
      <w:b/>
      <w:bCs/>
      <w:kern w:val="2"/>
      <w:sz w:val="32"/>
      <w:szCs w:val="32"/>
    </w:rPr>
  </w:style>
  <w:style w:type="character" w:customStyle="1" w:styleId="120">
    <w:name w:val=" Char Char2"/>
    <w:qFormat/>
    <w:uiPriority w:val="0"/>
    <w:rPr>
      <w:rFonts w:ascii="Arial" w:hAnsi="Arial" w:eastAsia="黑体"/>
      <w:b/>
      <w:bCs/>
      <w:kern w:val="2"/>
      <w:sz w:val="32"/>
      <w:szCs w:val="32"/>
      <w:lang w:val="en-US" w:eastAsia="zh-CN" w:bidi="ar-SA"/>
    </w:rPr>
  </w:style>
  <w:style w:type="character" w:customStyle="1" w:styleId="121">
    <w:name w:val="文档结构图 Char1"/>
    <w:qFormat/>
    <w:uiPriority w:val="0"/>
    <w:rPr>
      <w:rFonts w:ascii="宋体" w:hAnsi="Times New Roman" w:eastAsia="宋体" w:cs="Times New Roman"/>
      <w:sz w:val="18"/>
      <w:szCs w:val="18"/>
    </w:rPr>
  </w:style>
  <w:style w:type="character" w:customStyle="1" w:styleId="122">
    <w:name w:val="Quote Char"/>
    <w:link w:val="123"/>
    <w:qFormat/>
    <w:locked/>
    <w:uiPriority w:val="0"/>
    <w:rPr>
      <w:i/>
      <w:iCs/>
      <w:color w:val="000000"/>
      <w:kern w:val="2"/>
      <w:sz w:val="22"/>
      <w:szCs w:val="22"/>
    </w:rPr>
  </w:style>
  <w:style w:type="paragraph" w:customStyle="1" w:styleId="123">
    <w:name w:val="Quote"/>
    <w:basedOn w:val="1"/>
    <w:next w:val="1"/>
    <w:link w:val="122"/>
    <w:qFormat/>
    <w:uiPriority w:val="0"/>
    <w:rPr>
      <w:i/>
      <w:iCs/>
      <w:color w:val="000000"/>
      <w:sz w:val="22"/>
      <w:szCs w:val="22"/>
    </w:rPr>
  </w:style>
  <w:style w:type="character" w:customStyle="1" w:styleId="124">
    <w:name w:val="正文文本缩进 Char1"/>
    <w:semiHidden/>
    <w:qFormat/>
    <w:uiPriority w:val="99"/>
    <w:rPr>
      <w:rFonts w:ascii="Times New Roman" w:hAnsi="Times New Roman" w:eastAsia="宋体" w:cs="Times New Roman"/>
      <w:szCs w:val="24"/>
    </w:rPr>
  </w:style>
  <w:style w:type="character" w:customStyle="1" w:styleId="125">
    <w:name w:val="15"/>
    <w:qFormat/>
    <w:uiPriority w:val="0"/>
    <w:rPr>
      <w:rFonts w:hint="default" w:ascii="Times New Roman" w:hAnsi="Times New Roman" w:cs="Times New Roman"/>
      <w:color w:val="464445"/>
      <w:u w:val="none"/>
    </w:rPr>
  </w:style>
  <w:style w:type="character" w:customStyle="1" w:styleId="126">
    <w:name w:val="Title Char1"/>
    <w:qFormat/>
    <w:uiPriority w:val="0"/>
    <w:rPr>
      <w:rFonts w:ascii="Cambria" w:hAnsi="Cambria" w:cs="Times New Roman"/>
      <w:b/>
      <w:bCs/>
      <w:sz w:val="32"/>
      <w:szCs w:val="32"/>
    </w:rPr>
  </w:style>
  <w:style w:type="character" w:customStyle="1" w:styleId="127">
    <w:name w:val="dash6b63_6587__char1"/>
    <w:qFormat/>
    <w:uiPriority w:val="0"/>
    <w:rPr>
      <w:rFonts w:hint="default" w:ascii="Calibri" w:hAnsi="Calibri" w:cs="Calibri"/>
      <w:sz w:val="20"/>
      <w:szCs w:val="20"/>
    </w:rPr>
  </w:style>
  <w:style w:type="character" w:customStyle="1" w:styleId="128">
    <w:name w:val="标题5 Char Char"/>
    <w:link w:val="129"/>
    <w:qFormat/>
    <w:locked/>
    <w:uiPriority w:val="0"/>
    <w:rPr>
      <w:rFonts w:ascii="Arial" w:hAnsi="Arial"/>
      <w:b/>
      <w:bCs/>
      <w:sz w:val="32"/>
      <w:szCs w:val="32"/>
    </w:rPr>
  </w:style>
  <w:style w:type="paragraph" w:customStyle="1" w:styleId="129">
    <w:name w:val="标题5"/>
    <w:basedOn w:val="6"/>
    <w:link w:val="128"/>
    <w:qFormat/>
    <w:uiPriority w:val="0"/>
    <w:pPr>
      <w:numPr>
        <w:ilvl w:val="2"/>
        <w:numId w:val="0"/>
      </w:numPr>
      <w:spacing w:line="413" w:lineRule="auto"/>
    </w:pPr>
    <w:rPr>
      <w:rFonts w:ascii="Arial" w:hAnsi="Arial" w:eastAsia="宋体"/>
    </w:rPr>
  </w:style>
  <w:style w:type="character" w:customStyle="1" w:styleId="130">
    <w:name w:val="Intense Quote Char"/>
    <w:link w:val="131"/>
    <w:autoRedefine/>
    <w:qFormat/>
    <w:locked/>
    <w:uiPriority w:val="0"/>
    <w:rPr>
      <w:b/>
      <w:bCs/>
      <w:i/>
      <w:iCs/>
      <w:color w:val="4F81BD"/>
      <w:kern w:val="2"/>
      <w:sz w:val="22"/>
      <w:szCs w:val="22"/>
    </w:rPr>
  </w:style>
  <w:style w:type="paragraph" w:customStyle="1" w:styleId="131">
    <w:name w:val="Intense Quote"/>
    <w:basedOn w:val="1"/>
    <w:next w:val="1"/>
    <w:link w:val="130"/>
    <w:qFormat/>
    <w:uiPriority w:val="0"/>
    <w:pPr>
      <w:pBdr>
        <w:bottom w:val="single" w:color="4F81BD" w:sz="4" w:space="4"/>
      </w:pBdr>
      <w:spacing w:before="200" w:beforeLines="0" w:after="280" w:afterLines="0"/>
      <w:ind w:left="936" w:right="936"/>
    </w:pPr>
    <w:rPr>
      <w:b/>
      <w:bCs/>
      <w:i/>
      <w:iCs/>
      <w:color w:val="4F81BD"/>
      <w:sz w:val="22"/>
      <w:szCs w:val="22"/>
    </w:rPr>
  </w:style>
  <w:style w:type="character" w:customStyle="1" w:styleId="132">
    <w:name w:val=" Char Char14"/>
    <w:qFormat/>
    <w:locked/>
    <w:uiPriority w:val="0"/>
    <w:rPr>
      <w:b/>
      <w:bCs/>
      <w:kern w:val="2"/>
      <w:sz w:val="28"/>
      <w:szCs w:val="28"/>
    </w:rPr>
  </w:style>
  <w:style w:type="character" w:customStyle="1" w:styleId="133">
    <w:name w:val=" Char Char7"/>
    <w:qFormat/>
    <w:uiPriority w:val="0"/>
    <w:rPr>
      <w:sz w:val="21"/>
      <w:lang w:bidi="ar-SA"/>
    </w:rPr>
  </w:style>
  <w:style w:type="character" w:customStyle="1" w:styleId="134">
    <w:name w:val="批注框文本 Char1"/>
    <w:qFormat/>
    <w:uiPriority w:val="0"/>
    <w:rPr>
      <w:rFonts w:ascii="Times New Roman" w:hAnsi="Times New Roman" w:eastAsia="宋体" w:cs="Times New Roman"/>
      <w:sz w:val="18"/>
      <w:szCs w:val="18"/>
    </w:rPr>
  </w:style>
  <w:style w:type="character" w:customStyle="1" w:styleId="135">
    <w:name w:val="纯文本 Char1"/>
    <w:semiHidden/>
    <w:qFormat/>
    <w:uiPriority w:val="99"/>
    <w:rPr>
      <w:rFonts w:ascii="宋体" w:hAnsi="Courier New" w:eastAsia="宋体" w:cs="Courier New"/>
      <w:szCs w:val="21"/>
    </w:rPr>
  </w:style>
  <w:style w:type="character" w:customStyle="1" w:styleId="136">
    <w:name w:val="z-窗体顶端 Char"/>
    <w:link w:val="137"/>
    <w:qFormat/>
    <w:uiPriority w:val="0"/>
    <w:rPr>
      <w:rFonts w:ascii="Arial" w:hAnsi="Times New Roman" w:eastAsia="宋体" w:cs="Times New Roman"/>
      <w:vanish/>
      <w:sz w:val="16"/>
      <w:szCs w:val="24"/>
    </w:rPr>
  </w:style>
  <w:style w:type="paragraph" w:customStyle="1" w:styleId="137">
    <w:name w:val="_Style 123"/>
    <w:basedOn w:val="1"/>
    <w:next w:val="1"/>
    <w:link w:val="136"/>
    <w:qFormat/>
    <w:uiPriority w:val="0"/>
    <w:pPr>
      <w:pBdr>
        <w:bottom w:val="single" w:color="auto" w:sz="6" w:space="1"/>
      </w:pBdr>
      <w:jc w:val="center"/>
    </w:pPr>
    <w:rPr>
      <w:rFonts w:ascii="Arial" w:hAnsi="Times New Roman"/>
      <w:vanish/>
      <w:kern w:val="0"/>
      <w:sz w:val="16"/>
    </w:rPr>
  </w:style>
  <w:style w:type="character" w:customStyle="1" w:styleId="138">
    <w:name w:val="Intense Emphasis"/>
    <w:qFormat/>
    <w:uiPriority w:val="0"/>
    <w:rPr>
      <w:b/>
      <w:bCs/>
      <w:i/>
      <w:iCs/>
      <w:color w:val="4F81BD"/>
    </w:rPr>
  </w:style>
  <w:style w:type="character" w:customStyle="1" w:styleId="139">
    <w:name w:val=" Char Char18"/>
    <w:qFormat/>
    <w:locked/>
    <w:uiPriority w:val="0"/>
    <w:rPr>
      <w:b/>
      <w:bCs/>
      <w:kern w:val="44"/>
      <w:sz w:val="44"/>
      <w:szCs w:val="44"/>
    </w:rPr>
  </w:style>
  <w:style w:type="character" w:customStyle="1" w:styleId="140">
    <w:name w:val="样式 标书正文 + 下划线 Char"/>
    <w:qFormat/>
    <w:uiPriority w:val="0"/>
    <w:rPr>
      <w:rFonts w:eastAsia="楷体_GB2312"/>
      <w:kern w:val="2"/>
      <w:sz w:val="28"/>
      <w:u w:val="single"/>
      <w:lang w:val="en-US" w:eastAsia="zh-CN"/>
    </w:rPr>
  </w:style>
  <w:style w:type="character" w:customStyle="1" w:styleId="141">
    <w:name w:val="正文文本缩进 3 Char1"/>
    <w:semiHidden/>
    <w:qFormat/>
    <w:uiPriority w:val="99"/>
    <w:rPr>
      <w:rFonts w:ascii="Times New Roman" w:hAnsi="Times New Roman" w:eastAsia="宋体" w:cs="Times New Roman"/>
      <w:sz w:val="16"/>
      <w:szCs w:val="16"/>
    </w:rPr>
  </w:style>
  <w:style w:type="character" w:customStyle="1" w:styleId="142">
    <w:name w:val=" Char Char11"/>
    <w:qFormat/>
    <w:uiPriority w:val="0"/>
    <w:rPr>
      <w:rFonts w:eastAsia="宋体"/>
      <w:b/>
      <w:bCs/>
      <w:kern w:val="2"/>
      <w:sz w:val="32"/>
      <w:szCs w:val="32"/>
      <w:lang w:val="en-US" w:eastAsia="zh-CN" w:bidi="ar-SA"/>
    </w:rPr>
  </w:style>
  <w:style w:type="character" w:customStyle="1" w:styleId="143">
    <w:name w:val="日期 Char1"/>
    <w:qFormat/>
    <w:uiPriority w:val="0"/>
    <w:rPr>
      <w:rFonts w:ascii="Times New Roman" w:hAnsi="Times New Roman" w:eastAsia="宋体" w:cs="Times New Roman"/>
      <w:szCs w:val="24"/>
    </w:rPr>
  </w:style>
  <w:style w:type="character" w:customStyle="1" w:styleId="144">
    <w:name w:val="批注主题 Char1"/>
    <w:qFormat/>
    <w:uiPriority w:val="0"/>
    <w:rPr>
      <w:rFonts w:ascii="Times New Roman" w:hAnsi="Times New Roman" w:eastAsia="宋体" w:cs="Times New Roman"/>
      <w:b/>
      <w:bCs/>
      <w:szCs w:val="24"/>
    </w:rPr>
  </w:style>
  <w:style w:type="character" w:customStyle="1" w:styleId="145">
    <w:name w:val=" Char Char6"/>
    <w:qFormat/>
    <w:uiPriority w:val="0"/>
    <w:rPr>
      <w:rFonts w:ascii="宋体" w:hAnsi="Courier New" w:eastAsia="宋体" w:cs="Courier New"/>
      <w:kern w:val="2"/>
      <w:sz w:val="21"/>
      <w:szCs w:val="21"/>
      <w:lang w:val="en-US" w:eastAsia="zh-CN" w:bidi="ar-SA"/>
    </w:rPr>
  </w:style>
  <w:style w:type="character" w:customStyle="1" w:styleId="146">
    <w:name w:val="批注文字 Char Char"/>
    <w:qFormat/>
    <w:uiPriority w:val="0"/>
    <w:rPr>
      <w:rFonts w:ascii="宋体" w:hAnsi="Times New Roman" w:eastAsia="宋体" w:cs="宋体"/>
      <w:sz w:val="20"/>
      <w:szCs w:val="20"/>
    </w:rPr>
  </w:style>
  <w:style w:type="character" w:customStyle="1" w:styleId="147">
    <w:name w:val="font31"/>
    <w:qFormat/>
    <w:uiPriority w:val="0"/>
    <w:rPr>
      <w:rFonts w:hint="eastAsia" w:ascii="宋体" w:hAnsi="宋体" w:eastAsia="宋体" w:cs="宋体"/>
      <w:b/>
      <w:color w:val="000000"/>
      <w:sz w:val="22"/>
      <w:szCs w:val="22"/>
      <w:u w:val="none"/>
    </w:rPr>
  </w:style>
  <w:style w:type="character" w:customStyle="1" w:styleId="148">
    <w:name w:val=" Char Char12"/>
    <w:qFormat/>
    <w:uiPriority w:val="0"/>
    <w:rPr>
      <w:rFonts w:ascii="Arial" w:hAnsi="Arial" w:eastAsia="黑体"/>
      <w:b/>
      <w:kern w:val="2"/>
      <w:sz w:val="32"/>
      <w:lang w:val="en-US" w:eastAsia="zh-CN" w:bidi="ar-SA"/>
    </w:rPr>
  </w:style>
  <w:style w:type="character" w:customStyle="1" w:styleId="149">
    <w:name w:val=" Char Char15"/>
    <w:qFormat/>
    <w:locked/>
    <w:uiPriority w:val="0"/>
    <w:rPr>
      <w:rFonts w:ascii="Cambria" w:hAnsi="Cambria" w:eastAsia="宋体" w:cs="Cambria"/>
      <w:b/>
      <w:bCs/>
      <w:kern w:val="2"/>
      <w:sz w:val="28"/>
      <w:szCs w:val="28"/>
    </w:rPr>
  </w:style>
  <w:style w:type="paragraph" w:customStyle="1" w:styleId="150">
    <w:name w:val="表格"/>
    <w:basedOn w:val="1"/>
    <w:qFormat/>
    <w:uiPriority w:val="0"/>
    <w:pPr>
      <w:jc w:val="center"/>
      <w:textAlignment w:val="center"/>
    </w:pPr>
    <w:rPr>
      <w:rFonts w:ascii="华文细黑" w:hAnsi="华文细黑"/>
      <w:kern w:val="0"/>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Table Paragraph"/>
    <w:basedOn w:val="1"/>
    <w:qFormat/>
    <w:uiPriority w:val="1"/>
    <w:pPr>
      <w:jc w:val="left"/>
    </w:pPr>
    <w:rPr>
      <w:rFonts w:ascii="宋体" w:hAnsi="宋体" w:eastAsia="宋体" w:cs="宋体"/>
      <w:kern w:val="0"/>
      <w:sz w:val="22"/>
      <w:szCs w:val="22"/>
      <w:lang w:eastAsia="en-US"/>
    </w:rPr>
  </w:style>
  <w:style w:type="paragraph" w:customStyle="1" w:styleId="153">
    <w:name w:val="1"/>
    <w:basedOn w:val="1"/>
    <w:qFormat/>
    <w:uiPriority w:val="0"/>
  </w:style>
  <w:style w:type="paragraph" w:customStyle="1" w:styleId="154">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55">
    <w:name w:val="Char1"/>
    <w:basedOn w:val="1"/>
    <w:qFormat/>
    <w:uiPriority w:val="0"/>
    <w:pPr>
      <w:widowControl/>
      <w:spacing w:after="160" w:afterLines="0" w:line="240" w:lineRule="exact"/>
      <w:jc w:val="left"/>
    </w:pPr>
    <w:rPr>
      <w:rFonts w:ascii="宋体" w:hAnsi="宋体"/>
      <w:kern w:val="0"/>
      <w:sz w:val="20"/>
      <w:szCs w:val="20"/>
      <w:lang w:eastAsia="en-US"/>
    </w:rPr>
  </w:style>
  <w:style w:type="paragraph" w:customStyle="1" w:styleId="156">
    <w:name w:val="Heading 2"/>
    <w:basedOn w:val="1"/>
    <w:qFormat/>
    <w:uiPriority w:val="1"/>
    <w:pPr>
      <w:ind w:left="100" w:right="108"/>
      <w:jc w:val="left"/>
      <w:outlineLvl w:val="2"/>
    </w:pPr>
    <w:rPr>
      <w:rFonts w:ascii="Microsoft JhengHei" w:hAnsi="Microsoft JhengHei" w:eastAsia="Microsoft JhengHei" w:cs="Microsoft JhengHei"/>
      <w:b/>
      <w:bCs/>
      <w:kern w:val="0"/>
      <w:sz w:val="32"/>
      <w:szCs w:val="32"/>
      <w:lang w:eastAsia="en-US"/>
    </w:rPr>
  </w:style>
  <w:style w:type="paragraph" w:customStyle="1" w:styleId="157">
    <w:name w:val=" Char Char Char Char"/>
    <w:basedOn w:val="1"/>
    <w:qFormat/>
    <w:uiPriority w:val="0"/>
    <w:rPr>
      <w:rFonts w:ascii="Tahoma" w:hAnsi="Tahoma"/>
      <w:sz w:val="24"/>
      <w:szCs w:val="20"/>
    </w:rPr>
  </w:style>
  <w:style w:type="paragraph" w:customStyle="1" w:styleId="158">
    <w:name w:val="1）"/>
    <w:basedOn w:val="1"/>
    <w:next w:val="1"/>
    <w:qFormat/>
    <w:uiPriority w:val="0"/>
    <w:pPr>
      <w:adjustRightInd w:val="0"/>
      <w:snapToGrid w:val="0"/>
      <w:textAlignment w:val="center"/>
    </w:pPr>
    <w:rPr>
      <w:kern w:val="0"/>
      <w:sz w:val="24"/>
      <w:szCs w:val="20"/>
    </w:rPr>
  </w:style>
  <w:style w:type="paragraph" w:customStyle="1" w:styleId="159">
    <w:name w:val="Heading 3"/>
    <w:basedOn w:val="1"/>
    <w:qFormat/>
    <w:uiPriority w:val="1"/>
    <w:pPr>
      <w:ind w:left="237" w:right="113"/>
      <w:jc w:val="left"/>
      <w:outlineLvl w:val="3"/>
    </w:pPr>
    <w:rPr>
      <w:rFonts w:ascii="宋体" w:hAnsi="宋体" w:eastAsia="宋体" w:cs="宋体"/>
      <w:kern w:val="0"/>
      <w:sz w:val="28"/>
      <w:szCs w:val="28"/>
      <w:lang w:eastAsia="en-US"/>
    </w:rPr>
  </w:style>
  <w:style w:type="paragraph" w:customStyle="1" w:styleId="160">
    <w:name w:val=" Char"/>
    <w:basedOn w:val="1"/>
    <w:qFormat/>
    <w:uiPriority w:val="0"/>
    <w:pPr>
      <w:ind w:left="567" w:hanging="283"/>
    </w:pPr>
    <w:rPr>
      <w:rFonts w:ascii="宋体" w:hAnsi="宋体"/>
      <w:sz w:val="28"/>
    </w:rPr>
  </w:style>
  <w:style w:type="paragraph" w:customStyle="1" w:styleId="161">
    <w:name w:val="正文文本缩进 3 New"/>
    <w:basedOn w:val="1"/>
    <w:qFormat/>
    <w:uiPriority w:val="0"/>
    <w:pPr>
      <w:ind w:left="630"/>
    </w:pPr>
    <w:rPr>
      <w:sz w:val="30"/>
      <w:szCs w:val="30"/>
    </w:rPr>
  </w:style>
  <w:style w:type="paragraph" w:customStyle="1" w:styleId="162">
    <w:name w:val="List Paragraph1"/>
    <w:basedOn w:val="1"/>
    <w:qFormat/>
    <w:uiPriority w:val="0"/>
    <w:pPr>
      <w:spacing w:line="360" w:lineRule="auto"/>
      <w:ind w:left="200" w:leftChars="200" w:firstLine="420" w:firstLineChars="200"/>
      <w:jc w:val="left"/>
    </w:pPr>
    <w:rPr>
      <w:sz w:val="24"/>
      <w:szCs w:val="22"/>
    </w:rPr>
  </w:style>
  <w:style w:type="paragraph" w:customStyle="1" w:styleId="163">
    <w:name w:val="景逢春公文样式"/>
    <w:basedOn w:val="1"/>
    <w:qFormat/>
    <w:uiPriority w:val="0"/>
    <w:pPr>
      <w:spacing w:line="360" w:lineRule="auto"/>
    </w:pPr>
    <w:rPr>
      <w:rFonts w:ascii="Albertus" w:hAnsi="Albertus" w:eastAsia="仿宋_GB2312"/>
      <w:sz w:val="28"/>
      <w:szCs w:val="20"/>
    </w:rPr>
  </w:style>
  <w:style w:type="paragraph" w:customStyle="1" w:styleId="164">
    <w:name w:val="No Spacing"/>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65">
    <w:name w:val=" Char4"/>
    <w:basedOn w:val="1"/>
    <w:qFormat/>
    <w:uiPriority w:val="0"/>
  </w:style>
  <w:style w:type="paragraph" w:customStyle="1" w:styleId="166">
    <w:name w:val="表格标题"/>
    <w:basedOn w:val="1"/>
    <w:qFormat/>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167">
    <w:name w:val="UserStyle_136"/>
    <w:basedOn w:val="1"/>
    <w:next w:val="1"/>
    <w:qFormat/>
    <w:uiPriority w:val="0"/>
    <w:pPr>
      <w:spacing w:after="120" w:afterLines="0" w:line="320" w:lineRule="atLeast"/>
      <w:ind w:firstLine="200" w:firstLineChars="200"/>
    </w:pPr>
    <w:rPr>
      <w:rFonts w:ascii="Arial" w:hAnsi="Arial"/>
      <w:kern w:val="0"/>
    </w:rPr>
  </w:style>
  <w:style w:type="paragraph" w:customStyle="1" w:styleId="168">
    <w:name w:val="Char Char Char"/>
    <w:basedOn w:val="1"/>
    <w:qFormat/>
    <w:uiPriority w:val="0"/>
    <w:pPr>
      <w:adjustRightInd w:val="0"/>
      <w:spacing w:line="360" w:lineRule="atLeast"/>
    </w:pPr>
  </w:style>
  <w:style w:type="paragraph" w:customStyle="1" w:styleId="169">
    <w:name w:val=" Char Char10 Char"/>
    <w:basedOn w:val="1"/>
    <w:qFormat/>
    <w:uiPriority w:val="0"/>
  </w:style>
  <w:style w:type="paragraph" w:customStyle="1" w:styleId="170">
    <w:name w:val="_Style 156"/>
    <w:basedOn w:val="4"/>
    <w:next w:val="1"/>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2">
    <w:name w:val="BodyText1I2"/>
    <w:basedOn w:val="173"/>
    <w:next w:val="167"/>
    <w:qFormat/>
    <w:uiPriority w:val="0"/>
    <w:pPr>
      <w:ind w:firstLine="420" w:firstLineChars="200"/>
    </w:pPr>
    <w:rPr>
      <w:rFonts w:ascii="Calibri" w:hAnsi="Calibri" w:eastAsia="楷体_GB2312"/>
      <w:kern w:val="44"/>
      <w:sz w:val="44"/>
    </w:rPr>
  </w:style>
  <w:style w:type="paragraph" w:customStyle="1" w:styleId="173">
    <w:name w:val="BodyTextIndent"/>
    <w:basedOn w:val="1"/>
    <w:qFormat/>
    <w:uiPriority w:val="0"/>
    <w:pPr>
      <w:spacing w:after="120" w:afterLines="0"/>
      <w:ind w:left="420" w:leftChars="200"/>
    </w:pPr>
    <w:rPr>
      <w:rFonts w:ascii="Times New Roman" w:hAnsi="Times New Roman"/>
      <w:kern w:val="0"/>
      <w:sz w:val="20"/>
    </w:rPr>
  </w:style>
  <w:style w:type="paragraph" w:customStyle="1" w:styleId="174">
    <w:name w:val="表格文字"/>
    <w:basedOn w:val="1"/>
    <w:qFormat/>
    <w:uiPriority w:val="0"/>
    <w:pPr>
      <w:adjustRightInd w:val="0"/>
      <w:spacing w:line="420" w:lineRule="atLeast"/>
      <w:jc w:val="left"/>
      <w:textAlignment w:val="baseline"/>
    </w:pPr>
    <w:rPr>
      <w:kern w:val="0"/>
      <w:szCs w:val="20"/>
    </w:rPr>
  </w:style>
  <w:style w:type="paragraph" w:customStyle="1" w:styleId="17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76">
    <w:name w:val="TOC Heading"/>
    <w:basedOn w:val="4"/>
    <w:next w:val="1"/>
    <w:qFormat/>
    <w:uiPriority w:val="0"/>
    <w:pPr>
      <w:numPr>
        <w:ilvl w:val="0"/>
        <w:numId w:val="0"/>
      </w:numPr>
      <w:outlineLvl w:val="9"/>
    </w:pPr>
    <w:rPr>
      <w:rFonts w:ascii="Calibri" w:hAnsi="Calibri" w:cs="Calibri"/>
    </w:rPr>
  </w:style>
  <w:style w:type="paragraph" w:customStyle="1" w:styleId="177">
    <w:name w:val="样式 标题 2 + Times New Roman 四号 非加粗 段前: 5 磅 段后: 0 磅 行距: 固定值 20..."/>
    <w:basedOn w:val="5"/>
    <w:qFormat/>
    <w:uiPriority w:val="0"/>
    <w:pPr>
      <w:numPr>
        <w:ilvl w:val="1"/>
        <w:numId w:val="0"/>
      </w:numPr>
      <w:spacing w:before="100" w:beforeLines="0" w:after="0" w:afterLines="0" w:line="400" w:lineRule="exact"/>
    </w:pPr>
    <w:rPr>
      <w:rFonts w:ascii="Times New Roman" w:hAnsi="Times New Roman" w:cs="宋体"/>
      <w:b w:val="0"/>
      <w:bCs w:val="0"/>
      <w:sz w:val="28"/>
      <w:szCs w:val="20"/>
    </w:rPr>
  </w:style>
  <w:style w:type="paragraph" w:customStyle="1" w:styleId="178">
    <w:name w:val="1 Char"/>
    <w:basedOn w:val="1"/>
    <w:qFormat/>
    <w:uiPriority w:val="0"/>
    <w:rPr>
      <w:rFonts w:ascii="Tahoma" w:hAnsi="Tahoma"/>
      <w:sz w:val="24"/>
      <w:szCs w:val="20"/>
    </w:rPr>
  </w:style>
  <w:style w:type="paragraph" w:customStyle="1" w:styleId="179">
    <w:name w:val="正文文本_0"/>
    <w:basedOn w:val="180"/>
    <w:unhideWhenUsed/>
    <w:qFormat/>
    <w:uiPriority w:val="99"/>
    <w:pPr>
      <w:spacing w:after="120" w:afterLines="0"/>
    </w:pPr>
  </w:style>
  <w:style w:type="paragraph" w:customStyle="1" w:styleId="180">
    <w:name w:val="正文_0"/>
    <w:next w:val="1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p0"/>
    <w:basedOn w:val="1"/>
    <w:qFormat/>
    <w:uiPriority w:val="0"/>
    <w:rPr>
      <w:szCs w:val="21"/>
    </w:rPr>
  </w:style>
  <w:style w:type="paragraph" w:customStyle="1" w:styleId="182">
    <w:name w:val="一级标题"/>
    <w:basedOn w:val="4"/>
    <w:qFormat/>
    <w:uiPriority w:val="0"/>
    <w:pPr>
      <w:numPr>
        <w:ilvl w:val="0"/>
        <w:numId w:val="0"/>
      </w:numPr>
      <w:spacing w:before="0" w:beforeLines="0" w:after="0" w:afterLines="0" w:line="240" w:lineRule="auto"/>
      <w:jc w:val="center"/>
    </w:pPr>
    <w:rPr>
      <w:rFonts w:eastAsia="黑体"/>
      <w:b w:val="0"/>
      <w:sz w:val="28"/>
    </w:rPr>
  </w:style>
  <w:style w:type="paragraph" w:customStyle="1" w:styleId="183">
    <w:name w:val="样式 标题 3 + (中文) 黑体 小四 非加粗 段前: 7.8 磅 段后: 0 磅 行距: 固定值 20 磅"/>
    <w:basedOn w:val="6"/>
    <w:autoRedefine/>
    <w:qFormat/>
    <w:uiPriority w:val="0"/>
    <w:pPr>
      <w:numPr>
        <w:ilvl w:val="2"/>
        <w:numId w:val="0"/>
      </w:numPr>
      <w:spacing w:before="0" w:beforeLines="0" w:after="0" w:afterLines="0" w:line="400" w:lineRule="exact"/>
    </w:pPr>
    <w:rPr>
      <w:rFonts w:eastAsia="黑体" w:cs="宋体"/>
      <w:b w:val="0"/>
      <w:bCs w:val="0"/>
      <w:sz w:val="24"/>
      <w:szCs w:val="20"/>
    </w:rPr>
  </w:style>
  <w:style w:type="paragraph" w:styleId="184">
    <w:name w:val="List Paragraph"/>
    <w:basedOn w:val="1"/>
    <w:qFormat/>
    <w:uiPriority w:val="0"/>
    <w:pPr>
      <w:ind w:firstLine="420" w:firstLineChars="200"/>
    </w:pPr>
    <w:rPr>
      <w:rFonts w:ascii="Calibri" w:hAnsi="Calibri"/>
      <w:szCs w:val="20"/>
    </w:rPr>
  </w:style>
  <w:style w:type="paragraph" w:customStyle="1" w:styleId="185">
    <w:name w:val="列出段落1"/>
    <w:basedOn w:val="1"/>
    <w:qFormat/>
    <w:uiPriority w:val="0"/>
    <w:pPr>
      <w:ind w:firstLine="420" w:firstLineChars="200"/>
    </w:pPr>
  </w:style>
  <w:style w:type="paragraph" w:customStyle="1" w:styleId="186">
    <w:name w:val="标题4 11"/>
    <w:basedOn w:val="6"/>
    <w:autoRedefine/>
    <w:qFormat/>
    <w:uiPriority w:val="0"/>
    <w:pPr>
      <w:numPr>
        <w:ilvl w:val="1"/>
        <w:numId w:val="1"/>
      </w:numPr>
      <w:tabs>
        <w:tab w:val="left" w:pos="567"/>
      </w:tabs>
      <w:spacing w:line="413" w:lineRule="auto"/>
    </w:pPr>
    <w:rPr>
      <w:rFonts w:eastAsia="宋体"/>
      <w:b w:val="0"/>
      <w:kern w:val="2"/>
      <w:sz w:val="28"/>
      <w:szCs w:val="28"/>
    </w:rPr>
  </w:style>
  <w:style w:type="paragraph" w:customStyle="1" w:styleId="187">
    <w:name w:val="_Style 4"/>
    <w:basedOn w:val="4"/>
    <w:next w:val="1"/>
    <w:qFormat/>
    <w:uiPriority w:val="0"/>
    <w:pPr>
      <w:outlineLvl w:val="9"/>
    </w:pPr>
    <w:rPr>
      <w:rFonts w:ascii="Calibri" w:hAnsi="Calibri"/>
    </w:rPr>
  </w:style>
  <w:style w:type="paragraph" w:customStyle="1" w:styleId="188">
    <w:name w:val="Revision"/>
    <w:qFormat/>
    <w:uiPriority w:val="0"/>
    <w:rPr>
      <w:rFonts w:ascii="Times New Roman" w:hAnsi="Times New Roman" w:eastAsia="宋体" w:cs="Times New Roman"/>
      <w:kern w:val="2"/>
      <w:sz w:val="21"/>
      <w:szCs w:val="21"/>
      <w:lang w:val="en-US" w:eastAsia="zh-CN" w:bidi="ar-SA"/>
    </w:rPr>
  </w:style>
  <w:style w:type="paragraph" w:customStyle="1" w:styleId="189">
    <w:name w:val="Body Text Indent"/>
    <w:basedOn w:val="1"/>
    <w:qFormat/>
    <w:uiPriority w:val="0"/>
    <w:pPr>
      <w:snapToGrid w:val="0"/>
      <w:spacing w:after="120" w:afterLines="0" w:line="360" w:lineRule="auto"/>
      <w:ind w:left="420" w:leftChars="200" w:firstLine="560" w:firstLineChars="200"/>
      <w:jc w:val="left"/>
    </w:pPr>
    <w:rPr>
      <w:rFonts w:ascii="仿宋" w:hAnsi="仿宋" w:eastAsia="仿宋" w:cs="仿宋"/>
      <w:color w:val="000000"/>
      <w:szCs w:val="28"/>
    </w:rPr>
  </w:style>
  <w:style w:type="paragraph" w:customStyle="1" w:styleId="190">
    <w:name w:val="样式1"/>
    <w:basedOn w:val="6"/>
    <w:autoRedefine/>
    <w:qFormat/>
    <w:uiPriority w:val="0"/>
    <w:pPr>
      <w:numPr>
        <w:ilvl w:val="2"/>
        <w:numId w:val="0"/>
      </w:numPr>
      <w:tabs>
        <w:tab w:val="left" w:pos="425"/>
      </w:tabs>
      <w:spacing w:line="413" w:lineRule="auto"/>
      <w:ind w:left="425" w:hanging="425"/>
    </w:pPr>
    <w:rPr>
      <w:rFonts w:eastAsia="宋体"/>
      <w:bCs w:val="0"/>
      <w:kern w:val="2"/>
      <w:szCs w:val="20"/>
    </w:rPr>
  </w:style>
  <w:style w:type="paragraph" w:customStyle="1" w:styleId="19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3">
    <w:name w:val="样式 一级项标 + 首行缩进:  2 字符 段前: 0.5 行1"/>
    <w:basedOn w:val="1"/>
    <w:qFormat/>
    <w:uiPriority w:val="0"/>
    <w:pPr>
      <w:spacing w:before="156" w:beforeLines="50" w:line="480" w:lineRule="exact"/>
      <w:ind w:firstLine="455" w:firstLineChars="200"/>
    </w:pPr>
    <w:rPr>
      <w:rFonts w:eastAsia="黑体"/>
      <w:b/>
      <w:bCs/>
      <w:sz w:val="24"/>
      <w:szCs w:val="20"/>
    </w:rPr>
  </w:style>
  <w:style w:type="paragraph" w:customStyle="1" w:styleId="194">
    <w:name w:val="样式 标题 1 + 黑体 三号 非加粗 居中 段前: 6 磅 段后: 6 磅 行距: 固定值 20 磅"/>
    <w:basedOn w:val="4"/>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95">
    <w:name w:val="*正文"/>
    <w:basedOn w:val="1"/>
    <w:next w:val="1"/>
    <w:qFormat/>
    <w:uiPriority w:val="0"/>
    <w:pPr>
      <w:widowControl/>
      <w:ind w:firstLine="482"/>
    </w:pPr>
    <w:rPr>
      <w:rFonts w:ascii="微软雅黑" w:hAnsi="微软雅黑" w:eastAsia="微软雅黑"/>
      <w:szCs w:val="32"/>
    </w:rPr>
  </w:style>
  <w:style w:type="paragraph" w:customStyle="1" w:styleId="19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97">
    <w:name w:val="二级标题"/>
    <w:basedOn w:val="182"/>
    <w:qFormat/>
    <w:uiPriority w:val="0"/>
    <w:pPr>
      <w:jc w:val="both"/>
    </w:pPr>
  </w:style>
  <w:style w:type="paragraph" w:customStyle="1" w:styleId="198">
    <w:name w:val="Char"/>
    <w:basedOn w:val="1"/>
    <w:qFormat/>
    <w:uiPriority w:val="0"/>
    <w:pPr>
      <w:tabs>
        <w:tab w:val="left" w:pos="360"/>
      </w:tabs>
    </w:pPr>
    <w:rPr>
      <w:sz w:val="24"/>
    </w:rPr>
  </w:style>
  <w:style w:type="paragraph" w:customStyle="1" w:styleId="199">
    <w:name w:val="空半行"/>
    <w:basedOn w:val="1"/>
    <w:qFormat/>
    <w:uiPriority w:val="0"/>
    <w:pPr>
      <w:adjustRightInd w:val="0"/>
      <w:spacing w:line="120" w:lineRule="exact"/>
      <w:textAlignment w:val="baseline"/>
    </w:pPr>
    <w:rPr>
      <w:rFonts w:eastAsia="仿宋_GB2312"/>
      <w:color w:val="FFFFFF"/>
      <w:kern w:val="0"/>
      <w:sz w:val="30"/>
      <w:szCs w:val="30"/>
    </w:rPr>
  </w:style>
  <w:style w:type="paragraph" w:customStyle="1" w:styleId="200">
    <w:name w:val="正文_0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标题3-1"/>
    <w:basedOn w:val="6"/>
    <w:qFormat/>
    <w:uiPriority w:val="0"/>
    <w:pPr>
      <w:numPr>
        <w:ilvl w:val="0"/>
        <w:numId w:val="1"/>
      </w:numPr>
      <w:tabs>
        <w:tab w:val="left" w:pos="425"/>
      </w:tabs>
      <w:spacing w:line="413" w:lineRule="auto"/>
    </w:pPr>
    <w:rPr>
      <w:rFonts w:eastAsia="宋体"/>
      <w:kern w:val="2"/>
      <w:sz w:val="24"/>
    </w:rPr>
  </w:style>
  <w:style w:type="paragraph" w:customStyle="1" w:styleId="202">
    <w:name w:val="标题5 1"/>
    <w:basedOn w:val="186"/>
    <w:qFormat/>
    <w:uiPriority w:val="0"/>
    <w:pPr>
      <w:numPr>
        <w:ilvl w:val="2"/>
        <w:numId w:val="1"/>
      </w:numPr>
      <w:tabs>
        <w:tab w:val="left" w:pos="709"/>
        <w:tab w:val="clear" w:pos="567"/>
      </w:tabs>
      <w:outlineLvl w:val="4"/>
    </w:pPr>
    <w:rPr>
      <w:b/>
      <w:sz w:val="24"/>
      <w:szCs w:val="24"/>
    </w:rPr>
  </w:style>
  <w:style w:type="paragraph" w:customStyle="1" w:styleId="203">
    <w:name w:val="flNote"/>
    <w:basedOn w:val="1"/>
    <w:qFormat/>
    <w:uiPriority w:val="0"/>
    <w:pPr>
      <w:adjustRightInd w:val="0"/>
      <w:spacing w:before="320" w:beforeLines="0" w:after="160" w:afterLines="0" w:line="360" w:lineRule="atLeast"/>
      <w:jc w:val="center"/>
      <w:textAlignment w:val="baseline"/>
    </w:pPr>
    <w:rPr>
      <w:rFonts w:ascii="Arial" w:eastAsia="黑体" w:cs="Arial"/>
      <w:kern w:val="0"/>
      <w:sz w:val="30"/>
      <w:szCs w:val="30"/>
    </w:rPr>
  </w:style>
  <w:style w:type="paragraph" w:customStyle="1" w:styleId="204">
    <w:name w:val="表"/>
    <w:qFormat/>
    <w:uiPriority w:val="0"/>
    <w:pPr>
      <w:widowControl w:val="0"/>
      <w:spacing w:line="360" w:lineRule="auto"/>
      <w:jc w:val="both"/>
    </w:pPr>
    <w:rPr>
      <w:rFonts w:ascii="宋体" w:hAnsi="宋体" w:eastAsia="宋体" w:cs="Times New Roman"/>
      <w:b/>
      <w:bCs/>
      <w:kern w:val="2"/>
      <w:sz w:val="21"/>
      <w:szCs w:val="22"/>
      <w:lang w:val="en-US" w:eastAsia="zh-CN" w:bidi="ar-SA"/>
    </w:rPr>
  </w:style>
  <w:style w:type="paragraph" w:customStyle="1" w:styleId="205">
    <w:name w:val="表格字体-靠左"/>
    <w:next w:val="1"/>
    <w:qFormat/>
    <w:uiPriority w:val="0"/>
    <w:pPr>
      <w:widowControl w:val="0"/>
      <w:spacing w:line="240" w:lineRule="auto"/>
      <w:ind w:firstLine="280" w:firstLineChars="100"/>
      <w:jc w:val="left"/>
    </w:pPr>
    <w:rPr>
      <w:rFonts w:ascii="Times New Roman" w:hAnsi="Times New Roman" w:eastAsia="宋体" w:cs="Times New Roman"/>
      <w:kern w:val="2"/>
      <w:sz w:val="21"/>
      <w:szCs w:val="20"/>
      <w:lang w:val="en-US" w:eastAsia="zh-CN" w:bidi="ar-SA"/>
    </w:rPr>
  </w:style>
  <w:style w:type="paragraph" w:customStyle="1" w:styleId="206">
    <w:name w:val="正文内容"/>
    <w:qFormat/>
    <w:uiPriority w:val="0"/>
    <w:pPr>
      <w:widowControl w:val="0"/>
      <w:jc w:val="center"/>
    </w:pPr>
    <w:rPr>
      <w:rFonts w:ascii="宋体" w:hAnsi="宋体" w:eastAsia="宋体" w:cs="Times New Roman"/>
      <w:b/>
      <w:kern w:val="2"/>
      <w:sz w:val="21"/>
      <w:szCs w:val="21"/>
      <w:lang w:val="en-US" w:eastAsia="zh-CN" w:bidi="ar-SA"/>
    </w:rPr>
  </w:style>
  <w:style w:type="character" w:customStyle="1" w:styleId="207">
    <w:name w:val="layui-layer-tabnow"/>
    <w:basedOn w:val="50"/>
    <w:qFormat/>
    <w:uiPriority w:val="0"/>
    <w:rPr>
      <w:bdr w:val="single" w:color="CCCCCC" w:sz="6" w:space="0"/>
      <w:shd w:val="clear" w:fill="FFFFFF"/>
    </w:rPr>
  </w:style>
  <w:style w:type="character" w:customStyle="1" w:styleId="208">
    <w:name w:val="first-child"/>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23433</Words>
  <Characters>25526</Characters>
  <Lines>189</Lines>
  <Paragraphs>53</Paragraphs>
  <TotalTime>4</TotalTime>
  <ScaleCrop>false</ScaleCrop>
  <LinksUpToDate>false</LinksUpToDate>
  <CharactersWithSpaces>27694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2019-05-20T01:38:00Z</dcterms:created>
  <dc:creator>微软用户</dc:creator>
  <cp:lastModifiedBy>樱花粟</cp:lastModifiedBy>
  <cp:lastPrinted>2023-12-06T02:18:00Z</cp:lastPrinted>
  <dcterms:modified xsi:type="dcterms:W3CDTF">2023-12-15T07:32:10Z</dcterms:modified>
  <dc:title>平桥区明港镇大营村美丽乡村建设试点项目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FE701D8F55E84AC683B95157951D4A46_13</vt:lpwstr>
  </property>
</Properties>
</file>