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3F95">
      <w:pPr>
        <w:jc w:val="center"/>
        <w:rPr>
          <w:rFonts w:hint="eastAsia"/>
          <w:sz w:val="96"/>
          <w:szCs w:val="72"/>
          <w:lang w:val="en-US" w:eastAsia="zh-CN"/>
        </w:rPr>
      </w:pPr>
      <w:r>
        <w:rPr>
          <w:rFonts w:hint="eastAsia"/>
          <w:sz w:val="96"/>
          <w:szCs w:val="72"/>
          <w:lang w:val="en-US" w:eastAsia="zh-CN"/>
        </w:rPr>
        <w:drawing>
          <wp:anchor distT="0" distB="0" distL="114300" distR="114300" simplePos="0" relativeHeight="251659264" behindDoc="0" locked="0" layoutInCell="1" allowOverlap="1">
            <wp:simplePos x="0" y="0"/>
            <wp:positionH relativeFrom="column">
              <wp:posOffset>-1224280</wp:posOffset>
            </wp:positionH>
            <wp:positionV relativeFrom="paragraph">
              <wp:posOffset>1302385</wp:posOffset>
            </wp:positionV>
            <wp:extent cx="8350885" cy="5902325"/>
            <wp:effectExtent l="0" t="0" r="3175" b="12065"/>
            <wp:wrapNone/>
            <wp:docPr id="6" name="图片 6" descr="封面-监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封面-监理"/>
                    <pic:cNvPicPr>
                      <a:picLocks noChangeAspect="1"/>
                    </pic:cNvPicPr>
                  </pic:nvPicPr>
                  <pic:blipFill>
                    <a:blip r:embed="rId6"/>
                    <a:stretch>
                      <a:fillRect/>
                    </a:stretch>
                  </pic:blipFill>
                  <pic:spPr>
                    <a:xfrm rot="16200000">
                      <a:off x="0" y="0"/>
                      <a:ext cx="8350885" cy="5902325"/>
                    </a:xfrm>
                    <a:prstGeom prst="rect">
                      <a:avLst/>
                    </a:prstGeom>
                  </pic:spPr>
                </pic:pic>
              </a:graphicData>
            </a:graphic>
          </wp:anchor>
        </w:drawing>
      </w:r>
    </w:p>
    <w:p w14:paraId="7B3B77E5">
      <w:pPr>
        <w:rPr>
          <w:rFonts w:hint="eastAsia"/>
          <w:lang w:val="en-US" w:eastAsia="zh-CN"/>
        </w:rPr>
      </w:pPr>
      <w:r>
        <w:rPr>
          <w:rFonts w:hint="eastAsia"/>
          <w:sz w:val="96"/>
          <w:szCs w:val="72"/>
          <w:lang w:val="en-US" w:eastAsia="zh-CN"/>
        </w:rPr>
        <w:br w:type="page"/>
      </w:r>
    </w:p>
    <w:p w14:paraId="76B8DF00">
      <w:pPr>
        <w:pStyle w:val="17"/>
        <w:spacing w:line="720" w:lineRule="auto"/>
        <w:ind w:firstLine="0" w:firstLineChars="0"/>
        <w:rPr>
          <w:rFonts w:hint="eastAsia" w:cs="宋体" w:asciiTheme="minorEastAsia" w:hAnsiTheme="minorEastAsia" w:eastAsiaTheme="minorEastAsia"/>
          <w:bCs/>
          <w:color w:val="auto"/>
          <w:sz w:val="40"/>
          <w:szCs w:val="40"/>
          <w:highlight w:val="none"/>
          <w:lang w:eastAsia="zh-CN"/>
        </w:rPr>
      </w:pPr>
    </w:p>
    <w:p w14:paraId="05981F26">
      <w:pPr>
        <w:pStyle w:val="17"/>
        <w:spacing w:line="720" w:lineRule="auto"/>
        <w:ind w:firstLine="0" w:firstLineChars="0"/>
        <w:rPr>
          <w:rFonts w:hint="eastAsia" w:cs="宋体" w:asciiTheme="minorEastAsia" w:hAnsiTheme="minorEastAsia" w:eastAsiaTheme="minorEastAsia"/>
          <w:bCs/>
          <w:color w:val="auto"/>
          <w:sz w:val="40"/>
          <w:szCs w:val="40"/>
          <w:highlight w:val="none"/>
          <w:lang w:eastAsia="zh-CN"/>
        </w:rPr>
      </w:pPr>
      <w:r>
        <w:rPr>
          <w:rFonts w:hint="eastAsia" w:cs="宋体" w:asciiTheme="minorEastAsia" w:hAnsiTheme="minorEastAsia" w:eastAsiaTheme="minorEastAsia"/>
          <w:bCs/>
          <w:color w:val="auto"/>
          <w:sz w:val="40"/>
          <w:szCs w:val="40"/>
          <w:highlight w:val="none"/>
          <w:lang w:eastAsia="zh-CN"/>
        </w:rPr>
        <w:t>2025年新乡市干线公路第一批养护工程监理项目</w:t>
      </w:r>
    </w:p>
    <w:p w14:paraId="27E190DC">
      <w:pPr>
        <w:spacing w:line="360" w:lineRule="auto"/>
        <w:jc w:val="center"/>
        <w:rPr>
          <w:rFonts w:cs="宋体" w:asciiTheme="minorEastAsia" w:hAnsiTheme="minorEastAsia" w:eastAsiaTheme="minorEastAsia"/>
          <w:b/>
          <w:color w:val="auto"/>
          <w:sz w:val="72"/>
          <w:szCs w:val="72"/>
          <w:highlight w:val="none"/>
        </w:rPr>
      </w:pPr>
    </w:p>
    <w:p w14:paraId="3E598F66">
      <w:pPr>
        <w:spacing w:line="360" w:lineRule="auto"/>
        <w:jc w:val="center"/>
        <w:rPr>
          <w:rFonts w:hint="eastAsia" w:cs="宋体" w:asciiTheme="minorEastAsia" w:hAnsiTheme="minorEastAsia" w:eastAsiaTheme="minorEastAsia"/>
          <w:b/>
          <w:color w:val="auto"/>
          <w:sz w:val="72"/>
          <w:szCs w:val="72"/>
          <w:highlight w:val="none"/>
        </w:rPr>
      </w:pPr>
    </w:p>
    <w:p w14:paraId="790E266E">
      <w:pPr>
        <w:spacing w:line="360" w:lineRule="auto"/>
        <w:jc w:val="center"/>
        <w:rPr>
          <w:rFonts w:cs="宋体" w:asciiTheme="minorEastAsia" w:hAnsiTheme="minorEastAsia" w:eastAsiaTheme="minorEastAsia"/>
          <w:b/>
          <w:color w:val="auto"/>
          <w:sz w:val="72"/>
          <w:szCs w:val="72"/>
          <w:highlight w:val="none"/>
        </w:rPr>
      </w:pPr>
      <w:r>
        <w:rPr>
          <w:rFonts w:hint="eastAsia" w:cs="宋体" w:asciiTheme="minorEastAsia" w:hAnsiTheme="minorEastAsia" w:eastAsiaTheme="minorEastAsia"/>
          <w:b/>
          <w:color w:val="auto"/>
          <w:sz w:val="72"/>
          <w:szCs w:val="72"/>
          <w:highlight w:val="none"/>
        </w:rPr>
        <w:t>招标文件</w:t>
      </w:r>
    </w:p>
    <w:p w14:paraId="3A76CDDC">
      <w:pPr>
        <w:spacing w:line="360" w:lineRule="auto"/>
        <w:jc w:val="center"/>
        <w:rPr>
          <w:rFonts w:hint="default" w:cs="宋体" w:asciiTheme="minorEastAsia" w:hAnsiTheme="minorEastAsia" w:eastAsiaTheme="minorEastAsia"/>
          <w:b/>
          <w:color w:val="auto"/>
          <w:sz w:val="32"/>
          <w:szCs w:val="32"/>
          <w:highlight w:val="none"/>
          <w:lang w:val="en-US" w:eastAsia="zh-CN"/>
        </w:rPr>
      </w:pPr>
      <w:r>
        <w:rPr>
          <w:rFonts w:hint="eastAsia" w:cs="宋体" w:asciiTheme="minorEastAsia" w:hAnsiTheme="minorEastAsia" w:eastAsiaTheme="minorEastAsia"/>
          <w:b/>
          <w:color w:val="auto"/>
          <w:sz w:val="32"/>
          <w:szCs w:val="32"/>
          <w:highlight w:val="none"/>
        </w:rPr>
        <w:t>项目编号：</w:t>
      </w:r>
      <w:r>
        <w:rPr>
          <w:rFonts w:hint="eastAsia" w:cs="宋体" w:asciiTheme="minorEastAsia" w:hAnsiTheme="minorEastAsia" w:eastAsiaTheme="minorEastAsia"/>
          <w:b/>
          <w:color w:val="auto"/>
          <w:sz w:val="32"/>
          <w:szCs w:val="32"/>
          <w:highlight w:val="none"/>
          <w:lang w:eastAsia="zh-CN"/>
        </w:rPr>
        <w:t>新乡政采招标采购</w:t>
      </w:r>
      <w:r>
        <w:rPr>
          <w:rFonts w:hint="eastAsia" w:cs="宋体" w:asciiTheme="minorEastAsia" w:hAnsiTheme="minorEastAsia" w:eastAsiaTheme="minorEastAsia"/>
          <w:b/>
          <w:color w:val="auto"/>
          <w:sz w:val="32"/>
          <w:szCs w:val="32"/>
          <w:highlight w:val="none"/>
          <w:lang w:val="en-US" w:eastAsia="zh-CN"/>
        </w:rPr>
        <w:t>-2025-74</w:t>
      </w:r>
    </w:p>
    <w:p w14:paraId="4FACBB5D">
      <w:pPr>
        <w:spacing w:line="360" w:lineRule="auto"/>
        <w:rPr>
          <w:rFonts w:cs="宋体" w:asciiTheme="minorEastAsia" w:hAnsiTheme="minorEastAsia" w:eastAsiaTheme="minorEastAsia"/>
          <w:color w:val="auto"/>
          <w:sz w:val="24"/>
          <w:highlight w:val="none"/>
        </w:rPr>
      </w:pPr>
    </w:p>
    <w:p w14:paraId="7239B571">
      <w:pPr>
        <w:pStyle w:val="20"/>
        <w:tabs>
          <w:tab w:val="left" w:pos="8460"/>
        </w:tabs>
        <w:spacing w:line="360" w:lineRule="auto"/>
        <w:jc w:val="both"/>
        <w:rPr>
          <w:rFonts w:asciiTheme="minorEastAsia" w:hAnsiTheme="minorEastAsia" w:eastAsiaTheme="minorEastAsia"/>
          <w:b/>
          <w:color w:val="auto"/>
          <w:sz w:val="32"/>
          <w:szCs w:val="32"/>
          <w:highlight w:val="none"/>
        </w:rPr>
      </w:pPr>
    </w:p>
    <w:p w14:paraId="67A8D647">
      <w:pPr>
        <w:pStyle w:val="20"/>
        <w:tabs>
          <w:tab w:val="left" w:pos="8460"/>
        </w:tabs>
        <w:spacing w:line="360" w:lineRule="auto"/>
        <w:jc w:val="both"/>
        <w:rPr>
          <w:rFonts w:asciiTheme="minorEastAsia" w:hAnsiTheme="minorEastAsia" w:eastAsiaTheme="minorEastAsia"/>
          <w:b/>
          <w:color w:val="auto"/>
          <w:sz w:val="32"/>
          <w:szCs w:val="32"/>
          <w:highlight w:val="none"/>
        </w:rPr>
      </w:pPr>
    </w:p>
    <w:p w14:paraId="49E575F9">
      <w:pPr>
        <w:pStyle w:val="20"/>
        <w:tabs>
          <w:tab w:val="left" w:pos="8460"/>
        </w:tabs>
        <w:spacing w:line="360" w:lineRule="auto"/>
        <w:jc w:val="center"/>
        <w:rPr>
          <w:rFonts w:hint="eastAsia" w:asciiTheme="minorEastAsia" w:hAnsiTheme="minorEastAsia" w:eastAsiaTheme="minorEastAsia"/>
          <w:b/>
          <w:color w:val="auto"/>
          <w:sz w:val="32"/>
          <w:szCs w:val="32"/>
          <w:highlight w:val="none"/>
        </w:rPr>
      </w:pPr>
    </w:p>
    <w:p w14:paraId="59514052">
      <w:pPr>
        <w:pStyle w:val="20"/>
        <w:tabs>
          <w:tab w:val="left" w:pos="8460"/>
        </w:tabs>
        <w:spacing w:line="360" w:lineRule="auto"/>
        <w:jc w:val="both"/>
        <w:rPr>
          <w:rFonts w:hint="eastAsia" w:asciiTheme="minorEastAsia" w:hAnsiTheme="minorEastAsia" w:eastAsiaTheme="minorEastAsia"/>
          <w:b/>
          <w:color w:val="auto"/>
          <w:sz w:val="32"/>
          <w:szCs w:val="32"/>
          <w:highlight w:val="none"/>
        </w:rPr>
      </w:pPr>
    </w:p>
    <w:p w14:paraId="235E5647">
      <w:pPr>
        <w:pStyle w:val="20"/>
        <w:tabs>
          <w:tab w:val="left" w:pos="8460"/>
        </w:tabs>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招</w:t>
      </w:r>
      <w:r>
        <w:rPr>
          <w:rFonts w:hint="eastAsia" w:asciiTheme="minorEastAsia" w:hAnsiTheme="minorEastAsia" w:eastAsiaTheme="minorEastAsia"/>
          <w:b/>
          <w:color w:val="auto"/>
          <w:sz w:val="32"/>
          <w:szCs w:val="32"/>
          <w:highlight w:val="none"/>
          <w:lang w:val="en-US" w:eastAsia="zh-CN"/>
        </w:rPr>
        <w:t xml:space="preserve">  </w:t>
      </w:r>
      <w:r>
        <w:rPr>
          <w:rFonts w:hint="eastAsia" w:asciiTheme="minorEastAsia" w:hAnsiTheme="minorEastAsia" w:eastAsiaTheme="minorEastAsia"/>
          <w:b/>
          <w:color w:val="auto"/>
          <w:sz w:val="32"/>
          <w:szCs w:val="32"/>
          <w:highlight w:val="none"/>
        </w:rPr>
        <w:t>标</w:t>
      </w:r>
      <w:r>
        <w:rPr>
          <w:rFonts w:hint="eastAsia" w:asciiTheme="minorEastAsia" w:hAnsiTheme="minorEastAsia" w:eastAsiaTheme="minorEastAsia"/>
          <w:b/>
          <w:color w:val="auto"/>
          <w:sz w:val="32"/>
          <w:szCs w:val="32"/>
          <w:highlight w:val="none"/>
          <w:lang w:val="en-US" w:eastAsia="zh-CN"/>
        </w:rPr>
        <w:t xml:space="preserve">  </w:t>
      </w:r>
      <w:r>
        <w:rPr>
          <w:rFonts w:hint="eastAsia" w:asciiTheme="minorEastAsia" w:hAnsiTheme="minorEastAsia" w:eastAsiaTheme="minorEastAsia"/>
          <w:b/>
          <w:color w:val="auto"/>
          <w:sz w:val="32"/>
          <w:szCs w:val="32"/>
          <w:highlight w:val="none"/>
        </w:rPr>
        <w:t>人：新乡市公路事业发展中心</w:t>
      </w:r>
    </w:p>
    <w:p w14:paraId="64C58A9D">
      <w:pPr>
        <w:pStyle w:val="20"/>
        <w:tabs>
          <w:tab w:val="left" w:pos="8460"/>
        </w:tabs>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代理机构：新乡市公路勘察设计院有限责任公司</w:t>
      </w:r>
    </w:p>
    <w:p w14:paraId="516280FD">
      <w:pPr>
        <w:pStyle w:val="20"/>
        <w:tabs>
          <w:tab w:val="left" w:pos="8460"/>
        </w:tabs>
        <w:spacing w:line="360" w:lineRule="auto"/>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日期：二〇二</w:t>
      </w:r>
      <w:r>
        <w:rPr>
          <w:rFonts w:hint="eastAsia" w:asciiTheme="minorEastAsia" w:hAnsiTheme="minorEastAsia" w:eastAsiaTheme="minorEastAsia"/>
          <w:b/>
          <w:color w:val="auto"/>
          <w:sz w:val="32"/>
          <w:szCs w:val="32"/>
          <w:highlight w:val="none"/>
          <w:lang w:val="en-US" w:eastAsia="zh-CN"/>
        </w:rPr>
        <w:t>五</w:t>
      </w:r>
      <w:r>
        <w:rPr>
          <w:rFonts w:hint="eastAsia" w:asciiTheme="minorEastAsia" w:hAnsiTheme="minorEastAsia" w:eastAsiaTheme="minorEastAsia"/>
          <w:b/>
          <w:color w:val="auto"/>
          <w:sz w:val="32"/>
          <w:szCs w:val="32"/>
          <w:highlight w:val="none"/>
        </w:rPr>
        <w:t>年</w:t>
      </w:r>
      <w:r>
        <w:rPr>
          <w:rFonts w:hint="eastAsia" w:asciiTheme="minorEastAsia" w:hAnsiTheme="minorEastAsia" w:eastAsiaTheme="minorEastAsia"/>
          <w:b/>
          <w:color w:val="auto"/>
          <w:sz w:val="32"/>
          <w:szCs w:val="32"/>
          <w:highlight w:val="none"/>
          <w:lang w:eastAsia="zh-CN"/>
        </w:rPr>
        <w:t>七</w:t>
      </w:r>
      <w:r>
        <w:rPr>
          <w:rFonts w:hint="eastAsia" w:asciiTheme="minorEastAsia" w:hAnsiTheme="minorEastAsia" w:eastAsiaTheme="minorEastAsia"/>
          <w:b/>
          <w:color w:val="auto"/>
          <w:sz w:val="32"/>
          <w:szCs w:val="32"/>
          <w:highlight w:val="none"/>
        </w:rPr>
        <w:t>月</w:t>
      </w:r>
    </w:p>
    <w:p w14:paraId="5E40210B">
      <w:pPr>
        <w:pStyle w:val="20"/>
        <w:tabs>
          <w:tab w:val="left" w:pos="8460"/>
        </w:tabs>
        <w:spacing w:line="360" w:lineRule="auto"/>
        <w:jc w:val="center"/>
        <w:rPr>
          <w:rFonts w:hint="eastAsia" w:asciiTheme="minorEastAsia" w:hAnsiTheme="minorEastAsia" w:eastAsiaTheme="minorEastAsia"/>
          <w:b/>
          <w:color w:val="auto"/>
          <w:sz w:val="32"/>
          <w:szCs w:val="32"/>
          <w:highlight w:val="none"/>
        </w:rPr>
      </w:pPr>
    </w:p>
    <w:p w14:paraId="436D51C5">
      <w:pPr>
        <w:pStyle w:val="20"/>
        <w:tabs>
          <w:tab w:val="left" w:pos="8460"/>
        </w:tabs>
        <w:spacing w:line="360" w:lineRule="auto"/>
        <w:jc w:val="center"/>
        <w:rPr>
          <w:rFonts w:hint="eastAsia" w:asciiTheme="minorEastAsia" w:hAnsiTheme="minorEastAsia" w:eastAsiaTheme="minorEastAsia"/>
          <w:b/>
          <w:color w:val="auto"/>
          <w:sz w:val="32"/>
          <w:szCs w:val="32"/>
          <w:highlight w:val="none"/>
        </w:rPr>
      </w:pPr>
    </w:p>
    <w:p w14:paraId="0F80BCAD">
      <w:pPr>
        <w:pStyle w:val="20"/>
        <w:tabs>
          <w:tab w:val="left" w:pos="8460"/>
        </w:tabs>
        <w:spacing w:line="360" w:lineRule="auto"/>
        <w:jc w:val="center"/>
        <w:rPr>
          <w:rFonts w:hint="eastAsia" w:asciiTheme="minorEastAsia" w:hAnsiTheme="minorEastAsia" w:eastAsiaTheme="minorEastAsia"/>
          <w:b/>
          <w:color w:val="auto"/>
          <w:sz w:val="32"/>
          <w:szCs w:val="32"/>
          <w:highlight w:val="none"/>
        </w:rPr>
      </w:pPr>
    </w:p>
    <w:p w14:paraId="78EE7C87">
      <w:pPr>
        <w:pStyle w:val="20"/>
        <w:tabs>
          <w:tab w:val="left" w:pos="8460"/>
        </w:tabs>
        <w:spacing w:line="360" w:lineRule="auto"/>
        <w:jc w:val="center"/>
        <w:rPr>
          <w:rFonts w:hint="eastAsia" w:asciiTheme="minorEastAsia" w:hAnsiTheme="minorEastAsia" w:eastAsiaTheme="minorEastAsia"/>
          <w:b/>
          <w:color w:val="auto"/>
          <w:sz w:val="32"/>
          <w:szCs w:val="32"/>
          <w:highlight w:val="none"/>
        </w:rPr>
      </w:pPr>
    </w:p>
    <w:p w14:paraId="5CCB97DD">
      <w:pPr>
        <w:spacing w:before="0" w:beforeLines="0" w:after="0" w:afterLines="0" w:line="240" w:lineRule="auto"/>
        <w:ind w:left="0" w:leftChars="0" w:right="0" w:rightChars="0" w:firstLine="0" w:firstLineChars="0"/>
        <w:jc w:val="center"/>
        <w:rPr>
          <w:rFonts w:hint="eastAsia" w:ascii="宋体" w:hAnsi="宋体" w:eastAsia="宋体" w:cs="宋体"/>
          <w:b/>
          <w:bCs/>
          <w:sz w:val="36"/>
          <w:szCs w:val="44"/>
          <w:highlight w:val="none"/>
        </w:rPr>
      </w:pPr>
    </w:p>
    <w:p w14:paraId="1D5C176A">
      <w:pPr>
        <w:spacing w:before="0" w:beforeLines="0" w:after="0" w:afterLines="0" w:line="240" w:lineRule="auto"/>
        <w:ind w:left="0" w:leftChars="0" w:right="0" w:rightChars="0" w:firstLine="0" w:firstLineChars="0"/>
        <w:jc w:val="center"/>
        <w:rPr>
          <w:rFonts w:hint="eastAsia" w:ascii="宋体" w:hAnsi="宋体" w:eastAsia="宋体" w:cs="宋体"/>
          <w:b/>
          <w:bCs/>
          <w:sz w:val="36"/>
          <w:szCs w:val="44"/>
          <w:highlight w:val="none"/>
        </w:rPr>
      </w:pPr>
    </w:p>
    <w:p w14:paraId="7F2807A9">
      <w:pPr>
        <w:spacing w:before="0" w:beforeLines="0" w:after="0" w:afterLines="0" w:line="240" w:lineRule="auto"/>
        <w:ind w:left="0" w:leftChars="0" w:right="0" w:rightChars="0" w:firstLine="0" w:firstLineChars="0"/>
        <w:jc w:val="center"/>
        <w:rPr>
          <w:sz w:val="24"/>
          <w:szCs w:val="24"/>
          <w:highlight w:val="none"/>
        </w:rPr>
      </w:pPr>
      <w:r>
        <w:rPr>
          <w:rFonts w:hint="eastAsia" w:ascii="宋体" w:hAnsi="宋体" w:eastAsia="宋体" w:cs="宋体"/>
          <w:b/>
          <w:bCs/>
          <w:sz w:val="36"/>
          <w:szCs w:val="44"/>
          <w:highlight w:val="none"/>
        </w:rPr>
        <w:t>目录</w:t>
      </w: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"1-1" \h \u </w:instrText>
      </w:r>
      <w:r>
        <w:rPr>
          <w:rFonts w:hint="eastAsia" w:ascii="宋体" w:hAnsi="宋体" w:eastAsia="宋体" w:cs="宋体"/>
          <w:highlight w:val="none"/>
        </w:rPr>
        <w:fldChar w:fldCharType="separate"/>
      </w:r>
    </w:p>
    <w:p w14:paraId="0A83E4F6">
      <w:pPr>
        <w:pStyle w:val="13"/>
        <w:tabs>
          <w:tab w:val="right" w:leader="dot" w:pos="9360"/>
        </w:tabs>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_Toc30110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sz w:val="24"/>
          <w:szCs w:val="24"/>
          <w:highlight w:val="none"/>
        </w:rPr>
        <w:tab/>
      </w:r>
      <w:r>
        <w:rPr>
          <w:rFonts w:hint="eastAsia"/>
          <w:sz w:val="24"/>
          <w:szCs w:val="24"/>
          <w:highlight w:val="none"/>
          <w:lang w:val="en-US" w:eastAsia="zh-CN"/>
        </w:rPr>
        <w:t>2</w:t>
      </w:r>
      <w:r>
        <w:rPr>
          <w:rFonts w:hint="eastAsia" w:ascii="宋体" w:hAnsi="宋体" w:eastAsia="宋体" w:cs="宋体"/>
          <w:sz w:val="24"/>
          <w:szCs w:val="24"/>
          <w:highlight w:val="none"/>
        </w:rPr>
        <w:fldChar w:fldCharType="end"/>
      </w:r>
    </w:p>
    <w:p w14:paraId="78347E06">
      <w:pPr>
        <w:pStyle w:val="13"/>
        <w:tabs>
          <w:tab w:val="right" w:leader="dot" w:pos="9360"/>
        </w:tabs>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_Toc24326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_Toc24326 \h </w:instrText>
      </w:r>
      <w:r>
        <w:rPr>
          <w:sz w:val="24"/>
          <w:szCs w:val="24"/>
          <w:highlight w:val="none"/>
        </w:rPr>
        <w:fldChar w:fldCharType="separate"/>
      </w:r>
      <w:r>
        <w:rPr>
          <w:sz w:val="24"/>
          <w:szCs w:val="24"/>
          <w:highlight w:val="none"/>
        </w:rPr>
        <w:t>5</w:t>
      </w:r>
      <w:r>
        <w:rPr>
          <w:sz w:val="24"/>
          <w:szCs w:val="24"/>
          <w:highlight w:val="none"/>
        </w:rPr>
        <w:fldChar w:fldCharType="end"/>
      </w:r>
      <w:r>
        <w:rPr>
          <w:rFonts w:hint="eastAsia" w:ascii="宋体" w:hAnsi="宋体" w:eastAsia="宋体" w:cs="宋体"/>
          <w:sz w:val="24"/>
          <w:szCs w:val="24"/>
          <w:highlight w:val="none"/>
        </w:rPr>
        <w:fldChar w:fldCharType="end"/>
      </w:r>
    </w:p>
    <w:p w14:paraId="4027BE0D">
      <w:pPr>
        <w:pStyle w:val="13"/>
        <w:tabs>
          <w:tab w:val="right" w:leader="dot" w:pos="9360"/>
        </w:tabs>
        <w:rPr>
          <w:rFonts w:hint="eastAsia" w:eastAsia="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_Toc10182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第三章 评标办法（综合评估法）</w:t>
      </w:r>
      <w:r>
        <w:rPr>
          <w:sz w:val="24"/>
          <w:szCs w:val="24"/>
          <w:highlight w:val="none"/>
        </w:rPr>
        <w:tab/>
      </w:r>
      <w:r>
        <w:rPr>
          <w:rFonts w:hint="eastAsia"/>
          <w:sz w:val="24"/>
          <w:szCs w:val="24"/>
          <w:highlight w:val="none"/>
          <w:lang w:val="en-US" w:eastAsia="zh-CN"/>
        </w:rPr>
        <w:t>4</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1</w:t>
      </w:r>
    </w:p>
    <w:p w14:paraId="1E9FED35">
      <w:pPr>
        <w:pStyle w:val="13"/>
        <w:tabs>
          <w:tab w:val="right" w:leader="dot" w:pos="9360"/>
        </w:tabs>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_Toc21256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 xml:space="preserve">第四章 </w:t>
      </w:r>
      <w:r>
        <w:rPr>
          <w:rFonts w:hint="eastAsia" w:ascii="宋体" w:hAnsi="宋体" w:cs="宋体"/>
          <w:bCs w:val="0"/>
          <w:sz w:val="24"/>
          <w:szCs w:val="24"/>
          <w:highlight w:val="none"/>
          <w:lang w:eastAsia="zh-CN"/>
        </w:rPr>
        <w:t>定标办法</w:t>
      </w:r>
      <w:r>
        <w:rPr>
          <w:sz w:val="24"/>
          <w:szCs w:val="24"/>
          <w:highlight w:val="none"/>
        </w:rPr>
        <w:tab/>
      </w:r>
      <w:r>
        <w:rPr>
          <w:rFonts w:hint="eastAsia"/>
          <w:sz w:val="24"/>
          <w:szCs w:val="24"/>
          <w:highlight w:val="none"/>
          <w:lang w:val="en-US" w:eastAsia="zh-CN"/>
        </w:rPr>
        <w:t>5</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2</w:t>
      </w:r>
    </w:p>
    <w:p w14:paraId="7A29EF2C">
      <w:pPr>
        <w:pStyle w:val="13"/>
        <w:tabs>
          <w:tab w:val="right" w:leader="dot" w:pos="9360"/>
        </w:tabs>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_Toc21409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 xml:space="preserve">第五章 </w:t>
      </w:r>
      <w:r>
        <w:rPr>
          <w:rFonts w:hint="eastAsia" w:ascii="宋体" w:hAnsi="宋体" w:cs="宋体"/>
          <w:bCs w:val="0"/>
          <w:sz w:val="24"/>
          <w:szCs w:val="24"/>
          <w:highlight w:val="none"/>
          <w:lang w:eastAsia="zh-CN"/>
        </w:rPr>
        <w:t>合同条款及格式</w:t>
      </w:r>
      <w:r>
        <w:rPr>
          <w:sz w:val="24"/>
          <w:szCs w:val="24"/>
          <w:highlight w:val="none"/>
        </w:rPr>
        <w:tab/>
      </w:r>
      <w:r>
        <w:rPr>
          <w:sz w:val="24"/>
          <w:szCs w:val="24"/>
          <w:highlight w:val="none"/>
        </w:rPr>
        <w:fldChar w:fldCharType="begin"/>
      </w:r>
      <w:r>
        <w:rPr>
          <w:sz w:val="24"/>
          <w:szCs w:val="24"/>
          <w:highlight w:val="none"/>
        </w:rPr>
        <w:instrText xml:space="preserve"> PAGEREF _Toc21409 \h </w:instrText>
      </w:r>
      <w:r>
        <w:rPr>
          <w:sz w:val="24"/>
          <w:szCs w:val="24"/>
          <w:highlight w:val="none"/>
        </w:rPr>
        <w:fldChar w:fldCharType="separate"/>
      </w:r>
      <w:r>
        <w:rPr>
          <w:sz w:val="24"/>
          <w:szCs w:val="24"/>
          <w:highlight w:val="none"/>
        </w:rPr>
        <w:t>103</w:t>
      </w:r>
      <w:r>
        <w:rPr>
          <w:sz w:val="24"/>
          <w:szCs w:val="24"/>
          <w:highlight w:val="none"/>
        </w:rPr>
        <w:fldChar w:fldCharType="end"/>
      </w:r>
      <w:r>
        <w:rPr>
          <w:rFonts w:hint="eastAsia" w:ascii="宋体" w:hAnsi="宋体" w:eastAsia="宋体" w:cs="宋体"/>
          <w:sz w:val="24"/>
          <w:szCs w:val="24"/>
          <w:highlight w:val="none"/>
        </w:rPr>
        <w:fldChar w:fldCharType="end"/>
      </w:r>
    </w:p>
    <w:p w14:paraId="6D6DC78B">
      <w:pPr>
        <w:pStyle w:val="13"/>
        <w:tabs>
          <w:tab w:val="right" w:leader="dot" w:pos="9360"/>
        </w:tabs>
        <w:rPr>
          <w:rFonts w:hint="default" w:eastAsia="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_Toc5893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 xml:space="preserve">第六章 </w:t>
      </w:r>
      <w:r>
        <w:rPr>
          <w:rFonts w:hint="eastAsia" w:ascii="宋体" w:hAnsi="宋体" w:cs="宋体"/>
          <w:bCs w:val="0"/>
          <w:sz w:val="24"/>
          <w:szCs w:val="24"/>
          <w:highlight w:val="none"/>
          <w:lang w:eastAsia="zh-CN"/>
        </w:rPr>
        <w:t>委托人要求</w:t>
      </w:r>
      <w:r>
        <w:rPr>
          <w:sz w:val="24"/>
          <w:szCs w:val="24"/>
          <w:highlight w:val="none"/>
        </w:rPr>
        <w:tab/>
      </w:r>
      <w:r>
        <w:rPr>
          <w:rFonts w:hint="eastAsia"/>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03</w:t>
      </w:r>
    </w:p>
    <w:p w14:paraId="79356EBC">
      <w:pPr>
        <w:pStyle w:val="13"/>
        <w:tabs>
          <w:tab w:val="right" w:leader="dot" w:pos="9360"/>
        </w:tabs>
        <w:rPr>
          <w:rFonts w:hint="default" w:eastAsia="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_Toc26723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eastAsia="zh-CN"/>
        </w:rPr>
        <w:t>第七章</w:t>
      </w:r>
      <w:r>
        <w:rPr>
          <w:rFonts w:hint="eastAsia" w:ascii="宋体" w:hAnsi="宋体" w:cs="宋体"/>
          <w:sz w:val="24"/>
          <w:szCs w:val="24"/>
          <w:highlight w:val="none"/>
          <w:lang w:val="en-US" w:eastAsia="zh-CN"/>
        </w:rPr>
        <w:t xml:space="preserve"> 图纸和资料（无）</w:t>
      </w:r>
      <w:r>
        <w:rPr>
          <w:sz w:val="24"/>
          <w:szCs w:val="24"/>
          <w:highlight w:val="none"/>
        </w:rPr>
        <w:tab/>
      </w:r>
      <w:r>
        <w:rPr>
          <w:rFonts w:hint="eastAsia"/>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05</w:t>
      </w:r>
    </w:p>
    <w:p w14:paraId="3C39874E">
      <w:pPr>
        <w:pStyle w:val="13"/>
        <w:tabs>
          <w:tab w:val="right" w:leader="dot" w:pos="9360"/>
        </w:tabs>
        <w:rPr>
          <w:rFonts w:hint="default" w:eastAsia="宋体"/>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_Toc31577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第</w:t>
      </w:r>
      <w:r>
        <w:rPr>
          <w:rFonts w:hint="eastAsia" w:ascii="宋体" w:hAnsi="宋体" w:cs="宋体"/>
          <w:bCs w:val="0"/>
          <w:sz w:val="24"/>
          <w:szCs w:val="24"/>
          <w:highlight w:val="none"/>
          <w:lang w:eastAsia="zh-CN"/>
        </w:rPr>
        <w:t>八</w:t>
      </w:r>
      <w:r>
        <w:rPr>
          <w:rFonts w:hint="eastAsia" w:ascii="宋体" w:hAnsi="宋体" w:eastAsia="宋体" w:cs="宋体"/>
          <w:bCs w:val="0"/>
          <w:sz w:val="24"/>
          <w:szCs w:val="24"/>
          <w:highlight w:val="none"/>
        </w:rPr>
        <w:t>章 投标文件格式</w:t>
      </w:r>
      <w:r>
        <w:rPr>
          <w:sz w:val="24"/>
          <w:szCs w:val="24"/>
          <w:highlight w:val="none"/>
        </w:rPr>
        <w:tab/>
      </w:r>
      <w:r>
        <w:rPr>
          <w:rFonts w:hint="eastAsia"/>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07</w:t>
      </w:r>
    </w:p>
    <w:p w14:paraId="0B718B8E">
      <w:pPr>
        <w:pStyle w:val="20"/>
        <w:tabs>
          <w:tab w:val="left" w:pos="8460"/>
        </w:tabs>
        <w:spacing w:line="360" w:lineRule="auto"/>
        <w:jc w:val="center"/>
        <w:rPr>
          <w:rFonts w:hint="eastAsia" w:ascii="宋体" w:hAnsi="宋体" w:eastAsia="宋体" w:cs="宋体"/>
          <w:highlight w:val="none"/>
        </w:rPr>
      </w:pPr>
      <w:r>
        <w:rPr>
          <w:rFonts w:hint="eastAsia" w:ascii="宋体" w:hAnsi="宋体" w:eastAsia="宋体" w:cs="宋体"/>
          <w:highlight w:val="none"/>
        </w:rPr>
        <w:fldChar w:fldCharType="end"/>
      </w:r>
    </w:p>
    <w:p w14:paraId="2DA48FE5">
      <w:pPr>
        <w:bidi w:val="0"/>
        <w:jc w:val="center"/>
        <w:rPr>
          <w:rFonts w:hint="eastAsia"/>
          <w:b/>
          <w:bCs/>
          <w:sz w:val="52"/>
          <w:szCs w:val="52"/>
        </w:rPr>
        <w:sectPr>
          <w:footerReference r:id="rId3" w:type="default"/>
          <w:pgSz w:w="11906" w:h="16838"/>
          <w:pgMar w:top="1247" w:right="1361" w:bottom="1247" w:left="1361" w:header="851" w:footer="851" w:gutter="0"/>
          <w:pgNumType w:fmt="decimal" w:start="1"/>
          <w:cols w:space="720" w:num="1"/>
          <w:docGrid w:type="lines" w:linePitch="312" w:charSpace="0"/>
        </w:sectPr>
      </w:pPr>
      <w:bookmarkStart w:id="0" w:name="_Toc19415"/>
    </w:p>
    <w:p w14:paraId="421F4C1C">
      <w:pPr>
        <w:pStyle w:val="16"/>
        <w:rPr>
          <w:rFonts w:hint="eastAsia"/>
        </w:rPr>
      </w:pPr>
    </w:p>
    <w:p w14:paraId="68A27F0E">
      <w:pPr>
        <w:bidi w:val="0"/>
        <w:jc w:val="center"/>
        <w:rPr>
          <w:rFonts w:hint="eastAsia"/>
          <w:b/>
          <w:bCs/>
          <w:sz w:val="52"/>
          <w:szCs w:val="52"/>
        </w:rPr>
      </w:pPr>
    </w:p>
    <w:p w14:paraId="5EDF014D">
      <w:pPr>
        <w:bidi w:val="0"/>
        <w:jc w:val="center"/>
        <w:rPr>
          <w:rFonts w:hint="eastAsia"/>
          <w:b/>
          <w:bCs/>
          <w:sz w:val="52"/>
          <w:szCs w:val="52"/>
        </w:rPr>
      </w:pPr>
    </w:p>
    <w:p w14:paraId="34EA5404">
      <w:pPr>
        <w:bidi w:val="0"/>
        <w:jc w:val="center"/>
        <w:rPr>
          <w:rFonts w:hint="eastAsia"/>
          <w:b/>
          <w:bCs/>
          <w:sz w:val="52"/>
          <w:szCs w:val="52"/>
        </w:rPr>
      </w:pPr>
    </w:p>
    <w:p w14:paraId="3173682A">
      <w:pPr>
        <w:bidi w:val="0"/>
        <w:jc w:val="center"/>
        <w:rPr>
          <w:rFonts w:hint="eastAsia"/>
          <w:b/>
          <w:bCs/>
          <w:sz w:val="52"/>
          <w:szCs w:val="52"/>
        </w:rPr>
      </w:pPr>
    </w:p>
    <w:p w14:paraId="5C861A20">
      <w:pPr>
        <w:bidi w:val="0"/>
        <w:jc w:val="center"/>
        <w:rPr>
          <w:rFonts w:hint="eastAsia"/>
          <w:b/>
          <w:bCs/>
          <w:sz w:val="52"/>
          <w:szCs w:val="52"/>
        </w:rPr>
      </w:pPr>
    </w:p>
    <w:p w14:paraId="1E78D129">
      <w:pPr>
        <w:bidi w:val="0"/>
        <w:jc w:val="center"/>
        <w:rPr>
          <w:rFonts w:hint="eastAsia"/>
          <w:b/>
          <w:bCs/>
          <w:sz w:val="52"/>
          <w:szCs w:val="52"/>
        </w:rPr>
      </w:pPr>
      <w:r>
        <w:rPr>
          <w:rFonts w:hint="eastAsia"/>
          <w:b/>
          <w:bCs/>
          <w:sz w:val="52"/>
          <w:szCs w:val="52"/>
        </w:rPr>
        <w:t xml:space="preserve">第 </w:t>
      </w:r>
      <w:bookmarkStart w:id="1" w:name="_Hlt237684765"/>
      <w:bookmarkEnd w:id="1"/>
      <w:r>
        <w:rPr>
          <w:rFonts w:hint="eastAsia"/>
          <w:b/>
          <w:bCs/>
          <w:sz w:val="52"/>
          <w:szCs w:val="52"/>
        </w:rPr>
        <w:t xml:space="preserve">一 </w:t>
      </w:r>
      <w:bookmarkStart w:id="2" w:name="_Hlt226887515"/>
      <w:bookmarkEnd w:id="2"/>
      <w:r>
        <w:rPr>
          <w:rFonts w:hint="eastAsia"/>
          <w:b/>
          <w:bCs/>
          <w:sz w:val="52"/>
          <w:szCs w:val="52"/>
        </w:rPr>
        <w:t>卷</w:t>
      </w:r>
      <w:bookmarkEnd w:id="0"/>
    </w:p>
    <w:p w14:paraId="772308D4">
      <w:pPr>
        <w:rPr>
          <w:rFonts w:hint="eastAsia"/>
        </w:rPr>
      </w:pPr>
      <w:r>
        <w:rPr>
          <w:rFonts w:hint="eastAsia"/>
        </w:rPr>
        <w:br w:type="page"/>
      </w:r>
    </w:p>
    <w:p w14:paraId="5E08C84D">
      <w:pPr>
        <w:spacing w:line="400" w:lineRule="atLeast"/>
        <w:jc w:val="center"/>
        <w:outlineLvl w:val="0"/>
        <w:rPr>
          <w:rFonts w:hint="eastAsia" w:ascii="宋体" w:hAnsi="宋体" w:eastAsia="宋体" w:cs="宋体"/>
          <w:b/>
          <w:sz w:val="36"/>
          <w:szCs w:val="36"/>
          <w:highlight w:val="none"/>
        </w:rPr>
      </w:pPr>
      <w:bookmarkStart w:id="3" w:name="_Toc441076933"/>
      <w:bookmarkStart w:id="4" w:name="_Toc30110"/>
      <w:bookmarkStart w:id="5" w:name="_Toc14157"/>
      <w:r>
        <w:rPr>
          <w:rFonts w:hint="eastAsia" w:ascii="宋体" w:hAnsi="宋体" w:eastAsia="宋体" w:cs="宋体"/>
          <w:b/>
          <w:sz w:val="36"/>
          <w:szCs w:val="36"/>
          <w:highlight w:val="none"/>
        </w:rPr>
        <w:t>第一章  招标公告</w:t>
      </w:r>
      <w:bookmarkEnd w:id="3"/>
      <w:bookmarkEnd w:id="4"/>
      <w:bookmarkEnd w:id="5"/>
    </w:p>
    <w:p w14:paraId="20145E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2"/>
          <w:szCs w:val="22"/>
          <w:highlight w:val="none"/>
          <w:lang w:eastAsia="zh-CN" w:bidi="ar"/>
        </w:rPr>
      </w:pPr>
      <w:r>
        <w:rPr>
          <w:rFonts w:hint="eastAsia" w:asciiTheme="minorEastAsia" w:hAnsiTheme="minorEastAsia" w:eastAsiaTheme="minorEastAsia" w:cstheme="minorEastAsia"/>
          <w:b/>
          <w:bCs/>
          <w:color w:val="auto"/>
          <w:sz w:val="28"/>
          <w:szCs w:val="28"/>
          <w:highlight w:val="none"/>
          <w:u w:val="none"/>
          <w:lang w:eastAsia="zh-CN"/>
        </w:rPr>
        <w:t>2025年新乡市干线公路第一批养护工程监理项目</w:t>
      </w:r>
      <w:r>
        <w:rPr>
          <w:rFonts w:hint="eastAsia" w:ascii="宋体" w:hAnsi="宋体" w:eastAsia="宋体" w:cs="宋体"/>
          <w:b/>
          <w:bCs/>
          <w:sz w:val="28"/>
          <w:szCs w:val="28"/>
          <w:highlight w:val="none"/>
        </w:rPr>
        <w:t>招标公告</w:t>
      </w:r>
      <w:bookmarkStart w:id="6" w:name="_Toc1125"/>
      <w:bookmarkStart w:id="7" w:name="_Toc6873"/>
    </w:p>
    <w:bookmarkEnd w:id="6"/>
    <w:bookmarkEnd w:id="7"/>
    <w:p w14:paraId="2373539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2025年新乡市干线公路第一批养护工程监理项目</w:t>
      </w: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，业主为新乡市公路事业发展中心,该项目已由相关主管部门批准建设，根据《中华人民共和国招标投标法》规定,项目已具备招标条件，现委托新乡市公路勘察设计院有限责任公司对该项目进行公开招标。</w:t>
      </w:r>
    </w:p>
    <w:p w14:paraId="49D575B2">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napToGrid/>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bidi="ar"/>
          <w14:textFill>
            <w14:solidFill>
              <w14:schemeClr w14:val="tx1"/>
            </w14:solidFill>
          </w14:textFill>
        </w:rPr>
        <w:t>一、招标条件</w:t>
      </w:r>
    </w:p>
    <w:p w14:paraId="7643D1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本招标项目</w:t>
      </w:r>
      <w:r>
        <w:rPr>
          <w:rFonts w:hint="eastAsia" w:ascii="宋体" w:hAnsi="宋体" w:eastAsia="宋体" w:cs="宋体"/>
          <w:snapToGrid/>
          <w:color w:val="000000" w:themeColor="text1"/>
          <w:kern w:val="0"/>
          <w:sz w:val="21"/>
          <w:szCs w:val="21"/>
          <w:highlight w:val="none"/>
          <w:lang w:eastAsia="zh-CN" w:bidi="ar"/>
          <w14:textFill>
            <w14:solidFill>
              <w14:schemeClr w14:val="tx1"/>
            </w14:solidFill>
          </w14:textFill>
        </w:rPr>
        <w:t>2025年新乡市干线公路第一批养护工程监理项目</w:t>
      </w:r>
      <w:r>
        <w:rPr>
          <w:rFonts w:hint="eastAsia" w:ascii="宋体" w:hAnsi="宋体" w:eastAsia="宋体" w:cs="宋体"/>
          <w:snapToGrid/>
          <w:color w:val="000000" w:themeColor="text1"/>
          <w:kern w:val="2"/>
          <w:sz w:val="21"/>
          <w:szCs w:val="21"/>
          <w:highlight w:val="none"/>
          <w14:textFill>
            <w14:solidFill>
              <w14:schemeClr w14:val="tx1"/>
            </w14:solidFill>
          </w14:textFill>
        </w:rPr>
        <w:t>已由相关主管部门批准</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建设。</w:t>
      </w:r>
      <w:r>
        <w:rPr>
          <w:rFonts w:hint="eastAsia" w:ascii="宋体" w:hAnsi="宋体" w:eastAsia="宋体" w:cs="宋体"/>
          <w:snapToGrid/>
          <w:color w:val="000000" w:themeColor="text1"/>
          <w:kern w:val="2"/>
          <w:sz w:val="21"/>
          <w:szCs w:val="21"/>
          <w:highlight w:val="none"/>
          <w14:textFill>
            <w14:solidFill>
              <w14:schemeClr w14:val="tx1"/>
            </w14:solidFill>
          </w14:textFill>
        </w:rPr>
        <w:t>项目业主为新乡市公路事业发展中心,建设资金来自省补助资金。项目已具备招标条件，现对该项目的监理进行公开招标。</w:t>
      </w:r>
    </w:p>
    <w:p w14:paraId="43C7F8A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napToGrid/>
          <w:color w:val="000000" w:themeColor="text1"/>
          <w:kern w:val="2"/>
          <w:sz w:val="21"/>
          <w:szCs w:val="21"/>
          <w:highlight w:val="none"/>
          <w14:textFill>
            <w14:solidFill>
              <w14:schemeClr w14:val="tx1"/>
            </w14:solidFill>
          </w14:textFill>
        </w:rPr>
      </w:pPr>
      <w:r>
        <w:rPr>
          <w:rFonts w:hint="eastAsia" w:ascii="宋体" w:hAnsi="宋体" w:eastAsia="宋体" w:cs="宋体"/>
          <w:b/>
          <w:bCs/>
          <w:snapToGrid/>
          <w:color w:val="000000" w:themeColor="text1"/>
          <w:kern w:val="2"/>
          <w:sz w:val="21"/>
          <w:szCs w:val="21"/>
          <w:highlight w:val="none"/>
          <w14:textFill>
            <w14:solidFill>
              <w14:schemeClr w14:val="tx1"/>
            </w14:solidFill>
          </w14:textFill>
        </w:rPr>
        <w:t>二、项目概况与招标范围</w:t>
      </w:r>
    </w:p>
    <w:p w14:paraId="2B5D08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2.1项目名称：</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2025年新乡市干线公路第一批养护工程监理项目</w:t>
      </w:r>
    </w:p>
    <w:p w14:paraId="60D403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2.2项目编号：</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新乡政采招标采购</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-2025-74</w:t>
      </w:r>
    </w:p>
    <w:p w14:paraId="050277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2.3建设地点：新乡市境内</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w:t>
      </w:r>
    </w:p>
    <w:p w14:paraId="24322B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cyan"/>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2.4建设规模：</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①G107京港线与S101重复起点至牧野区卫辉市交界段；②S101郑台线与S311交叉口至与S310交叉口段；③G327连固线封丘县回族乡至西陡门桥西段；④G234兴阳线辉县与凤泉区交界至与S309重复起点段；⑤S310长邵线宋屯小桥至新东大道东段预防养护工程</w:t>
      </w:r>
      <w:r>
        <w:rPr>
          <w:rFonts w:hint="eastAsia" w:ascii="宋体" w:hAnsi="宋体" w:cs="宋体"/>
          <w:snapToGrid/>
          <w:color w:val="000000" w:themeColor="text1"/>
          <w:kern w:val="2"/>
          <w:sz w:val="21"/>
          <w:szCs w:val="21"/>
          <w:highlight w:val="none"/>
          <w:lang w:eastAsia="zh-CN"/>
          <w14:textFill>
            <w14:solidFill>
              <w14:schemeClr w14:val="tx1"/>
            </w14:solidFill>
          </w14:textFill>
        </w:rPr>
        <w:t>监理</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项目</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w:t>
      </w:r>
    </w:p>
    <w:p w14:paraId="26F4A5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2.5总投资额：</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51</w:t>
      </w:r>
      <w:r>
        <w:rPr>
          <w:rFonts w:hint="eastAsia" w:ascii="宋体" w:hAnsi="宋体" w:eastAsia="宋体" w:cs="宋体"/>
          <w:snapToGrid/>
          <w:color w:val="000000" w:themeColor="text1"/>
          <w:kern w:val="2"/>
          <w:sz w:val="21"/>
          <w:szCs w:val="21"/>
          <w:highlight w:val="none"/>
          <w14:textFill>
            <w14:solidFill>
              <w14:schemeClr w14:val="tx1"/>
            </w14:solidFill>
          </w14:textFill>
        </w:rPr>
        <w:t>万元。</w:t>
      </w:r>
    </w:p>
    <w:p w14:paraId="74935C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2.6计划工期：施工期及缺陷责任期，缺陷责任期为6个月。</w:t>
      </w:r>
    </w:p>
    <w:p w14:paraId="7F39F5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2.7招标范围：包含施工阶段（含施工准备期，施工及交工验收期）、缺陷责任期监理。</w:t>
      </w:r>
    </w:p>
    <w:p w14:paraId="4AAB62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2.8标段划分：1个标段。</w:t>
      </w:r>
    </w:p>
    <w:p w14:paraId="3340C5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2.9质量要求：工程交工验收的质量评定：合格；竣工验收的质量评定：合格</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w:t>
      </w:r>
    </w:p>
    <w:p w14:paraId="54D1CE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2.10安全要求：安全生产零事故</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w:t>
      </w:r>
    </w:p>
    <w:p w14:paraId="78B385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2.11环保要求：严格落实国家、省、市相关环保政策及规范要求。</w:t>
      </w:r>
    </w:p>
    <w:p w14:paraId="24BDD41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snapToGrid/>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t>三</w:t>
      </w:r>
      <w:r>
        <w:rPr>
          <w:rFonts w:hint="eastAsia" w:ascii="宋体" w:hAnsi="宋体" w:eastAsia="宋体" w:cs="宋体"/>
          <w:b/>
          <w:bCs/>
          <w:snapToGrid/>
          <w:color w:val="000000" w:themeColor="text1"/>
          <w:kern w:val="2"/>
          <w:sz w:val="21"/>
          <w:szCs w:val="21"/>
          <w:highlight w:val="none"/>
          <w14:textFill>
            <w14:solidFill>
              <w14:schemeClr w14:val="tx1"/>
            </w14:solidFill>
          </w14:textFill>
        </w:rPr>
        <w:t>、</w:t>
      </w:r>
      <w:r>
        <w:rPr>
          <w:rFonts w:hint="eastAsia" w:ascii="宋体" w:hAnsi="宋体" w:eastAsia="宋体" w:cs="宋体"/>
          <w:b/>
          <w:bCs/>
          <w:snapToGrid/>
          <w:color w:val="000000" w:themeColor="text1"/>
          <w:kern w:val="2"/>
          <w:sz w:val="21"/>
          <w:szCs w:val="21"/>
          <w:highlight w:val="none"/>
          <w:lang w:val="en-US" w:eastAsia="zh-CN"/>
          <w14:textFill>
            <w14:solidFill>
              <w14:schemeClr w14:val="tx1"/>
            </w14:solidFill>
          </w14:textFill>
        </w:rPr>
        <w:t>评标与定标</w:t>
      </w:r>
    </w:p>
    <w:p w14:paraId="1CB03B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3.1评标和定标方法：本项目采用“评定分离”模式，评标方法采用“</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综合评估法</w:t>
      </w:r>
      <w:r>
        <w:rPr>
          <w:rFonts w:hint="eastAsia" w:ascii="宋体" w:hAnsi="宋体" w:eastAsia="宋体" w:cs="宋体"/>
          <w:snapToGrid/>
          <w:color w:val="000000" w:themeColor="text1"/>
          <w:kern w:val="2"/>
          <w:sz w:val="21"/>
          <w:szCs w:val="21"/>
          <w:highlight w:val="none"/>
          <w14:textFill>
            <w14:solidFill>
              <w14:schemeClr w14:val="tx1"/>
            </w14:solidFill>
          </w14:textFill>
        </w:rPr>
        <w:t>”，定标方法采用“核查随机法”。</w:t>
      </w:r>
    </w:p>
    <w:p w14:paraId="03A80D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3.2评定分离：是指将评标和定标分为两个环节进行。评标环节由评标委员会按照评标办法对投标文件进行审查，从有效投标人中向招标人推荐</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snapToGrid/>
          <w:color w:val="000000" w:themeColor="text1"/>
          <w:kern w:val="2"/>
          <w:sz w:val="21"/>
          <w:szCs w:val="21"/>
          <w:highlight w:val="none"/>
          <w14:textFill>
            <w14:solidFill>
              <w14:schemeClr w14:val="tx1"/>
            </w14:solidFill>
          </w14:textFill>
        </w:rPr>
        <w:t>名中标候选人（排名不分先后），并出具评标报告；定标环节由招标人组建定标委员会，根据评标委员会的评标意见及招标文件规定的定标程序和方法，从推荐的中标候选人中自主确定中标人。鼓励中标候选人的法定代表人或其授权委托代理人现场参加定标会议。</w:t>
      </w:r>
    </w:p>
    <w:p w14:paraId="034A37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3.3定标时间：招标人应当在收到评标报告10日内完成定标工作。</w:t>
      </w:r>
    </w:p>
    <w:p w14:paraId="28D6A3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3.4定标地点：定标会议应在新乡市公共资源交易中心按流程进行，全程录音录像，并存档备查。不能按时完成定标工作的，应当通过公共资源交易平台发布延期原因和最终定标时间。</w:t>
      </w:r>
    </w:p>
    <w:p w14:paraId="73A30B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3.5定标会议具体时间及地点以中标候选人公示为准。</w:t>
      </w:r>
    </w:p>
    <w:p w14:paraId="2D91CDB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napToGrid/>
          <w:color w:val="000000" w:themeColor="text1"/>
          <w:kern w:val="2"/>
          <w:sz w:val="21"/>
          <w:szCs w:val="21"/>
          <w:highlight w:val="none"/>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t>四</w:t>
      </w:r>
      <w:r>
        <w:rPr>
          <w:rFonts w:hint="eastAsia" w:ascii="宋体" w:hAnsi="宋体" w:eastAsia="宋体" w:cs="宋体"/>
          <w:b/>
          <w:bCs/>
          <w:snapToGrid/>
          <w:color w:val="000000" w:themeColor="text1"/>
          <w:kern w:val="2"/>
          <w:sz w:val="21"/>
          <w:szCs w:val="21"/>
          <w:highlight w:val="none"/>
          <w14:textFill>
            <w14:solidFill>
              <w14:schemeClr w14:val="tx1"/>
            </w14:solidFill>
          </w14:textFill>
        </w:rPr>
        <w:t>、投标人资格要求</w:t>
      </w:r>
    </w:p>
    <w:p w14:paraId="6C9679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snapToGrid/>
          <w:color w:val="000000" w:themeColor="text1"/>
          <w:kern w:val="2"/>
          <w:sz w:val="21"/>
          <w:szCs w:val="21"/>
          <w:highlight w:val="none"/>
          <w14:textFill>
            <w14:solidFill>
              <w14:schemeClr w14:val="tx1"/>
            </w14:solidFill>
          </w14:textFill>
        </w:rPr>
        <w:t>.1投标</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人</w:t>
      </w:r>
      <w:r>
        <w:rPr>
          <w:rFonts w:hint="eastAsia" w:ascii="宋体" w:hAnsi="宋体" w:eastAsia="宋体" w:cs="宋体"/>
          <w:snapToGrid/>
          <w:color w:val="000000" w:themeColor="text1"/>
          <w:kern w:val="2"/>
          <w:sz w:val="21"/>
          <w:szCs w:val="21"/>
          <w:highlight w:val="none"/>
          <w14:textFill>
            <w14:solidFill>
              <w14:schemeClr w14:val="tx1"/>
            </w14:solidFill>
          </w14:textFill>
        </w:rPr>
        <w:t>具备独立法人资格，具有交通运输主管部门颁发的公路工程专业乙级及以上监理资质，持有有效的企业法人营业执照。依据新乡市财政局《关于规范预算编制落实政府采购促进中小企业发展政策的通知》、《政府采购促进中小企业发展管理办法》的规定，本项目符合采购限额标准以上，200万元以</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下</w:t>
      </w:r>
      <w:r>
        <w:rPr>
          <w:rFonts w:hint="eastAsia" w:ascii="宋体" w:hAnsi="宋体" w:eastAsia="宋体" w:cs="宋体"/>
          <w:snapToGrid/>
          <w:color w:val="000000" w:themeColor="text1"/>
          <w:kern w:val="2"/>
          <w:sz w:val="21"/>
          <w:szCs w:val="21"/>
          <w:highlight w:val="none"/>
          <w14:textFill>
            <w14:solidFill>
              <w14:schemeClr w14:val="tx1"/>
            </w14:solidFill>
          </w14:textFill>
        </w:rPr>
        <w:t>的货物和服务采购项目，适宜由中小企业提供的，应当专门面向中小企业采购。投标人应提供《中小企业声明函（工程、服务）》。本项目对应的中小企业划分标准所属行业为其他未列明行业。</w:t>
      </w:r>
    </w:p>
    <w:p w14:paraId="503E62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snapToGrid/>
          <w:color w:val="000000" w:themeColor="text1"/>
          <w:kern w:val="2"/>
          <w:sz w:val="21"/>
          <w:szCs w:val="21"/>
          <w:highlight w:val="none"/>
          <w14:textFill>
            <w14:solidFill>
              <w14:schemeClr w14:val="tx1"/>
            </w14:solidFill>
          </w14:textFill>
        </w:rPr>
        <w:t>.2近5年，指20</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20</w:t>
      </w:r>
      <w:r>
        <w:rPr>
          <w:rFonts w:hint="eastAsia" w:ascii="宋体" w:hAnsi="宋体" w:eastAsia="宋体" w:cs="宋体"/>
          <w:snapToGrid/>
          <w:color w:val="000000" w:themeColor="text1"/>
          <w:kern w:val="2"/>
          <w:sz w:val="21"/>
          <w:szCs w:val="21"/>
          <w:highlight w:val="none"/>
          <w14:textFill>
            <w14:solidFill>
              <w14:schemeClr w14:val="tx1"/>
            </w14:solidFill>
          </w14:textFill>
        </w:rPr>
        <w:t>年1月1日起至今（</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以交工时间为准</w:t>
      </w:r>
      <w:r>
        <w:rPr>
          <w:rFonts w:hint="eastAsia" w:ascii="宋体" w:hAnsi="宋体" w:eastAsia="宋体" w:cs="宋体"/>
          <w:snapToGrid/>
          <w:color w:val="000000" w:themeColor="text1"/>
          <w:kern w:val="2"/>
          <w:sz w:val="21"/>
          <w:szCs w:val="21"/>
          <w:highlight w:val="none"/>
          <w14:textFill>
            <w14:solidFill>
              <w14:schemeClr w14:val="tx1"/>
            </w14:solidFill>
          </w14:textFill>
        </w:rPr>
        <w:t>），独立完成一个单项合同金额不低于</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80</w:t>
      </w:r>
      <w:r>
        <w:rPr>
          <w:rFonts w:hint="eastAsia" w:ascii="宋体" w:hAnsi="宋体" w:eastAsia="宋体" w:cs="宋体"/>
          <w:snapToGrid/>
          <w:color w:val="000000" w:themeColor="text1"/>
          <w:kern w:val="2"/>
          <w:sz w:val="21"/>
          <w:szCs w:val="21"/>
          <w:highlight w:val="none"/>
          <w14:textFill>
            <w14:solidFill>
              <w14:schemeClr w14:val="tx1"/>
            </w14:solidFill>
          </w14:textFill>
        </w:rPr>
        <w:t>万的二级及以上普通国省干线公路新建、改（扩）建、养护大中修项目监理业绩。</w:t>
      </w:r>
    </w:p>
    <w:p w14:paraId="124C3E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snapToGrid/>
          <w:color w:val="000000" w:themeColor="text1"/>
          <w:kern w:val="2"/>
          <w:sz w:val="21"/>
          <w:szCs w:val="21"/>
          <w:highlight w:val="none"/>
          <w14:textFill>
            <w14:solidFill>
              <w14:schemeClr w14:val="tx1"/>
            </w14:solidFill>
          </w14:textFill>
        </w:rPr>
        <w:t>.3拟派项目总监具有交通运输部公路工程监理工程师资格(JGJ)（道路与桥梁专业）或注册交通运输工程专业监理工程师资格、具有</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交通或</w:t>
      </w:r>
      <w:r>
        <w:rPr>
          <w:rFonts w:hint="eastAsia" w:ascii="宋体" w:hAnsi="宋体" w:eastAsia="宋体" w:cs="宋体"/>
          <w:snapToGrid/>
          <w:color w:val="000000" w:themeColor="text1"/>
          <w:kern w:val="2"/>
          <w:sz w:val="21"/>
          <w:szCs w:val="21"/>
          <w:highlight w:val="none"/>
          <w14:textFill>
            <w14:solidFill>
              <w14:schemeClr w14:val="tx1"/>
            </w14:solidFill>
          </w14:textFill>
        </w:rPr>
        <w:t>道路桥梁相关专业中级</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及以上</w:t>
      </w:r>
      <w:r>
        <w:rPr>
          <w:rFonts w:hint="eastAsia" w:ascii="宋体" w:hAnsi="宋体" w:eastAsia="宋体" w:cs="宋体"/>
          <w:snapToGrid/>
          <w:color w:val="000000" w:themeColor="text1"/>
          <w:kern w:val="2"/>
          <w:sz w:val="21"/>
          <w:szCs w:val="21"/>
          <w:highlight w:val="none"/>
          <w14:textFill>
            <w14:solidFill>
              <w14:schemeClr w14:val="tx1"/>
            </w14:solidFill>
          </w14:textFill>
        </w:rPr>
        <w:t>技术职称。提供</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开标截止日期前连续</w:t>
      </w:r>
      <w:r>
        <w:rPr>
          <w:rFonts w:hint="eastAsia" w:ascii="宋体" w:hAnsi="宋体" w:eastAsia="宋体" w:cs="宋体"/>
          <w:snapToGrid/>
          <w:color w:val="000000" w:themeColor="text1"/>
          <w:kern w:val="2"/>
          <w:sz w:val="21"/>
          <w:szCs w:val="21"/>
          <w:highlight w:val="none"/>
          <w14:textFill>
            <w14:solidFill>
              <w14:schemeClr w14:val="tx1"/>
            </w14:solidFill>
          </w14:textFill>
        </w:rPr>
        <w:t>六个月基本养老保险缴费证明。</w:t>
      </w:r>
    </w:p>
    <w:p w14:paraId="58762A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snapToGrid/>
          <w:color w:val="000000" w:themeColor="text1"/>
          <w:kern w:val="2"/>
          <w:sz w:val="21"/>
          <w:szCs w:val="21"/>
          <w:highlight w:val="none"/>
          <w14:textFill>
            <w14:solidFill>
              <w14:schemeClr w14:val="tx1"/>
            </w14:solidFill>
          </w14:textFill>
        </w:rPr>
        <w:t>.4信用等级被交通运输部或根据《河南省公路建设市场从业单位及人员信用管理办法》，信用等级被评定为 D 级的监理企业</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不</w:t>
      </w:r>
      <w:r>
        <w:rPr>
          <w:rFonts w:hint="eastAsia" w:ascii="宋体" w:hAnsi="宋体" w:eastAsia="宋体" w:cs="宋体"/>
          <w:snapToGrid/>
          <w:color w:val="000000" w:themeColor="text1"/>
          <w:kern w:val="2"/>
          <w:sz w:val="21"/>
          <w:szCs w:val="21"/>
          <w:highlight w:val="none"/>
          <w14:textFill>
            <w14:solidFill>
              <w14:schemeClr w14:val="tx1"/>
            </w14:solidFill>
          </w14:textFill>
        </w:rPr>
        <w:t>得</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参与</w:t>
      </w:r>
      <w:r>
        <w:rPr>
          <w:rFonts w:hint="eastAsia" w:ascii="宋体" w:hAnsi="宋体" w:eastAsia="宋体" w:cs="宋体"/>
          <w:snapToGrid/>
          <w:color w:val="000000" w:themeColor="text1"/>
          <w:kern w:val="2"/>
          <w:sz w:val="21"/>
          <w:szCs w:val="21"/>
          <w:highlight w:val="none"/>
          <w14:textFill>
            <w14:solidFill>
              <w14:schemeClr w14:val="tx1"/>
            </w14:solidFill>
          </w14:textFill>
        </w:rPr>
        <w:t>本项目投标。</w:t>
      </w:r>
    </w:p>
    <w:p w14:paraId="54400C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highlight w:val="none"/>
          <w14:textFill>
            <w14:solidFill>
              <w14:schemeClr w14:val="tx1"/>
            </w14:solidFill>
          </w14:textFill>
        </w:rPr>
        <w:t>.5信誉要求：本项目投标截止日期前</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投标人应通过“信用中国”查询“失信被执行人”和“国家企业信用信息公示系统查询”查询“严重违法失信企业名单”，并提供网页截图，对列入上述名单的投标人将被拒绝参加投标活动。（查询时间：从项目招标公告发布之日起至投标截止之日止）</w:t>
      </w:r>
    </w:p>
    <w:p w14:paraId="42A12E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snapToGrid/>
          <w:color w:val="000000" w:themeColor="text1"/>
          <w:kern w:val="2"/>
          <w:sz w:val="21"/>
          <w:szCs w:val="21"/>
          <w:highlight w:val="none"/>
          <w14:textFill>
            <w14:solidFill>
              <w14:schemeClr w14:val="tx1"/>
            </w14:solidFill>
          </w14:textFill>
        </w:rPr>
        <w:t>.6本项目不接受联合体投标。</w:t>
      </w:r>
    </w:p>
    <w:p w14:paraId="74F54A4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napToGrid/>
          <w:color w:val="000000" w:themeColor="text1"/>
          <w:kern w:val="2"/>
          <w:sz w:val="21"/>
          <w:szCs w:val="21"/>
          <w:highlight w:val="none"/>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t>五</w:t>
      </w:r>
      <w:r>
        <w:rPr>
          <w:rFonts w:hint="eastAsia" w:ascii="宋体" w:hAnsi="宋体" w:eastAsia="宋体" w:cs="宋体"/>
          <w:b/>
          <w:bCs/>
          <w:snapToGrid/>
          <w:color w:val="000000" w:themeColor="text1"/>
          <w:kern w:val="2"/>
          <w:sz w:val="21"/>
          <w:szCs w:val="21"/>
          <w:highlight w:val="none"/>
          <w14:textFill>
            <w14:solidFill>
              <w14:schemeClr w14:val="tx1"/>
            </w14:solidFill>
          </w14:textFill>
        </w:rPr>
        <w:t>、招标文件的获取</w:t>
      </w:r>
    </w:p>
    <w:p w14:paraId="3354AB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snapToGrid/>
          <w:color w:val="000000" w:themeColor="text1"/>
          <w:kern w:val="2"/>
          <w:sz w:val="21"/>
          <w:szCs w:val="21"/>
          <w:highlight w:val="none"/>
          <w14:textFill>
            <w14:solidFill>
              <w14:schemeClr w14:val="tx1"/>
            </w14:solidFill>
          </w14:textFill>
        </w:rPr>
        <w:t>.1招标文件的获取方法：投标人须注册成为</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新乡市公共资源交易中心网</w:t>
      </w:r>
      <w:r>
        <w:rPr>
          <w:rFonts w:hint="eastAsia" w:ascii="宋体" w:hAnsi="宋体" w:eastAsia="宋体" w:cs="宋体"/>
          <w:snapToGrid/>
          <w:color w:val="000000" w:themeColor="text1"/>
          <w:kern w:val="2"/>
          <w:sz w:val="21"/>
          <w:szCs w:val="21"/>
          <w:highlight w:val="none"/>
          <w14:textFill>
            <w14:solidFill>
              <w14:schemeClr w14:val="tx1"/>
            </w14:solidFill>
          </w14:textFill>
        </w:rPr>
        <w:t>站会员并取得CA密钥，凭CA密钥登陆会员专区并按网上提示自行下载招标文件(.xxzf格式)及资料。</w:t>
      </w:r>
    </w:p>
    <w:p w14:paraId="5D0D50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snapToGrid/>
          <w:color w:val="000000" w:themeColor="text1"/>
          <w:kern w:val="2"/>
          <w:sz w:val="21"/>
          <w:szCs w:val="21"/>
          <w:highlight w:val="none"/>
          <w14:textFill>
            <w14:solidFill>
              <w14:schemeClr w14:val="tx1"/>
            </w14:solidFill>
          </w14:textFill>
        </w:rPr>
        <w:t>.2招标文件获取时间：</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2025年</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月</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31</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日8时30分至2025年</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月</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日18时00分止。</w:t>
      </w:r>
    </w:p>
    <w:p w14:paraId="1AE430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snapToGrid/>
          <w:color w:val="000000" w:themeColor="text1"/>
          <w:kern w:val="2"/>
          <w:sz w:val="21"/>
          <w:szCs w:val="21"/>
          <w:highlight w:val="none"/>
          <w14:textFill>
            <w14:solidFill>
              <w14:schemeClr w14:val="tx1"/>
            </w14:solidFill>
          </w14:textFill>
        </w:rPr>
        <w:t>.3招标文件（含电子图纸）售价：免费。</w:t>
      </w:r>
    </w:p>
    <w:p w14:paraId="696AA0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snapToGrid/>
          <w:color w:val="000000" w:themeColor="text1"/>
          <w:kern w:val="2"/>
          <w:sz w:val="21"/>
          <w:szCs w:val="21"/>
          <w:highlight w:val="none"/>
          <w14:textFill>
            <w14:solidFill>
              <w14:schemeClr w14:val="tx1"/>
            </w14:solidFill>
          </w14:textFill>
        </w:rPr>
        <w:t>.4获取招标文件后，投标人请到</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新乡市公共资源交易中心网</w:t>
      </w:r>
      <w:r>
        <w:rPr>
          <w:rFonts w:hint="eastAsia" w:ascii="宋体" w:hAnsi="宋体" w:eastAsia="宋体" w:cs="宋体"/>
          <w:snapToGrid/>
          <w:color w:val="000000" w:themeColor="text1"/>
          <w:kern w:val="2"/>
          <w:sz w:val="21"/>
          <w:szCs w:val="21"/>
          <w:highlight w:val="none"/>
          <w14:textFill>
            <w14:solidFill>
              <w14:schemeClr w14:val="tx1"/>
            </w14:solidFill>
          </w14:textFill>
        </w:rPr>
        <w:t>站—办事指南—服务指南栏目下载最新版本的投标文件制作工具安装包，并使用安装后的最新版本投标文件制作工具查看招标文件和制作电子投标文件。</w:t>
      </w:r>
    </w:p>
    <w:p w14:paraId="1D4E4B1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napToGrid/>
          <w:color w:val="000000" w:themeColor="text1"/>
          <w:kern w:val="2"/>
          <w:sz w:val="21"/>
          <w:szCs w:val="21"/>
          <w:highlight w:val="none"/>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eastAsia="zh-CN"/>
          <w14:textFill>
            <w14:solidFill>
              <w14:schemeClr w14:val="tx1"/>
            </w14:solidFill>
          </w14:textFill>
        </w:rPr>
        <w:t>六</w:t>
      </w:r>
      <w:r>
        <w:rPr>
          <w:rFonts w:hint="eastAsia" w:ascii="宋体" w:hAnsi="宋体" w:eastAsia="宋体" w:cs="宋体"/>
          <w:b/>
          <w:bCs/>
          <w:snapToGrid/>
          <w:color w:val="000000" w:themeColor="text1"/>
          <w:kern w:val="2"/>
          <w:sz w:val="21"/>
          <w:szCs w:val="21"/>
          <w:highlight w:val="none"/>
          <w14:textFill>
            <w14:solidFill>
              <w14:schemeClr w14:val="tx1"/>
            </w14:solidFill>
          </w14:textFill>
        </w:rPr>
        <w:t>、投标文件的递交</w:t>
      </w:r>
    </w:p>
    <w:p w14:paraId="358C37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snapToGrid/>
          <w:color w:val="000000" w:themeColor="text1"/>
          <w:kern w:val="2"/>
          <w:sz w:val="21"/>
          <w:szCs w:val="21"/>
          <w:highlight w:val="none"/>
          <w14:textFill>
            <w14:solidFill>
              <w14:schemeClr w14:val="tx1"/>
            </w14:solidFill>
          </w14:textFill>
        </w:rPr>
        <w:t>.1投标文件递交的截止及开标时间：</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2025年</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月</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21</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日8时30分</w:t>
      </w:r>
      <w:r>
        <w:rPr>
          <w:rFonts w:hint="eastAsia" w:ascii="宋体" w:hAnsi="宋体" w:eastAsia="宋体" w:cs="宋体"/>
          <w:snapToGrid/>
          <w:color w:val="000000" w:themeColor="text1"/>
          <w:kern w:val="2"/>
          <w:sz w:val="21"/>
          <w:szCs w:val="21"/>
          <w:highlight w:val="none"/>
          <w14:textFill>
            <w14:solidFill>
              <w14:schemeClr w14:val="tx1"/>
            </w14:solidFill>
          </w14:textFill>
        </w:rPr>
        <w:t>。</w:t>
      </w:r>
    </w:p>
    <w:p w14:paraId="2CEEF7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6.2</w:t>
      </w:r>
      <w:r>
        <w:rPr>
          <w:rFonts w:hint="eastAsia" w:ascii="宋体" w:hAnsi="宋体" w:eastAsia="宋体" w:cs="宋体"/>
          <w:snapToGrid/>
          <w:color w:val="000000" w:themeColor="text1"/>
          <w:kern w:val="2"/>
          <w:sz w:val="21"/>
          <w:szCs w:val="21"/>
          <w:highlight w:val="none"/>
          <w14:textFill>
            <w14:solidFill>
              <w14:schemeClr w14:val="tx1"/>
            </w14:solidFill>
          </w14:textFill>
        </w:rPr>
        <w:t>开标地点：新乡市公共资源交易中心第</w:t>
      </w:r>
      <w:r>
        <w:rPr>
          <w:rFonts w:hint="eastAsia" w:ascii="宋体" w:hAnsi="宋体" w:cs="宋体"/>
          <w:snapToGrid/>
          <w:color w:val="000000" w:themeColor="text1"/>
          <w:kern w:val="2"/>
          <w:sz w:val="21"/>
          <w:szCs w:val="21"/>
          <w:highlight w:val="none"/>
          <w:lang w:val="en-US" w:eastAsia="zh-CN"/>
          <w14:textFill>
            <w14:solidFill>
              <w14:schemeClr w14:val="tx1"/>
            </w14:solidFill>
          </w14:textFill>
        </w:rPr>
        <w:t>四</w:t>
      </w:r>
      <w:r>
        <w:rPr>
          <w:rFonts w:hint="eastAsia" w:ascii="宋体" w:hAnsi="宋体" w:eastAsia="宋体" w:cs="宋体"/>
          <w:snapToGrid/>
          <w:color w:val="000000" w:themeColor="text1"/>
          <w:kern w:val="2"/>
          <w:sz w:val="21"/>
          <w:szCs w:val="21"/>
          <w:highlight w:val="none"/>
          <w14:textFill>
            <w14:solidFill>
              <w14:schemeClr w14:val="tx1"/>
            </w14:solidFill>
          </w14:textFill>
        </w:rPr>
        <w:t>开标室。</w:t>
      </w:r>
    </w:p>
    <w:p w14:paraId="11D458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snapToGrid/>
          <w:color w:val="000000" w:themeColor="text1"/>
          <w:kern w:val="2"/>
          <w:sz w:val="21"/>
          <w:szCs w:val="21"/>
          <w:highlight w:val="none"/>
          <w14:textFill>
            <w14:solidFill>
              <w14:schemeClr w14:val="tx1"/>
            </w14:solidFill>
          </w14:textFill>
        </w:rPr>
        <w:t>.3加密电子投标文件须在新乡市公共资源交易中心电子交易平台中加密上传，上传时必须得到电脑“上传成功”的确认回复后方为上传成功。</w:t>
      </w:r>
    </w:p>
    <w:p w14:paraId="77D9F6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snapToGrid/>
          <w:color w:val="000000" w:themeColor="text1"/>
          <w:kern w:val="2"/>
          <w:sz w:val="21"/>
          <w:szCs w:val="21"/>
          <w:highlight w:val="none"/>
          <w14:textFill>
            <w14:solidFill>
              <w14:schemeClr w14:val="tx1"/>
            </w14:solidFill>
          </w14:textFill>
        </w:rPr>
        <w:t>.4</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投标人应当在投标截止时间前，登录中心门户网站“智能开标大厅”，在线准时参加开标活动，并在规定时间内进行投标文件解密、答疑澄清等。各潜在投标人因加密电子投标文件未能成功上传，其投标将被拒绝。投标人需在开标截止时间后30分钟内完成解密，否则造成的一切后果由投标人自行负责。具体事宜请查阅“智能开标大厅”首页右上角“操作指南”。</w:t>
      </w:r>
    </w:p>
    <w:p w14:paraId="6AE3F83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lang w:eastAsia="zh-CN"/>
          <w14:textFill>
            <w14:solidFill>
              <w14:schemeClr w14:val="tx1"/>
            </w14:solidFill>
          </w14:textFill>
        </w:rPr>
        <w:t>七</w:t>
      </w:r>
      <w:r>
        <w:rPr>
          <w:rFonts w:hint="eastAsia" w:ascii="宋体" w:hAnsi="宋体" w:eastAsia="宋体" w:cs="宋体"/>
          <w:b/>
          <w:bCs/>
          <w:snapToGrid/>
          <w:color w:val="000000" w:themeColor="text1"/>
          <w:kern w:val="2"/>
          <w:sz w:val="21"/>
          <w:szCs w:val="21"/>
          <w:highlight w:val="none"/>
          <w14:textFill>
            <w14:solidFill>
              <w14:schemeClr w14:val="tx1"/>
            </w14:solidFill>
          </w14:textFill>
        </w:rPr>
        <w:t>、发布公告的媒介及公告期限</w:t>
      </w:r>
    </w:p>
    <w:p w14:paraId="509F28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本次招标公告同时在《中国招标投标公共服务平台》、《河南省政府采购网》、《新乡市政府采购网》、《</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新乡市公共资源交易中心网</w:t>
      </w:r>
      <w:r>
        <w:rPr>
          <w:rFonts w:hint="eastAsia" w:ascii="宋体" w:hAnsi="宋体" w:eastAsia="宋体" w:cs="宋体"/>
          <w:snapToGrid/>
          <w:color w:val="000000" w:themeColor="text1"/>
          <w:kern w:val="2"/>
          <w:sz w:val="21"/>
          <w:szCs w:val="21"/>
          <w:highlight w:val="none"/>
          <w14:textFill>
            <w14:solidFill>
              <w14:schemeClr w14:val="tx1"/>
            </w14:solidFill>
          </w14:textFill>
        </w:rPr>
        <w:t>》、《新乡市交通运输局网》网上发布。公告期限为五个工作日。</w:t>
      </w:r>
    </w:p>
    <w:p w14:paraId="3A0B93B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napToGrid/>
          <w:color w:val="000000" w:themeColor="text1"/>
          <w:kern w:val="2"/>
          <w:sz w:val="21"/>
          <w:szCs w:val="21"/>
          <w:highlight w:val="none"/>
          <w14:textFill>
            <w14:solidFill>
              <w14:schemeClr w14:val="tx1"/>
            </w14:solidFill>
          </w14:textFill>
        </w:rPr>
      </w:pPr>
      <w:r>
        <w:rPr>
          <w:rFonts w:hint="eastAsia" w:ascii="宋体" w:hAnsi="宋体" w:cs="宋体"/>
          <w:b/>
          <w:bCs/>
          <w:snapToGrid/>
          <w:color w:val="000000" w:themeColor="text1"/>
          <w:kern w:val="2"/>
          <w:sz w:val="21"/>
          <w:szCs w:val="21"/>
          <w:highlight w:val="none"/>
          <w:lang w:eastAsia="zh-CN"/>
          <w14:textFill>
            <w14:solidFill>
              <w14:schemeClr w14:val="tx1"/>
            </w14:solidFill>
          </w14:textFill>
        </w:rPr>
        <w:t>八</w:t>
      </w:r>
      <w:r>
        <w:rPr>
          <w:rFonts w:hint="eastAsia" w:ascii="宋体" w:hAnsi="宋体" w:eastAsia="宋体" w:cs="宋体"/>
          <w:b/>
          <w:bCs/>
          <w:snapToGrid/>
          <w:color w:val="000000" w:themeColor="text1"/>
          <w:kern w:val="2"/>
          <w:sz w:val="21"/>
          <w:szCs w:val="21"/>
          <w:highlight w:val="none"/>
          <w14:textFill>
            <w14:solidFill>
              <w14:schemeClr w14:val="tx1"/>
            </w14:solidFill>
          </w14:textFill>
        </w:rPr>
        <w:t>、联系方式</w:t>
      </w:r>
    </w:p>
    <w:p w14:paraId="0BDE9B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1.招标人信息</w:t>
      </w:r>
    </w:p>
    <w:p w14:paraId="6EA8C3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招标人：新乡市公路事业发展中心</w:t>
      </w:r>
    </w:p>
    <w:p w14:paraId="28A2AA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地址：新乡市胜利中街298号</w:t>
      </w:r>
    </w:p>
    <w:p w14:paraId="301B47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联系人：张继承</w:t>
      </w:r>
    </w:p>
    <w:p w14:paraId="74666A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联系电话：13017600619</w:t>
      </w:r>
    </w:p>
    <w:p w14:paraId="36591F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0"/>
          <w:sz w:val="21"/>
          <w:szCs w:val="21"/>
          <w:highlight w:val="none"/>
          <w:lang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2.代理机构信息</w:t>
      </w:r>
    </w:p>
    <w:p w14:paraId="6162CA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0"/>
          <w:sz w:val="21"/>
          <w:szCs w:val="21"/>
          <w:highlight w:val="none"/>
          <w:lang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代理机构： 新乡市公路勘察设计院有限责任公司</w:t>
      </w:r>
    </w:p>
    <w:p w14:paraId="37F23F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0"/>
          <w:sz w:val="21"/>
          <w:szCs w:val="21"/>
          <w:highlight w:val="none"/>
          <w:lang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 xml:space="preserve">地    址： 新乡市牧野大道88号达安花园内 </w:t>
      </w:r>
    </w:p>
    <w:p w14:paraId="027487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0"/>
          <w:sz w:val="21"/>
          <w:szCs w:val="21"/>
          <w:highlight w:val="none"/>
          <w:lang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联 系 人：</w:t>
      </w: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陈曦</w:t>
      </w:r>
    </w:p>
    <w:p w14:paraId="282E3A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napToGrid/>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电    话：</w:t>
      </w: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17837389275</w:t>
      </w:r>
    </w:p>
    <w:p w14:paraId="57DE9D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0"/>
          <w:sz w:val="21"/>
          <w:szCs w:val="21"/>
          <w:highlight w:val="none"/>
          <w:lang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3.项目联系方式</w:t>
      </w:r>
    </w:p>
    <w:p w14:paraId="43AC4D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0"/>
          <w:sz w:val="21"/>
          <w:szCs w:val="21"/>
          <w:highlight w:val="none"/>
          <w:lang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联系人：</w:t>
      </w: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陈曦</w:t>
      </w:r>
    </w:p>
    <w:p w14:paraId="35C88A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电    话：</w:t>
      </w: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17837389275</w:t>
      </w:r>
    </w:p>
    <w:p w14:paraId="4B5E7C6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napToGrid/>
          <w:color w:val="000000" w:themeColor="text1"/>
          <w:kern w:val="0"/>
          <w:sz w:val="21"/>
          <w:szCs w:val="21"/>
          <w:highlight w:val="none"/>
          <w:lang w:bidi="ar"/>
          <w14:textFill>
            <w14:solidFill>
              <w14:schemeClr w14:val="tx1"/>
            </w14:solidFill>
          </w14:textFill>
        </w:rPr>
      </w:pPr>
      <w:r>
        <w:rPr>
          <w:rFonts w:hint="eastAsia" w:ascii="宋体" w:hAnsi="宋体" w:cs="宋体"/>
          <w:b/>
          <w:bCs/>
          <w:snapToGrid/>
          <w:color w:val="000000" w:themeColor="text1"/>
          <w:kern w:val="0"/>
          <w:sz w:val="21"/>
          <w:szCs w:val="21"/>
          <w:highlight w:val="none"/>
          <w:lang w:eastAsia="zh-CN" w:bidi="ar"/>
          <w14:textFill>
            <w14:solidFill>
              <w14:schemeClr w14:val="tx1"/>
            </w14:solidFill>
          </w14:textFill>
        </w:rPr>
        <w:t>九</w:t>
      </w:r>
      <w:r>
        <w:rPr>
          <w:rFonts w:hint="eastAsia" w:ascii="宋体" w:hAnsi="宋体" w:eastAsia="宋体" w:cs="宋体"/>
          <w:b/>
          <w:bCs/>
          <w:snapToGrid/>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
          <w:bCs/>
          <w:snapToGrid/>
          <w:color w:val="000000" w:themeColor="text1"/>
          <w:kern w:val="0"/>
          <w:sz w:val="21"/>
          <w:szCs w:val="21"/>
          <w:highlight w:val="none"/>
          <w:lang w:bidi="ar"/>
          <w14:textFill>
            <w14:solidFill>
              <w14:schemeClr w14:val="tx1"/>
            </w14:solidFill>
          </w14:textFill>
        </w:rPr>
        <w:t>招投标监督管理机构及联系方式</w:t>
      </w:r>
    </w:p>
    <w:p w14:paraId="253747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color w:val="000000" w:themeColor="text1"/>
          <w:kern w:val="0"/>
          <w:sz w:val="21"/>
          <w:szCs w:val="21"/>
          <w:highlight w:val="none"/>
          <w:lang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 xml:space="preserve">新乡市交通运输局：0373-3523323  </w:t>
      </w: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 xml:space="preserve">  </w:t>
      </w:r>
      <w:r>
        <w:rPr>
          <w:rFonts w:hint="eastAsia" w:ascii="宋体" w:hAnsi="宋体" w:eastAsia="宋体" w:cs="宋体"/>
          <w:snapToGrid/>
          <w:color w:val="000000" w:themeColor="text1"/>
          <w:kern w:val="0"/>
          <w:sz w:val="21"/>
          <w:szCs w:val="21"/>
          <w:highlight w:val="none"/>
          <w:lang w:bidi="ar"/>
          <w14:textFill>
            <w14:solidFill>
              <w14:schemeClr w14:val="tx1"/>
            </w14:solidFill>
          </w14:textFill>
        </w:rPr>
        <w:t>新乡市财政局：0373-3688617</w:t>
      </w:r>
    </w:p>
    <w:p w14:paraId="4E37EAD7">
      <w:pPr>
        <w:bidi w:val="0"/>
        <w:rPr>
          <w:rFonts w:hint="eastAsia" w:ascii="宋体" w:hAnsi="宋体" w:eastAsia="宋体" w:cs="宋体"/>
          <w:highlight w:val="none"/>
        </w:rPr>
      </w:pPr>
    </w:p>
    <w:p w14:paraId="0391AEB1">
      <w:pPr>
        <w:pStyle w:val="17"/>
        <w:ind w:left="0" w:leftChars="0" w:firstLine="0" w:firstLineChars="0"/>
        <w:jc w:val="both"/>
        <w:rPr>
          <w:rFonts w:hint="eastAsia"/>
        </w:rPr>
      </w:pPr>
      <w:r>
        <w:rPr>
          <w:rFonts w:hint="eastAsia" w:ascii="宋体" w:hAnsi="宋体" w:eastAsia="宋体" w:cs="宋体"/>
          <w:bCs/>
          <w:sz w:val="36"/>
          <w:highlight w:val="none"/>
        </w:rPr>
        <w:br w:type="page"/>
      </w:r>
    </w:p>
    <w:p w14:paraId="632A6711">
      <w:pPr>
        <w:bidi w:val="0"/>
        <w:jc w:val="center"/>
        <w:outlineLvl w:val="0"/>
        <w:rPr>
          <w:rFonts w:hint="eastAsia" w:ascii="宋体" w:hAnsi="宋体" w:eastAsia="宋体" w:cs="宋体"/>
          <w:sz w:val="24"/>
          <w:highlight w:val="none"/>
        </w:rPr>
      </w:pPr>
      <w:bookmarkStart w:id="8" w:name="_Toc24326"/>
      <w:r>
        <w:rPr>
          <w:rFonts w:hint="eastAsia" w:ascii="宋体" w:hAnsi="宋体" w:eastAsia="宋体" w:cs="宋体"/>
          <w:b/>
          <w:bCs w:val="0"/>
          <w:sz w:val="36"/>
          <w:highlight w:val="none"/>
        </w:rPr>
        <w:t>第</w:t>
      </w:r>
      <w:bookmarkStart w:id="9" w:name="_Hlt237684804"/>
      <w:bookmarkEnd w:id="9"/>
      <w:r>
        <w:rPr>
          <w:rFonts w:hint="eastAsia" w:ascii="宋体" w:hAnsi="宋体" w:eastAsia="宋体" w:cs="宋体"/>
          <w:b/>
          <w:bCs w:val="0"/>
          <w:sz w:val="36"/>
          <w:highlight w:val="none"/>
        </w:rPr>
        <w:t>二章  投标人须知</w:t>
      </w:r>
      <w:bookmarkEnd w:id="8"/>
    </w:p>
    <w:p w14:paraId="2E026C4C">
      <w:pPr>
        <w:bidi w:val="0"/>
        <w:jc w:val="center"/>
        <w:rPr>
          <w:rFonts w:hint="eastAsia" w:ascii="宋体" w:hAnsi="宋体" w:eastAsia="宋体" w:cs="宋体"/>
          <w:b/>
          <w:bCs/>
          <w:sz w:val="28"/>
          <w:szCs w:val="28"/>
          <w:highlight w:val="none"/>
        </w:rPr>
      </w:pPr>
      <w:bookmarkStart w:id="10" w:name="_Toc533409739"/>
      <w:bookmarkStart w:id="11" w:name="_Toc519325331"/>
      <w:bookmarkStart w:id="12" w:name="_Toc226887331"/>
      <w:bookmarkStart w:id="13" w:name="_Toc226887616"/>
      <w:bookmarkStart w:id="14" w:name="_Toc222740109"/>
      <w:r>
        <w:rPr>
          <w:rFonts w:hint="eastAsia" w:ascii="宋体" w:hAnsi="宋体" w:eastAsia="宋体" w:cs="宋体"/>
          <w:b/>
          <w:bCs/>
          <w:sz w:val="28"/>
          <w:szCs w:val="28"/>
          <w:highlight w:val="none"/>
        </w:rPr>
        <w:t>投标</w:t>
      </w:r>
      <w:bookmarkStart w:id="15" w:name="_Hlt237684687"/>
      <w:bookmarkEnd w:id="15"/>
      <w:r>
        <w:rPr>
          <w:rFonts w:hint="eastAsia" w:ascii="宋体" w:hAnsi="宋体" w:eastAsia="宋体" w:cs="宋体"/>
          <w:b/>
          <w:bCs/>
          <w:sz w:val="28"/>
          <w:szCs w:val="28"/>
          <w:highlight w:val="none"/>
        </w:rPr>
        <w:t>人须</w:t>
      </w:r>
      <w:bookmarkStart w:id="16" w:name="_Hlt226887519"/>
      <w:bookmarkEnd w:id="16"/>
      <w:r>
        <w:rPr>
          <w:rFonts w:hint="eastAsia" w:ascii="宋体" w:hAnsi="宋体" w:eastAsia="宋体" w:cs="宋体"/>
          <w:b/>
          <w:bCs/>
          <w:sz w:val="28"/>
          <w:szCs w:val="28"/>
          <w:highlight w:val="none"/>
        </w:rPr>
        <w:t>知前附表</w:t>
      </w:r>
      <w:bookmarkEnd w:id="10"/>
      <w:bookmarkEnd w:id="11"/>
      <w:bookmarkEnd w:id="12"/>
      <w:bookmarkEnd w:id="13"/>
      <w:bookmarkEnd w:id="14"/>
    </w:p>
    <w:tbl>
      <w:tblPr>
        <w:tblStyle w:val="18"/>
        <w:tblW w:w="949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06"/>
        <w:gridCol w:w="2600"/>
        <w:gridCol w:w="5891"/>
      </w:tblGrid>
      <w:tr w14:paraId="5E56E2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006" w:type="dxa"/>
            <w:noWrap w:val="0"/>
            <w:vAlign w:val="center"/>
          </w:tcPr>
          <w:p w14:paraId="223ACFAE">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条款号</w:t>
            </w:r>
          </w:p>
        </w:tc>
        <w:tc>
          <w:tcPr>
            <w:tcW w:w="2600" w:type="dxa"/>
            <w:noWrap w:val="0"/>
            <w:vAlign w:val="center"/>
          </w:tcPr>
          <w:p w14:paraId="1592FFA0">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条 款 名 称</w:t>
            </w:r>
          </w:p>
        </w:tc>
        <w:tc>
          <w:tcPr>
            <w:tcW w:w="5891" w:type="dxa"/>
            <w:noWrap w:val="0"/>
            <w:vAlign w:val="center"/>
          </w:tcPr>
          <w:p w14:paraId="72AE9D40">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具体信息或数据</w:t>
            </w:r>
          </w:p>
        </w:tc>
      </w:tr>
      <w:tr w14:paraId="3AFED2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5C97AD9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1.1.2</w:t>
            </w:r>
          </w:p>
        </w:tc>
        <w:tc>
          <w:tcPr>
            <w:tcW w:w="2600" w:type="dxa"/>
            <w:noWrap w:val="0"/>
            <w:vAlign w:val="center"/>
          </w:tcPr>
          <w:p w14:paraId="78F5D12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招标人</w:t>
            </w:r>
          </w:p>
        </w:tc>
        <w:tc>
          <w:tcPr>
            <w:tcW w:w="5891" w:type="dxa"/>
            <w:noWrap w:val="0"/>
            <w:vAlign w:val="center"/>
          </w:tcPr>
          <w:p w14:paraId="3DA51F0A">
            <w:pPr>
              <w:spacing w:line="360" w:lineRule="auto"/>
              <w:ind w:left="0" w:leftChars="0"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招 标 人：新乡市公路事业发展中心</w:t>
            </w:r>
          </w:p>
          <w:p w14:paraId="02AEFB86">
            <w:pPr>
              <w:spacing w:line="360" w:lineRule="auto"/>
              <w:ind w:left="0" w:leftChars="0"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 xml:space="preserve">地    址：新乡市胜利中街298号 </w:t>
            </w:r>
          </w:p>
          <w:p w14:paraId="43F0F874">
            <w:pPr>
              <w:spacing w:line="360" w:lineRule="auto"/>
              <w:ind w:left="0" w:leftChars="0"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联 系 人：张继承</w:t>
            </w:r>
          </w:p>
          <w:p w14:paraId="45D5782D">
            <w:pPr>
              <w:spacing w:line="360" w:lineRule="auto"/>
              <w:ind w:left="0" w:leftChars="0"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电话：13017600619</w:t>
            </w:r>
          </w:p>
        </w:tc>
      </w:tr>
      <w:tr w14:paraId="066089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0EA150E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1.1.3</w:t>
            </w:r>
          </w:p>
        </w:tc>
        <w:tc>
          <w:tcPr>
            <w:tcW w:w="2600" w:type="dxa"/>
            <w:noWrap w:val="0"/>
            <w:vAlign w:val="center"/>
          </w:tcPr>
          <w:p w14:paraId="52BF6FA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招标代理机构</w:t>
            </w:r>
          </w:p>
        </w:tc>
        <w:tc>
          <w:tcPr>
            <w:tcW w:w="5891" w:type="dxa"/>
            <w:noWrap w:val="0"/>
            <w:vAlign w:val="center"/>
          </w:tcPr>
          <w:p w14:paraId="6B444549">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代理机构：新乡市公路勘察设计院有限责任公司</w:t>
            </w:r>
          </w:p>
          <w:p w14:paraId="18A1F93A">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地    址：新</w:t>
            </w:r>
            <w:bookmarkStart w:id="17" w:name="_Toc25773_WPSOffice_Level3"/>
            <w:r>
              <w:rPr>
                <w:rFonts w:hint="eastAsia" w:ascii="宋体" w:hAnsi="宋体" w:eastAsia="宋体" w:cs="宋体"/>
                <w:szCs w:val="21"/>
                <w:highlight w:val="none"/>
              </w:rPr>
              <w:t>乡市牧野大道</w:t>
            </w:r>
            <w:bookmarkEnd w:id="17"/>
            <w:r>
              <w:rPr>
                <w:rFonts w:hint="eastAsia" w:ascii="宋体" w:hAnsi="宋体" w:eastAsia="宋体" w:cs="宋体"/>
                <w:szCs w:val="21"/>
                <w:highlight w:val="none"/>
              </w:rPr>
              <w:t xml:space="preserve">88号达安花园内  </w:t>
            </w:r>
          </w:p>
          <w:p w14:paraId="40A5B6C8">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联 系 人：</w:t>
            </w:r>
            <w:r>
              <w:rPr>
                <w:rFonts w:hint="eastAsia" w:ascii="宋体" w:hAnsi="宋体" w:eastAsia="宋体" w:cs="宋体"/>
                <w:szCs w:val="21"/>
                <w:highlight w:val="none"/>
                <w:lang w:val="en-US" w:eastAsia="zh-CN"/>
              </w:rPr>
              <w:t>陈曦</w:t>
            </w:r>
          </w:p>
          <w:p w14:paraId="3E9B39A7">
            <w:pPr>
              <w:spacing w:line="360" w:lineRule="auto"/>
              <w:ind w:firstLine="0" w:firstLineChars="0"/>
              <w:rPr>
                <w:rFonts w:hint="default" w:ascii="宋体" w:hAnsi="宋体" w:eastAsia="宋体" w:cs="宋体"/>
                <w:szCs w:val="21"/>
                <w:highlight w:val="none"/>
                <w:lang w:val="en-US"/>
              </w:rPr>
            </w:pPr>
            <w:r>
              <w:rPr>
                <w:rFonts w:hint="eastAsia" w:ascii="宋体" w:hAnsi="宋体" w:eastAsia="宋体" w:cs="宋体"/>
                <w:szCs w:val="21"/>
                <w:highlight w:val="none"/>
              </w:rPr>
              <w:t>电    话：</w:t>
            </w:r>
            <w:r>
              <w:rPr>
                <w:rFonts w:hint="eastAsia" w:ascii="宋体" w:hAnsi="宋体" w:eastAsia="宋体" w:cs="宋体"/>
                <w:szCs w:val="21"/>
                <w:highlight w:val="none"/>
                <w:lang w:val="en-US" w:eastAsia="zh-CN"/>
              </w:rPr>
              <w:t>17837389275</w:t>
            </w:r>
          </w:p>
        </w:tc>
      </w:tr>
      <w:tr w14:paraId="4580D5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006" w:type="dxa"/>
            <w:noWrap w:val="0"/>
            <w:vAlign w:val="center"/>
          </w:tcPr>
          <w:p w14:paraId="6932240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1.1.4</w:t>
            </w:r>
          </w:p>
        </w:tc>
        <w:tc>
          <w:tcPr>
            <w:tcW w:w="2600" w:type="dxa"/>
            <w:noWrap w:val="0"/>
            <w:vAlign w:val="center"/>
          </w:tcPr>
          <w:p w14:paraId="34A61139">
            <w:pPr>
              <w:spacing w:line="360" w:lineRule="auto"/>
              <w:jc w:val="center"/>
              <w:rPr>
                <w:rFonts w:hint="eastAsia" w:ascii="宋体" w:hAnsi="宋体" w:eastAsia="宋体" w:cs="宋体"/>
                <w:szCs w:val="21"/>
                <w:highlight w:val="none"/>
              </w:rPr>
            </w:pPr>
            <w:r>
              <w:rPr>
                <w:rFonts w:hint="eastAsia" w:ascii="宋体" w:hAnsi="宋体" w:eastAsia="宋体" w:cs="宋体"/>
                <w:bCs/>
                <w:spacing w:val="-8"/>
                <w:kern w:val="11"/>
                <w:szCs w:val="21"/>
                <w:highlight w:val="none"/>
              </w:rPr>
              <w:t>招标项目名称</w:t>
            </w:r>
          </w:p>
        </w:tc>
        <w:tc>
          <w:tcPr>
            <w:tcW w:w="5891" w:type="dxa"/>
            <w:noWrap w:val="0"/>
            <w:vAlign w:val="center"/>
          </w:tcPr>
          <w:p w14:paraId="4A415534">
            <w:pPr>
              <w:spacing w:line="360" w:lineRule="auto"/>
              <w:ind w:left="0" w:leftChars="0" w:firstLine="0" w:firstLineChars="0"/>
              <w:rPr>
                <w:rFonts w:hint="eastAsia" w:ascii="宋体" w:hAnsi="宋体" w:eastAsia="宋体" w:cs="宋体"/>
                <w:szCs w:val="21"/>
                <w:highlight w:val="none"/>
                <w:lang w:eastAsia="zh-CN"/>
              </w:rPr>
            </w:pPr>
            <w:r>
              <w:rPr>
                <w:rFonts w:hint="eastAsia" w:ascii="宋体" w:hAnsi="宋体" w:eastAsia="宋体" w:cs="宋体"/>
                <w:snapToGrid/>
                <w:color w:val="000000"/>
                <w:kern w:val="2"/>
                <w:sz w:val="22"/>
                <w:szCs w:val="22"/>
                <w:highlight w:val="none"/>
                <w:lang w:eastAsia="zh-CN"/>
              </w:rPr>
              <w:t>2025年新乡市干线公路第一批养护工程监理项目</w:t>
            </w:r>
          </w:p>
        </w:tc>
      </w:tr>
      <w:tr w14:paraId="01D8B9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006" w:type="dxa"/>
            <w:noWrap w:val="0"/>
            <w:vAlign w:val="center"/>
          </w:tcPr>
          <w:p w14:paraId="507261D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1.1.5</w:t>
            </w:r>
          </w:p>
        </w:tc>
        <w:tc>
          <w:tcPr>
            <w:tcW w:w="2600" w:type="dxa"/>
            <w:noWrap w:val="0"/>
            <w:vAlign w:val="center"/>
          </w:tcPr>
          <w:p w14:paraId="1370583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建设地点</w:t>
            </w:r>
          </w:p>
        </w:tc>
        <w:tc>
          <w:tcPr>
            <w:tcW w:w="5891" w:type="dxa"/>
            <w:noWrap w:val="0"/>
            <w:vAlign w:val="center"/>
          </w:tcPr>
          <w:p w14:paraId="6AFD8829">
            <w:pPr>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新乡市境内</w:t>
            </w:r>
          </w:p>
        </w:tc>
      </w:tr>
      <w:tr w14:paraId="655B93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248FA4F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1.1.6</w:t>
            </w:r>
          </w:p>
        </w:tc>
        <w:tc>
          <w:tcPr>
            <w:tcW w:w="2600" w:type="dxa"/>
            <w:noWrap w:val="0"/>
            <w:vAlign w:val="center"/>
          </w:tcPr>
          <w:p w14:paraId="53EAC9A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招标项目施工预计建设周期</w:t>
            </w:r>
          </w:p>
        </w:tc>
        <w:tc>
          <w:tcPr>
            <w:tcW w:w="5891" w:type="dxa"/>
            <w:noWrap w:val="0"/>
            <w:vAlign w:val="center"/>
          </w:tcPr>
          <w:p w14:paraId="459E0948">
            <w:pPr>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60</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日历天</w:t>
            </w:r>
          </w:p>
        </w:tc>
      </w:tr>
      <w:tr w14:paraId="274F5F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655832E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1.2.1</w:t>
            </w:r>
          </w:p>
        </w:tc>
        <w:tc>
          <w:tcPr>
            <w:tcW w:w="2600" w:type="dxa"/>
            <w:noWrap w:val="0"/>
            <w:vAlign w:val="center"/>
          </w:tcPr>
          <w:p w14:paraId="24578C4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资金来源及比例</w:t>
            </w:r>
          </w:p>
        </w:tc>
        <w:tc>
          <w:tcPr>
            <w:tcW w:w="5891" w:type="dxa"/>
            <w:noWrap w:val="0"/>
            <w:vAlign w:val="center"/>
          </w:tcPr>
          <w:p w14:paraId="2D7E1FAC">
            <w:pPr>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财政资金，已落实。</w:t>
            </w:r>
          </w:p>
        </w:tc>
      </w:tr>
      <w:tr w14:paraId="2D2080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3543D67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1.2.2</w:t>
            </w:r>
          </w:p>
        </w:tc>
        <w:tc>
          <w:tcPr>
            <w:tcW w:w="2600" w:type="dxa"/>
            <w:noWrap w:val="0"/>
            <w:vAlign w:val="center"/>
          </w:tcPr>
          <w:p w14:paraId="0352E6C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资金落实情况</w:t>
            </w:r>
          </w:p>
        </w:tc>
        <w:tc>
          <w:tcPr>
            <w:tcW w:w="5891" w:type="dxa"/>
            <w:noWrap w:val="0"/>
            <w:vAlign w:val="center"/>
          </w:tcPr>
          <w:p w14:paraId="742DFA00">
            <w:pPr>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已落实</w:t>
            </w:r>
          </w:p>
        </w:tc>
      </w:tr>
      <w:tr w14:paraId="5EE2B9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760B12F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1.3.1</w:t>
            </w:r>
          </w:p>
        </w:tc>
        <w:tc>
          <w:tcPr>
            <w:tcW w:w="2600" w:type="dxa"/>
            <w:noWrap w:val="0"/>
            <w:vAlign w:val="center"/>
          </w:tcPr>
          <w:p w14:paraId="7E8D5E2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招标范围</w:t>
            </w:r>
          </w:p>
        </w:tc>
        <w:tc>
          <w:tcPr>
            <w:tcW w:w="5891" w:type="dxa"/>
            <w:noWrap w:val="0"/>
            <w:vAlign w:val="center"/>
          </w:tcPr>
          <w:p w14:paraId="3B22DF43">
            <w:pPr>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包含施工阶段（含施工准备期，施工及交工验收期）、缺陷责任期监理</w:t>
            </w:r>
          </w:p>
        </w:tc>
      </w:tr>
      <w:tr w14:paraId="331470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01A61F5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1.3.2</w:t>
            </w:r>
          </w:p>
        </w:tc>
        <w:tc>
          <w:tcPr>
            <w:tcW w:w="2600" w:type="dxa"/>
            <w:noWrap w:val="0"/>
            <w:vAlign w:val="center"/>
          </w:tcPr>
          <w:p w14:paraId="5B7938C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监理服务期限</w:t>
            </w:r>
          </w:p>
        </w:tc>
        <w:tc>
          <w:tcPr>
            <w:tcW w:w="5891" w:type="dxa"/>
            <w:noWrap w:val="0"/>
            <w:vAlign w:val="center"/>
          </w:tcPr>
          <w:p w14:paraId="4FEBE372">
            <w:pPr>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施工期及缺陷责任期，缺陷责任期为6个月。</w:t>
            </w:r>
          </w:p>
        </w:tc>
      </w:tr>
      <w:tr w14:paraId="248C9F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71A3F26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1.3.3</w:t>
            </w:r>
          </w:p>
        </w:tc>
        <w:tc>
          <w:tcPr>
            <w:tcW w:w="2600" w:type="dxa"/>
            <w:noWrap w:val="0"/>
            <w:vAlign w:val="center"/>
          </w:tcPr>
          <w:p w14:paraId="0CE7534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5891" w:type="dxa"/>
            <w:noWrap w:val="0"/>
            <w:vAlign w:val="center"/>
          </w:tcPr>
          <w:p w14:paraId="40745542">
            <w:pPr>
              <w:tabs>
                <w:tab w:val="right" w:leader="dot" w:pos="8295"/>
              </w:tabs>
              <w:wordWrap w:val="0"/>
              <w:topLinePunct/>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工程交工验收质量评定：合格</w:t>
            </w:r>
          </w:p>
          <w:p w14:paraId="5EB0D520">
            <w:pPr>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竣工验收的质量评定：合格</w:t>
            </w:r>
          </w:p>
        </w:tc>
      </w:tr>
      <w:tr w14:paraId="08E7AB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707C6FF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1.3.4</w:t>
            </w:r>
          </w:p>
        </w:tc>
        <w:tc>
          <w:tcPr>
            <w:tcW w:w="2600" w:type="dxa"/>
            <w:noWrap w:val="0"/>
            <w:vAlign w:val="center"/>
          </w:tcPr>
          <w:p w14:paraId="2A61B86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安全目标</w:t>
            </w:r>
          </w:p>
        </w:tc>
        <w:tc>
          <w:tcPr>
            <w:tcW w:w="5891" w:type="dxa"/>
            <w:noWrap w:val="0"/>
            <w:vAlign w:val="center"/>
          </w:tcPr>
          <w:p w14:paraId="47D9225D">
            <w:pPr>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安全生产零事故</w:t>
            </w:r>
          </w:p>
        </w:tc>
      </w:tr>
      <w:tr w14:paraId="0DFF59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30" w:hRule="atLeast"/>
          <w:jc w:val="center"/>
        </w:trPr>
        <w:tc>
          <w:tcPr>
            <w:tcW w:w="1006" w:type="dxa"/>
            <w:noWrap w:val="0"/>
            <w:vAlign w:val="center"/>
          </w:tcPr>
          <w:p w14:paraId="4EEC33F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1.4.1</w:t>
            </w:r>
          </w:p>
        </w:tc>
        <w:tc>
          <w:tcPr>
            <w:tcW w:w="2600" w:type="dxa"/>
            <w:noWrap w:val="0"/>
            <w:vAlign w:val="center"/>
          </w:tcPr>
          <w:p w14:paraId="059D648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投标人资质条件、能力和信誉</w:t>
            </w:r>
          </w:p>
        </w:tc>
        <w:tc>
          <w:tcPr>
            <w:tcW w:w="5891" w:type="dxa"/>
            <w:noWrap w:val="0"/>
            <w:vAlign w:val="center"/>
          </w:tcPr>
          <w:p w14:paraId="4D36635B">
            <w:pPr>
              <w:tabs>
                <w:tab w:val="right" w:leader="dot" w:pos="8295"/>
              </w:tabs>
              <w:wordWrap w:val="0"/>
              <w:topLinePunct/>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资质要求：见附录1 </w:t>
            </w:r>
          </w:p>
          <w:p w14:paraId="330F66A7">
            <w:pPr>
              <w:tabs>
                <w:tab w:val="right" w:leader="dot" w:pos="8295"/>
              </w:tabs>
              <w:wordWrap w:val="0"/>
              <w:topLinePunct/>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业绩要求：见附录2 </w:t>
            </w:r>
          </w:p>
          <w:p w14:paraId="32FD6832">
            <w:pPr>
              <w:tabs>
                <w:tab w:val="right" w:leader="dot" w:pos="8295"/>
              </w:tabs>
              <w:wordWrap w:val="0"/>
              <w:topLinePunct/>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信誉要求：见附录3 </w:t>
            </w:r>
          </w:p>
          <w:p w14:paraId="1949F189">
            <w:pPr>
              <w:tabs>
                <w:tab w:val="right" w:leader="dot" w:pos="8295"/>
              </w:tabs>
              <w:wordWrap w:val="0"/>
              <w:topLinePunct/>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总监理工程师资格要求：见附录4 </w:t>
            </w:r>
          </w:p>
        </w:tc>
      </w:tr>
      <w:tr w14:paraId="4DCF4C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8" w:hRule="atLeast"/>
          <w:jc w:val="center"/>
        </w:trPr>
        <w:tc>
          <w:tcPr>
            <w:tcW w:w="1006" w:type="dxa"/>
            <w:noWrap w:val="0"/>
            <w:vAlign w:val="center"/>
          </w:tcPr>
          <w:p w14:paraId="3DB6B5A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1.4.2</w:t>
            </w:r>
          </w:p>
        </w:tc>
        <w:tc>
          <w:tcPr>
            <w:tcW w:w="2600" w:type="dxa"/>
            <w:noWrap w:val="0"/>
            <w:vAlign w:val="center"/>
          </w:tcPr>
          <w:p w14:paraId="0EA3205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是否接受联合体投标</w:t>
            </w:r>
          </w:p>
        </w:tc>
        <w:tc>
          <w:tcPr>
            <w:tcW w:w="5891" w:type="dxa"/>
            <w:noWrap w:val="0"/>
            <w:vAlign w:val="center"/>
          </w:tcPr>
          <w:p w14:paraId="5E96CD87">
            <w:pPr>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不接受</w:t>
            </w:r>
          </w:p>
        </w:tc>
      </w:tr>
      <w:tr w14:paraId="7009B1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01F81C9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1.4.3</w:t>
            </w:r>
          </w:p>
        </w:tc>
        <w:tc>
          <w:tcPr>
            <w:tcW w:w="2600" w:type="dxa"/>
            <w:noWrap w:val="0"/>
            <w:vAlign w:val="center"/>
          </w:tcPr>
          <w:p w14:paraId="579CB6F5">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投标人不得存在的其他关联情形</w:t>
            </w:r>
          </w:p>
        </w:tc>
        <w:tc>
          <w:tcPr>
            <w:tcW w:w="5891" w:type="dxa"/>
            <w:noWrap w:val="0"/>
            <w:vAlign w:val="center"/>
          </w:tcPr>
          <w:p w14:paraId="42819638">
            <w:pPr>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法律、行政法规规定的其他情形</w:t>
            </w:r>
          </w:p>
        </w:tc>
      </w:tr>
      <w:tr w14:paraId="789181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4A49B18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1.4.4</w:t>
            </w:r>
          </w:p>
        </w:tc>
        <w:tc>
          <w:tcPr>
            <w:tcW w:w="2600" w:type="dxa"/>
            <w:noWrap w:val="0"/>
            <w:vAlign w:val="center"/>
          </w:tcPr>
          <w:p w14:paraId="748B128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投标人不得存在的其他不良状况或不良信用记录</w:t>
            </w:r>
          </w:p>
        </w:tc>
        <w:tc>
          <w:tcPr>
            <w:tcW w:w="5891" w:type="dxa"/>
            <w:noWrap w:val="0"/>
            <w:vAlign w:val="center"/>
          </w:tcPr>
          <w:p w14:paraId="486C4AC3">
            <w:pPr>
              <w:spacing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法律、行政法规规定的其他情形</w:t>
            </w:r>
          </w:p>
        </w:tc>
      </w:tr>
      <w:tr w14:paraId="4E9DC9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0577A9DB">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1.10.2</w:t>
            </w:r>
          </w:p>
        </w:tc>
        <w:tc>
          <w:tcPr>
            <w:tcW w:w="2600" w:type="dxa"/>
            <w:noWrap w:val="0"/>
            <w:vAlign w:val="center"/>
          </w:tcPr>
          <w:p w14:paraId="4C44A744">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投标人在投标预备会前提出问题</w:t>
            </w:r>
          </w:p>
        </w:tc>
        <w:tc>
          <w:tcPr>
            <w:tcW w:w="5891" w:type="dxa"/>
            <w:noWrap w:val="0"/>
            <w:vAlign w:val="center"/>
          </w:tcPr>
          <w:p w14:paraId="1F1B4268">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不组织召开投标预备会</w:t>
            </w:r>
          </w:p>
        </w:tc>
      </w:tr>
      <w:tr w14:paraId="3A5113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07F68FA1">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600" w:type="dxa"/>
            <w:noWrap w:val="0"/>
            <w:vAlign w:val="center"/>
          </w:tcPr>
          <w:p w14:paraId="15B780E5">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构成招标文件的其他材料</w:t>
            </w:r>
          </w:p>
        </w:tc>
        <w:tc>
          <w:tcPr>
            <w:tcW w:w="5891" w:type="dxa"/>
            <w:noWrap w:val="0"/>
            <w:vAlign w:val="center"/>
          </w:tcPr>
          <w:p w14:paraId="74372CFE">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经备案的招标文件、答疑、招标文件的补充和修改文件（如有）</w:t>
            </w:r>
          </w:p>
        </w:tc>
      </w:tr>
      <w:tr w14:paraId="28FD1B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7DBA49C7">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2600" w:type="dxa"/>
            <w:noWrap w:val="0"/>
            <w:vAlign w:val="center"/>
          </w:tcPr>
          <w:p w14:paraId="05D6A7A9">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投标人要求澄清招标文件</w:t>
            </w:r>
          </w:p>
        </w:tc>
        <w:tc>
          <w:tcPr>
            <w:tcW w:w="5891" w:type="dxa"/>
            <w:noWrap w:val="0"/>
            <w:vAlign w:val="center"/>
          </w:tcPr>
          <w:p w14:paraId="286D57A7">
            <w:pPr>
              <w:wordWrap w:val="0"/>
              <w:topLinePunct/>
              <w:spacing w:line="360" w:lineRule="auto"/>
              <w:ind w:left="0" w:leftChars="0" w:right="0" w:firstLine="0" w:firstLineChars="0"/>
              <w:rPr>
                <w:rFonts w:hint="eastAsia" w:ascii="宋体" w:hAnsi="宋体" w:eastAsia="宋体" w:cs="宋体"/>
                <w:bCs/>
                <w:szCs w:val="21"/>
                <w:highlight w:val="none"/>
              </w:rPr>
            </w:pPr>
            <w:r>
              <w:rPr>
                <w:rFonts w:hint="eastAsia" w:ascii="宋体" w:hAnsi="宋体" w:eastAsia="宋体" w:cs="宋体"/>
                <w:bCs/>
                <w:szCs w:val="21"/>
                <w:highlight w:val="none"/>
              </w:rPr>
              <w:t>时间：递交投标文件截止之日</w:t>
            </w:r>
            <w:r>
              <w:rPr>
                <w:rFonts w:hint="eastAsia" w:ascii="宋体" w:hAnsi="宋体" w:eastAsia="宋体" w:cs="宋体"/>
                <w:bCs/>
                <w:szCs w:val="21"/>
                <w:highlight w:val="none"/>
                <w:u w:val="single"/>
              </w:rPr>
              <w:t>10天</w:t>
            </w:r>
            <w:r>
              <w:rPr>
                <w:rFonts w:hint="eastAsia" w:ascii="宋体" w:hAnsi="宋体" w:eastAsia="宋体" w:cs="宋体"/>
                <w:bCs/>
                <w:szCs w:val="21"/>
                <w:highlight w:val="none"/>
              </w:rPr>
              <w:t>前；</w:t>
            </w:r>
          </w:p>
        </w:tc>
      </w:tr>
      <w:tr w14:paraId="427B87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3E05EAEB">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2.2.2</w:t>
            </w:r>
          </w:p>
        </w:tc>
        <w:tc>
          <w:tcPr>
            <w:tcW w:w="2600" w:type="dxa"/>
            <w:noWrap w:val="0"/>
            <w:vAlign w:val="center"/>
          </w:tcPr>
          <w:p w14:paraId="69706745">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招标文件澄清发出的形式</w:t>
            </w:r>
          </w:p>
        </w:tc>
        <w:tc>
          <w:tcPr>
            <w:tcW w:w="5891" w:type="dxa"/>
            <w:noWrap w:val="0"/>
            <w:vAlign w:val="center"/>
          </w:tcPr>
          <w:p w14:paraId="220182A8">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通过“电子交易平台”发出招标文件澄清</w:t>
            </w:r>
          </w:p>
        </w:tc>
      </w:tr>
      <w:tr w14:paraId="6CF675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46" w:hRule="atLeast"/>
          <w:jc w:val="center"/>
        </w:trPr>
        <w:tc>
          <w:tcPr>
            <w:tcW w:w="1006" w:type="dxa"/>
            <w:noWrap w:val="0"/>
            <w:vAlign w:val="center"/>
          </w:tcPr>
          <w:p w14:paraId="228BD9CF">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2.2.3</w:t>
            </w:r>
          </w:p>
        </w:tc>
        <w:tc>
          <w:tcPr>
            <w:tcW w:w="2600" w:type="dxa"/>
            <w:noWrap w:val="0"/>
            <w:vAlign w:val="center"/>
          </w:tcPr>
          <w:p w14:paraId="42399B05">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投标人确认收到招标文件澄清</w:t>
            </w:r>
          </w:p>
        </w:tc>
        <w:tc>
          <w:tcPr>
            <w:tcW w:w="5891" w:type="dxa"/>
            <w:noWrap w:val="0"/>
            <w:vAlign w:val="center"/>
          </w:tcPr>
          <w:p w14:paraId="079303DB">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时间：收到澄清后</w:t>
            </w:r>
            <w:r>
              <w:rPr>
                <w:rFonts w:hint="eastAsia" w:ascii="宋体" w:hAnsi="宋体" w:eastAsia="宋体" w:cs="宋体"/>
                <w:szCs w:val="21"/>
                <w:highlight w:val="none"/>
                <w:u w:val="single"/>
              </w:rPr>
              <w:t xml:space="preserve"> 24 </w:t>
            </w:r>
            <w:r>
              <w:rPr>
                <w:rFonts w:hint="eastAsia" w:ascii="宋体" w:hAnsi="宋体" w:eastAsia="宋体" w:cs="宋体"/>
                <w:szCs w:val="21"/>
                <w:highlight w:val="none"/>
              </w:rPr>
              <w:t>小时内（以发出时间为准）；</w:t>
            </w:r>
          </w:p>
        </w:tc>
      </w:tr>
      <w:tr w14:paraId="008CD0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04" w:hRule="atLeast"/>
          <w:jc w:val="center"/>
        </w:trPr>
        <w:tc>
          <w:tcPr>
            <w:tcW w:w="1006" w:type="dxa"/>
            <w:noWrap w:val="0"/>
            <w:vAlign w:val="center"/>
          </w:tcPr>
          <w:p w14:paraId="1E22859F">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2.3.1</w:t>
            </w:r>
          </w:p>
        </w:tc>
        <w:tc>
          <w:tcPr>
            <w:tcW w:w="2600" w:type="dxa"/>
            <w:noWrap w:val="0"/>
            <w:vAlign w:val="center"/>
          </w:tcPr>
          <w:p w14:paraId="3FE0E875">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招标文件修改发出的形式</w:t>
            </w:r>
          </w:p>
        </w:tc>
        <w:tc>
          <w:tcPr>
            <w:tcW w:w="5891" w:type="dxa"/>
            <w:noWrap w:val="0"/>
            <w:vAlign w:val="center"/>
          </w:tcPr>
          <w:p w14:paraId="545156CE">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通过“电子交易平台”发出招标文件修改</w:t>
            </w:r>
          </w:p>
        </w:tc>
      </w:tr>
      <w:tr w14:paraId="3A322A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12" w:hRule="atLeast"/>
          <w:jc w:val="center"/>
        </w:trPr>
        <w:tc>
          <w:tcPr>
            <w:tcW w:w="1006" w:type="dxa"/>
            <w:noWrap w:val="0"/>
            <w:vAlign w:val="center"/>
          </w:tcPr>
          <w:p w14:paraId="6395A47F">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2.3.2</w:t>
            </w:r>
          </w:p>
        </w:tc>
        <w:tc>
          <w:tcPr>
            <w:tcW w:w="2600" w:type="dxa"/>
            <w:noWrap w:val="0"/>
            <w:vAlign w:val="center"/>
          </w:tcPr>
          <w:p w14:paraId="6AA96FE6">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投标人确认收到招标文件修改</w:t>
            </w:r>
          </w:p>
        </w:tc>
        <w:tc>
          <w:tcPr>
            <w:tcW w:w="5891" w:type="dxa"/>
            <w:noWrap w:val="0"/>
            <w:vAlign w:val="center"/>
          </w:tcPr>
          <w:p w14:paraId="5B20A0A5">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时间：收到澄清后</w:t>
            </w:r>
            <w:r>
              <w:rPr>
                <w:rFonts w:hint="eastAsia" w:ascii="宋体" w:hAnsi="宋体" w:eastAsia="宋体" w:cs="宋体"/>
                <w:szCs w:val="21"/>
                <w:highlight w:val="none"/>
                <w:u w:val="single"/>
              </w:rPr>
              <w:t xml:space="preserve"> 24 </w:t>
            </w:r>
            <w:r>
              <w:rPr>
                <w:rFonts w:hint="eastAsia" w:ascii="宋体" w:hAnsi="宋体" w:eastAsia="宋体" w:cs="宋体"/>
                <w:szCs w:val="21"/>
                <w:highlight w:val="none"/>
              </w:rPr>
              <w:t>小时内（以发出时间为准）；</w:t>
            </w:r>
          </w:p>
        </w:tc>
      </w:tr>
      <w:tr w14:paraId="1FF715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70" w:hRule="atLeast"/>
          <w:jc w:val="center"/>
        </w:trPr>
        <w:tc>
          <w:tcPr>
            <w:tcW w:w="1006" w:type="dxa"/>
            <w:noWrap w:val="0"/>
            <w:vAlign w:val="center"/>
          </w:tcPr>
          <w:p w14:paraId="6B4377CA">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2600" w:type="dxa"/>
            <w:noWrap w:val="0"/>
            <w:vAlign w:val="center"/>
          </w:tcPr>
          <w:p w14:paraId="144D4410">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构成投标文件的其他材料</w:t>
            </w:r>
          </w:p>
        </w:tc>
        <w:tc>
          <w:tcPr>
            <w:tcW w:w="5891" w:type="dxa"/>
            <w:noWrap w:val="0"/>
            <w:vAlign w:val="center"/>
          </w:tcPr>
          <w:p w14:paraId="60BD533D">
            <w:pPr>
              <w:numPr>
                <w:ilvl w:val="0"/>
                <w:numId w:val="0"/>
              </w:numPr>
              <w:wordWrap w:val="0"/>
              <w:topLinePunct/>
              <w:spacing w:line="360" w:lineRule="auto"/>
              <w:ind w:leftChars="0" w:right="0" w:rightChars="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投标人认为其他需要补充的内容</w:t>
            </w:r>
          </w:p>
          <w:p w14:paraId="5F2034CE">
            <w:pPr>
              <w:numPr>
                <w:ilvl w:val="0"/>
                <w:numId w:val="0"/>
              </w:numPr>
              <w:wordWrap w:val="0"/>
              <w:topLinePunct/>
              <w:spacing w:line="360" w:lineRule="auto"/>
              <w:ind w:leftChars="0" w:right="0" w:rightChars="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本项目所发出的补遗书</w:t>
            </w:r>
          </w:p>
        </w:tc>
      </w:tr>
      <w:tr w14:paraId="33A1B5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125929F7">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2600" w:type="dxa"/>
            <w:noWrap w:val="0"/>
            <w:vAlign w:val="center"/>
          </w:tcPr>
          <w:p w14:paraId="49CFF4C9">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增值税税金的计算方法</w:t>
            </w:r>
          </w:p>
        </w:tc>
        <w:tc>
          <w:tcPr>
            <w:tcW w:w="5891" w:type="dxa"/>
            <w:noWrap w:val="0"/>
            <w:vAlign w:val="center"/>
          </w:tcPr>
          <w:p w14:paraId="10BCA49E">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w:t>
            </w:r>
          </w:p>
        </w:tc>
      </w:tr>
      <w:tr w14:paraId="7B198B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006" w:type="dxa"/>
            <w:noWrap w:val="0"/>
            <w:vAlign w:val="center"/>
          </w:tcPr>
          <w:p w14:paraId="0A8E9FDF">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3.2.3</w:t>
            </w:r>
          </w:p>
        </w:tc>
        <w:tc>
          <w:tcPr>
            <w:tcW w:w="2600" w:type="dxa"/>
            <w:noWrap w:val="0"/>
            <w:vAlign w:val="center"/>
          </w:tcPr>
          <w:p w14:paraId="78E0A381">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报价方式</w:t>
            </w:r>
          </w:p>
        </w:tc>
        <w:tc>
          <w:tcPr>
            <w:tcW w:w="5891" w:type="dxa"/>
            <w:noWrap w:val="0"/>
            <w:vAlign w:val="center"/>
          </w:tcPr>
          <w:p w14:paraId="5D8B9CB8">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总价</w:t>
            </w:r>
          </w:p>
        </w:tc>
      </w:tr>
      <w:tr w14:paraId="6F3E60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006" w:type="dxa"/>
            <w:noWrap w:val="0"/>
            <w:vAlign w:val="center"/>
          </w:tcPr>
          <w:p w14:paraId="6FAF1323">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3.2.4</w:t>
            </w:r>
          </w:p>
        </w:tc>
        <w:tc>
          <w:tcPr>
            <w:tcW w:w="2600" w:type="dxa"/>
            <w:noWrap w:val="0"/>
            <w:vAlign w:val="center"/>
          </w:tcPr>
          <w:p w14:paraId="49D5CE4C">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最高投标限价（控制价）</w:t>
            </w:r>
          </w:p>
        </w:tc>
        <w:tc>
          <w:tcPr>
            <w:tcW w:w="5891" w:type="dxa"/>
            <w:noWrap w:val="0"/>
            <w:vAlign w:val="center"/>
          </w:tcPr>
          <w:p w14:paraId="67EA6AEE">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51</w:t>
            </w:r>
            <w:r>
              <w:rPr>
                <w:rFonts w:hint="eastAsia" w:ascii="宋体" w:hAnsi="宋体" w:eastAsia="宋体" w:cs="宋体"/>
                <w:szCs w:val="21"/>
                <w:highlight w:val="none"/>
                <w:u w:val="single"/>
              </w:rPr>
              <w:t xml:space="preserve"> 万</w:t>
            </w:r>
            <w:r>
              <w:rPr>
                <w:rFonts w:hint="eastAsia" w:ascii="宋体" w:hAnsi="宋体" w:eastAsia="宋体" w:cs="宋体"/>
                <w:szCs w:val="21"/>
                <w:highlight w:val="none"/>
              </w:rPr>
              <w:t>元；投标人的投标报价应控制在招标控制价（含）以内，高于招标控制价的报价作否决投标处理。</w:t>
            </w:r>
          </w:p>
        </w:tc>
      </w:tr>
      <w:tr w14:paraId="2449D7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006" w:type="dxa"/>
            <w:noWrap w:val="0"/>
            <w:vAlign w:val="center"/>
          </w:tcPr>
          <w:p w14:paraId="34C3344F">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3.2.5</w:t>
            </w:r>
          </w:p>
        </w:tc>
        <w:tc>
          <w:tcPr>
            <w:tcW w:w="2600" w:type="dxa"/>
            <w:noWrap w:val="0"/>
            <w:vAlign w:val="center"/>
          </w:tcPr>
          <w:p w14:paraId="7CC3225C">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投标报价的其他要求</w:t>
            </w:r>
          </w:p>
        </w:tc>
        <w:tc>
          <w:tcPr>
            <w:tcW w:w="5891" w:type="dxa"/>
            <w:noWrap w:val="0"/>
            <w:vAlign w:val="center"/>
          </w:tcPr>
          <w:p w14:paraId="07A99340">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w:t>
            </w:r>
          </w:p>
        </w:tc>
      </w:tr>
      <w:tr w14:paraId="1E9144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3" w:hRule="atLeast"/>
          <w:jc w:val="center"/>
        </w:trPr>
        <w:tc>
          <w:tcPr>
            <w:tcW w:w="1006" w:type="dxa"/>
            <w:noWrap w:val="0"/>
            <w:vAlign w:val="center"/>
          </w:tcPr>
          <w:p w14:paraId="2680AA94">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3.3.1</w:t>
            </w:r>
          </w:p>
        </w:tc>
        <w:tc>
          <w:tcPr>
            <w:tcW w:w="2600" w:type="dxa"/>
            <w:noWrap w:val="0"/>
            <w:vAlign w:val="center"/>
          </w:tcPr>
          <w:p w14:paraId="3DC172B6">
            <w:pPr>
              <w:wordWrap w:val="0"/>
              <w:topLinePunct/>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5891" w:type="dxa"/>
            <w:noWrap w:val="0"/>
            <w:vAlign w:val="center"/>
          </w:tcPr>
          <w:p w14:paraId="751EC8E1">
            <w:pPr>
              <w:wordWrap w:val="0"/>
              <w:topLinePunct/>
              <w:spacing w:line="240" w:lineRule="auto"/>
              <w:ind w:left="17"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自投标人提交投标文件截止之日起计算90天</w:t>
            </w:r>
          </w:p>
        </w:tc>
      </w:tr>
      <w:tr w14:paraId="6A1821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006" w:type="dxa"/>
            <w:noWrap w:val="0"/>
            <w:vAlign w:val="center"/>
          </w:tcPr>
          <w:p w14:paraId="7382CA83">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3.4.1</w:t>
            </w:r>
          </w:p>
        </w:tc>
        <w:tc>
          <w:tcPr>
            <w:tcW w:w="2600" w:type="dxa"/>
            <w:noWrap w:val="0"/>
            <w:vAlign w:val="center"/>
          </w:tcPr>
          <w:p w14:paraId="4ADF680E">
            <w:pPr>
              <w:wordWrap w:val="0"/>
              <w:topLinePunct/>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投标保证金</w:t>
            </w:r>
          </w:p>
        </w:tc>
        <w:tc>
          <w:tcPr>
            <w:tcW w:w="5891" w:type="dxa"/>
            <w:noWrap w:val="0"/>
            <w:vAlign w:val="center"/>
          </w:tcPr>
          <w:p w14:paraId="30C4C132">
            <w:pPr>
              <w:spacing w:line="360" w:lineRule="auto"/>
              <w:ind w:left="17" w:leftChars="0" w:firstLine="0" w:firstLineChars="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投标保证金的金额：</w:t>
            </w:r>
            <w:r>
              <w:rPr>
                <w:rFonts w:hint="eastAsia" w:ascii="宋体" w:hAnsi="宋体" w:eastAsia="宋体" w:cs="宋体"/>
                <w:bCs/>
                <w:kern w:val="0"/>
                <w:szCs w:val="21"/>
                <w:highlight w:val="none"/>
                <w:lang w:eastAsia="zh-CN"/>
              </w:rPr>
              <w:t>壹万元</w:t>
            </w:r>
            <w:r>
              <w:rPr>
                <w:rFonts w:hint="eastAsia" w:ascii="宋体" w:hAnsi="宋体" w:eastAsia="宋体" w:cs="宋体"/>
                <w:bCs/>
                <w:kern w:val="0"/>
                <w:szCs w:val="21"/>
                <w:highlight w:val="none"/>
              </w:rPr>
              <w:t>整（￥</w:t>
            </w:r>
            <w:r>
              <w:rPr>
                <w:rFonts w:hint="eastAsia" w:ascii="宋体" w:hAnsi="宋体" w:eastAsia="宋体" w:cs="宋体"/>
                <w:bCs/>
                <w:kern w:val="0"/>
                <w:szCs w:val="21"/>
                <w:highlight w:val="none"/>
                <w:lang w:val="en-US" w:eastAsia="zh-CN"/>
              </w:rPr>
              <w:t>10000</w:t>
            </w:r>
            <w:r>
              <w:rPr>
                <w:rFonts w:hint="eastAsia" w:ascii="宋体" w:hAnsi="宋体" w:eastAsia="宋体" w:cs="宋体"/>
                <w:bCs/>
                <w:kern w:val="0"/>
                <w:szCs w:val="21"/>
                <w:highlight w:val="none"/>
              </w:rPr>
              <w:t>元 ）</w:t>
            </w:r>
          </w:p>
          <w:p w14:paraId="0F6B07A1">
            <w:pPr>
              <w:spacing w:line="360" w:lineRule="auto"/>
              <w:ind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投标人采取</w:t>
            </w:r>
            <w:r>
              <w:rPr>
                <w:rFonts w:hint="eastAsia" w:ascii="宋体" w:hAnsi="宋体" w:eastAsia="宋体"/>
                <w:color w:val="auto"/>
                <w:szCs w:val="21"/>
                <w:highlight w:val="none"/>
                <w:lang w:val="en-US" w:eastAsia="zh-CN"/>
              </w:rPr>
              <w:t>投标保证金信用承诺函</w:t>
            </w:r>
            <w:r>
              <w:rPr>
                <w:rFonts w:hint="eastAsia" w:ascii="宋体" w:hAnsi="宋体" w:eastAsia="宋体" w:cs="宋体"/>
                <w:szCs w:val="21"/>
                <w:highlight w:val="none"/>
              </w:rPr>
              <w:t>的方式提交投标保证金。</w:t>
            </w:r>
          </w:p>
          <w:p w14:paraId="04F62214">
            <w:pPr>
              <w:spacing w:line="360" w:lineRule="auto"/>
              <w:ind w:leftChars="0" w:firstLine="0" w:firstLineChars="0"/>
              <w:rPr>
                <w:rFonts w:hint="eastAsia" w:ascii="宋体" w:hAnsi="宋体" w:eastAsia="宋体" w:cs="宋体"/>
                <w:bCs/>
                <w:kern w:val="0"/>
                <w:szCs w:val="21"/>
                <w:highlight w:val="none"/>
                <w:u w:val="single"/>
              </w:rPr>
            </w:pPr>
            <w:r>
              <w:rPr>
                <w:rFonts w:hint="eastAsia" w:ascii="宋体" w:hAnsi="宋体" w:eastAsia="宋体" w:cs="宋体"/>
                <w:szCs w:val="21"/>
                <w:highlight w:val="none"/>
                <w:lang w:val="en-US" w:eastAsia="zh-CN"/>
              </w:rPr>
              <w:t>1、</w:t>
            </w:r>
            <w:r>
              <w:rPr>
                <w:rFonts w:hint="eastAsia" w:ascii="宋体" w:hAnsi="宋体" w:eastAsia="宋体"/>
                <w:color w:val="auto"/>
                <w:szCs w:val="21"/>
                <w:highlight w:val="none"/>
                <w:lang w:val="en-US" w:eastAsia="zh-CN"/>
              </w:rPr>
              <w:t>投标人采用投标保证金信用承诺函（见附表十）的：一经提交，在投标有效期内（提交投标文件截止时间后到招标文件规定的投标有效期终止之前）不得撤销或撤回，否则招标人可以追缴保证金，投标人未按期缴纳保证金的按照《河南省社会信用条例》予以处罚。</w:t>
            </w:r>
          </w:p>
        </w:tc>
      </w:tr>
      <w:tr w14:paraId="50A8CC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jc w:val="center"/>
        </w:trPr>
        <w:tc>
          <w:tcPr>
            <w:tcW w:w="1006" w:type="dxa"/>
            <w:noWrap w:val="0"/>
            <w:vAlign w:val="center"/>
          </w:tcPr>
          <w:p w14:paraId="64CC349D">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3.4.3</w:t>
            </w:r>
          </w:p>
        </w:tc>
        <w:tc>
          <w:tcPr>
            <w:tcW w:w="2600" w:type="dxa"/>
            <w:noWrap w:val="0"/>
            <w:vAlign w:val="center"/>
          </w:tcPr>
          <w:p w14:paraId="64A6BBA8">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投标保证金的利息计算原则</w:t>
            </w:r>
          </w:p>
        </w:tc>
        <w:tc>
          <w:tcPr>
            <w:tcW w:w="5891" w:type="dxa"/>
            <w:noWrap w:val="0"/>
            <w:vAlign w:val="center"/>
          </w:tcPr>
          <w:p w14:paraId="53286420">
            <w:pPr>
              <w:spacing w:line="360" w:lineRule="auto"/>
              <w:ind w:left="0" w:leftChars="0" w:right="0" w:firstLine="0" w:firstLineChars="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w:t>
            </w:r>
          </w:p>
        </w:tc>
      </w:tr>
      <w:tr w14:paraId="34E520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77" w:hRule="atLeast"/>
          <w:jc w:val="center"/>
        </w:trPr>
        <w:tc>
          <w:tcPr>
            <w:tcW w:w="1006" w:type="dxa"/>
            <w:noWrap w:val="0"/>
            <w:vAlign w:val="center"/>
          </w:tcPr>
          <w:p w14:paraId="62DCA424">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2600" w:type="dxa"/>
            <w:noWrap w:val="0"/>
            <w:vAlign w:val="center"/>
          </w:tcPr>
          <w:p w14:paraId="3811544C">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资格审查资料的特殊要求</w:t>
            </w:r>
          </w:p>
        </w:tc>
        <w:tc>
          <w:tcPr>
            <w:tcW w:w="5891" w:type="dxa"/>
            <w:noWrap w:val="0"/>
            <w:vAlign w:val="center"/>
          </w:tcPr>
          <w:p w14:paraId="06EA4D42">
            <w:pPr>
              <w:spacing w:line="360" w:lineRule="auto"/>
              <w:ind w:left="0" w:leftChars="0" w:right="0" w:firstLine="0" w:firstLineChars="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无</w:t>
            </w:r>
          </w:p>
        </w:tc>
      </w:tr>
      <w:tr w14:paraId="51DE5A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77" w:hRule="atLeast"/>
          <w:jc w:val="center"/>
        </w:trPr>
        <w:tc>
          <w:tcPr>
            <w:tcW w:w="1006" w:type="dxa"/>
            <w:noWrap w:val="0"/>
            <w:vAlign w:val="center"/>
          </w:tcPr>
          <w:p w14:paraId="3CB25C8A">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3.5.2</w:t>
            </w:r>
          </w:p>
        </w:tc>
        <w:tc>
          <w:tcPr>
            <w:tcW w:w="2600" w:type="dxa"/>
            <w:noWrap w:val="0"/>
            <w:vAlign w:val="center"/>
          </w:tcPr>
          <w:p w14:paraId="0D4395D3">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近年发生的类似项目情况的时间要求</w:t>
            </w:r>
          </w:p>
        </w:tc>
        <w:tc>
          <w:tcPr>
            <w:tcW w:w="5891" w:type="dxa"/>
            <w:noWrap w:val="0"/>
            <w:vAlign w:val="center"/>
          </w:tcPr>
          <w:p w14:paraId="589B75CE">
            <w:pPr>
              <w:wordWrap w:val="0"/>
              <w:topLinePunct/>
              <w:spacing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年1月1日以来（以交工时间为准）</w:t>
            </w:r>
          </w:p>
        </w:tc>
      </w:tr>
      <w:tr w14:paraId="0437C7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77" w:hRule="atLeast"/>
          <w:jc w:val="center"/>
        </w:trPr>
        <w:tc>
          <w:tcPr>
            <w:tcW w:w="1006" w:type="dxa"/>
            <w:noWrap w:val="0"/>
            <w:vAlign w:val="center"/>
          </w:tcPr>
          <w:p w14:paraId="3FD7ECF4">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3.6.1</w:t>
            </w:r>
          </w:p>
        </w:tc>
        <w:tc>
          <w:tcPr>
            <w:tcW w:w="2600" w:type="dxa"/>
            <w:noWrap w:val="0"/>
            <w:vAlign w:val="center"/>
          </w:tcPr>
          <w:p w14:paraId="0FA9DEC1">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是否允许递交备选投标方案</w:t>
            </w:r>
          </w:p>
        </w:tc>
        <w:tc>
          <w:tcPr>
            <w:tcW w:w="5891" w:type="dxa"/>
            <w:noWrap w:val="0"/>
            <w:vAlign w:val="center"/>
          </w:tcPr>
          <w:p w14:paraId="1ED0575C">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不允许</w:t>
            </w:r>
          </w:p>
        </w:tc>
      </w:tr>
      <w:tr w14:paraId="0B4FA6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13" w:hRule="atLeast"/>
          <w:jc w:val="center"/>
        </w:trPr>
        <w:tc>
          <w:tcPr>
            <w:tcW w:w="1006" w:type="dxa"/>
            <w:noWrap w:val="0"/>
            <w:vAlign w:val="center"/>
          </w:tcPr>
          <w:p w14:paraId="2FF8E711">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3.7</w:t>
            </w:r>
          </w:p>
        </w:tc>
        <w:tc>
          <w:tcPr>
            <w:tcW w:w="2600" w:type="dxa"/>
            <w:noWrap w:val="0"/>
            <w:vAlign w:val="center"/>
          </w:tcPr>
          <w:p w14:paraId="0CFB3ACA">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投标文件的编制</w:t>
            </w:r>
          </w:p>
        </w:tc>
        <w:tc>
          <w:tcPr>
            <w:tcW w:w="5891" w:type="dxa"/>
            <w:noWrap w:val="0"/>
            <w:vAlign w:val="center"/>
          </w:tcPr>
          <w:p w14:paraId="6D18A611">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（1）加密的电子投标文件（*.xxtf 格式）,应在投标文件截止时间前通过“新乡市公共资源交易管理中心电子交易平台”内上传；</w:t>
            </w:r>
          </w:p>
          <w:p w14:paraId="4A3498FE">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（2）加密的电子投标文件为“新乡市公共资源交易管理中心”网站提供的“投标文件制作工具”软件制作生成的加密版投标文件。</w:t>
            </w:r>
          </w:p>
        </w:tc>
      </w:tr>
      <w:tr w14:paraId="23371A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13" w:hRule="atLeast"/>
          <w:jc w:val="center"/>
        </w:trPr>
        <w:tc>
          <w:tcPr>
            <w:tcW w:w="1006" w:type="dxa"/>
            <w:noWrap w:val="0"/>
            <w:vAlign w:val="center"/>
          </w:tcPr>
          <w:p w14:paraId="70434D1C">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3.7.3</w:t>
            </w:r>
          </w:p>
        </w:tc>
        <w:tc>
          <w:tcPr>
            <w:tcW w:w="2600" w:type="dxa"/>
            <w:noWrap w:val="0"/>
            <w:vAlign w:val="center"/>
          </w:tcPr>
          <w:p w14:paraId="4F290D73">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签字或盖章要求</w:t>
            </w:r>
          </w:p>
        </w:tc>
        <w:tc>
          <w:tcPr>
            <w:tcW w:w="5891" w:type="dxa"/>
            <w:noWrap w:val="0"/>
            <w:vAlign w:val="center"/>
          </w:tcPr>
          <w:p w14:paraId="743B3DA6">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电子投标文件</w:t>
            </w:r>
          </w:p>
          <w:p w14:paraId="1CA04188">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（1）所有要求投标人电子签章或盖章处都须加盖投标人的 CA 印章。</w:t>
            </w:r>
          </w:p>
          <w:p w14:paraId="172BCF61">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（2）所有要求法定代表人电子签章处都须加盖投标人法定代表人的CA印章。</w:t>
            </w:r>
          </w:p>
        </w:tc>
      </w:tr>
      <w:tr w14:paraId="0F9902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13" w:hRule="atLeast"/>
          <w:jc w:val="center"/>
        </w:trPr>
        <w:tc>
          <w:tcPr>
            <w:tcW w:w="1006" w:type="dxa"/>
            <w:noWrap w:val="0"/>
            <w:vAlign w:val="center"/>
          </w:tcPr>
          <w:p w14:paraId="50B0684D">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3.7.4</w:t>
            </w:r>
          </w:p>
        </w:tc>
        <w:tc>
          <w:tcPr>
            <w:tcW w:w="2600" w:type="dxa"/>
            <w:noWrap w:val="0"/>
            <w:vAlign w:val="center"/>
          </w:tcPr>
          <w:p w14:paraId="468F8FE9">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5891" w:type="dxa"/>
            <w:noWrap w:val="0"/>
            <w:vAlign w:val="center"/>
          </w:tcPr>
          <w:p w14:paraId="6AD7027D">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加密的电子投标文件（*.hntf 格式）1份，应在投标文件截止时间前通过“新乡市公共资源交易管理中心”电子交易平台在指定位置上传。本项目开标现场不再接受纸质版投标文件及未加密电子投标文件。</w:t>
            </w:r>
          </w:p>
        </w:tc>
      </w:tr>
      <w:tr w14:paraId="376F37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1006" w:type="dxa"/>
            <w:noWrap w:val="0"/>
            <w:vAlign w:val="center"/>
          </w:tcPr>
          <w:p w14:paraId="1D35D578">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4.2.3</w:t>
            </w:r>
          </w:p>
        </w:tc>
        <w:tc>
          <w:tcPr>
            <w:tcW w:w="2600" w:type="dxa"/>
            <w:noWrap w:val="0"/>
            <w:vAlign w:val="center"/>
          </w:tcPr>
          <w:p w14:paraId="3FF1E7FD">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是否退还投标文件</w:t>
            </w:r>
          </w:p>
        </w:tc>
        <w:tc>
          <w:tcPr>
            <w:tcW w:w="5891" w:type="dxa"/>
            <w:noWrap w:val="0"/>
            <w:vAlign w:val="center"/>
          </w:tcPr>
          <w:p w14:paraId="7A4542C3">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否</w:t>
            </w:r>
          </w:p>
        </w:tc>
      </w:tr>
      <w:tr w14:paraId="38F9F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006" w:type="dxa"/>
            <w:noWrap w:val="0"/>
            <w:vAlign w:val="center"/>
          </w:tcPr>
          <w:p w14:paraId="5F9185C8">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5.1</w:t>
            </w:r>
          </w:p>
        </w:tc>
        <w:tc>
          <w:tcPr>
            <w:tcW w:w="2600" w:type="dxa"/>
            <w:noWrap w:val="0"/>
            <w:vAlign w:val="center"/>
          </w:tcPr>
          <w:p w14:paraId="0E208D24">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开标时间和地点</w:t>
            </w:r>
          </w:p>
        </w:tc>
        <w:tc>
          <w:tcPr>
            <w:tcW w:w="5891" w:type="dxa"/>
            <w:noWrap w:val="0"/>
            <w:vAlign w:val="center"/>
          </w:tcPr>
          <w:p w14:paraId="08EDAC6B">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投标文件第一个信封（商务及技术文件）开标时间：同投标截止时间 </w:t>
            </w:r>
          </w:p>
          <w:p w14:paraId="268DF8CF">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投标文件第一个信封（商务及技术文件）开标地点： 同递交投标文件地点 </w:t>
            </w:r>
          </w:p>
          <w:p w14:paraId="3EB64EE0">
            <w:pPr>
              <w:wordWrap w:val="0"/>
              <w:topLinePunct/>
              <w:spacing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投标文件第二个信封（报价文件）开标时间：</w:t>
            </w:r>
            <w:r>
              <w:rPr>
                <w:rFonts w:hint="eastAsia" w:ascii="宋体" w:hAnsi="宋体" w:eastAsia="宋体" w:cs="宋体"/>
                <w:szCs w:val="21"/>
                <w:highlight w:val="none"/>
                <w:u w:val="single"/>
              </w:rPr>
              <w:t>商务及技术文件评审结束后</w:t>
            </w:r>
          </w:p>
          <w:p w14:paraId="511D1CCD">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投标文件第二个信封（报价文件）开标地点：</w:t>
            </w:r>
            <w:r>
              <w:rPr>
                <w:rFonts w:hint="eastAsia" w:ascii="宋体" w:hAnsi="宋体" w:eastAsia="宋体" w:cs="宋体"/>
                <w:szCs w:val="21"/>
                <w:highlight w:val="none"/>
                <w:u w:val="single"/>
              </w:rPr>
              <w:t>同递交投标文件地点</w:t>
            </w:r>
          </w:p>
        </w:tc>
      </w:tr>
      <w:tr w14:paraId="1E8C4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8" w:hRule="atLeast"/>
          <w:jc w:val="center"/>
        </w:trPr>
        <w:tc>
          <w:tcPr>
            <w:tcW w:w="1006" w:type="dxa"/>
            <w:noWrap w:val="0"/>
            <w:vAlign w:val="center"/>
          </w:tcPr>
          <w:p w14:paraId="443FC52E">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5.2.1</w:t>
            </w:r>
          </w:p>
        </w:tc>
        <w:tc>
          <w:tcPr>
            <w:tcW w:w="2600" w:type="dxa"/>
            <w:noWrap w:val="0"/>
            <w:vAlign w:val="center"/>
          </w:tcPr>
          <w:p w14:paraId="6E13ADB7">
            <w:pPr>
              <w:pStyle w:val="20"/>
              <w:autoSpaceDE/>
              <w:autoSpaceDN/>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 xml:space="preserve">第一个信封（商务及技术文件）开标程序 </w:t>
            </w:r>
          </w:p>
        </w:tc>
        <w:tc>
          <w:tcPr>
            <w:tcW w:w="5891" w:type="dxa"/>
            <w:noWrap w:val="0"/>
            <w:vAlign w:val="center"/>
          </w:tcPr>
          <w:p w14:paraId="1E5ECBB3">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（4）密封情况检查：</w:t>
            </w:r>
            <w:r>
              <w:rPr>
                <w:rFonts w:hint="eastAsia" w:ascii="宋体" w:hAnsi="宋体" w:eastAsia="宋体" w:cs="宋体"/>
                <w:szCs w:val="21"/>
                <w:highlight w:val="none"/>
                <w:u w:val="single"/>
              </w:rPr>
              <w:t xml:space="preserve">检查商务及技术文件是否存在提前开启情况 </w:t>
            </w:r>
          </w:p>
          <w:p w14:paraId="30405696">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（5）开标顺序：</w:t>
            </w:r>
            <w:r>
              <w:rPr>
                <w:rFonts w:hint="eastAsia" w:ascii="宋体" w:hAnsi="宋体" w:eastAsia="宋体" w:cs="宋体"/>
                <w:szCs w:val="21"/>
                <w:highlight w:val="none"/>
                <w:u w:val="single"/>
              </w:rPr>
              <w:t xml:space="preserve"> 按照投标文件递交顺序开标</w:t>
            </w:r>
          </w:p>
        </w:tc>
      </w:tr>
      <w:tr w14:paraId="4B15D9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1006" w:type="dxa"/>
            <w:noWrap w:val="0"/>
            <w:vAlign w:val="center"/>
          </w:tcPr>
          <w:p w14:paraId="701FAA59">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5.2.3</w:t>
            </w:r>
          </w:p>
        </w:tc>
        <w:tc>
          <w:tcPr>
            <w:tcW w:w="2600" w:type="dxa"/>
            <w:noWrap w:val="0"/>
            <w:vAlign w:val="center"/>
          </w:tcPr>
          <w:p w14:paraId="4AB40D1F">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第二个信封（报价文件）开标程序 </w:t>
            </w:r>
          </w:p>
        </w:tc>
        <w:tc>
          <w:tcPr>
            <w:tcW w:w="5891" w:type="dxa"/>
            <w:noWrap w:val="0"/>
            <w:vAlign w:val="center"/>
          </w:tcPr>
          <w:p w14:paraId="29DB2B95">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（4）密封情况检查：</w:t>
            </w:r>
            <w:r>
              <w:rPr>
                <w:rFonts w:hint="eastAsia" w:ascii="宋体" w:hAnsi="宋体" w:eastAsia="宋体" w:cs="宋体"/>
                <w:szCs w:val="21"/>
                <w:highlight w:val="none"/>
                <w:u w:val="single"/>
              </w:rPr>
              <w:t xml:space="preserve">检查报价文件是否存在提前开启情况 </w:t>
            </w:r>
            <w:r>
              <w:rPr>
                <w:rFonts w:hint="eastAsia" w:ascii="宋体" w:hAnsi="宋体" w:eastAsia="宋体" w:cs="宋体"/>
                <w:szCs w:val="21"/>
                <w:highlight w:val="none"/>
              </w:rPr>
              <w:t>（5）开标顺序：</w:t>
            </w:r>
            <w:r>
              <w:rPr>
                <w:rFonts w:hint="eastAsia" w:ascii="宋体" w:hAnsi="宋体" w:eastAsia="宋体" w:cs="宋体"/>
                <w:szCs w:val="21"/>
                <w:highlight w:val="none"/>
                <w:u w:val="single"/>
              </w:rPr>
              <w:t xml:space="preserve"> 按照投标文件递交顺序开标 </w:t>
            </w:r>
            <w:r>
              <w:rPr>
                <w:rFonts w:hint="eastAsia" w:ascii="宋体" w:hAnsi="宋体" w:eastAsia="宋体" w:cs="宋体"/>
                <w:szCs w:val="21"/>
                <w:highlight w:val="none"/>
              </w:rPr>
              <w:t>。</w:t>
            </w:r>
          </w:p>
        </w:tc>
      </w:tr>
      <w:tr w14:paraId="38FA8E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44" w:hRule="atLeast"/>
          <w:jc w:val="center"/>
        </w:trPr>
        <w:tc>
          <w:tcPr>
            <w:tcW w:w="1006" w:type="dxa"/>
            <w:noWrap w:val="0"/>
            <w:vAlign w:val="center"/>
          </w:tcPr>
          <w:p w14:paraId="3FEC2DB7">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6.1.1</w:t>
            </w:r>
          </w:p>
        </w:tc>
        <w:tc>
          <w:tcPr>
            <w:tcW w:w="2600" w:type="dxa"/>
            <w:noWrap w:val="0"/>
            <w:vAlign w:val="center"/>
          </w:tcPr>
          <w:p w14:paraId="49331E11">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评标委员会的组建</w:t>
            </w:r>
          </w:p>
        </w:tc>
        <w:tc>
          <w:tcPr>
            <w:tcW w:w="5891" w:type="dxa"/>
            <w:noWrap w:val="0"/>
            <w:vAlign w:val="center"/>
          </w:tcPr>
          <w:p w14:paraId="46CCE8B8">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评标委员会构成：5人，由专家5名组成。</w:t>
            </w:r>
          </w:p>
          <w:p w14:paraId="39B11E94">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评标专家确定方式：从河南省综合评标专家库中随机抽取4人及招标人代表1人共同组成。</w:t>
            </w:r>
          </w:p>
        </w:tc>
      </w:tr>
      <w:tr w14:paraId="4FB32C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7921F148">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6.3.2</w:t>
            </w:r>
          </w:p>
        </w:tc>
        <w:tc>
          <w:tcPr>
            <w:tcW w:w="2600" w:type="dxa"/>
            <w:noWrap w:val="0"/>
            <w:vAlign w:val="center"/>
          </w:tcPr>
          <w:p w14:paraId="133949F6">
            <w:pPr>
              <w:wordWrap w:val="0"/>
              <w:topLinePunct/>
              <w:spacing w:line="360" w:lineRule="auto"/>
              <w:jc w:val="center"/>
              <w:rPr>
                <w:rFonts w:hint="eastAsia" w:ascii="宋体" w:hAnsi="宋体" w:eastAsia="宋体" w:cs="宋体"/>
                <w:szCs w:val="21"/>
                <w:highlight w:val="cyan"/>
              </w:rPr>
            </w:pPr>
            <w:r>
              <w:rPr>
                <w:rFonts w:hint="eastAsia" w:ascii="宋体" w:hAnsi="宋体" w:eastAsia="宋体" w:cs="宋体"/>
                <w:szCs w:val="21"/>
                <w:highlight w:val="none"/>
              </w:rPr>
              <w:t xml:space="preserve">评标委员会推荐中标候选人的人数 </w:t>
            </w:r>
          </w:p>
        </w:tc>
        <w:tc>
          <w:tcPr>
            <w:tcW w:w="5891" w:type="dxa"/>
            <w:noWrap w:val="0"/>
            <w:vAlign w:val="center"/>
          </w:tcPr>
          <w:p w14:paraId="0064469C">
            <w:pPr>
              <w:spacing w:line="360" w:lineRule="auto"/>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有效投标人不足</w:t>
            </w:r>
            <w:r>
              <w:rPr>
                <w:rFonts w:hint="eastAsia" w:asciiTheme="minorEastAsia" w:hAnsiTheme="minorEastAsia" w:eastAsiaTheme="minorEastAsia"/>
                <w:color w:val="auto"/>
                <w:szCs w:val="21"/>
                <w:highlight w:val="none"/>
                <w:lang w:val="en-US" w:eastAsia="zh-CN"/>
              </w:rPr>
              <w:t>3名</w:t>
            </w:r>
            <w:r>
              <w:rPr>
                <w:rFonts w:hint="eastAsia" w:asciiTheme="minorEastAsia" w:hAnsiTheme="minorEastAsia" w:eastAsiaTheme="minorEastAsia"/>
                <w:color w:val="auto"/>
                <w:szCs w:val="21"/>
                <w:highlight w:val="none"/>
              </w:rPr>
              <w:t>时，应当重新招标；有效投标人数量为</w:t>
            </w:r>
            <w:r>
              <w:rPr>
                <w:rFonts w:hint="eastAsia" w:asciiTheme="minorEastAsia" w:hAnsiTheme="minorEastAsia" w:eastAsiaTheme="minorEastAsia"/>
                <w:color w:val="auto"/>
                <w:szCs w:val="21"/>
                <w:highlight w:val="none"/>
                <w:lang w:val="en-US" w:eastAsia="zh-CN"/>
              </w:rPr>
              <w:t>3名</w:t>
            </w:r>
            <w:r>
              <w:rPr>
                <w:rFonts w:hint="eastAsia" w:asciiTheme="minorEastAsia" w:hAnsiTheme="minorEastAsia" w:eastAsiaTheme="minorEastAsia"/>
                <w:color w:val="auto"/>
                <w:szCs w:val="21"/>
                <w:highlight w:val="none"/>
              </w:rPr>
              <w:t>以上（含</w:t>
            </w:r>
            <w:r>
              <w:rPr>
                <w:rFonts w:hint="eastAsia" w:asciiTheme="minorEastAsia" w:hAnsiTheme="minorEastAsia" w:eastAsiaTheme="minorEastAsia"/>
                <w:color w:val="auto"/>
                <w:szCs w:val="21"/>
                <w:highlight w:val="none"/>
                <w:lang w:val="en-US" w:eastAsia="zh-CN"/>
              </w:rPr>
              <w:t>3名</w:t>
            </w:r>
            <w:r>
              <w:rPr>
                <w:rFonts w:hint="eastAsia" w:asciiTheme="minorEastAsia" w:hAnsiTheme="minorEastAsia" w:eastAsiaTheme="minorEastAsia"/>
                <w:color w:val="auto"/>
                <w:szCs w:val="21"/>
                <w:highlight w:val="none"/>
              </w:rPr>
              <w:t>）时，按照得分由高到低的顺序</w:t>
            </w:r>
            <w:r>
              <w:rPr>
                <w:rFonts w:hint="eastAsia" w:asciiTheme="minorEastAsia" w:hAnsiTheme="minorEastAsia" w:eastAsiaTheme="minorEastAsia"/>
                <w:color w:val="auto"/>
                <w:szCs w:val="21"/>
                <w:highlight w:val="none"/>
                <w:lang w:val="en-US" w:eastAsia="zh-CN"/>
              </w:rPr>
              <w:t>推荐5名</w:t>
            </w:r>
            <w:r>
              <w:rPr>
                <w:rFonts w:hint="eastAsia" w:asciiTheme="minorEastAsia" w:hAnsiTheme="minorEastAsia" w:eastAsiaTheme="minorEastAsia"/>
                <w:color w:val="auto"/>
                <w:szCs w:val="21"/>
                <w:highlight w:val="none"/>
              </w:rPr>
              <w:t>中标候选人。中标候选人排名不分先后。</w:t>
            </w:r>
          </w:p>
          <w:p w14:paraId="289F24CF">
            <w:pPr>
              <w:wordWrap w:val="0"/>
              <w:topLinePunct/>
              <w:spacing w:line="360" w:lineRule="auto"/>
              <w:ind w:left="0" w:leftChars="0" w:right="0" w:firstLine="0" w:firstLineChars="0"/>
              <w:rPr>
                <w:rFonts w:hint="eastAsia" w:ascii="宋体" w:hAnsi="宋体" w:eastAsia="宋体" w:cs="宋体"/>
                <w:szCs w:val="21"/>
                <w:highlight w:val="cyan"/>
              </w:rPr>
            </w:pPr>
            <w:r>
              <w:rPr>
                <w:rFonts w:hint="eastAsia" w:asciiTheme="minorEastAsia" w:hAnsiTheme="minorEastAsia" w:eastAsiaTheme="minorEastAsia"/>
                <w:color w:val="auto"/>
                <w:szCs w:val="21"/>
                <w:highlight w:val="none"/>
              </w:rPr>
              <w:t>招标人对评标结果有异议的，应当在中标候选人公示前依照法定程序组织原评标委员会进行复审，并形成复审报告，确实存在问题的，依照法定程序予以纠正。</w:t>
            </w:r>
          </w:p>
        </w:tc>
      </w:tr>
      <w:tr w14:paraId="303989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39BE6EB5">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7.1</w:t>
            </w:r>
          </w:p>
        </w:tc>
        <w:tc>
          <w:tcPr>
            <w:tcW w:w="2600" w:type="dxa"/>
            <w:noWrap w:val="0"/>
            <w:vAlign w:val="center"/>
          </w:tcPr>
          <w:p w14:paraId="0E534DC7">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中标候选人公示媒介及期限 </w:t>
            </w:r>
          </w:p>
        </w:tc>
        <w:tc>
          <w:tcPr>
            <w:tcW w:w="5891" w:type="dxa"/>
            <w:noWrap w:val="0"/>
            <w:vAlign w:val="center"/>
          </w:tcPr>
          <w:p w14:paraId="6FEB384F">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《中国招标投标公共服务平台》、《河南省政府采购网》、《新乡市政府采购网》、《</w:t>
            </w:r>
            <w:r>
              <w:rPr>
                <w:rFonts w:hint="eastAsia" w:ascii="宋体" w:hAnsi="宋体" w:eastAsia="宋体" w:cs="宋体"/>
                <w:szCs w:val="21"/>
                <w:highlight w:val="none"/>
                <w:lang w:eastAsia="zh-CN"/>
              </w:rPr>
              <w:t>新乡市公共资源交易中心网</w:t>
            </w:r>
            <w:r>
              <w:rPr>
                <w:rFonts w:hint="eastAsia" w:ascii="宋体" w:hAnsi="宋体" w:eastAsia="宋体" w:cs="宋体"/>
                <w:szCs w:val="21"/>
                <w:highlight w:val="none"/>
              </w:rPr>
              <w:t>》、《新乡市交通运输局网》公示期限：3日</w:t>
            </w:r>
          </w:p>
        </w:tc>
      </w:tr>
      <w:tr w14:paraId="2D70C0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498673BE">
            <w:pPr>
              <w:wordWrap w:val="0"/>
              <w:topLinePunct/>
              <w:spacing w:line="360" w:lineRule="auto"/>
              <w:ind w:left="105" w:leftChars="50" w:right="113"/>
              <w:rPr>
                <w:rFonts w:hint="eastAsia" w:ascii="宋体" w:hAnsi="宋体" w:eastAsia="宋体" w:cs="宋体"/>
                <w:szCs w:val="21"/>
                <w:highlight w:val="none"/>
              </w:rPr>
            </w:pPr>
            <w:r>
              <w:rPr>
                <w:rFonts w:hint="eastAsia" w:ascii="宋体" w:hAnsi="宋体" w:eastAsia="宋体" w:cs="宋体"/>
                <w:szCs w:val="21"/>
                <w:highlight w:val="none"/>
              </w:rPr>
              <w:t>7.4</w:t>
            </w:r>
          </w:p>
        </w:tc>
        <w:tc>
          <w:tcPr>
            <w:tcW w:w="2600" w:type="dxa"/>
            <w:noWrap w:val="0"/>
            <w:vAlign w:val="center"/>
          </w:tcPr>
          <w:p w14:paraId="17FB5D37">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是否授权评标委员会确定中标人 </w:t>
            </w:r>
          </w:p>
        </w:tc>
        <w:tc>
          <w:tcPr>
            <w:tcW w:w="5891" w:type="dxa"/>
            <w:noWrap w:val="0"/>
            <w:vAlign w:val="center"/>
          </w:tcPr>
          <w:p w14:paraId="4073B1C1">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否</w:t>
            </w:r>
          </w:p>
        </w:tc>
      </w:tr>
      <w:tr w14:paraId="3312E8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5648B697">
            <w:pPr>
              <w:wordWrap w:val="0"/>
              <w:topLinePunct/>
              <w:spacing w:line="360" w:lineRule="auto"/>
              <w:ind w:left="105" w:leftChars="50" w:right="113"/>
              <w:rPr>
                <w:rFonts w:hint="eastAsia" w:ascii="宋体" w:hAnsi="宋体" w:eastAsia="宋体" w:cs="宋体"/>
                <w:szCs w:val="21"/>
                <w:highlight w:val="none"/>
              </w:rPr>
            </w:pPr>
            <w:r>
              <w:rPr>
                <w:rFonts w:hint="eastAsia" w:ascii="宋体" w:hAnsi="宋体" w:eastAsia="宋体" w:cs="宋体"/>
                <w:szCs w:val="21"/>
                <w:highlight w:val="none"/>
              </w:rPr>
              <w:t>7.5</w:t>
            </w:r>
          </w:p>
        </w:tc>
        <w:tc>
          <w:tcPr>
            <w:tcW w:w="2600" w:type="dxa"/>
            <w:noWrap w:val="0"/>
            <w:vAlign w:val="center"/>
          </w:tcPr>
          <w:p w14:paraId="137539CC">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中标通知书和中标结果通知发出的形式 </w:t>
            </w:r>
          </w:p>
        </w:tc>
        <w:tc>
          <w:tcPr>
            <w:tcW w:w="5891" w:type="dxa"/>
            <w:noWrap w:val="0"/>
            <w:vAlign w:val="center"/>
          </w:tcPr>
          <w:p w14:paraId="34DE961D">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highlight w:val="none"/>
              </w:rPr>
              <w:t>以公告形式发布在本次招标公告的媒体上</w:t>
            </w:r>
          </w:p>
        </w:tc>
      </w:tr>
      <w:tr w14:paraId="4FBFF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25A7FCD6">
            <w:pPr>
              <w:wordWrap w:val="0"/>
              <w:topLinePunct/>
              <w:spacing w:line="360" w:lineRule="auto"/>
              <w:ind w:left="105" w:leftChars="50" w:right="113"/>
              <w:rPr>
                <w:rFonts w:hint="eastAsia" w:ascii="宋体" w:hAnsi="宋体" w:eastAsia="宋体" w:cs="宋体"/>
                <w:szCs w:val="21"/>
                <w:highlight w:val="none"/>
              </w:rPr>
            </w:pPr>
            <w:r>
              <w:rPr>
                <w:rFonts w:hint="eastAsia" w:ascii="宋体" w:hAnsi="宋体" w:eastAsia="宋体" w:cs="宋体"/>
                <w:szCs w:val="21"/>
                <w:highlight w:val="none"/>
              </w:rPr>
              <w:t>7.6</w:t>
            </w:r>
          </w:p>
        </w:tc>
        <w:tc>
          <w:tcPr>
            <w:tcW w:w="2600" w:type="dxa"/>
            <w:noWrap w:val="0"/>
            <w:vAlign w:val="center"/>
          </w:tcPr>
          <w:p w14:paraId="7AF87D94">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中标结果公告媒介及期限</w:t>
            </w:r>
          </w:p>
        </w:tc>
        <w:tc>
          <w:tcPr>
            <w:tcW w:w="5891" w:type="dxa"/>
            <w:noWrap w:val="0"/>
            <w:vAlign w:val="center"/>
          </w:tcPr>
          <w:p w14:paraId="6F8397B6">
            <w:pPr>
              <w:wordWrap w:val="0"/>
              <w:topLinePunct/>
              <w:spacing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《中国招标投标公共服务平台》、《河南省政府采购网》、《新乡市政府采购网》、《</w:t>
            </w:r>
            <w:r>
              <w:rPr>
                <w:rFonts w:hint="eastAsia" w:ascii="宋体" w:hAnsi="宋体" w:eastAsia="宋体" w:cs="宋体"/>
                <w:szCs w:val="21"/>
                <w:highlight w:val="none"/>
                <w:lang w:eastAsia="zh-CN"/>
              </w:rPr>
              <w:t>新乡市公共资源交易中心网</w:t>
            </w:r>
            <w:r>
              <w:rPr>
                <w:rFonts w:hint="eastAsia" w:ascii="宋体" w:hAnsi="宋体" w:eastAsia="宋体" w:cs="宋体"/>
                <w:szCs w:val="21"/>
                <w:highlight w:val="none"/>
              </w:rPr>
              <w:t>》、《新乡市交通运输局网》公示期限：3日</w:t>
            </w:r>
          </w:p>
        </w:tc>
      </w:tr>
      <w:tr w14:paraId="60DA90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69" w:hRule="atLeast"/>
          <w:jc w:val="center"/>
        </w:trPr>
        <w:tc>
          <w:tcPr>
            <w:tcW w:w="1006" w:type="dxa"/>
            <w:noWrap w:val="0"/>
            <w:vAlign w:val="center"/>
          </w:tcPr>
          <w:p w14:paraId="65CCF39D">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7.7.1</w:t>
            </w:r>
          </w:p>
        </w:tc>
        <w:tc>
          <w:tcPr>
            <w:tcW w:w="2600" w:type="dxa"/>
            <w:noWrap w:val="0"/>
            <w:vAlign w:val="center"/>
          </w:tcPr>
          <w:p w14:paraId="75E56F44">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履约保证金</w:t>
            </w:r>
          </w:p>
        </w:tc>
        <w:tc>
          <w:tcPr>
            <w:tcW w:w="5891" w:type="dxa"/>
            <w:noWrap w:val="0"/>
            <w:vAlign w:val="center"/>
          </w:tcPr>
          <w:p w14:paraId="1B0131DA">
            <w:pPr>
              <w:wordWrap w:val="0"/>
              <w:topLinePunct/>
              <w:spacing w:line="360" w:lineRule="auto"/>
              <w:rPr>
                <w:rFonts w:hint="eastAsia" w:ascii="宋体" w:hAnsi="宋体" w:eastAsia="宋体" w:cs="宋体"/>
                <w:highlight w:val="none"/>
              </w:rPr>
            </w:pPr>
            <w:r>
              <w:rPr>
                <w:rFonts w:hint="eastAsia" w:ascii="宋体" w:hAnsi="宋体" w:eastAsia="宋体" w:cs="宋体"/>
                <w:highlight w:val="none"/>
              </w:rPr>
              <w:t>☑ 不</w:t>
            </w:r>
            <w:r>
              <w:rPr>
                <w:rFonts w:hint="eastAsia" w:ascii="宋体" w:hAnsi="宋体" w:eastAsia="宋体" w:cs="宋体"/>
                <w:szCs w:val="21"/>
                <w:highlight w:val="none"/>
              </w:rPr>
              <w:t>要求</w:t>
            </w:r>
          </w:p>
        </w:tc>
      </w:tr>
      <w:tr w14:paraId="66052B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5E864302">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8.5.1</w:t>
            </w:r>
          </w:p>
        </w:tc>
        <w:tc>
          <w:tcPr>
            <w:tcW w:w="2600" w:type="dxa"/>
            <w:noWrap w:val="0"/>
            <w:vAlign w:val="center"/>
          </w:tcPr>
          <w:p w14:paraId="40874FF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上级行政主管部门</w:t>
            </w:r>
          </w:p>
        </w:tc>
        <w:tc>
          <w:tcPr>
            <w:tcW w:w="5891" w:type="dxa"/>
            <w:noWrap w:val="0"/>
            <w:vAlign w:val="center"/>
          </w:tcPr>
          <w:p w14:paraId="743B1408">
            <w:pPr>
              <w:wordWrap w:val="0"/>
              <w:topLinePunct/>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新乡市交通运输局</w:t>
            </w:r>
          </w:p>
          <w:p w14:paraId="638A346A">
            <w:pPr>
              <w:wordWrap w:val="0"/>
              <w:topLinePunct/>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地址：新乡市开发区华兰大道中段</w:t>
            </w:r>
          </w:p>
          <w:p w14:paraId="41D9F61E">
            <w:pPr>
              <w:wordWrap w:val="0"/>
              <w:topLinePunct/>
              <w:spacing w:line="360" w:lineRule="auto"/>
              <w:ind w:left="0" w:leftChars="0" w:firstLine="0" w:firstLineChars="0"/>
              <w:rPr>
                <w:rFonts w:hint="eastAsia" w:ascii="宋体" w:hAnsi="宋体" w:eastAsia="宋体" w:cs="宋体"/>
                <w:highlight w:val="none"/>
              </w:rPr>
            </w:pPr>
            <w:r>
              <w:rPr>
                <w:rFonts w:hint="eastAsia" w:ascii="宋体" w:hAnsi="宋体" w:eastAsia="宋体" w:cs="宋体"/>
                <w:szCs w:val="21"/>
                <w:highlight w:val="none"/>
              </w:rPr>
              <w:t>联系电话：0373-3523323</w:t>
            </w:r>
          </w:p>
        </w:tc>
      </w:tr>
      <w:tr w14:paraId="26DD73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0BD21D4E">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2600" w:type="dxa"/>
            <w:noWrap w:val="0"/>
            <w:vAlign w:val="center"/>
          </w:tcPr>
          <w:p w14:paraId="3BB5CB0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是否采用电子招标投标</w:t>
            </w:r>
          </w:p>
        </w:tc>
        <w:tc>
          <w:tcPr>
            <w:tcW w:w="5891" w:type="dxa"/>
            <w:noWrap w:val="0"/>
            <w:vAlign w:val="center"/>
          </w:tcPr>
          <w:p w14:paraId="6E6DF49E">
            <w:pPr>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是</w:t>
            </w:r>
          </w:p>
        </w:tc>
      </w:tr>
      <w:tr w14:paraId="2DBD44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9497" w:type="dxa"/>
            <w:gridSpan w:val="3"/>
            <w:noWrap w:val="0"/>
            <w:vAlign w:val="center"/>
          </w:tcPr>
          <w:p w14:paraId="11062422">
            <w:pPr>
              <w:wordWrap w:val="0"/>
              <w:topLinePunct/>
              <w:spacing w:line="360" w:lineRule="auto"/>
              <w:ind w:left="17" w:leftChars="8" w:right="113" w:firstLine="403" w:firstLineChars="191"/>
              <w:rPr>
                <w:rFonts w:hint="eastAsia" w:ascii="宋体" w:hAnsi="宋体" w:eastAsia="宋体" w:cs="宋体"/>
                <w:b/>
                <w:szCs w:val="21"/>
                <w:highlight w:val="none"/>
              </w:rPr>
            </w:pPr>
            <w:r>
              <w:rPr>
                <w:rFonts w:hint="eastAsia" w:ascii="宋体" w:hAnsi="宋体" w:eastAsia="宋体" w:cs="宋体"/>
                <w:b/>
                <w:szCs w:val="21"/>
                <w:highlight w:val="none"/>
              </w:rPr>
              <w:t>需要补充的其他内容</w:t>
            </w:r>
          </w:p>
        </w:tc>
      </w:tr>
      <w:tr w14:paraId="409A0D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7180F4E6">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10.1</w:t>
            </w:r>
          </w:p>
        </w:tc>
        <w:tc>
          <w:tcPr>
            <w:tcW w:w="2600" w:type="dxa"/>
            <w:noWrap w:val="0"/>
            <w:vAlign w:val="center"/>
          </w:tcPr>
          <w:p w14:paraId="0A46A750">
            <w:pPr>
              <w:wordWrap w:val="0"/>
              <w:topLinePunct/>
              <w:spacing w:line="360" w:lineRule="auto"/>
              <w:ind w:left="113" w:right="113"/>
              <w:jc w:val="center"/>
              <w:rPr>
                <w:rFonts w:hint="eastAsia" w:ascii="宋体" w:hAnsi="宋体" w:eastAsia="宋体" w:cs="宋体"/>
                <w:szCs w:val="21"/>
                <w:highlight w:val="none"/>
              </w:rPr>
            </w:pPr>
            <w:r>
              <w:rPr>
                <w:rFonts w:hint="eastAsia" w:ascii="宋体" w:hAnsi="宋体" w:eastAsia="宋体" w:cs="宋体"/>
                <w:szCs w:val="21"/>
                <w:highlight w:val="none"/>
              </w:rPr>
              <w:t>环保要求</w:t>
            </w:r>
          </w:p>
        </w:tc>
        <w:tc>
          <w:tcPr>
            <w:tcW w:w="5891" w:type="dxa"/>
            <w:noWrap w:val="0"/>
            <w:vAlign w:val="center"/>
          </w:tcPr>
          <w:p w14:paraId="586B0F14">
            <w:pPr>
              <w:wordWrap w:val="0"/>
              <w:topLinePunct/>
              <w:spacing w:line="360" w:lineRule="auto"/>
              <w:ind w:left="17"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落实国家、省、市相关环保政策及规范要求</w:t>
            </w:r>
          </w:p>
        </w:tc>
      </w:tr>
      <w:tr w14:paraId="61EFF9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34AFDC09">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10.2</w:t>
            </w:r>
          </w:p>
        </w:tc>
        <w:tc>
          <w:tcPr>
            <w:tcW w:w="2600" w:type="dxa"/>
            <w:noWrap w:val="0"/>
            <w:vAlign w:val="center"/>
          </w:tcPr>
          <w:p w14:paraId="19239F65">
            <w:pPr>
              <w:wordWrap w:val="0"/>
              <w:topLinePunct/>
              <w:spacing w:line="360" w:lineRule="auto"/>
              <w:ind w:left="113" w:right="113"/>
              <w:jc w:val="center"/>
              <w:rPr>
                <w:rFonts w:hint="eastAsia" w:ascii="宋体" w:hAnsi="宋体" w:eastAsia="宋体" w:cs="宋体"/>
                <w:szCs w:val="21"/>
                <w:highlight w:val="none"/>
              </w:rPr>
            </w:pPr>
            <w:r>
              <w:rPr>
                <w:rFonts w:hint="eastAsia" w:ascii="宋体" w:hAnsi="宋体" w:eastAsia="宋体" w:cs="宋体"/>
                <w:szCs w:val="21"/>
                <w:highlight w:val="none"/>
              </w:rPr>
              <w:t>付款方式</w:t>
            </w:r>
          </w:p>
        </w:tc>
        <w:tc>
          <w:tcPr>
            <w:tcW w:w="5891" w:type="dxa"/>
            <w:noWrap w:val="0"/>
            <w:vAlign w:val="center"/>
          </w:tcPr>
          <w:p w14:paraId="0C53DC4A">
            <w:pPr>
              <w:wordWrap w:val="0"/>
              <w:topLinePunct/>
              <w:spacing w:line="360" w:lineRule="auto"/>
              <w:ind w:left="17" w:leftChars="0" w:firstLine="0" w:firstLineChars="0"/>
              <w:rPr>
                <w:rFonts w:hint="eastAsia" w:ascii="宋体" w:hAnsi="宋体" w:eastAsia="宋体" w:cs="宋体"/>
                <w:szCs w:val="21"/>
                <w:highlight w:val="none"/>
              </w:rPr>
            </w:pPr>
            <w:r>
              <w:rPr>
                <w:rFonts w:hint="eastAsia" w:ascii="宋体" w:hAnsi="宋体" w:eastAsia="宋体" w:cs="宋体"/>
                <w:color w:val="000000"/>
                <w:kern w:val="0"/>
                <w:szCs w:val="21"/>
                <w:highlight w:val="none"/>
                <w:lang w:bidi="ar"/>
              </w:rPr>
              <w:t>监理费分为施工阶段监理费用和缺陷责任期监理费用两部分，其中缺陷责任期监理费用占3%。施工阶段监理费用按月平均支付。</w:t>
            </w:r>
          </w:p>
        </w:tc>
      </w:tr>
      <w:tr w14:paraId="6F4868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744EB4A2">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10.3</w:t>
            </w:r>
          </w:p>
        </w:tc>
        <w:tc>
          <w:tcPr>
            <w:tcW w:w="2600" w:type="dxa"/>
            <w:noWrap w:val="0"/>
            <w:vAlign w:val="center"/>
          </w:tcPr>
          <w:p w14:paraId="1AA098A1">
            <w:pPr>
              <w:wordWrap w:val="0"/>
              <w:topLinePunct/>
              <w:spacing w:line="360" w:lineRule="auto"/>
              <w:ind w:left="113" w:right="113"/>
              <w:jc w:val="center"/>
              <w:rPr>
                <w:rFonts w:hint="eastAsia" w:ascii="宋体" w:hAnsi="宋体" w:eastAsia="宋体" w:cs="宋体"/>
                <w:szCs w:val="21"/>
                <w:highlight w:val="none"/>
              </w:rPr>
            </w:pPr>
            <w:r>
              <w:rPr>
                <w:rFonts w:hint="eastAsia" w:ascii="宋体" w:hAnsi="宋体" w:eastAsia="宋体" w:cs="宋体"/>
                <w:szCs w:val="21"/>
                <w:highlight w:val="none"/>
              </w:rPr>
              <w:t>代理服务费</w:t>
            </w:r>
          </w:p>
        </w:tc>
        <w:tc>
          <w:tcPr>
            <w:tcW w:w="5891" w:type="dxa"/>
            <w:noWrap w:val="0"/>
            <w:vAlign w:val="center"/>
          </w:tcPr>
          <w:p w14:paraId="65F0D865">
            <w:pPr>
              <w:wordWrap w:val="0"/>
              <w:topLinePunct/>
              <w:spacing w:line="360" w:lineRule="auto"/>
              <w:ind w:left="17"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代理服务费以代理合同签订为准，代理服务费用控制价</w:t>
            </w:r>
          </w:p>
          <w:p w14:paraId="6E816D2A">
            <w:pPr>
              <w:wordWrap w:val="0"/>
              <w:topLinePunct/>
              <w:spacing w:line="360" w:lineRule="auto"/>
              <w:ind w:left="17"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5050</w:t>
            </w:r>
            <w:bookmarkStart w:id="266" w:name="_GoBack"/>
            <w:bookmarkEnd w:id="266"/>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元整，最终代理服务费按照招标项目中标金额大小采用内差法取整计算，由中标人支付。</w:t>
            </w:r>
          </w:p>
        </w:tc>
      </w:tr>
      <w:tr w14:paraId="69D836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6EFC1ACE">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10.4</w:t>
            </w:r>
          </w:p>
        </w:tc>
        <w:tc>
          <w:tcPr>
            <w:tcW w:w="2600" w:type="dxa"/>
            <w:noWrap w:val="0"/>
            <w:vAlign w:val="center"/>
          </w:tcPr>
          <w:p w14:paraId="2DD19BBE">
            <w:pPr>
              <w:wordWrap w:val="0"/>
              <w:topLinePunct/>
              <w:spacing w:line="360" w:lineRule="auto"/>
              <w:ind w:left="113" w:right="113"/>
              <w:jc w:val="center"/>
              <w:rPr>
                <w:rFonts w:hint="eastAsia" w:ascii="宋体" w:hAnsi="宋体" w:eastAsia="宋体" w:cs="宋体"/>
                <w:szCs w:val="21"/>
                <w:highlight w:val="none"/>
              </w:rPr>
            </w:pPr>
            <w:r>
              <w:rPr>
                <w:rFonts w:hint="eastAsia" w:ascii="宋体" w:hAnsi="宋体" w:eastAsia="宋体" w:cs="宋体"/>
                <w:szCs w:val="21"/>
                <w:highlight w:val="none"/>
              </w:rPr>
              <w:t>投标文件密封形式</w:t>
            </w:r>
          </w:p>
        </w:tc>
        <w:tc>
          <w:tcPr>
            <w:tcW w:w="5891" w:type="dxa"/>
            <w:noWrap w:val="0"/>
            <w:vAlign w:val="center"/>
          </w:tcPr>
          <w:p w14:paraId="61D738E9">
            <w:pPr>
              <w:wordWrap w:val="0"/>
              <w:topLinePunct/>
              <w:spacing w:line="360" w:lineRule="auto"/>
              <w:ind w:left="17"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双信封</w:t>
            </w:r>
          </w:p>
        </w:tc>
      </w:tr>
      <w:tr w14:paraId="2ADC8C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245AFF33">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10.5</w:t>
            </w:r>
          </w:p>
        </w:tc>
        <w:tc>
          <w:tcPr>
            <w:tcW w:w="2600" w:type="dxa"/>
            <w:noWrap w:val="0"/>
            <w:vAlign w:val="center"/>
          </w:tcPr>
          <w:p w14:paraId="66A1F3B0">
            <w:pPr>
              <w:wordWrap w:val="0"/>
              <w:topLinePunct/>
              <w:spacing w:line="360" w:lineRule="auto"/>
              <w:ind w:left="113" w:right="113"/>
              <w:jc w:val="center"/>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891" w:type="dxa"/>
            <w:noWrap w:val="0"/>
            <w:vAlign w:val="center"/>
          </w:tcPr>
          <w:p w14:paraId="61805990">
            <w:pPr>
              <w:wordWrap w:val="0"/>
              <w:topLinePunct/>
              <w:spacing w:line="360" w:lineRule="auto"/>
              <w:ind w:left="17"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投标人须知与投标人须知前附表不一致时，以前附表为准。</w:t>
            </w:r>
          </w:p>
        </w:tc>
      </w:tr>
      <w:tr w14:paraId="7CCC3C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360449BC">
            <w:pPr>
              <w:wordWrap w:val="0"/>
              <w:topLinePunct/>
              <w:spacing w:line="360" w:lineRule="auto"/>
              <w:jc w:val="center"/>
              <w:rPr>
                <w:rFonts w:hint="default" w:ascii="宋体" w:hAnsi="宋体" w:eastAsia="宋体" w:cs="宋体"/>
                <w:szCs w:val="21"/>
                <w:highlight w:val="none"/>
                <w:lang w:val="en-US" w:eastAsia="zh-CN"/>
              </w:rPr>
            </w:pPr>
            <w:bookmarkStart w:id="18" w:name="_Toc54603811"/>
            <w:bookmarkStart w:id="19" w:name="_Toc125518256"/>
            <w:bookmarkStart w:id="20" w:name="_Toc55808597"/>
            <w:bookmarkStart w:id="21" w:name="_Toc194231043"/>
            <w:bookmarkStart w:id="22" w:name="_Toc55786874"/>
            <w:bookmarkStart w:id="23" w:name="_Toc54603656"/>
            <w:bookmarkStart w:id="24" w:name="_Toc54603980"/>
            <w:bookmarkStart w:id="25" w:name="_Toc55808558"/>
            <w:r>
              <w:rPr>
                <w:rFonts w:hint="eastAsia" w:ascii="宋体" w:hAnsi="宋体" w:eastAsia="宋体" w:cs="宋体"/>
                <w:szCs w:val="21"/>
                <w:highlight w:val="none"/>
                <w:lang w:val="en-US" w:eastAsia="zh-CN"/>
              </w:rPr>
              <w:t>10.6</w:t>
            </w:r>
          </w:p>
        </w:tc>
        <w:tc>
          <w:tcPr>
            <w:tcW w:w="2600" w:type="dxa"/>
            <w:noWrap w:val="0"/>
            <w:vAlign w:val="center"/>
          </w:tcPr>
          <w:p w14:paraId="62321500">
            <w:pPr>
              <w:wordWrap w:val="0"/>
              <w:topLinePunct/>
              <w:spacing w:line="360" w:lineRule="auto"/>
              <w:ind w:left="113" w:right="113"/>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中小企业声明函</w:t>
            </w:r>
          </w:p>
        </w:tc>
        <w:tc>
          <w:tcPr>
            <w:tcW w:w="5891" w:type="dxa"/>
            <w:noWrap w:val="0"/>
            <w:vAlign w:val="center"/>
          </w:tcPr>
          <w:p w14:paraId="40D7CE0D">
            <w:pPr>
              <w:pStyle w:val="22"/>
              <w:spacing w:before="69" w:line="360" w:lineRule="auto"/>
              <w:ind w:left="115" w:lef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符合</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lang w:eastAsia="zh-CN"/>
              </w:rPr>
              <w:t>文件要求</w:t>
            </w:r>
          </w:p>
          <w:p w14:paraId="7B243AF8">
            <w:pPr>
              <w:pStyle w:val="22"/>
              <w:spacing w:before="69" w:line="360" w:lineRule="auto"/>
              <w:ind w:leftChars="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1、本项目专门面向中小企业采购。</w:t>
            </w:r>
          </w:p>
          <w:p w14:paraId="13D979AD">
            <w:pPr>
              <w:pStyle w:val="22"/>
              <w:spacing w:before="69" w:line="360" w:lineRule="auto"/>
              <w:ind w:leftChars="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2、采购标的对应的中小企业划分标准所属行业：根据工信部联企业[2011]300号文的规定，本项目对应的中小企业划分标准所属行业为“其他未列明行业”。</w:t>
            </w:r>
          </w:p>
          <w:p w14:paraId="6670F56A">
            <w:pPr>
              <w:pStyle w:val="22"/>
              <w:spacing w:before="69" w:line="360" w:lineRule="auto"/>
              <w:ind w:leftChars="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3、残疾人福利性单位、监狱企业视同小型、微型企业。</w:t>
            </w:r>
          </w:p>
          <w:p w14:paraId="3D375C86">
            <w:pPr>
              <w:wordWrap w:val="0"/>
              <w:topLinePunct/>
              <w:spacing w:line="360" w:lineRule="auto"/>
              <w:ind w:leftChars="0" w:firstLine="0" w:firstLineChars="0"/>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4、关于投标报价评分中给予小微企业优惠的说明：专门面向中小企业采购的项目或者采购包，不再执行价格评审优惠的扶持政策。</w:t>
            </w:r>
          </w:p>
        </w:tc>
      </w:tr>
      <w:tr w14:paraId="207309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006" w:type="dxa"/>
            <w:noWrap w:val="0"/>
            <w:vAlign w:val="center"/>
          </w:tcPr>
          <w:p w14:paraId="1CF2FA8D">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10.6</w:t>
            </w:r>
          </w:p>
        </w:tc>
        <w:tc>
          <w:tcPr>
            <w:tcW w:w="2600" w:type="dxa"/>
            <w:noWrap w:val="0"/>
            <w:vAlign w:val="center"/>
          </w:tcPr>
          <w:p w14:paraId="5CADFC63">
            <w:pPr>
              <w:autoSpaceDE w:val="0"/>
              <w:autoSpaceDN w:val="0"/>
              <w:spacing w:line="360" w:lineRule="auto"/>
              <w:ind w:firstLine="0" w:firstLineChars="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有关政府采购合同融资政策告知内容</w:t>
            </w:r>
          </w:p>
        </w:tc>
        <w:tc>
          <w:tcPr>
            <w:tcW w:w="5891" w:type="dxa"/>
            <w:noWrap w:val="0"/>
            <w:vAlign w:val="center"/>
          </w:tcPr>
          <w:p w14:paraId="1EC500FC">
            <w:pPr>
              <w:autoSpaceDE w:val="0"/>
              <w:autoSpaceDN w:val="0"/>
              <w:spacing w:line="360" w:lineRule="auto"/>
              <w:ind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lang w:val="zh-CN"/>
              </w:rPr>
              <w:t xml:space="preserve">    根据新乡市财政局《关于进一步推进政府采购合同融资工作实施方案的通知》（新财购【2020】10号）要求，供应商在中标成交后可以持政府采购合同向融资机构申请贷款。融资渠道和方式可以通过河南省政府采购网或新乡市政府采购网“河南省政府采购合同融资平台”获取。</w:t>
            </w:r>
          </w:p>
        </w:tc>
      </w:tr>
    </w:tbl>
    <w:p w14:paraId="2F3A4002">
      <w:pPr>
        <w:bidi w:val="0"/>
        <w:jc w:val="center"/>
        <w:rPr>
          <w:rFonts w:hint="eastAsia" w:ascii="宋体" w:hAnsi="宋体" w:eastAsia="宋体" w:cs="宋体"/>
          <w:kern w:val="0"/>
          <w:highlight w:val="none"/>
        </w:rPr>
      </w:pPr>
      <w:r>
        <w:rPr>
          <w:rFonts w:hint="eastAsia" w:ascii="宋体" w:hAnsi="宋体" w:eastAsia="宋体" w:cs="宋体"/>
          <w:kern w:val="0"/>
          <w:highlight w:val="none"/>
        </w:rPr>
        <w:br w:type="page"/>
      </w:r>
      <w:bookmarkStart w:id="26" w:name="_Toc533409740"/>
      <w:r>
        <w:rPr>
          <w:rFonts w:hint="eastAsia" w:ascii="宋体" w:hAnsi="宋体" w:eastAsia="宋体" w:cs="宋体"/>
          <w:b/>
          <w:bCs/>
          <w:kern w:val="0"/>
          <w:sz w:val="28"/>
          <w:szCs w:val="28"/>
          <w:highlight w:val="none"/>
        </w:rPr>
        <w:t>附录1资格审查条件（资质最低要求</w:t>
      </w:r>
      <w:bookmarkEnd w:id="18"/>
      <w:bookmarkEnd w:id="19"/>
      <w:bookmarkEnd w:id="20"/>
      <w:bookmarkEnd w:id="21"/>
      <w:bookmarkEnd w:id="22"/>
      <w:bookmarkEnd w:id="23"/>
      <w:bookmarkEnd w:id="24"/>
      <w:bookmarkEnd w:id="25"/>
      <w:r>
        <w:rPr>
          <w:rFonts w:hint="eastAsia" w:ascii="宋体" w:hAnsi="宋体" w:eastAsia="宋体" w:cs="宋体"/>
          <w:b/>
          <w:bCs/>
          <w:kern w:val="0"/>
          <w:sz w:val="28"/>
          <w:szCs w:val="28"/>
          <w:highlight w:val="none"/>
        </w:rPr>
        <w:t>）</w:t>
      </w:r>
      <w:bookmarkEnd w:id="2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6453"/>
        <w:gridCol w:w="1312"/>
      </w:tblGrid>
      <w:tr w14:paraId="66FA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69" w:type="dxa"/>
            <w:tcBorders>
              <w:top w:val="single" w:color="auto" w:sz="12" w:space="0"/>
              <w:left w:val="single" w:color="auto" w:sz="12" w:space="0"/>
            </w:tcBorders>
            <w:noWrap w:val="0"/>
            <w:vAlign w:val="center"/>
          </w:tcPr>
          <w:p w14:paraId="19ED5F1F">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项 目</w:t>
            </w:r>
          </w:p>
        </w:tc>
        <w:tc>
          <w:tcPr>
            <w:tcW w:w="6453" w:type="dxa"/>
            <w:tcBorders>
              <w:top w:val="single" w:color="auto" w:sz="12" w:space="0"/>
            </w:tcBorders>
            <w:noWrap w:val="0"/>
            <w:vAlign w:val="center"/>
          </w:tcPr>
          <w:p w14:paraId="7133DC8C">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要    求</w:t>
            </w:r>
          </w:p>
        </w:tc>
        <w:tc>
          <w:tcPr>
            <w:tcW w:w="1312" w:type="dxa"/>
            <w:tcBorders>
              <w:top w:val="single" w:color="auto" w:sz="12" w:space="0"/>
              <w:right w:val="single" w:color="auto" w:sz="12" w:space="0"/>
            </w:tcBorders>
            <w:noWrap w:val="0"/>
            <w:vAlign w:val="center"/>
          </w:tcPr>
          <w:p w14:paraId="12594795">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备 注</w:t>
            </w:r>
          </w:p>
        </w:tc>
      </w:tr>
      <w:tr w14:paraId="69A2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8" w:hRule="atLeast"/>
          <w:jc w:val="center"/>
        </w:trPr>
        <w:tc>
          <w:tcPr>
            <w:tcW w:w="1369" w:type="dxa"/>
            <w:tcBorders>
              <w:left w:val="single" w:color="auto" w:sz="12" w:space="0"/>
              <w:bottom w:val="single" w:color="auto" w:sz="12" w:space="0"/>
            </w:tcBorders>
            <w:noWrap w:val="0"/>
            <w:vAlign w:val="center"/>
          </w:tcPr>
          <w:p w14:paraId="7D653AED">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 质</w:t>
            </w:r>
          </w:p>
        </w:tc>
        <w:tc>
          <w:tcPr>
            <w:tcW w:w="6453" w:type="dxa"/>
            <w:tcBorders>
              <w:bottom w:val="single" w:color="auto" w:sz="12" w:space="0"/>
            </w:tcBorders>
            <w:noWrap w:val="0"/>
            <w:vAlign w:val="center"/>
          </w:tcPr>
          <w:p w14:paraId="31EAAD4F">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投标企业具备独立法人资格，具有交通运输主管部门颁发的公路工程专业乙级及以上监理资质，持有有效的企业法人营业执照。</w:t>
            </w:r>
          </w:p>
        </w:tc>
        <w:tc>
          <w:tcPr>
            <w:tcW w:w="1312" w:type="dxa"/>
            <w:tcBorders>
              <w:bottom w:val="single" w:color="auto" w:sz="12" w:space="0"/>
              <w:right w:val="single" w:color="auto" w:sz="12" w:space="0"/>
            </w:tcBorders>
            <w:noWrap w:val="0"/>
            <w:vAlign w:val="center"/>
          </w:tcPr>
          <w:p w14:paraId="69D77BA6">
            <w:pPr>
              <w:spacing w:line="320" w:lineRule="exact"/>
              <w:jc w:val="center"/>
              <w:rPr>
                <w:rFonts w:hint="eastAsia" w:ascii="宋体" w:hAnsi="宋体" w:eastAsia="宋体" w:cs="宋体"/>
                <w:szCs w:val="21"/>
                <w:highlight w:val="none"/>
              </w:rPr>
            </w:pPr>
          </w:p>
        </w:tc>
      </w:tr>
    </w:tbl>
    <w:p w14:paraId="3176BFC0">
      <w:pPr>
        <w:spacing w:line="440" w:lineRule="exact"/>
        <w:rPr>
          <w:rFonts w:hint="eastAsia" w:ascii="宋体" w:hAnsi="宋体" w:eastAsia="宋体" w:cs="宋体"/>
          <w:kern w:val="0"/>
          <w:highlight w:val="none"/>
        </w:rPr>
      </w:pPr>
      <w:bookmarkStart w:id="27" w:name="_Toc194231046"/>
      <w:bookmarkStart w:id="28" w:name="_Toc125518259"/>
      <w:bookmarkStart w:id="29" w:name="_Toc55808598"/>
      <w:bookmarkStart w:id="30" w:name="_Toc54603981"/>
      <w:bookmarkStart w:id="31" w:name="_Toc54603812"/>
      <w:bookmarkStart w:id="32" w:name="_Toc54603657"/>
      <w:bookmarkStart w:id="33" w:name="_Toc125518257"/>
      <w:bookmarkStart w:id="34" w:name="_Toc55786875"/>
      <w:bookmarkStart w:id="35" w:name="_Toc55808559"/>
      <w:r>
        <w:rPr>
          <w:rFonts w:hint="eastAsia" w:ascii="宋体" w:hAnsi="宋体" w:eastAsia="宋体" w:cs="宋体"/>
          <w:kern w:val="0"/>
          <w:szCs w:val="21"/>
          <w:highlight w:val="none"/>
        </w:rPr>
        <w:t>[1] 资质证明文件指企业营业执照、监理资质证书等相关资料彩色影印件</w:t>
      </w:r>
    </w:p>
    <w:p w14:paraId="1AF8357A">
      <w:pPr>
        <w:bidi w:val="0"/>
        <w:jc w:val="left"/>
        <w:rPr>
          <w:rFonts w:hint="eastAsia" w:ascii="宋体" w:hAnsi="宋体" w:eastAsia="宋体" w:cs="宋体"/>
          <w:kern w:val="0"/>
          <w:highlight w:val="none"/>
        </w:rPr>
      </w:pPr>
      <w:r>
        <w:rPr>
          <w:rFonts w:hint="eastAsia" w:ascii="宋体" w:hAnsi="宋体" w:eastAsia="宋体" w:cs="宋体"/>
          <w:b w:val="0"/>
          <w:bCs w:val="0"/>
          <w:kern w:val="0"/>
          <w:sz w:val="21"/>
          <w:szCs w:val="24"/>
          <w:highlight w:val="none"/>
          <w:lang w:val="en-US" w:eastAsia="zh-CN"/>
        </w:rPr>
        <w:t>[2] 详见投标人须知正文 3.5 项资格审查资料</w:t>
      </w:r>
      <w:r>
        <w:rPr>
          <w:rFonts w:hint="eastAsia" w:ascii="宋体" w:hAnsi="宋体" w:eastAsia="宋体" w:cs="宋体"/>
          <w:kern w:val="0"/>
          <w:highlight w:val="none"/>
        </w:rPr>
        <w:br w:type="page"/>
      </w:r>
      <w:bookmarkStart w:id="36" w:name="_Toc533409741"/>
      <w:r>
        <w:rPr>
          <w:rFonts w:hint="eastAsia" w:ascii="宋体" w:hAnsi="宋体" w:eastAsia="宋体" w:cs="宋体"/>
          <w:b/>
          <w:bCs/>
          <w:kern w:val="0"/>
          <w:sz w:val="28"/>
          <w:szCs w:val="28"/>
          <w:highlight w:val="none"/>
        </w:rPr>
        <w:t>附录2  资格审查条件（业绩最低要求</w:t>
      </w:r>
      <w:bookmarkEnd w:id="27"/>
      <w:bookmarkEnd w:id="28"/>
      <w:r>
        <w:rPr>
          <w:rFonts w:hint="eastAsia" w:ascii="宋体" w:hAnsi="宋体" w:eastAsia="宋体" w:cs="宋体"/>
          <w:b/>
          <w:bCs/>
          <w:kern w:val="0"/>
          <w:sz w:val="28"/>
          <w:szCs w:val="28"/>
          <w:highlight w:val="none"/>
        </w:rPr>
        <w:t>）</w:t>
      </w:r>
      <w:bookmarkEnd w:id="36"/>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3"/>
        <w:gridCol w:w="5298"/>
        <w:gridCol w:w="2483"/>
      </w:tblGrid>
      <w:tr w14:paraId="41502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53" w:type="dxa"/>
            <w:noWrap w:val="0"/>
            <w:vAlign w:val="center"/>
          </w:tcPr>
          <w:p w14:paraId="5610F5EE">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项 目</w:t>
            </w:r>
          </w:p>
        </w:tc>
        <w:tc>
          <w:tcPr>
            <w:tcW w:w="5298" w:type="dxa"/>
            <w:noWrap w:val="0"/>
            <w:vAlign w:val="center"/>
          </w:tcPr>
          <w:p w14:paraId="3EA3D937">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要    求</w:t>
            </w:r>
          </w:p>
        </w:tc>
        <w:tc>
          <w:tcPr>
            <w:tcW w:w="2483" w:type="dxa"/>
            <w:noWrap w:val="0"/>
            <w:vAlign w:val="center"/>
          </w:tcPr>
          <w:p w14:paraId="4131C36C">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备 注</w:t>
            </w:r>
          </w:p>
        </w:tc>
      </w:tr>
      <w:tr w14:paraId="6BA98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38" w:hRule="atLeast"/>
          <w:jc w:val="center"/>
        </w:trPr>
        <w:tc>
          <w:tcPr>
            <w:tcW w:w="1353" w:type="dxa"/>
            <w:noWrap w:val="0"/>
            <w:vAlign w:val="center"/>
          </w:tcPr>
          <w:p w14:paraId="1AA20155">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业 绩</w:t>
            </w:r>
          </w:p>
        </w:tc>
        <w:tc>
          <w:tcPr>
            <w:tcW w:w="5298" w:type="dxa"/>
            <w:noWrap w:val="0"/>
            <w:vAlign w:val="center"/>
          </w:tcPr>
          <w:p w14:paraId="0A7FD0C8">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近5年，指20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年1月1日起至今（</w:t>
            </w:r>
            <w:r>
              <w:rPr>
                <w:rFonts w:hint="eastAsia" w:ascii="宋体" w:hAnsi="宋体" w:eastAsia="宋体" w:cs="宋体"/>
                <w:szCs w:val="21"/>
                <w:highlight w:val="none"/>
                <w:lang w:eastAsia="zh-CN"/>
              </w:rPr>
              <w:t>以交工时间为准</w:t>
            </w:r>
            <w:r>
              <w:rPr>
                <w:rFonts w:hint="eastAsia" w:ascii="宋体" w:hAnsi="宋体" w:eastAsia="宋体" w:cs="宋体"/>
                <w:szCs w:val="21"/>
                <w:highlight w:val="none"/>
              </w:rPr>
              <w:t>），独立完成一个单项合同金额不低于</w:t>
            </w:r>
            <w:r>
              <w:rPr>
                <w:rFonts w:hint="eastAsia" w:ascii="宋体" w:hAnsi="宋体" w:eastAsia="宋体" w:cs="宋体"/>
                <w:szCs w:val="21"/>
                <w:highlight w:val="none"/>
                <w:lang w:val="en-US" w:eastAsia="zh-CN"/>
              </w:rPr>
              <w:t>80</w:t>
            </w:r>
            <w:r>
              <w:rPr>
                <w:rFonts w:hint="eastAsia" w:ascii="宋体" w:hAnsi="宋体" w:eastAsia="宋体" w:cs="宋体"/>
                <w:szCs w:val="21"/>
                <w:highlight w:val="none"/>
              </w:rPr>
              <w:t>万的二级及以上普通国省干线公路新建、改（扩）建、养护大中修项目监理业绩。</w:t>
            </w:r>
          </w:p>
        </w:tc>
        <w:tc>
          <w:tcPr>
            <w:tcW w:w="2483" w:type="dxa"/>
            <w:noWrap w:val="0"/>
            <w:vAlign w:val="center"/>
          </w:tcPr>
          <w:p w14:paraId="4103ED07">
            <w:pPr>
              <w:spacing w:line="360" w:lineRule="exact"/>
              <w:jc w:val="center"/>
              <w:rPr>
                <w:rFonts w:hint="eastAsia" w:ascii="宋体" w:hAnsi="宋体" w:eastAsia="宋体" w:cs="宋体"/>
                <w:szCs w:val="21"/>
                <w:highlight w:val="none"/>
              </w:rPr>
            </w:pPr>
          </w:p>
        </w:tc>
      </w:tr>
    </w:tbl>
    <w:p w14:paraId="19126929">
      <w:pPr>
        <w:spacing w:line="360" w:lineRule="exact"/>
        <w:rPr>
          <w:rFonts w:hint="eastAsia" w:ascii="宋体" w:hAnsi="宋体" w:eastAsia="宋体" w:cs="宋体"/>
          <w:szCs w:val="21"/>
          <w:highlight w:val="none"/>
        </w:rPr>
      </w:pPr>
      <w:r>
        <w:rPr>
          <w:rFonts w:hint="eastAsia" w:ascii="宋体" w:hAnsi="宋体" w:eastAsia="宋体" w:cs="宋体"/>
          <w:kern w:val="0"/>
          <w:highlight w:val="none"/>
        </w:rPr>
        <w:t>[1] 详见投标人须知正文 3.5 项资格审查资料</w:t>
      </w:r>
    </w:p>
    <w:p w14:paraId="45909413">
      <w:pPr>
        <w:bidi w:val="0"/>
        <w:jc w:val="center"/>
        <w:rPr>
          <w:rFonts w:hint="eastAsia" w:ascii="宋体" w:hAnsi="宋体" w:eastAsia="宋体" w:cs="宋体"/>
          <w:kern w:val="0"/>
          <w:highlight w:val="none"/>
        </w:rPr>
      </w:pPr>
      <w:r>
        <w:rPr>
          <w:rFonts w:hint="eastAsia" w:ascii="宋体" w:hAnsi="宋体" w:eastAsia="宋体" w:cs="宋体"/>
          <w:kern w:val="0"/>
          <w:highlight w:val="none"/>
        </w:rPr>
        <w:br w:type="page"/>
      </w:r>
      <w:bookmarkStart w:id="37" w:name="_Toc533409742"/>
      <w:r>
        <w:rPr>
          <w:rFonts w:hint="eastAsia" w:ascii="宋体" w:hAnsi="宋体" w:eastAsia="宋体" w:cs="宋体"/>
          <w:b/>
          <w:bCs/>
          <w:kern w:val="0"/>
          <w:sz w:val="28"/>
          <w:szCs w:val="36"/>
          <w:highlight w:val="none"/>
        </w:rPr>
        <w:t>附录3  资格审查条件（信誉最低要求）</w:t>
      </w:r>
      <w:bookmarkEnd w:id="37"/>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3"/>
        <w:gridCol w:w="5298"/>
        <w:gridCol w:w="2483"/>
      </w:tblGrid>
      <w:tr w14:paraId="1D67B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53" w:type="dxa"/>
            <w:noWrap w:val="0"/>
            <w:vAlign w:val="center"/>
          </w:tcPr>
          <w:p w14:paraId="582F491D">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项 目</w:t>
            </w:r>
          </w:p>
        </w:tc>
        <w:tc>
          <w:tcPr>
            <w:tcW w:w="5298" w:type="dxa"/>
            <w:noWrap w:val="0"/>
            <w:vAlign w:val="center"/>
          </w:tcPr>
          <w:p w14:paraId="11F6D9BD">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要    求</w:t>
            </w:r>
          </w:p>
        </w:tc>
        <w:tc>
          <w:tcPr>
            <w:tcW w:w="2483" w:type="dxa"/>
            <w:noWrap w:val="0"/>
            <w:vAlign w:val="center"/>
          </w:tcPr>
          <w:p w14:paraId="268121CE">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备 注</w:t>
            </w:r>
          </w:p>
        </w:tc>
      </w:tr>
      <w:tr w14:paraId="49DC1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98" w:hRule="atLeast"/>
          <w:jc w:val="center"/>
        </w:trPr>
        <w:tc>
          <w:tcPr>
            <w:tcW w:w="1353" w:type="dxa"/>
            <w:noWrap w:val="0"/>
            <w:vAlign w:val="center"/>
          </w:tcPr>
          <w:p w14:paraId="084E8E9B">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信誉</w:t>
            </w:r>
          </w:p>
        </w:tc>
        <w:tc>
          <w:tcPr>
            <w:tcW w:w="5298" w:type="dxa"/>
            <w:noWrap w:val="0"/>
            <w:vAlign w:val="center"/>
          </w:tcPr>
          <w:p w14:paraId="5D5C3EBD">
            <w:pPr>
              <w:numPr>
                <w:ilvl w:val="0"/>
                <w:numId w:val="0"/>
              </w:numPr>
              <w:adjustRightInd w:val="0"/>
              <w:snapToGrid w:val="0"/>
              <w:spacing w:line="360" w:lineRule="auto"/>
              <w:jc w:val="left"/>
              <w:rPr>
                <w:rFonts w:hint="eastAsia" w:ascii="宋体" w:hAnsi="宋体" w:eastAsia="宋体" w:cs="宋体"/>
                <w:szCs w:val="21"/>
                <w:highlight w:val="none"/>
              </w:rPr>
            </w:pPr>
            <w:r>
              <w:rPr>
                <w:rFonts w:hint="eastAsia" w:ascii="宋体" w:hAnsi="宋体" w:cs="宋体"/>
                <w:szCs w:val="21"/>
                <w:highlight w:val="none"/>
                <w:lang w:val="en-US" w:eastAsia="zh-CN"/>
              </w:rPr>
              <w:t>1、</w:t>
            </w:r>
            <w:r>
              <w:rPr>
                <w:rFonts w:hint="eastAsia" w:ascii="宋体" w:hAnsi="宋体" w:eastAsia="宋体" w:cs="宋体"/>
                <w:szCs w:val="21"/>
                <w:highlight w:val="none"/>
              </w:rPr>
              <w:t>信用等级被交通运输部或根据《河南省公路建设市场从业单位及人员信用管理办法》，信用等级被评定为 D 级的监理企业</w:t>
            </w:r>
            <w:r>
              <w:rPr>
                <w:rFonts w:hint="eastAsia" w:ascii="宋体" w:hAnsi="宋体" w:eastAsia="宋体" w:cs="宋体"/>
                <w:szCs w:val="21"/>
                <w:highlight w:val="none"/>
                <w:lang w:eastAsia="zh-CN"/>
              </w:rPr>
              <w:t>不</w:t>
            </w:r>
            <w:r>
              <w:rPr>
                <w:rFonts w:hint="eastAsia" w:ascii="宋体" w:hAnsi="宋体" w:eastAsia="宋体" w:cs="宋体"/>
                <w:szCs w:val="21"/>
                <w:highlight w:val="none"/>
              </w:rPr>
              <w:t>得参不本项目投标</w:t>
            </w:r>
          </w:p>
          <w:p w14:paraId="6F91AF6C">
            <w:pPr>
              <w:numPr>
                <w:ilvl w:val="0"/>
                <w:numId w:val="0"/>
              </w:numPr>
              <w:adjustRightInd w:val="0"/>
              <w:snapToGrid w:val="0"/>
              <w:spacing w:line="360" w:lineRule="auto"/>
              <w:jc w:val="left"/>
              <w:rPr>
                <w:rFonts w:hint="eastAsia" w:ascii="宋体" w:hAnsi="宋体" w:eastAsia="宋体" w:cs="宋体"/>
                <w:szCs w:val="21"/>
                <w:highlight w:val="none"/>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highlight w:val="none"/>
                <w:lang w:val="en-US" w:eastAsia="zh-CN" w:bidi="ar-SA"/>
              </w:rPr>
              <w:t>、</w:t>
            </w:r>
            <w:r>
              <w:rPr>
                <w:rFonts w:hint="eastAsia" w:asciiTheme="minorEastAsia" w:hAnsiTheme="minorEastAsia" w:eastAsiaTheme="minorEastAsia"/>
                <w:color w:val="auto"/>
                <w:highlight w:val="none"/>
              </w:rPr>
              <w:t>本项目投标截止日期前</w:t>
            </w:r>
            <w:r>
              <w:rPr>
                <w:rFonts w:hint="eastAsia" w:cs="宋体" w:asciiTheme="minorEastAsia" w:hAnsiTheme="minorEastAsia" w:eastAsiaTheme="minorEastAsia"/>
                <w:color w:val="auto"/>
                <w:szCs w:val="21"/>
                <w:highlight w:val="none"/>
              </w:rPr>
              <w:t>投标人应通过“信用中国（www.creditchina.gov.cn）”查询“失信被执行人”和“国家企业信用信息公示系统（http://www.gsxt.gov.cn/）”查询“严重违法失信企业”名单，并提供网页截图，对列入上述名单的投标人将被拒绝参加投标活动。</w:t>
            </w:r>
            <w:r>
              <w:rPr>
                <w:rFonts w:hint="eastAsia" w:asciiTheme="minorEastAsia" w:hAnsiTheme="minorEastAsia" w:eastAsiaTheme="minorEastAsia"/>
                <w:color w:val="auto"/>
                <w:szCs w:val="21"/>
                <w:highlight w:val="none"/>
              </w:rPr>
              <w:t>（查询时间：从项目招标公告发布之日起至投标截止之日止）</w:t>
            </w:r>
          </w:p>
        </w:tc>
        <w:tc>
          <w:tcPr>
            <w:tcW w:w="2483" w:type="dxa"/>
            <w:noWrap w:val="0"/>
            <w:vAlign w:val="center"/>
          </w:tcPr>
          <w:p w14:paraId="2625633E">
            <w:pPr>
              <w:spacing w:line="360" w:lineRule="exact"/>
              <w:jc w:val="center"/>
              <w:rPr>
                <w:rFonts w:hint="eastAsia" w:ascii="宋体" w:hAnsi="宋体" w:eastAsia="宋体" w:cs="宋体"/>
                <w:szCs w:val="21"/>
                <w:highlight w:val="none"/>
              </w:rPr>
            </w:pPr>
          </w:p>
        </w:tc>
      </w:tr>
    </w:tbl>
    <w:p w14:paraId="20B06AD8">
      <w:pPr>
        <w:spacing w:line="360" w:lineRule="exact"/>
        <w:rPr>
          <w:rFonts w:hint="eastAsia" w:ascii="宋体" w:hAnsi="宋体" w:eastAsia="宋体" w:cs="宋体"/>
          <w:szCs w:val="21"/>
          <w:highlight w:val="none"/>
        </w:rPr>
      </w:pPr>
      <w:r>
        <w:rPr>
          <w:rFonts w:hint="eastAsia" w:ascii="宋体" w:hAnsi="宋体" w:eastAsia="宋体" w:cs="宋体"/>
          <w:kern w:val="0"/>
          <w:highlight w:val="none"/>
        </w:rPr>
        <w:t>[1] 详见投标人须知正文 3.5 项资格审查资料</w:t>
      </w:r>
    </w:p>
    <w:p w14:paraId="53DA585F">
      <w:pPr>
        <w:spacing w:line="360" w:lineRule="exact"/>
        <w:rPr>
          <w:rFonts w:hint="eastAsia" w:ascii="宋体" w:hAnsi="宋体" w:eastAsia="宋体" w:cs="宋体"/>
          <w:szCs w:val="21"/>
          <w:highlight w:val="none"/>
        </w:rPr>
      </w:pPr>
    </w:p>
    <w:p w14:paraId="75FFC4D5">
      <w:pPr>
        <w:bidi w:val="0"/>
        <w:rPr>
          <w:rFonts w:hint="eastAsia" w:ascii="宋体" w:hAnsi="宋体" w:eastAsia="宋体" w:cs="宋体"/>
          <w:highlight w:val="none"/>
        </w:rPr>
      </w:pPr>
      <w:bookmarkStart w:id="38" w:name="_Toc533409743"/>
    </w:p>
    <w:p w14:paraId="0670F187">
      <w:pPr>
        <w:bidi w:val="0"/>
        <w:rPr>
          <w:rFonts w:hint="eastAsia" w:ascii="宋体" w:hAnsi="宋体" w:eastAsia="宋体" w:cs="宋体"/>
          <w:highlight w:val="none"/>
        </w:rPr>
      </w:pPr>
    </w:p>
    <w:p w14:paraId="2D31961C">
      <w:pPr>
        <w:rPr>
          <w:rFonts w:hint="eastAsia" w:ascii="宋体" w:hAnsi="宋体" w:eastAsia="宋体" w:cs="宋体"/>
          <w:highlight w:val="none"/>
        </w:rPr>
      </w:pPr>
    </w:p>
    <w:p w14:paraId="0D503A98">
      <w:pPr>
        <w:bidi w:val="0"/>
        <w:rPr>
          <w:rFonts w:hint="eastAsia" w:ascii="宋体" w:hAnsi="宋体" w:eastAsia="宋体" w:cs="宋体"/>
          <w:highlight w:val="none"/>
        </w:rPr>
      </w:pPr>
    </w:p>
    <w:p w14:paraId="36375FC9">
      <w:pPr>
        <w:bidi w:val="0"/>
        <w:rPr>
          <w:rFonts w:hint="eastAsia" w:ascii="宋体" w:hAnsi="宋体" w:eastAsia="宋体" w:cs="宋体"/>
          <w:highlight w:val="none"/>
        </w:rPr>
      </w:pPr>
    </w:p>
    <w:p w14:paraId="1BD067F7">
      <w:pPr>
        <w:bidi w:val="0"/>
        <w:jc w:val="center"/>
        <w:rPr>
          <w:rFonts w:hint="eastAsia" w:ascii="宋体" w:hAnsi="宋体" w:eastAsia="宋体" w:cs="宋体"/>
          <w:kern w:val="0"/>
          <w:sz w:val="24"/>
          <w:szCs w:val="24"/>
          <w:highlight w:val="none"/>
        </w:rPr>
      </w:pPr>
      <w:r>
        <w:rPr>
          <w:rFonts w:hint="eastAsia" w:ascii="宋体" w:hAnsi="宋体" w:eastAsia="宋体" w:cs="宋体"/>
          <w:kern w:val="0"/>
          <w:highlight w:val="none"/>
        </w:rPr>
        <w:br w:type="page"/>
      </w:r>
      <w:r>
        <w:rPr>
          <w:rFonts w:hint="eastAsia" w:ascii="宋体" w:hAnsi="宋体" w:eastAsia="宋体" w:cs="宋体"/>
          <w:b/>
          <w:bCs/>
          <w:kern w:val="0"/>
          <w:sz w:val="28"/>
          <w:szCs w:val="28"/>
          <w:highlight w:val="none"/>
        </w:rPr>
        <w:t>附录4  资格审查条件（</w:t>
      </w:r>
      <w:r>
        <w:rPr>
          <w:rFonts w:hint="eastAsia" w:ascii="宋体" w:hAnsi="宋体" w:eastAsia="宋体" w:cs="宋体"/>
          <w:b/>
          <w:bCs/>
          <w:kern w:val="0"/>
          <w:sz w:val="28"/>
          <w:szCs w:val="28"/>
          <w:highlight w:val="none"/>
          <w:lang w:eastAsia="zh-CN"/>
        </w:rPr>
        <w:t>总监理工程师和其他主要监理人员最低要求</w:t>
      </w:r>
      <w:r>
        <w:rPr>
          <w:rFonts w:hint="eastAsia" w:ascii="宋体" w:hAnsi="宋体" w:eastAsia="宋体" w:cs="宋体"/>
          <w:b/>
          <w:bCs/>
          <w:kern w:val="0"/>
          <w:sz w:val="28"/>
          <w:szCs w:val="28"/>
          <w:highlight w:val="none"/>
        </w:rPr>
        <w:t>）</w:t>
      </w:r>
      <w:bookmarkEnd w:id="38"/>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3"/>
        <w:gridCol w:w="1859"/>
        <w:gridCol w:w="3439"/>
        <w:gridCol w:w="2483"/>
      </w:tblGrid>
      <w:tr w14:paraId="5B52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jc w:val="center"/>
        </w:trPr>
        <w:tc>
          <w:tcPr>
            <w:tcW w:w="1353" w:type="dxa"/>
            <w:noWrap w:val="0"/>
            <w:vAlign w:val="center"/>
          </w:tcPr>
          <w:p w14:paraId="4292BFC1">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人员</w:t>
            </w:r>
          </w:p>
        </w:tc>
        <w:tc>
          <w:tcPr>
            <w:tcW w:w="1859" w:type="dxa"/>
            <w:tcBorders>
              <w:right w:val="single" w:color="auto" w:sz="4" w:space="0"/>
            </w:tcBorders>
            <w:noWrap w:val="0"/>
            <w:vAlign w:val="center"/>
          </w:tcPr>
          <w:p w14:paraId="4ABB3FAF">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3439" w:type="dxa"/>
            <w:tcBorders>
              <w:left w:val="single" w:color="auto" w:sz="4" w:space="0"/>
            </w:tcBorders>
            <w:noWrap w:val="0"/>
            <w:vAlign w:val="center"/>
          </w:tcPr>
          <w:p w14:paraId="5B00B9DF">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资格要求</w:t>
            </w:r>
          </w:p>
        </w:tc>
        <w:tc>
          <w:tcPr>
            <w:tcW w:w="2483" w:type="dxa"/>
            <w:noWrap w:val="0"/>
            <w:vAlign w:val="center"/>
          </w:tcPr>
          <w:p w14:paraId="2777406B">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在岗要求</w:t>
            </w:r>
          </w:p>
        </w:tc>
      </w:tr>
      <w:tr w14:paraId="2ACB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72" w:hRule="atLeast"/>
          <w:jc w:val="center"/>
        </w:trPr>
        <w:tc>
          <w:tcPr>
            <w:tcW w:w="1353" w:type="dxa"/>
            <w:noWrap w:val="0"/>
            <w:vAlign w:val="center"/>
          </w:tcPr>
          <w:p w14:paraId="3CC37EC7">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总监理工程师</w:t>
            </w:r>
          </w:p>
        </w:tc>
        <w:tc>
          <w:tcPr>
            <w:tcW w:w="1859" w:type="dxa"/>
            <w:tcBorders>
              <w:right w:val="single" w:color="auto" w:sz="4" w:space="0"/>
            </w:tcBorders>
            <w:noWrap w:val="0"/>
            <w:vAlign w:val="center"/>
          </w:tcPr>
          <w:p w14:paraId="7657DAE2">
            <w:pPr>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439" w:type="dxa"/>
            <w:tcBorders>
              <w:left w:val="single" w:color="auto" w:sz="4" w:space="0"/>
            </w:tcBorders>
            <w:noWrap w:val="0"/>
            <w:vAlign w:val="center"/>
          </w:tcPr>
          <w:p w14:paraId="1764BA60">
            <w:pPr>
              <w:spacing w:before="120" w:after="120" w:line="360" w:lineRule="auto"/>
              <w:rPr>
                <w:rFonts w:hint="eastAsia" w:ascii="宋体" w:hAnsi="宋体" w:eastAsia="宋体" w:cs="宋体"/>
                <w:szCs w:val="21"/>
                <w:highlight w:val="none"/>
              </w:rPr>
            </w:pPr>
            <w:r>
              <w:rPr>
                <w:rFonts w:hint="eastAsia" w:ascii="宋体" w:hAnsi="宋体" w:eastAsia="宋体" w:cs="宋体"/>
                <w:szCs w:val="21"/>
                <w:highlight w:val="none"/>
              </w:rPr>
              <w:t>拟派项目总监具有交通运输部公路工程监理工程师资格(JGJ)（道路与桥梁专业）或注册交通运输工程专业监理工程师资格、具有</w:t>
            </w:r>
            <w:r>
              <w:rPr>
                <w:rFonts w:hint="eastAsia" w:ascii="宋体" w:hAnsi="宋体" w:eastAsia="宋体" w:cs="宋体"/>
                <w:szCs w:val="21"/>
                <w:highlight w:val="none"/>
                <w:lang w:eastAsia="zh-CN"/>
              </w:rPr>
              <w:t>交通或</w:t>
            </w:r>
            <w:r>
              <w:rPr>
                <w:rFonts w:hint="eastAsia" w:ascii="宋体" w:hAnsi="宋体" w:eastAsia="宋体" w:cs="宋体"/>
                <w:szCs w:val="21"/>
                <w:highlight w:val="none"/>
              </w:rPr>
              <w:t>道路桥梁相关专业中级</w:t>
            </w:r>
            <w:r>
              <w:rPr>
                <w:rFonts w:hint="eastAsia" w:ascii="宋体" w:hAnsi="宋体" w:eastAsia="宋体" w:cs="宋体"/>
                <w:szCs w:val="21"/>
                <w:highlight w:val="none"/>
                <w:lang w:eastAsia="zh-CN"/>
              </w:rPr>
              <w:t>及以上</w:t>
            </w:r>
            <w:r>
              <w:rPr>
                <w:rFonts w:hint="eastAsia" w:ascii="宋体" w:hAnsi="宋体" w:eastAsia="宋体" w:cs="宋体"/>
                <w:szCs w:val="21"/>
                <w:highlight w:val="none"/>
              </w:rPr>
              <w:t>技术职称。</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开标截止日期前连续</w:t>
            </w:r>
            <w:r>
              <w:rPr>
                <w:rFonts w:hint="eastAsia" w:ascii="宋体" w:hAnsi="宋体" w:eastAsia="宋体" w:cs="宋体"/>
                <w:color w:val="auto"/>
                <w:szCs w:val="21"/>
                <w:highlight w:val="none"/>
              </w:rPr>
              <w:t>六个月基本养老保险缴费证明。</w:t>
            </w:r>
          </w:p>
        </w:tc>
        <w:tc>
          <w:tcPr>
            <w:tcW w:w="2483" w:type="dxa"/>
            <w:noWrap w:val="0"/>
            <w:vAlign w:val="center"/>
          </w:tcPr>
          <w:p w14:paraId="4CFF4E3C">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 xml:space="preserve">无在岗项目 </w:t>
            </w:r>
          </w:p>
          <w:p w14:paraId="1F3E1A0B">
            <w:pPr>
              <w:spacing w:line="360" w:lineRule="exact"/>
              <w:jc w:val="center"/>
              <w:rPr>
                <w:rFonts w:hint="eastAsia" w:ascii="宋体" w:hAnsi="宋体" w:eastAsia="宋体" w:cs="宋体"/>
                <w:szCs w:val="21"/>
                <w:highlight w:val="none"/>
              </w:rPr>
            </w:pPr>
          </w:p>
        </w:tc>
      </w:tr>
    </w:tbl>
    <w:p w14:paraId="60ECCCC4">
      <w:pPr>
        <w:spacing w:line="360" w:lineRule="exact"/>
        <w:rPr>
          <w:rFonts w:hint="eastAsia" w:ascii="宋体" w:hAnsi="宋体" w:eastAsia="宋体" w:cs="宋体"/>
          <w:sz w:val="24"/>
          <w:highlight w:val="none"/>
        </w:rPr>
      </w:pPr>
      <w:bookmarkStart w:id="39" w:name="_Toc194231044"/>
      <w:bookmarkStart w:id="40" w:name="_Toc320185302"/>
      <w:r>
        <w:rPr>
          <w:rFonts w:hint="eastAsia" w:ascii="宋体" w:hAnsi="宋体" w:eastAsia="宋体" w:cs="宋体"/>
          <w:kern w:val="0"/>
          <w:szCs w:val="21"/>
          <w:highlight w:val="none"/>
        </w:rPr>
        <w:t xml:space="preserve">[1] 详见投标人须知正文 </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.5 项资格审查资料</w:t>
      </w:r>
    </w:p>
    <w:p w14:paraId="1BA9A827">
      <w:pPr>
        <w:spacing w:line="360" w:lineRule="exact"/>
        <w:rPr>
          <w:rFonts w:hint="eastAsia" w:ascii="宋体" w:hAnsi="宋体" w:eastAsia="宋体" w:cs="宋体"/>
          <w:sz w:val="24"/>
          <w:highlight w:val="none"/>
        </w:rPr>
      </w:pPr>
    </w:p>
    <w:p w14:paraId="6846CFA1">
      <w:pPr>
        <w:spacing w:line="360" w:lineRule="exact"/>
        <w:rPr>
          <w:rFonts w:hint="eastAsia" w:ascii="宋体" w:hAnsi="宋体" w:eastAsia="宋体" w:cs="宋体"/>
          <w:sz w:val="24"/>
          <w:highlight w:val="none"/>
        </w:rPr>
      </w:pPr>
    </w:p>
    <w:p w14:paraId="4139DDDB">
      <w:pPr>
        <w:jc w:val="center"/>
        <w:rPr>
          <w:rFonts w:hint="eastAsia" w:ascii="宋体" w:hAnsi="宋体" w:eastAsia="宋体" w:cs="宋体"/>
          <w:highlight w:val="none"/>
        </w:rPr>
      </w:pPr>
      <w:r>
        <w:rPr>
          <w:rFonts w:hint="eastAsia" w:ascii="宋体" w:hAnsi="宋体" w:eastAsia="宋体" w:cs="宋体"/>
          <w:b/>
          <w:bCs/>
          <w:kern w:val="44"/>
          <w:sz w:val="24"/>
          <w:highlight w:val="none"/>
        </w:rPr>
        <w:br w:type="page"/>
      </w:r>
      <w:r>
        <w:rPr>
          <w:rFonts w:hint="eastAsia" w:ascii="宋体" w:hAnsi="宋体" w:eastAsia="宋体" w:cs="宋体"/>
          <w:b/>
          <w:bCs/>
          <w:kern w:val="0"/>
          <w:sz w:val="32"/>
          <w:szCs w:val="32"/>
          <w:highlight w:val="none"/>
        </w:rPr>
        <w:t>投标人须知正文</w:t>
      </w:r>
    </w:p>
    <w:bookmarkEnd w:id="29"/>
    <w:bookmarkEnd w:id="30"/>
    <w:bookmarkEnd w:id="31"/>
    <w:bookmarkEnd w:id="32"/>
    <w:bookmarkEnd w:id="33"/>
    <w:bookmarkEnd w:id="34"/>
    <w:bookmarkEnd w:id="35"/>
    <w:bookmarkEnd w:id="39"/>
    <w:bookmarkEnd w:id="40"/>
    <w:p w14:paraId="6AEB77C5">
      <w:pPr>
        <w:pStyle w:val="4"/>
        <w:spacing w:before="0" w:after="0" w:line="360" w:lineRule="auto"/>
        <w:jc w:val="left"/>
        <w:rPr>
          <w:rFonts w:hint="eastAsia" w:ascii="宋体" w:hAnsi="宋体" w:eastAsia="宋体" w:cs="宋体"/>
          <w:highlight w:val="none"/>
        </w:rPr>
      </w:pPr>
      <w:bookmarkStart w:id="41" w:name="_Toc519325332"/>
      <w:bookmarkStart w:id="42" w:name="_Toc533409744"/>
      <w:r>
        <w:rPr>
          <w:rFonts w:hint="eastAsia" w:ascii="宋体" w:hAnsi="宋体" w:eastAsia="宋体" w:cs="宋体"/>
          <w:highlight w:val="none"/>
        </w:rPr>
        <w:t>1、总则</w:t>
      </w:r>
      <w:bookmarkEnd w:id="41"/>
      <w:bookmarkEnd w:id="42"/>
    </w:p>
    <w:p w14:paraId="23684E70">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 xml:space="preserve">1.1 项目概况 </w:t>
      </w:r>
    </w:p>
    <w:p w14:paraId="29E4D02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1.1.1 根据《中华人民共和国招标投标法》《中华人民共和国招标投标法实施条例》《公路工程建设项目招标投标管理办法》等有关法律、法规和规章的规定，本招项目已具备招标条件，现对本标段施工监理进行招标。 </w:t>
      </w:r>
    </w:p>
    <w:p w14:paraId="262FCC6A">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1.1.2 本招标项目招标人：见投标人须知前附表。 </w:t>
      </w:r>
    </w:p>
    <w:p w14:paraId="564C5A0D">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1.1.3 本标段招标代理机构：见投标人须知前附表。 </w:t>
      </w:r>
    </w:p>
    <w:p w14:paraId="2FF399E1">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1.1.4 本招标项目名称：见投标人须知前附表。 </w:t>
      </w:r>
    </w:p>
    <w:p w14:paraId="111511C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1.1.5 本标段建设地点：见投标人须知前附表。 </w:t>
      </w:r>
    </w:p>
    <w:p w14:paraId="2302908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1.1.6 本标段</w:t>
      </w:r>
      <w:r>
        <w:rPr>
          <w:rFonts w:hint="eastAsia" w:ascii="宋体" w:hAnsi="宋体" w:eastAsia="宋体" w:cs="宋体"/>
          <w:szCs w:val="21"/>
          <w:highlight w:val="none"/>
        </w:rPr>
        <w:t>招标项目施工预计建设周期</w:t>
      </w:r>
      <w:r>
        <w:rPr>
          <w:rFonts w:hint="eastAsia" w:ascii="宋体" w:hAnsi="宋体" w:eastAsia="宋体" w:cs="宋体"/>
          <w:bCs/>
          <w:szCs w:val="21"/>
          <w:highlight w:val="none"/>
        </w:rPr>
        <w:t xml:space="preserve">：见投标人须知前附表。 </w:t>
      </w:r>
    </w:p>
    <w:p w14:paraId="25F87EC1">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 xml:space="preserve">1.2 招标项目的资金来源和落实情况 </w:t>
      </w:r>
    </w:p>
    <w:p w14:paraId="3EC56CAA">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1.2.1 </w:t>
      </w:r>
      <w:r>
        <w:rPr>
          <w:rFonts w:hint="eastAsia" w:ascii="宋体" w:hAnsi="宋体" w:eastAsia="宋体" w:cs="宋体"/>
          <w:szCs w:val="21"/>
          <w:highlight w:val="none"/>
        </w:rPr>
        <w:t>资金来源及比例</w:t>
      </w:r>
      <w:r>
        <w:rPr>
          <w:rFonts w:hint="eastAsia" w:ascii="宋体" w:hAnsi="宋体" w:eastAsia="宋体" w:cs="宋体"/>
          <w:bCs/>
          <w:szCs w:val="21"/>
          <w:highlight w:val="none"/>
        </w:rPr>
        <w:t>：见投标人须知前附表。</w:t>
      </w:r>
    </w:p>
    <w:p w14:paraId="0AF839D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1.2.2 资金落实情况：见投标人须知前附表。</w:t>
      </w:r>
    </w:p>
    <w:p w14:paraId="506B0BD0">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 xml:space="preserve">1.3 招标范围、监理服务期限、质量要求和安全目标 </w:t>
      </w:r>
    </w:p>
    <w:p w14:paraId="62B103F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1.3.1 招标范围：见投标人须知前附表。</w:t>
      </w:r>
    </w:p>
    <w:p w14:paraId="79C70A5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1.3.2 本标段的监理服务期限：见投标人须知前附表。 </w:t>
      </w:r>
    </w:p>
    <w:p w14:paraId="21A0A8B1">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1.3.3 本标段的质量要求：见投标人须知前附表。 </w:t>
      </w:r>
    </w:p>
    <w:p w14:paraId="4A11F6B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1.3.4 本标段的安全目标：见投标人须知前附表。 </w:t>
      </w:r>
    </w:p>
    <w:p w14:paraId="7C659CB0">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1.4 投标人资格要求</w:t>
      </w:r>
    </w:p>
    <w:p w14:paraId="15179C7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1.4.1 投标人应具备承担本标段施工监理的资质条件、能力和信誉。 </w:t>
      </w:r>
    </w:p>
    <w:p w14:paraId="6E91680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（1）资质要求：见投标人须知前附表； </w:t>
      </w:r>
    </w:p>
    <w:p w14:paraId="646354E1">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（2）业绩要求：见投标人须知前附表； </w:t>
      </w:r>
    </w:p>
    <w:p w14:paraId="2B54BAE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（3）信誉要求：见投标人须知前附表； </w:t>
      </w:r>
    </w:p>
    <w:p w14:paraId="1C9E256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（4）总监理工程师资格：见投标人须知前附表； </w:t>
      </w:r>
    </w:p>
    <w:p w14:paraId="628B444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需要提交的相关证明材料见本章第3.5款的规定。 </w:t>
      </w:r>
    </w:p>
    <w:p w14:paraId="77F8596D">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1.4.2 投标人须知前附表规定接受联合体投标的，联合体除应符合本章第1.4.1项和投标人须知前附表的要求外，还应遵守以下规定： </w:t>
      </w:r>
    </w:p>
    <w:p w14:paraId="29F5002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（1）联合体各方应按招标文件提供的格式签订联合体协议书，明确联合体牵头人和各方权利义务，并承诺就中标项目向招标人承担连带责任； </w:t>
      </w:r>
    </w:p>
    <w:p w14:paraId="5C5EC9A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（2）由同一专业的单位组成的联合体，按照资质等级较低的单位确定资质等级； </w:t>
      </w:r>
    </w:p>
    <w:p w14:paraId="454A12F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（3）联合体各方不得再以自己名义单独或参加其他联合体在同一标段中投标； </w:t>
      </w:r>
    </w:p>
    <w:p w14:paraId="680573E5">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 </w:t>
      </w:r>
    </w:p>
    <w:p w14:paraId="5321815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（5）尽管委任了联合体牵头人，但联合体各成员在投标、签订合同与履行合同过程中，仍负有连带的和各自的法律责任。</w:t>
      </w:r>
    </w:p>
    <w:p w14:paraId="6433882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1.4.3 投标人（包括联合体各成员）不得与本标段相关单位存在下列关联情形： </w:t>
      </w:r>
    </w:p>
    <w:p w14:paraId="16D460E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（1）为招标人不具有独立法人资格的附属机构（单位）； </w:t>
      </w:r>
    </w:p>
    <w:p w14:paraId="1A414C53">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（2）与招标人存在利害关系且可能影响招标公正性； </w:t>
      </w:r>
    </w:p>
    <w:p w14:paraId="52D1508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（3）与本标段的其他投标人同为一个单位负责人； </w:t>
      </w:r>
    </w:p>
    <w:p w14:paraId="2B873EB5">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（4）与本标段的其他投标人存在控股、管理关系； </w:t>
      </w:r>
    </w:p>
    <w:p w14:paraId="781C8B4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（5）为本标段的代建人； </w:t>
      </w:r>
    </w:p>
    <w:p w14:paraId="161EF24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（6）为本标段的招标代理机构； </w:t>
      </w:r>
    </w:p>
    <w:p w14:paraId="722CA05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（7）与本标段的代建人或招标代理机构同为一个法定代表人； </w:t>
      </w:r>
    </w:p>
    <w:p w14:paraId="6FD15D4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（8）与本标段的代建人或招标代理机构存在控股或参股关系； </w:t>
      </w:r>
    </w:p>
    <w:p w14:paraId="091E9AF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（9）与本标段对应工程的施工承包人以及建筑材料、建筑构配件和设备供应商有隶属关系或其他利害关系； </w:t>
      </w:r>
    </w:p>
    <w:p w14:paraId="7F7A1B1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（10）法律法规或投标人须知前附表规定的其他情形。 </w:t>
      </w:r>
    </w:p>
    <w:p w14:paraId="217D5A6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1.4.4 投标人（包括联合体各成员）不得存在下列不良状况或不良信用记录： </w:t>
      </w:r>
    </w:p>
    <w:p w14:paraId="37554EA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（1）被省级及以上交通运输主管部门取消招标项目所在地的投标资格且处于有效期内； </w:t>
      </w:r>
    </w:p>
    <w:p w14:paraId="427F8E2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（2）被责令停业，暂扣或吊销执照，或吊销资质证书； </w:t>
      </w:r>
    </w:p>
    <w:p w14:paraId="5553DA4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（3）进入清算程序，或被宣告破产，或其他丧失履约能力的情形； </w:t>
      </w:r>
    </w:p>
    <w:p w14:paraId="65D6F8B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（4）在国家企业信用信息公示系统（http://www.gsxt.gov.cn/）中被列入严重违法失信企业名单；</w:t>
      </w:r>
    </w:p>
    <w:p w14:paraId="546F201B">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（5）在“信用中国”网站（http://www.creditchina.gov.cn/）中被列入失信被执行人名单；</w:t>
      </w:r>
    </w:p>
    <w:p w14:paraId="4F322B1B">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（6）法律法规或投标人须知前附表规定的其他情形。</w:t>
      </w:r>
    </w:p>
    <w:p w14:paraId="682B11AA">
      <w:pPr>
        <w:autoSpaceDE w:val="0"/>
        <w:autoSpaceDN w:val="0"/>
        <w:adjustRightInd w:val="0"/>
        <w:spacing w:line="360" w:lineRule="auto"/>
        <w:ind w:firstLine="420" w:firstLineChars="200"/>
        <w:rPr>
          <w:rFonts w:hint="eastAsia" w:ascii="宋体" w:hAnsi="宋体" w:eastAsia="宋体" w:cs="宋体"/>
          <w:bCs/>
          <w:szCs w:val="21"/>
          <w:highlight w:val="none"/>
        </w:rPr>
      </w:pPr>
      <w:bookmarkStart w:id="43" w:name="_Toc519242147"/>
      <w:r>
        <w:rPr>
          <w:rFonts w:hint="eastAsia" w:ascii="宋体" w:hAnsi="宋体" w:eastAsia="宋体" w:cs="宋体"/>
          <w:bCs/>
          <w:szCs w:val="21"/>
          <w:highlight w:val="none"/>
        </w:rPr>
        <w:t>1.4.5投标人（包括联合体各成员）应进入交通运输部“</w:t>
      </w:r>
      <w:r>
        <w:rPr>
          <w:rFonts w:hint="eastAsia" w:ascii="宋体" w:hAnsi="宋体" w:eastAsia="宋体" w:cs="宋体"/>
          <w:bCs/>
          <w:szCs w:val="21"/>
          <w:highlight w:val="none"/>
          <w:lang w:eastAsia="zh-CN"/>
        </w:rPr>
        <w:t>全国公路建设市场监督管理系统</w:t>
      </w:r>
      <w:r>
        <w:rPr>
          <w:rFonts w:hint="eastAsia" w:ascii="宋体" w:hAnsi="宋体" w:eastAsia="宋体" w:cs="宋体"/>
          <w:bCs/>
          <w:szCs w:val="21"/>
          <w:highlight w:val="none"/>
        </w:rPr>
        <w:t>”中的公路工程施工监理资质企业名录，且投标人名称和资质与该名录中的相应企业名称和资质完全一致。投标人不满足本项规定条件的，将被否决投标。</w:t>
      </w:r>
    </w:p>
    <w:p w14:paraId="499BFFF3">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1.5费用承担</w:t>
      </w:r>
      <w:bookmarkEnd w:id="43"/>
    </w:p>
    <w:p w14:paraId="37CE8F1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投标人准备和参加投标活动发生的费用自理。</w:t>
      </w:r>
    </w:p>
    <w:p w14:paraId="601DE7B0">
      <w:pPr>
        <w:autoSpaceDE w:val="0"/>
        <w:autoSpaceDN w:val="0"/>
        <w:adjustRightInd w:val="0"/>
        <w:spacing w:line="360" w:lineRule="auto"/>
        <w:rPr>
          <w:rFonts w:hint="eastAsia" w:ascii="宋体" w:hAnsi="宋体" w:eastAsia="宋体" w:cs="宋体"/>
          <w:b/>
          <w:bCs/>
          <w:szCs w:val="21"/>
          <w:highlight w:val="none"/>
        </w:rPr>
      </w:pPr>
      <w:bookmarkStart w:id="44" w:name="_Toc519242148"/>
      <w:r>
        <w:rPr>
          <w:rFonts w:hint="eastAsia" w:ascii="宋体" w:hAnsi="宋体" w:eastAsia="宋体" w:cs="宋体"/>
          <w:b/>
          <w:bCs/>
          <w:szCs w:val="21"/>
          <w:highlight w:val="none"/>
        </w:rPr>
        <w:t>1.6保密</w:t>
      </w:r>
      <w:bookmarkEnd w:id="44"/>
    </w:p>
    <w:p w14:paraId="694B8971">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参与招标投标活动的各方应对招标文件和投标文件中的商业和技术等秘密保密，否则应承担相应的法律责任。</w:t>
      </w:r>
    </w:p>
    <w:p w14:paraId="64396B91">
      <w:pPr>
        <w:autoSpaceDE w:val="0"/>
        <w:autoSpaceDN w:val="0"/>
        <w:adjustRightInd w:val="0"/>
        <w:spacing w:line="360" w:lineRule="auto"/>
        <w:rPr>
          <w:rFonts w:hint="eastAsia" w:ascii="宋体" w:hAnsi="宋体" w:eastAsia="宋体" w:cs="宋体"/>
          <w:b/>
          <w:bCs/>
          <w:szCs w:val="21"/>
          <w:highlight w:val="none"/>
        </w:rPr>
      </w:pPr>
      <w:bookmarkStart w:id="45" w:name="_Toc519242149"/>
      <w:r>
        <w:rPr>
          <w:rFonts w:hint="eastAsia" w:ascii="宋体" w:hAnsi="宋体" w:eastAsia="宋体" w:cs="宋体"/>
          <w:b/>
          <w:bCs/>
          <w:szCs w:val="21"/>
          <w:highlight w:val="none"/>
        </w:rPr>
        <w:t>1.7语言文字</w:t>
      </w:r>
      <w:bookmarkEnd w:id="45"/>
    </w:p>
    <w:p w14:paraId="22993EE2">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招标投标文件使用的语言文字为中文。专用术语使用外文的，应附有中文注释。</w:t>
      </w:r>
    </w:p>
    <w:p w14:paraId="6D5C5604">
      <w:pPr>
        <w:autoSpaceDE w:val="0"/>
        <w:autoSpaceDN w:val="0"/>
        <w:adjustRightInd w:val="0"/>
        <w:spacing w:line="360" w:lineRule="auto"/>
        <w:rPr>
          <w:rFonts w:hint="eastAsia" w:ascii="宋体" w:hAnsi="宋体" w:eastAsia="宋体" w:cs="宋体"/>
          <w:b/>
          <w:bCs/>
          <w:szCs w:val="21"/>
          <w:highlight w:val="none"/>
        </w:rPr>
      </w:pPr>
      <w:bookmarkStart w:id="46" w:name="_Toc519242150"/>
      <w:r>
        <w:rPr>
          <w:rFonts w:hint="eastAsia" w:ascii="宋体" w:hAnsi="宋体" w:eastAsia="宋体" w:cs="宋体"/>
          <w:b/>
          <w:bCs/>
          <w:szCs w:val="21"/>
          <w:highlight w:val="none"/>
        </w:rPr>
        <w:t>1.8计量单位</w:t>
      </w:r>
      <w:bookmarkEnd w:id="46"/>
    </w:p>
    <w:p w14:paraId="0E3EF487">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所有计量均采用中华人民共和国法定计量单位。</w:t>
      </w:r>
    </w:p>
    <w:p w14:paraId="698F7604">
      <w:pPr>
        <w:autoSpaceDE w:val="0"/>
        <w:autoSpaceDN w:val="0"/>
        <w:adjustRightInd w:val="0"/>
        <w:spacing w:line="360" w:lineRule="auto"/>
        <w:rPr>
          <w:rFonts w:hint="eastAsia" w:ascii="宋体" w:hAnsi="宋体" w:eastAsia="宋体" w:cs="宋体"/>
          <w:b/>
          <w:bCs/>
          <w:szCs w:val="21"/>
          <w:highlight w:val="none"/>
        </w:rPr>
      </w:pPr>
      <w:bookmarkStart w:id="47" w:name="_Toc519242151"/>
      <w:r>
        <w:rPr>
          <w:rFonts w:hint="eastAsia" w:ascii="宋体" w:hAnsi="宋体" w:eastAsia="宋体" w:cs="宋体"/>
          <w:b/>
          <w:bCs/>
          <w:szCs w:val="21"/>
          <w:highlight w:val="none"/>
        </w:rPr>
        <w:t>1.9踏勘现场</w:t>
      </w:r>
      <w:bookmarkEnd w:id="47"/>
    </w:p>
    <w:p w14:paraId="21015D87">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本项目不适用</w:t>
      </w:r>
    </w:p>
    <w:p w14:paraId="232E1BA9">
      <w:pPr>
        <w:autoSpaceDE w:val="0"/>
        <w:autoSpaceDN w:val="0"/>
        <w:adjustRightInd w:val="0"/>
        <w:spacing w:line="360" w:lineRule="auto"/>
        <w:rPr>
          <w:rFonts w:hint="eastAsia" w:ascii="宋体" w:hAnsi="宋体" w:eastAsia="宋体" w:cs="宋体"/>
          <w:b/>
          <w:bCs/>
          <w:szCs w:val="21"/>
          <w:highlight w:val="none"/>
        </w:rPr>
      </w:pPr>
      <w:bookmarkStart w:id="48" w:name="_Toc519242152"/>
      <w:r>
        <w:rPr>
          <w:rFonts w:hint="eastAsia" w:ascii="宋体" w:hAnsi="宋体" w:eastAsia="宋体" w:cs="宋体"/>
          <w:b/>
          <w:bCs/>
          <w:szCs w:val="21"/>
          <w:highlight w:val="none"/>
        </w:rPr>
        <w:t>1.10投标预备会</w:t>
      </w:r>
      <w:bookmarkEnd w:id="48"/>
    </w:p>
    <w:p w14:paraId="68A19B9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本项目不适用</w:t>
      </w:r>
    </w:p>
    <w:p w14:paraId="62B36FA1">
      <w:pPr>
        <w:autoSpaceDE w:val="0"/>
        <w:autoSpaceDN w:val="0"/>
        <w:adjustRightInd w:val="0"/>
        <w:spacing w:line="360" w:lineRule="auto"/>
        <w:rPr>
          <w:rFonts w:hint="eastAsia" w:ascii="宋体" w:hAnsi="宋体" w:eastAsia="宋体" w:cs="宋体"/>
          <w:b/>
          <w:bCs/>
          <w:szCs w:val="21"/>
          <w:highlight w:val="none"/>
        </w:rPr>
      </w:pPr>
      <w:bookmarkStart w:id="49" w:name="_Toc519242153"/>
      <w:r>
        <w:rPr>
          <w:rFonts w:hint="eastAsia" w:ascii="宋体" w:hAnsi="宋体" w:eastAsia="宋体" w:cs="宋体"/>
          <w:b/>
          <w:bCs/>
          <w:szCs w:val="21"/>
          <w:highlight w:val="none"/>
        </w:rPr>
        <w:t>1.11分包</w:t>
      </w:r>
      <w:bookmarkEnd w:id="49"/>
    </w:p>
    <w:p w14:paraId="385D723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不允许。</w:t>
      </w:r>
    </w:p>
    <w:p w14:paraId="38AF5EEB">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1.12响应和偏差</w:t>
      </w:r>
    </w:p>
    <w:p w14:paraId="2DC05C9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1.12.1投标文件偏离招标文件某些要求，视为投标文件存在偏差。偏差包括重大偏差和细微偏差。</w:t>
      </w:r>
    </w:p>
    <w:p w14:paraId="4DD36850">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1.12.2投标文件应对招标文件的实质性要求和条件作出满足性或更有利于招标人的响应，否则，视为投标文件存在重大偏差，投标人的投标将被否决。</w:t>
      </w:r>
    </w:p>
    <w:p w14:paraId="29ECD6E4">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投标文件存在第三章“评标办法”中所列任一否决投标情形的，均属于存在重大偏差。</w:t>
      </w:r>
    </w:p>
    <w:p w14:paraId="724B6CF6">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1.12.3投标文件中的下列偏差为细微偏差：</w:t>
      </w:r>
    </w:p>
    <w:p w14:paraId="4C148999">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（1）在按照第三章“评标办法”的规定对投标价进行算术性错误修正后，最终投标报价未超过最高投标限价（如有）的情况下，出现第三章“评标办法”规定的算术性错误；</w:t>
      </w:r>
    </w:p>
    <w:p w14:paraId="710930F2">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（2）技术建议书不够完善；</w:t>
      </w:r>
    </w:p>
    <w:p w14:paraId="0884FF48">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（3）投标文件页码不连续、采用活页夹装订、个别文字有遗漏错误等不影响投标文件实质性内容的偏差。</w:t>
      </w:r>
    </w:p>
    <w:p w14:paraId="65205C7A">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1.12.4评标委员会对投标文件中的细微偏差按如下规定处理：</w:t>
      </w:r>
    </w:p>
    <w:p w14:paraId="5525B073">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（1）对于本章第1.12.3项（1）目所述的细微偏差，按照第三章“评标办法”的规定予以修正并要求投标人进行澄清；</w:t>
      </w:r>
    </w:p>
    <w:p w14:paraId="5741E93A">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（2）对于本章第1.12.3项（2）、（3）目所述的细微偏差，可在相关评分因素的评分中酌情扣分。</w:t>
      </w:r>
    </w:p>
    <w:p w14:paraId="6E4A891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1.12.5投标人应根据招标文件的要求提供技术建议书等内容以对招标文件作出响应。</w:t>
      </w:r>
    </w:p>
    <w:p w14:paraId="70A936EE">
      <w:pPr>
        <w:pStyle w:val="4"/>
        <w:spacing w:before="0" w:after="0" w:line="360" w:lineRule="auto"/>
        <w:jc w:val="left"/>
        <w:rPr>
          <w:rFonts w:hint="eastAsia" w:ascii="宋体" w:hAnsi="宋体" w:eastAsia="宋体" w:cs="宋体"/>
          <w:sz w:val="21"/>
          <w:szCs w:val="21"/>
          <w:highlight w:val="none"/>
        </w:rPr>
      </w:pPr>
      <w:bookmarkStart w:id="50" w:name="_Toc519325333"/>
      <w:bookmarkStart w:id="51" w:name="_Toc533409745"/>
      <w:r>
        <w:rPr>
          <w:rFonts w:hint="eastAsia" w:ascii="宋体" w:hAnsi="宋体" w:eastAsia="宋体" w:cs="宋体"/>
          <w:sz w:val="21"/>
          <w:szCs w:val="21"/>
          <w:highlight w:val="none"/>
        </w:rPr>
        <w:t>2.招标文件</w:t>
      </w:r>
      <w:bookmarkEnd w:id="50"/>
      <w:bookmarkEnd w:id="51"/>
    </w:p>
    <w:p w14:paraId="30B9D023">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2.1招标文件的组成</w:t>
      </w:r>
    </w:p>
    <w:p w14:paraId="31FD3E43">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本招标文件包括：</w:t>
      </w:r>
    </w:p>
    <w:p w14:paraId="19B5A118">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（1）招标公告；</w:t>
      </w:r>
    </w:p>
    <w:p w14:paraId="28EFD0B8">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（2）投标人须知；</w:t>
      </w:r>
    </w:p>
    <w:p w14:paraId="4FF02B15">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（3）评标办法；</w:t>
      </w:r>
    </w:p>
    <w:p w14:paraId="25DF2C96">
      <w:pPr>
        <w:autoSpaceDE w:val="0"/>
        <w:autoSpaceDN w:val="0"/>
        <w:adjustRightInd w:val="0"/>
        <w:spacing w:line="360" w:lineRule="auto"/>
        <w:ind w:firstLine="420" w:firstLineChars="200"/>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lang w:eastAsia="zh-CN"/>
        </w:rPr>
        <w:t>）定标方法</w:t>
      </w:r>
    </w:p>
    <w:p w14:paraId="6C29B038">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）合同条款及格式；</w:t>
      </w:r>
    </w:p>
    <w:p w14:paraId="2E0208B6">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）委托人要求；</w:t>
      </w:r>
    </w:p>
    <w:p w14:paraId="75CB27E2">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）图纸和资料；</w:t>
      </w:r>
    </w:p>
    <w:p w14:paraId="75725419">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8</w:t>
      </w:r>
      <w:r>
        <w:rPr>
          <w:rFonts w:hint="eastAsia" w:ascii="宋体" w:hAnsi="宋体" w:eastAsia="宋体" w:cs="宋体"/>
          <w:bCs/>
          <w:szCs w:val="21"/>
          <w:highlight w:val="none"/>
        </w:rPr>
        <w:t>）投标文件格式；</w:t>
      </w:r>
    </w:p>
    <w:p w14:paraId="074C4DE4">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9</w:t>
      </w:r>
      <w:r>
        <w:rPr>
          <w:rFonts w:hint="eastAsia" w:ascii="宋体" w:hAnsi="宋体" w:eastAsia="宋体" w:cs="宋体"/>
          <w:bCs/>
          <w:szCs w:val="21"/>
          <w:highlight w:val="none"/>
        </w:rPr>
        <w:t>）投标人须知前附表规定的其他资料。</w:t>
      </w:r>
    </w:p>
    <w:p w14:paraId="0A4EA333">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根据本章第1.10款、第2.2款和第2.3款对招标文件所作的澄清、修改，构成招标文件的组成部分。</w:t>
      </w:r>
    </w:p>
    <w:p w14:paraId="3881CF8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当招标文件、招标文件的澄清或修改等在同一内容的表述上不一致时，以最后发出的书面文件为准。</w:t>
      </w:r>
    </w:p>
    <w:p w14:paraId="797C2F2F">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2.2招标文件的澄清</w:t>
      </w:r>
    </w:p>
    <w:p w14:paraId="5888A18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6C9765A">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2.2.2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14:paraId="6EC5D37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2.2.3投标人应注意及时浏览网上发出的澄清，因投标人自身原因未及时获知澄清内容而导致的任何后果将由投标人自行承担。</w:t>
      </w:r>
    </w:p>
    <w:p w14:paraId="583452C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2.2.4除非招标人认为确有必要答复，否则，招标人有权拒绝回复投标人在本章第2.2.1项规定的时间后提出的任何澄清要求。</w:t>
      </w:r>
    </w:p>
    <w:p w14:paraId="188C48E1">
      <w:pPr>
        <w:autoSpaceDE w:val="0"/>
        <w:autoSpaceDN w:val="0"/>
        <w:adjustRightInd w:val="0"/>
        <w:spacing w:line="360" w:lineRule="auto"/>
        <w:rPr>
          <w:rFonts w:hint="eastAsia" w:ascii="宋体" w:hAnsi="宋体" w:eastAsia="宋体" w:cs="宋体"/>
          <w:b/>
          <w:bCs/>
          <w:szCs w:val="21"/>
          <w:highlight w:val="none"/>
        </w:rPr>
      </w:pPr>
      <w:bookmarkStart w:id="52" w:name="_Toc519242158"/>
      <w:r>
        <w:rPr>
          <w:rFonts w:hint="eastAsia" w:ascii="宋体" w:hAnsi="宋体" w:eastAsia="宋体" w:cs="宋体"/>
          <w:b/>
          <w:bCs/>
          <w:szCs w:val="21"/>
          <w:highlight w:val="none"/>
        </w:rPr>
        <w:t>2.3招标文件的修改</w:t>
      </w:r>
      <w:bookmarkEnd w:id="52"/>
    </w:p>
    <w:p w14:paraId="12D0C34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2.3.1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14:paraId="3132CEF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2.3.2投标人应注意及时浏览网上发出的修改，因投标人自身原因未及时获知修改内容而导致的任何后果将由投标人自行承担。</w:t>
      </w:r>
    </w:p>
    <w:p w14:paraId="074DCFF3">
      <w:pPr>
        <w:autoSpaceDE w:val="0"/>
        <w:autoSpaceDN w:val="0"/>
        <w:adjustRightInd w:val="0"/>
        <w:spacing w:line="360" w:lineRule="auto"/>
        <w:rPr>
          <w:rFonts w:hint="eastAsia" w:ascii="宋体" w:hAnsi="宋体" w:eastAsia="宋体" w:cs="宋体"/>
          <w:b/>
          <w:bCs/>
          <w:szCs w:val="21"/>
          <w:highlight w:val="none"/>
        </w:rPr>
      </w:pPr>
      <w:bookmarkStart w:id="53" w:name="_Toc519242159"/>
      <w:r>
        <w:rPr>
          <w:rFonts w:hint="eastAsia" w:ascii="宋体" w:hAnsi="宋体" w:eastAsia="宋体" w:cs="宋体"/>
          <w:b/>
          <w:bCs/>
          <w:szCs w:val="21"/>
          <w:highlight w:val="none"/>
        </w:rPr>
        <w:t>2.4招标文件的异议</w:t>
      </w:r>
      <w:bookmarkEnd w:id="53"/>
    </w:p>
    <w:p w14:paraId="06E98F43">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投标人或其他利害关系人对招标文件有异议的，应在投标截止时间10日前提出。招标人将在收到异议之日起3日内作出答复；作出答复前，将暂停招标投标活动。</w:t>
      </w:r>
    </w:p>
    <w:p w14:paraId="2762A818">
      <w:pPr>
        <w:pStyle w:val="4"/>
        <w:spacing w:before="0" w:after="0" w:line="360" w:lineRule="auto"/>
        <w:jc w:val="left"/>
        <w:rPr>
          <w:rFonts w:hint="eastAsia" w:ascii="宋体" w:hAnsi="宋体" w:eastAsia="宋体" w:cs="宋体"/>
          <w:sz w:val="21"/>
          <w:szCs w:val="21"/>
          <w:highlight w:val="none"/>
        </w:rPr>
      </w:pPr>
      <w:bookmarkStart w:id="54" w:name="_Toc519242160"/>
      <w:bookmarkStart w:id="55" w:name="_Toc476670281"/>
      <w:bookmarkStart w:id="56" w:name="_Toc476670104"/>
      <w:bookmarkStart w:id="57" w:name="_Toc470527666"/>
      <w:bookmarkStart w:id="58" w:name="_Toc519325334"/>
      <w:bookmarkStart w:id="59" w:name="_Toc533409746"/>
      <w:r>
        <w:rPr>
          <w:rFonts w:hint="eastAsia" w:ascii="宋体" w:hAnsi="宋体" w:eastAsia="宋体" w:cs="宋体"/>
          <w:sz w:val="21"/>
          <w:szCs w:val="21"/>
          <w:highlight w:val="none"/>
        </w:rPr>
        <w:t>3．投标文件</w:t>
      </w:r>
      <w:bookmarkEnd w:id="54"/>
      <w:bookmarkEnd w:id="55"/>
      <w:bookmarkEnd w:id="56"/>
      <w:bookmarkEnd w:id="57"/>
      <w:bookmarkEnd w:id="58"/>
      <w:bookmarkEnd w:id="59"/>
    </w:p>
    <w:p w14:paraId="110FE5D1">
      <w:pPr>
        <w:autoSpaceDE w:val="0"/>
        <w:autoSpaceDN w:val="0"/>
        <w:adjustRightInd w:val="0"/>
        <w:spacing w:line="360" w:lineRule="auto"/>
        <w:rPr>
          <w:rFonts w:hint="eastAsia" w:ascii="宋体" w:hAnsi="宋体" w:eastAsia="宋体" w:cs="宋体"/>
          <w:b/>
          <w:bCs/>
          <w:szCs w:val="21"/>
          <w:highlight w:val="none"/>
        </w:rPr>
      </w:pPr>
      <w:bookmarkStart w:id="60" w:name="_Toc519242161"/>
      <w:r>
        <w:rPr>
          <w:rFonts w:hint="eastAsia" w:ascii="宋体" w:hAnsi="宋体" w:eastAsia="宋体" w:cs="宋体"/>
          <w:b/>
          <w:bCs/>
          <w:szCs w:val="21"/>
          <w:highlight w:val="none"/>
        </w:rPr>
        <w:t>3.1投标文件的组成</w:t>
      </w:r>
      <w:bookmarkEnd w:id="60"/>
    </w:p>
    <w:p w14:paraId="322D4F0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3.1.1投标文件应采用双信封形式，包括下列内容：</w:t>
      </w:r>
    </w:p>
    <w:p w14:paraId="2F01161A">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第一个信封（商务及技术文件）：</w:t>
      </w:r>
    </w:p>
    <w:p w14:paraId="078713A5">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（1）投标函；</w:t>
      </w:r>
    </w:p>
    <w:p w14:paraId="0FCC9F8D">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（2）授权委托书或法定代表人身份证明；</w:t>
      </w:r>
    </w:p>
    <w:p w14:paraId="6EC882A2">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（3）联合体协议书；</w:t>
      </w:r>
    </w:p>
    <w:p w14:paraId="7C5C1A5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（4）投标保证金；</w:t>
      </w:r>
    </w:p>
    <w:p w14:paraId="5B415BB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（5）资格审查资料；</w:t>
      </w:r>
    </w:p>
    <w:p w14:paraId="6B9C401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（6）技术建议书；</w:t>
      </w:r>
    </w:p>
    <w:p w14:paraId="0FBC1FF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（7）投标人须知前附表规定的其他资料。</w:t>
      </w:r>
    </w:p>
    <w:p w14:paraId="3132E68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第二个信封（报价文件）：</w:t>
      </w:r>
    </w:p>
    <w:p w14:paraId="52CA4F9A">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（1）投标函；</w:t>
      </w:r>
    </w:p>
    <w:p w14:paraId="3E6A97D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（2）监理服务费用清单。</w:t>
      </w:r>
    </w:p>
    <w:p w14:paraId="10D125E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投标人在评标过程中作出的符合法律法规和招标文件规定的澄清确认，构成投标文件的组成部分。</w:t>
      </w:r>
    </w:p>
    <w:p w14:paraId="7FE2E7BD">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3.1.2投标人须知前附表未要求提交投标保证金的，投标文件不包括本章第3.1.1（4）目所指的投标保证金。</w:t>
      </w:r>
    </w:p>
    <w:p w14:paraId="3DC049BC">
      <w:pPr>
        <w:autoSpaceDE w:val="0"/>
        <w:autoSpaceDN w:val="0"/>
        <w:adjustRightInd w:val="0"/>
        <w:spacing w:line="360" w:lineRule="auto"/>
        <w:rPr>
          <w:rFonts w:hint="eastAsia" w:ascii="宋体" w:hAnsi="宋体" w:eastAsia="宋体" w:cs="宋体"/>
          <w:b/>
          <w:bCs/>
          <w:szCs w:val="21"/>
          <w:highlight w:val="none"/>
        </w:rPr>
      </w:pPr>
      <w:bookmarkStart w:id="61" w:name="_Toc519242162"/>
      <w:r>
        <w:rPr>
          <w:rFonts w:hint="eastAsia" w:ascii="宋体" w:hAnsi="宋体" w:eastAsia="宋体" w:cs="宋体"/>
          <w:b/>
          <w:bCs/>
          <w:szCs w:val="21"/>
          <w:highlight w:val="none"/>
        </w:rPr>
        <w:t>3.2投标报价</w:t>
      </w:r>
      <w:bookmarkEnd w:id="61"/>
    </w:p>
    <w:p w14:paraId="010ECF57">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3.2.1投标报价应包括国家规定的增值税税金，除投标人须知前附表另有规定外，增值税税金按一般计税方法计算。投标人应按</w:t>
      </w:r>
      <w:r>
        <w:rPr>
          <w:rFonts w:hint="eastAsia" w:ascii="宋体" w:hAnsi="宋体" w:cs="宋体"/>
          <w:bCs/>
          <w:szCs w:val="21"/>
          <w:highlight w:val="none"/>
          <w:lang w:eastAsia="zh-CN"/>
        </w:rPr>
        <w:t>第八章</w:t>
      </w:r>
      <w:r>
        <w:rPr>
          <w:rFonts w:hint="eastAsia" w:ascii="宋体" w:hAnsi="宋体" w:eastAsia="宋体" w:cs="宋体"/>
          <w:bCs/>
          <w:szCs w:val="21"/>
          <w:highlight w:val="none"/>
        </w:rPr>
        <w:t>“投标文件格式”的要求在投标函中进行报价并填写监理服务费用清单相应表格。</w:t>
      </w:r>
    </w:p>
    <w:p w14:paraId="5E941145">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3.2.2投标人应充分了解本项目的总体情况以及影响投标报价的其他要素，按照招标文件规定的施工监理工作内容和计划工作量，自行测算监理服务费用。投标报价应涵盖投标人完成施工准备阶段、施工阶段、验收与缺陷责任期阶段监理工作所需的全部费用。</w:t>
      </w:r>
    </w:p>
    <w:p w14:paraId="79CB53F0">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投标人应按照“投标文件格式”中“监理服务费用清单”的要求填报监理服务费。投标人未填报的部分，在工程实施时委托人将不予支付，并认为该部分费用已包含在报价中。</w:t>
      </w:r>
    </w:p>
    <w:p w14:paraId="6D3E4915">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3.2.3本项目的报价方式见投标人须知前附表。投标人在投标截止时间前修改投标函中的投标报价总额，应同时修改投标文件“监理服务费用清单”中的相应报价。此修改须符合本章第4.3款的有关要求。</w:t>
      </w:r>
    </w:p>
    <w:p w14:paraId="49624029">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3.2.4招标人设有最高投标限价的，投标人的投标报价不得超过最高投标限价，最高投标限价在投标人须知前附表中载明。</w:t>
      </w:r>
    </w:p>
    <w:p w14:paraId="2C78385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3.2.5投标报价的其他要求见投标人须知前附表。</w:t>
      </w:r>
    </w:p>
    <w:p w14:paraId="696BAF80">
      <w:pPr>
        <w:autoSpaceDE w:val="0"/>
        <w:autoSpaceDN w:val="0"/>
        <w:adjustRightInd w:val="0"/>
        <w:spacing w:line="360" w:lineRule="auto"/>
        <w:rPr>
          <w:rFonts w:hint="eastAsia" w:ascii="宋体" w:hAnsi="宋体" w:eastAsia="宋体" w:cs="宋体"/>
          <w:b/>
          <w:bCs/>
          <w:szCs w:val="21"/>
          <w:highlight w:val="none"/>
        </w:rPr>
      </w:pPr>
      <w:bookmarkStart w:id="62" w:name="_Toc519242163"/>
      <w:r>
        <w:rPr>
          <w:rFonts w:hint="eastAsia" w:ascii="宋体" w:hAnsi="宋体" w:eastAsia="宋体" w:cs="宋体"/>
          <w:b/>
          <w:bCs/>
          <w:szCs w:val="21"/>
          <w:highlight w:val="none"/>
        </w:rPr>
        <w:t>3.3投标有效期</w:t>
      </w:r>
      <w:bookmarkEnd w:id="62"/>
    </w:p>
    <w:p w14:paraId="4D63E7A3">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3.3.1除投标人须知前附表另有规定外，投标有效期为90天。</w:t>
      </w:r>
    </w:p>
    <w:p w14:paraId="7CABAD65">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3.3.2在投标有效期内，投标人撤销投标文件的，应承担招标文件和法律规定的责任。</w:t>
      </w:r>
    </w:p>
    <w:p w14:paraId="379CE98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29909B8">
      <w:pPr>
        <w:autoSpaceDE w:val="0"/>
        <w:autoSpaceDN w:val="0"/>
        <w:adjustRightInd w:val="0"/>
        <w:spacing w:line="360" w:lineRule="auto"/>
        <w:rPr>
          <w:rFonts w:hint="eastAsia" w:ascii="宋体" w:hAnsi="宋体" w:eastAsia="宋体" w:cs="宋体"/>
          <w:b/>
          <w:bCs/>
          <w:szCs w:val="21"/>
          <w:highlight w:val="none"/>
        </w:rPr>
      </w:pPr>
      <w:bookmarkStart w:id="63" w:name="_Toc519242164"/>
      <w:r>
        <w:rPr>
          <w:rFonts w:hint="eastAsia" w:ascii="宋体" w:hAnsi="宋体" w:eastAsia="宋体" w:cs="宋体"/>
          <w:b/>
          <w:bCs/>
          <w:szCs w:val="21"/>
          <w:highlight w:val="none"/>
        </w:rPr>
        <w:t>3.4投标保证金</w:t>
      </w:r>
      <w:bookmarkEnd w:id="63"/>
    </w:p>
    <w:p w14:paraId="4D9231F8">
      <w:pPr>
        <w:autoSpaceDE w:val="0"/>
        <w:autoSpaceDN w:val="0"/>
        <w:adjustRightInd w:val="0"/>
        <w:spacing w:line="360" w:lineRule="auto"/>
        <w:ind w:firstLine="420" w:firstLineChars="200"/>
        <w:rPr>
          <w:rFonts w:hint="eastAsia" w:ascii="宋体" w:hAnsi="宋体" w:eastAsia="宋体" w:cs="宋体"/>
          <w:bCs/>
          <w:szCs w:val="21"/>
          <w:highlight w:val="none"/>
        </w:rPr>
      </w:pPr>
      <w:bookmarkStart w:id="64" w:name="_Toc519242165"/>
      <w:r>
        <w:rPr>
          <w:rFonts w:hint="eastAsia" w:ascii="宋体" w:hAnsi="宋体" w:eastAsia="宋体" w:cs="宋体"/>
          <w:bCs/>
          <w:szCs w:val="21"/>
          <w:highlight w:val="none"/>
        </w:rPr>
        <w:t>3.4.1投标人在递交投标文件的同时，应按投标人须知前附表规定的金额、担保形式和</w:t>
      </w:r>
      <w:r>
        <w:rPr>
          <w:rFonts w:hint="eastAsia" w:ascii="宋体" w:hAnsi="宋体" w:cs="宋体"/>
          <w:bCs/>
          <w:szCs w:val="21"/>
          <w:highlight w:val="none"/>
          <w:lang w:eastAsia="zh-CN"/>
        </w:rPr>
        <w:t>第八章</w:t>
      </w:r>
      <w:r>
        <w:rPr>
          <w:rFonts w:hint="eastAsia" w:ascii="宋体" w:hAnsi="宋体" w:eastAsia="宋体" w:cs="宋体"/>
          <w:bCs/>
          <w:szCs w:val="21"/>
          <w:highlight w:val="none"/>
        </w:rPr>
        <w:t>"投标文件格式"规定的投标保证金格式递交投标保证金，并作为其投标文件的组成部分。联合体投标的，其投标保证金由牵头人递交，并应符合投标人须知前附表的规定。</w:t>
      </w:r>
    </w:p>
    <w:p w14:paraId="6F3D1FDD">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投标人投标保证金交纳特别提示：</w:t>
      </w:r>
    </w:p>
    <w:p w14:paraId="10EDB9F5">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各投标人：</w:t>
      </w:r>
    </w:p>
    <w:p w14:paraId="056AE3B2">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为使投标人在投标过程中，顺利完成投标保证金的交纳，特别提醒投标人注意以下事项：</w:t>
      </w:r>
    </w:p>
    <w:p w14:paraId="6AAB677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①投标人交纳保证金的账户须为企业基本银行账户，并和新乡市公共资源交易管理中心投标人会员库中填写的银行账户信息一致，且如投报多个标段的必须按标段分别交纳保证金。</w:t>
      </w:r>
    </w:p>
    <w:p w14:paraId="1A7F331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如存在实际转账账号与会员库中账号不一致的情况，请修改会员库“基本信息”中“开户账号”为实际转账账号，修改完信息后提交审核，审核电话：0373-3687650</w:t>
      </w:r>
    </w:p>
    <w:p w14:paraId="457636D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②投标人须从本单位开户行用转账或电汇的方式将保证金交到下列账户。</w:t>
      </w:r>
    </w:p>
    <w:p w14:paraId="3FFA01B3">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投标保证金交纳银行信息：</w:t>
      </w:r>
    </w:p>
    <w:p w14:paraId="7943E4E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收款单位：新乡市公共资源交易管理中心</w:t>
      </w:r>
    </w:p>
    <w:p w14:paraId="7915C1F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开户行：见投标人须知前附表</w:t>
      </w:r>
    </w:p>
    <w:p w14:paraId="337D52C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帐号：见投标人须知前附表</w:t>
      </w:r>
    </w:p>
    <w:p w14:paraId="7A451F2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③保证金交纳步骤：</w:t>
      </w:r>
    </w:p>
    <w:p w14:paraId="367EF8E3">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当把保证金（注：投标人必须单笔足额缴纳保证金）转入系统获取的保证金虚拟子账号之后，到系统中点击“业务查询—查看保证金”，点击“单笔查询”查看金额是否到账，如下图：</w:t>
      </w:r>
    </w:p>
    <w:p w14:paraId="064A855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drawing>
          <wp:inline distT="0" distB="0" distL="114300" distR="114300">
            <wp:extent cx="5372100" cy="1724025"/>
            <wp:effectExtent l="0" t="0" r="0" b="952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7"/>
                    <a:stretch>
                      <a:fillRect/>
                    </a:stretch>
                  </pic:blipFill>
                  <pic:spPr>
                    <a:xfrm>
                      <a:off x="0" y="0"/>
                      <a:ext cx="5372100" cy="1724025"/>
                    </a:xfrm>
                    <a:prstGeom prst="rect">
                      <a:avLst/>
                    </a:prstGeom>
                    <a:noFill/>
                    <a:ln>
                      <a:noFill/>
                    </a:ln>
                  </pic:spPr>
                </pic:pic>
              </a:graphicData>
            </a:graphic>
          </wp:inline>
        </w:drawing>
      </w:r>
    </w:p>
    <w:p w14:paraId="2870176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当保证金状态显示为已缴纳，点击“单笔查询”进入界面，点击“打印保证金回执单”。如下图：</w:t>
      </w:r>
    </w:p>
    <w:p w14:paraId="33451F8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drawing>
          <wp:inline distT="0" distB="0" distL="114300" distR="114300">
            <wp:extent cx="5343525" cy="1875790"/>
            <wp:effectExtent l="0" t="0" r="9525" b="1016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8"/>
                    <a:stretch>
                      <a:fillRect/>
                    </a:stretch>
                  </pic:blipFill>
                  <pic:spPr>
                    <a:xfrm>
                      <a:off x="0" y="0"/>
                      <a:ext cx="5343525" cy="1875790"/>
                    </a:xfrm>
                    <a:prstGeom prst="rect">
                      <a:avLst/>
                    </a:prstGeom>
                    <a:noFill/>
                    <a:ln>
                      <a:noFill/>
                    </a:ln>
                  </pic:spPr>
                </pic:pic>
              </a:graphicData>
            </a:graphic>
          </wp:inline>
        </w:drawing>
      </w:r>
    </w:p>
    <w:p w14:paraId="583E08D7">
      <w:pPr>
        <w:spacing w:line="360" w:lineRule="auto"/>
        <w:rPr>
          <w:rFonts w:hint="eastAsia" w:ascii="宋体" w:hAnsi="宋体" w:eastAsia="宋体" w:cs="宋体"/>
          <w:szCs w:val="21"/>
          <w:highlight w:val="none"/>
        </w:rPr>
      </w:pPr>
    </w:p>
    <w:p w14:paraId="1D17C3E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drawing>
          <wp:inline distT="0" distB="0" distL="114300" distR="114300">
            <wp:extent cx="5381625" cy="2838450"/>
            <wp:effectExtent l="0" t="0" r="9525"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9"/>
                    <a:stretch>
                      <a:fillRect/>
                    </a:stretch>
                  </pic:blipFill>
                  <pic:spPr>
                    <a:xfrm>
                      <a:off x="0" y="0"/>
                      <a:ext cx="5381625" cy="2838450"/>
                    </a:xfrm>
                    <a:prstGeom prst="rect">
                      <a:avLst/>
                    </a:prstGeom>
                    <a:noFill/>
                    <a:ln>
                      <a:noFill/>
                    </a:ln>
                  </pic:spPr>
                </pic:pic>
              </a:graphicData>
            </a:graphic>
          </wp:inline>
        </w:drawing>
      </w:r>
    </w:p>
    <w:p w14:paraId="6E6741B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点击打印，打印出回执单。</w:t>
      </w:r>
    </w:p>
    <w:p w14:paraId="72ADAAA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3.4.2投标人不按本章第3.4.1项要求提交投标保证金的，其投标文件作否决处理。</w:t>
      </w:r>
    </w:p>
    <w:p w14:paraId="021A8CF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3.4.3招标人与中标人签订合同后5个工作日内，向中标人退还投标保证金。</w:t>
      </w:r>
    </w:p>
    <w:p w14:paraId="4AEAFF2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3.4.4有下列情形之一的，投标保证金将不予退还：</w:t>
      </w:r>
    </w:p>
    <w:p w14:paraId="68D7E2F1">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（1）投标人在规定的投标有效期内撤销或修改其投标文件；</w:t>
      </w:r>
    </w:p>
    <w:p w14:paraId="7B99B54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（2）中标人在收到中标通知书后，无正当理由拒签合同协议书或未按招标文件规定提交履约担保。</w:t>
      </w:r>
    </w:p>
    <w:p w14:paraId="4A66B47C">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3.5资格审查资料</w:t>
      </w:r>
      <w:bookmarkEnd w:id="64"/>
    </w:p>
    <w:p w14:paraId="0BC8C68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除投标人须知前附表另有规定外，投标人应按下列规定提供资格审查资料，以证明其满足本章第1.4款规定的资质、业绩、信誉等要求。</w:t>
      </w:r>
    </w:p>
    <w:p w14:paraId="197C48C5">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3.5.1“投标人基本情况表”应附企业法人营业执照副本和组织机构代码证副本（按照“三证合一”或“五证合一”登记制度进行登记的，可仅提供营业执照副本，下同）、监理资质证书副本、基本账户开户许可证的扫描件，投标人在交通运输部“全国公路建设市场信用信息管理系统”公路工程施工监理资质企业名录中的网页截图扫描件。</w:t>
      </w:r>
    </w:p>
    <w:p w14:paraId="7C63914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企业法人营业执照副本和组织机构代码证副本、监理资质证书副本、基本账户开户许可证的复印件应提供全本（证书封面、封底、空白页除外），应包括投标人名称、投标人其他相关信息、颁发机构名称、投标人信息变更情况等关键页在内，并逐页加盖投标人单位章。</w:t>
      </w:r>
    </w:p>
    <w:p w14:paraId="529F936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3.5.2“近年完成的类似项目”应是已列入交通运输主管部门“公路建设市场信用信息管理系统”并公开的业绩，具体时间要求见投标人须知前附表。</w:t>
      </w:r>
    </w:p>
    <w:p w14:paraId="7D14E26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“近年完成的类似项目情况表”应附在交通运输部“</w:t>
      </w:r>
      <w:r>
        <w:rPr>
          <w:rFonts w:hint="eastAsia" w:ascii="宋体" w:hAnsi="宋体" w:eastAsia="宋体" w:cs="宋体"/>
          <w:bCs/>
          <w:szCs w:val="21"/>
          <w:highlight w:val="none"/>
          <w:lang w:eastAsia="zh-CN"/>
        </w:rPr>
        <w:t>全国公路建设市场监督管理系统</w:t>
      </w:r>
      <w:r>
        <w:rPr>
          <w:rFonts w:hint="eastAsia" w:ascii="宋体" w:hAnsi="宋体" w:eastAsia="宋体" w:cs="宋体"/>
          <w:bCs/>
          <w:szCs w:val="21"/>
          <w:highlight w:val="none"/>
        </w:rPr>
        <w:t>”（网址</w:t>
      </w:r>
      <w:r>
        <w:rPr>
          <w:rFonts w:hint="eastAsia" w:ascii="宋体" w:hAnsi="宋体" w:eastAsia="宋体" w:cs="宋体"/>
          <w:bCs/>
          <w:strike w:val="0"/>
          <w:dstrike w:val="0"/>
          <w:szCs w:val="21"/>
          <w:highlight w:val="none"/>
          <w:u w:val="none"/>
        </w:rPr>
        <w:t>：https://hwdms.mot.gov.cn</w:t>
      </w:r>
      <w:r>
        <w:rPr>
          <w:rFonts w:hint="eastAsia" w:ascii="宋体" w:hAnsi="宋体" w:eastAsia="宋体" w:cs="宋体"/>
          <w:bCs/>
          <w:strike w:val="0"/>
          <w:dstrike w:val="0"/>
          <w:szCs w:val="21"/>
          <w:highlight w:val="none"/>
          <w:u w:val="none"/>
          <w:lang w:eastAsia="zh-CN"/>
        </w:rPr>
        <w:t>）</w:t>
      </w:r>
      <w:r>
        <w:rPr>
          <w:rFonts w:hint="eastAsia" w:ascii="宋体" w:hAnsi="宋体" w:eastAsia="宋体" w:cs="宋体"/>
          <w:bCs/>
          <w:szCs w:val="21"/>
          <w:highlight w:val="none"/>
        </w:rPr>
        <w:t>或交通运输部“公路水运建设质量与安全监督系统”（http://111.205.85.34:8070/rwqss/index.html）中查询到的企业“业绩信息”相关项目网页截图复印件。在交通运输部“</w:t>
      </w:r>
      <w:r>
        <w:rPr>
          <w:rFonts w:hint="eastAsia" w:ascii="宋体" w:hAnsi="宋体" w:eastAsia="宋体" w:cs="宋体"/>
          <w:bCs/>
          <w:szCs w:val="21"/>
          <w:highlight w:val="none"/>
          <w:lang w:eastAsia="zh-CN"/>
        </w:rPr>
        <w:t>全国公路建设市场监督管理系统</w:t>
      </w:r>
      <w:r>
        <w:rPr>
          <w:rFonts w:hint="eastAsia" w:ascii="宋体" w:hAnsi="宋体" w:eastAsia="宋体" w:cs="宋体"/>
          <w:bCs/>
          <w:szCs w:val="21"/>
          <w:highlight w:val="none"/>
        </w:rPr>
        <w:t>”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w:t>
      </w:r>
    </w:p>
    <w:p w14:paraId="295F441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如投标人未提供相关项目网页截图复印件或相关项目网页截图中的信息无法证实投标人满足招标文件规定的资格审查条件（业绩最低要求），则该项目业绩不予认定。（根据项目需求另有约定的除外）</w:t>
      </w:r>
    </w:p>
    <w:p w14:paraId="3DB1AF3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3.5.3“投标人的信誉情况表”，详见前附表附录3。</w:t>
      </w:r>
    </w:p>
    <w:p w14:paraId="1026ABC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3.5.4“拟委任的总监理工程师资历表”应附总监理工程师的学历证、身份证、职称证、资格证书和资格审查条件所要求的其他相关证书的复印件，以及投标人所属社保机构出具的拟委任的总监理工程师的社保缴费证明或其他能够证明拟委任的总监理工程师参加社保的有效证明材料复印件。</w:t>
      </w:r>
    </w:p>
    <w:p w14:paraId="6C32DAC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3.5.5“拟委任的其他主要监理人员资历表”中相关人员应附学历证、身份证、职称证、资格证书复印件，以及投标人所属社保机构出具的社保缴费证明或其他能够证明其参加社保的有效证明材料复印件。</w:t>
      </w:r>
    </w:p>
    <w:p w14:paraId="0EE7BDDA">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3.5.6除合同条款约定的特殊情形外，投标人在投标文件中填报的总监理工程师不允许更换。</w:t>
      </w:r>
    </w:p>
    <w:p w14:paraId="2884624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3.5.7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公路建设市场信用信息管理系统。</w:t>
      </w:r>
    </w:p>
    <w:p w14:paraId="5F9B37BD">
      <w:pPr>
        <w:autoSpaceDE w:val="0"/>
        <w:autoSpaceDN w:val="0"/>
        <w:adjustRightInd w:val="0"/>
        <w:spacing w:line="36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3.5.8招标公告要求的其他要求。</w:t>
      </w:r>
    </w:p>
    <w:p w14:paraId="3FCEA0F4">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3.6备选投标方案</w:t>
      </w:r>
    </w:p>
    <w:p w14:paraId="1D994A98">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3.6.1除投标人须知前附表规定允许外，投标人不得递交备选投标方案，否则其投标将被否决。</w:t>
      </w:r>
    </w:p>
    <w:p w14:paraId="7C30F496">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541B725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3.6.3投标人提供两个或两个以上投标报价，或在投标文件中提供一个报价，但同时提供两个或两个以上施工组织设计的，视为提供备选方案。</w:t>
      </w:r>
    </w:p>
    <w:p w14:paraId="748DED5A">
      <w:pPr>
        <w:autoSpaceDE w:val="0"/>
        <w:autoSpaceDN w:val="0"/>
        <w:adjustRightInd w:val="0"/>
        <w:spacing w:line="360" w:lineRule="auto"/>
        <w:rPr>
          <w:rFonts w:hint="eastAsia" w:ascii="宋体" w:hAnsi="宋体" w:eastAsia="宋体" w:cs="宋体"/>
          <w:b/>
          <w:bCs/>
          <w:szCs w:val="21"/>
          <w:highlight w:val="none"/>
        </w:rPr>
      </w:pPr>
      <w:bookmarkStart w:id="65" w:name="_Toc519242167"/>
      <w:r>
        <w:rPr>
          <w:rFonts w:hint="eastAsia" w:ascii="宋体" w:hAnsi="宋体" w:eastAsia="宋体" w:cs="宋体"/>
          <w:b/>
          <w:bCs/>
          <w:szCs w:val="21"/>
          <w:highlight w:val="none"/>
        </w:rPr>
        <w:t>3.7投标文件的编制</w:t>
      </w:r>
      <w:bookmarkEnd w:id="65"/>
    </w:p>
    <w:p w14:paraId="28AFEFF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3.7.1投标文件应按</w:t>
      </w:r>
      <w:r>
        <w:rPr>
          <w:rFonts w:hint="eastAsia" w:ascii="宋体" w:hAnsi="宋体" w:cs="宋体"/>
          <w:bCs/>
          <w:szCs w:val="21"/>
          <w:highlight w:val="none"/>
          <w:lang w:eastAsia="zh-CN"/>
        </w:rPr>
        <w:t>第八章</w:t>
      </w:r>
      <w:r>
        <w:rPr>
          <w:rFonts w:hint="eastAsia" w:ascii="宋体" w:hAnsi="宋体" w:eastAsia="宋体" w:cs="宋体"/>
          <w:bCs/>
          <w:szCs w:val="21"/>
          <w:highlight w:val="none"/>
        </w:rPr>
        <w:t>“投标文件格式”进行编写，如有必要，可以增加附页，作为投标文件的组成部分。</w:t>
      </w:r>
    </w:p>
    <w:p w14:paraId="1E61B29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3.7.2投标文件应对招标文件有关监理服务期限、投标有效期、质量要求、安全目标、委托人要求、招标范围等实质性内容作出响应。</w:t>
      </w:r>
    </w:p>
    <w:p w14:paraId="2A76DFA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3.7.3投标文件的制作应满足以下规定：</w:t>
      </w:r>
    </w:p>
    <w:p w14:paraId="74EA5DD1">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（1）投标文件由投标人使用“电子交易平台”自带的“投标文件制作工具”制作生成。</w:t>
      </w:r>
    </w:p>
    <w:p w14:paraId="6E61B7F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w:t>
      </w:r>
      <w:r>
        <w:rPr>
          <w:rFonts w:hint="eastAsia" w:ascii="宋体" w:hAnsi="宋体" w:cs="宋体"/>
          <w:bCs/>
          <w:szCs w:val="21"/>
          <w:highlight w:val="none"/>
          <w:lang w:eastAsia="zh-CN"/>
        </w:rPr>
        <w:t>第八章</w:t>
      </w:r>
      <w:r>
        <w:rPr>
          <w:rFonts w:hint="eastAsia" w:ascii="宋体" w:hAnsi="宋体" w:eastAsia="宋体" w:cs="宋体"/>
          <w:bCs/>
          <w:szCs w:val="21"/>
          <w:highlight w:val="none"/>
        </w:rPr>
        <w:t>“投标文件格式”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24F2484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（3）投标文件制作完成后，投标人应使用CA数字证书对投标文件进行文件加密，形成加密的投标文件。</w:t>
      </w:r>
    </w:p>
    <w:p w14:paraId="1A46D45D">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（4）投标文件制作的具体方法详见“投标文件制作工具”中的帮助文档。</w:t>
      </w:r>
    </w:p>
    <w:p w14:paraId="08486756">
      <w:pPr>
        <w:autoSpaceDE w:val="0"/>
        <w:autoSpaceDN w:val="0"/>
        <w:adjustRightInd w:val="0"/>
        <w:spacing w:line="360" w:lineRule="auto"/>
        <w:ind w:firstLine="420" w:firstLineChars="200"/>
        <w:rPr>
          <w:rFonts w:hint="eastAsia" w:ascii="宋体" w:hAnsi="宋体" w:eastAsia="宋体" w:cs="宋体"/>
          <w:b/>
          <w:bCs/>
          <w:szCs w:val="21"/>
          <w:highlight w:val="none"/>
        </w:rPr>
      </w:pPr>
      <w:r>
        <w:rPr>
          <w:rFonts w:hint="eastAsia" w:ascii="宋体" w:hAnsi="宋体" w:eastAsia="宋体" w:cs="宋体"/>
          <w:bCs/>
          <w:szCs w:val="21"/>
          <w:highlight w:val="none"/>
        </w:rPr>
        <w:t>3.7.4因投标人自身原因而导致投标文件无法导入“电子交易平台”电子开标、评标系统，该投标视为无效投标，投标人自行承担由此导致的全部责任。</w:t>
      </w:r>
    </w:p>
    <w:p w14:paraId="31E6923E">
      <w:pPr>
        <w:pStyle w:val="4"/>
        <w:spacing w:before="0" w:after="0" w:line="360" w:lineRule="auto"/>
        <w:jc w:val="left"/>
        <w:rPr>
          <w:rFonts w:hint="eastAsia" w:ascii="宋体" w:hAnsi="宋体" w:eastAsia="宋体" w:cs="宋体"/>
          <w:sz w:val="21"/>
          <w:szCs w:val="21"/>
          <w:highlight w:val="none"/>
        </w:rPr>
      </w:pPr>
      <w:bookmarkStart w:id="66" w:name="_Toc519325335"/>
      <w:bookmarkStart w:id="67" w:name="_Toc533409747"/>
      <w:r>
        <w:rPr>
          <w:rFonts w:hint="eastAsia" w:ascii="宋体" w:hAnsi="宋体" w:eastAsia="宋体" w:cs="宋体"/>
          <w:sz w:val="21"/>
          <w:szCs w:val="21"/>
          <w:highlight w:val="none"/>
        </w:rPr>
        <w:t>4.投标</w:t>
      </w:r>
      <w:bookmarkEnd w:id="66"/>
      <w:bookmarkEnd w:id="67"/>
    </w:p>
    <w:p w14:paraId="52A92FB6">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4.1投标文件的加密</w:t>
      </w:r>
    </w:p>
    <w:p w14:paraId="7818468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投标文件应按照本章第3.7.3项要求制作并加密，未按要求加密的投标文件，招标人（“电子交易平台”）将拒绝接收并提示。</w:t>
      </w:r>
    </w:p>
    <w:p w14:paraId="01DD7839">
      <w:pPr>
        <w:autoSpaceDE w:val="0"/>
        <w:autoSpaceDN w:val="0"/>
        <w:adjustRightInd w:val="0"/>
        <w:spacing w:line="360" w:lineRule="auto"/>
        <w:rPr>
          <w:rFonts w:hint="eastAsia" w:ascii="宋体" w:hAnsi="宋体" w:eastAsia="宋体" w:cs="宋体"/>
          <w:b/>
          <w:bCs/>
          <w:szCs w:val="21"/>
          <w:highlight w:val="none"/>
        </w:rPr>
      </w:pPr>
      <w:bookmarkStart w:id="68" w:name="_Toc519242170"/>
      <w:r>
        <w:rPr>
          <w:rFonts w:hint="eastAsia" w:ascii="宋体" w:hAnsi="宋体" w:eastAsia="宋体" w:cs="宋体"/>
          <w:b/>
          <w:bCs/>
          <w:szCs w:val="21"/>
          <w:highlight w:val="none"/>
        </w:rPr>
        <w:t>4.2投标文件的递交</w:t>
      </w:r>
      <w:bookmarkEnd w:id="68"/>
    </w:p>
    <w:p w14:paraId="1B70D4F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4.2.1投标人应在第一章“招标公告”或“投标邀请书”规定的投标截止时间前，通过互联网使用CA数字证书登录“电子交易平台”，将加密的投标文件上传，并保存上传成功后系统自动生成的电子签收凭证，递交时间即为电子签收凭证时间。投标人应充分考虑上传文件时的不可预见因素，未在投标截止时间前完成上传的，视为逾期送达，招标人（“电子交易平台”）将拒绝接收。</w:t>
      </w:r>
    </w:p>
    <w:p w14:paraId="548101E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4.2.2根据本章第4.1款的规定，投标人递交的投标文件，只要出现应当拒收的情形，其投标文件予以拒收。</w:t>
      </w:r>
    </w:p>
    <w:p w14:paraId="1910D07A">
      <w:pPr>
        <w:autoSpaceDE w:val="0"/>
        <w:autoSpaceDN w:val="0"/>
        <w:adjustRightInd w:val="0"/>
        <w:spacing w:line="360" w:lineRule="auto"/>
        <w:rPr>
          <w:rFonts w:hint="eastAsia" w:ascii="宋体" w:hAnsi="宋体" w:eastAsia="宋体" w:cs="宋体"/>
          <w:b/>
          <w:bCs/>
          <w:szCs w:val="21"/>
          <w:highlight w:val="none"/>
        </w:rPr>
      </w:pPr>
      <w:bookmarkStart w:id="69" w:name="_Toc519242171"/>
      <w:r>
        <w:rPr>
          <w:rFonts w:hint="eastAsia" w:ascii="宋体" w:hAnsi="宋体" w:eastAsia="宋体" w:cs="宋体"/>
          <w:b/>
          <w:bCs/>
          <w:szCs w:val="21"/>
          <w:highlight w:val="none"/>
        </w:rPr>
        <w:t>4.3投标文件的修改与撤回</w:t>
      </w:r>
      <w:bookmarkEnd w:id="69"/>
    </w:p>
    <w:p w14:paraId="5A49AB12">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4.3.1在本章第4.2.1项规定的投标截止时间前，投标人可以修改或撤回已递交的投标文件。投标人对加密的投标文件进行撤回的，应在“电子交易平台”直接进行撤回操作；投标人对加密的投标文件进行修改的，应在投标截止时间前完成上传。</w:t>
      </w:r>
    </w:p>
    <w:p w14:paraId="73787B7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4.3.2投标人修改投标文件的，应使用“投标文件制作工具”制作成完整的投标文件，并按照本章第3条、第4条规定进行编制、加密和递交。对采用网上递交的加密的投标文件，以投标截止时间前最后完成上传的文件为准。</w:t>
      </w:r>
    </w:p>
    <w:p w14:paraId="1917C672">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4.3.3投标人撤回投标文件的，招标人自收到投标人书面撤回通知之日起5日内退还已收取的投标保证金。</w:t>
      </w:r>
    </w:p>
    <w:p w14:paraId="7DDC2A52">
      <w:pPr>
        <w:pStyle w:val="4"/>
        <w:spacing w:before="0" w:after="0" w:line="360" w:lineRule="auto"/>
        <w:jc w:val="left"/>
        <w:rPr>
          <w:rFonts w:hint="eastAsia" w:ascii="宋体" w:hAnsi="宋体" w:eastAsia="宋体" w:cs="宋体"/>
          <w:sz w:val="21"/>
          <w:szCs w:val="21"/>
          <w:highlight w:val="none"/>
        </w:rPr>
      </w:pPr>
      <w:bookmarkStart w:id="70" w:name="_Toc533409748"/>
      <w:bookmarkStart w:id="71" w:name="_Toc519242172"/>
      <w:bookmarkStart w:id="72" w:name="_Toc476670106"/>
      <w:bookmarkStart w:id="73" w:name="_Toc470527668"/>
      <w:bookmarkStart w:id="74" w:name="_Toc519325336"/>
      <w:bookmarkStart w:id="75" w:name="_Toc476670283"/>
      <w:r>
        <w:rPr>
          <w:rFonts w:hint="eastAsia" w:ascii="宋体" w:hAnsi="宋体" w:eastAsia="宋体" w:cs="宋体"/>
          <w:sz w:val="21"/>
          <w:szCs w:val="21"/>
          <w:highlight w:val="none"/>
        </w:rPr>
        <w:t>5．开标</w:t>
      </w:r>
      <w:bookmarkEnd w:id="70"/>
      <w:bookmarkEnd w:id="71"/>
      <w:bookmarkEnd w:id="72"/>
      <w:bookmarkEnd w:id="73"/>
      <w:bookmarkEnd w:id="74"/>
      <w:bookmarkEnd w:id="75"/>
    </w:p>
    <w:p w14:paraId="56D710A1">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5.1开标时间和地点</w:t>
      </w:r>
    </w:p>
    <w:p w14:paraId="5BA30D3D">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招标人在本章第4.2.1项规定的投标截止时间（开标时间）和投标人须知前附表规定的地点对收到的投标文件第一个信封（商务及技术文件）公开开标。</w:t>
      </w:r>
    </w:p>
    <w:p w14:paraId="1D6EDCF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招标人在投标人须知前附表规定的时间和地点对投标文件第二个信封（报价文件）公开开标。</w:t>
      </w:r>
    </w:p>
    <w:p w14:paraId="1C8DA5E1">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5.2开标程序</w:t>
      </w:r>
    </w:p>
    <w:p w14:paraId="00CA869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5.2.1主持人按下列程序对投标文件第一个信封（商务及技术文件）进行开标：</w:t>
      </w:r>
    </w:p>
    <w:p w14:paraId="096DB184">
      <w:pPr>
        <w:numPr>
          <w:ilvl w:val="0"/>
          <w:numId w:val="2"/>
        </w:num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公布在投标截止时间前递交投标文件的投标人数量；</w:t>
      </w:r>
    </w:p>
    <w:p w14:paraId="4DEEEA6F">
      <w:pPr>
        <w:numPr>
          <w:ilvl w:val="0"/>
          <w:numId w:val="2"/>
        </w:num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由招标人现场随机抽取评标基准价系数（如有）；</w:t>
      </w:r>
    </w:p>
    <w:p w14:paraId="7CA4F8E7">
      <w:pPr>
        <w:numPr>
          <w:ilvl w:val="0"/>
          <w:numId w:val="2"/>
        </w:num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投标人解密加密的投标文件；</w:t>
      </w:r>
    </w:p>
    <w:p w14:paraId="1480D90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（4）导入并读取所有解密成功的投标文件第一个信封（商务及技术文件）的内容；</w:t>
      </w:r>
    </w:p>
    <w:p w14:paraId="2F8CB77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（5）公布标段名称、投标人名称、投标保证金的递交情况、监理服务期限及其他内容，并记录在案；</w:t>
      </w:r>
    </w:p>
    <w:p w14:paraId="50D5593D">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w:t>
      </w:r>
      <w:r>
        <w:rPr>
          <w:rFonts w:hint="eastAsia" w:ascii="宋体" w:hAnsi="宋体" w:eastAsia="宋体" w:cs="宋体"/>
          <w:szCs w:val="21"/>
          <w:highlight w:val="none"/>
        </w:rPr>
        <w:t>招标人代表等有关人员在开标记录上签字确认</w:t>
      </w:r>
      <w:r>
        <w:rPr>
          <w:rFonts w:hint="eastAsia" w:ascii="宋体" w:hAnsi="宋体" w:eastAsia="宋体" w:cs="宋体"/>
          <w:bCs/>
          <w:szCs w:val="21"/>
          <w:highlight w:val="none"/>
        </w:rPr>
        <w:t>；</w:t>
      </w:r>
    </w:p>
    <w:p w14:paraId="3E4263A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（7）开标结束。</w:t>
      </w:r>
    </w:p>
    <w:p w14:paraId="302C23B2">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5.2.2投标文件第二个信封（报价文件）在投标文件第一个信封（商务及技术文件）完成评审前，“电子交易平台”的开标评标系统将不进行读取。</w:t>
      </w:r>
    </w:p>
    <w:p w14:paraId="3B696043">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5.2.3招标人将按照本章第5.1款规定的时间和地点对投标文件第二个信封（报价文件）进行开标。主持人按下列程序进行开标：</w:t>
      </w:r>
    </w:p>
    <w:p w14:paraId="4BA7CC8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（1）拆开投标文件第一个信封（商务及技术文件）评审结果的密封袋，宣布通过投标文件第一个信封（商务及技术文件）评审的投标人名单；</w:t>
      </w:r>
    </w:p>
    <w:p w14:paraId="5182BEB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（2）将未通过投标文件第一个信封（商务及技术文件）评审的投标文件第二个信封（报价文件）退还给投标人；</w:t>
      </w:r>
    </w:p>
    <w:p w14:paraId="01888622">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（3）第二信封</w:t>
      </w:r>
      <w:r>
        <w:rPr>
          <w:rFonts w:hint="eastAsia" w:ascii="宋体" w:hAnsi="宋体" w:eastAsia="宋体" w:cs="宋体"/>
          <w:highlight w:val="none"/>
        </w:rPr>
        <w:t>电子投标文件解密；本过程只对</w:t>
      </w:r>
      <w:r>
        <w:rPr>
          <w:rFonts w:hint="eastAsia" w:ascii="宋体" w:hAnsi="宋体" w:eastAsia="宋体" w:cs="宋体"/>
          <w:szCs w:val="21"/>
          <w:highlight w:val="none"/>
        </w:rPr>
        <w:t>通过投标文件第一个信封（商务及技术文件）评审的投标单位</w:t>
      </w:r>
      <w:r>
        <w:rPr>
          <w:rFonts w:hint="eastAsia" w:ascii="宋体" w:hAnsi="宋体" w:eastAsia="宋体" w:cs="宋体"/>
          <w:highlight w:val="none"/>
        </w:rPr>
        <w:t>解密</w:t>
      </w:r>
      <w:r>
        <w:rPr>
          <w:rFonts w:hint="eastAsia" w:ascii="宋体" w:hAnsi="宋体" w:eastAsia="宋体" w:cs="宋体"/>
          <w:szCs w:val="21"/>
          <w:highlight w:val="none"/>
        </w:rPr>
        <w:t>第二信封</w:t>
      </w:r>
      <w:r>
        <w:rPr>
          <w:rFonts w:hint="eastAsia" w:ascii="宋体" w:hAnsi="宋体" w:eastAsia="宋体" w:cs="宋体"/>
          <w:highlight w:val="none"/>
        </w:rPr>
        <w:t>电子投标文件。开标主要内容线上和开标室大屏幕同步显示，计算机自动语音电声唱标。</w:t>
      </w:r>
    </w:p>
    <w:p w14:paraId="46826DD7">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（4）招标人代表等有关人员在开标记录上签字确认；</w:t>
      </w:r>
    </w:p>
    <w:p w14:paraId="1B0C591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（5）开标结束。</w:t>
      </w:r>
    </w:p>
    <w:p w14:paraId="73CD7D3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5.2.4在投标文件第二个信封（报价文件）开标现场，招标人将按第三章“评标办法”规定的原则计算并宣布评标基准价。若招标人发现投标文件出现以下任一情况，其投标报价将不再参加评标基准价的计算：</w:t>
      </w:r>
    </w:p>
    <w:p w14:paraId="760EB49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（1）未在投标函上填写投标总价；</w:t>
      </w:r>
    </w:p>
    <w:p w14:paraId="0B8D0C4A">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（2）投标报价超出招标人公布的最高投标限价（如有）；</w:t>
      </w:r>
    </w:p>
    <w:p w14:paraId="6E257653">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（3）投标报价的大写金额无法确定具体数值；</w:t>
      </w:r>
    </w:p>
    <w:p w14:paraId="56D1E3C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（4）投标函上填写的标段号与投标文件封套上标记的标段号不一致。</w:t>
      </w:r>
    </w:p>
    <w:p w14:paraId="5D363BFD">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果投标人认为某一标段的评标基准价计算有误，投标人有权提出疑问，经招标人当场核实确认之后，可重新宣布评标基准价。开标现场宣布的评标基准价除计算有误经评标委员会修正外，在整个评标期间保持不变，不随任何因素发生变化。</w:t>
      </w:r>
    </w:p>
    <w:p w14:paraId="6A11BADD">
      <w:pPr>
        <w:autoSpaceDE w:val="0"/>
        <w:autoSpaceDN w:val="0"/>
        <w:adjustRightIn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5.2.5在投标文件第一个信封（商务及技术文件）或第二个信封（报价文件）开标过程中，若招标人宣读的内容与投标文件不符，投标人有权提出疑问，经招标人当场核查确认之后，可重新宣读其投标文件。若投标人现场未提出疑问，则认为投标人已确认招标人宣读的内容。</w:t>
      </w:r>
    </w:p>
    <w:p w14:paraId="194B506E">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5.3开标异议</w:t>
      </w:r>
    </w:p>
    <w:p w14:paraId="3F95716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投标人对开标有异议的，，招标人当场作出答复，并制作记录，有异议的投标人代表、招标人代表、记录人等有关人员在记录上签字确认。</w:t>
      </w:r>
    </w:p>
    <w:p w14:paraId="6D841A25">
      <w:pPr>
        <w:pStyle w:val="4"/>
        <w:spacing w:before="0" w:after="0" w:line="360" w:lineRule="auto"/>
        <w:jc w:val="left"/>
        <w:rPr>
          <w:rFonts w:hint="eastAsia" w:ascii="宋体" w:hAnsi="宋体" w:eastAsia="宋体" w:cs="宋体"/>
          <w:sz w:val="21"/>
          <w:szCs w:val="21"/>
          <w:highlight w:val="none"/>
        </w:rPr>
      </w:pPr>
      <w:bookmarkStart w:id="76" w:name="_Toc519325337"/>
      <w:bookmarkStart w:id="77" w:name="_Toc533409749"/>
      <w:r>
        <w:rPr>
          <w:rFonts w:hint="eastAsia" w:ascii="宋体" w:hAnsi="宋体" w:eastAsia="宋体" w:cs="宋体"/>
          <w:sz w:val="21"/>
          <w:szCs w:val="21"/>
          <w:highlight w:val="none"/>
        </w:rPr>
        <w:t>6.评标</w:t>
      </w:r>
      <w:bookmarkEnd w:id="76"/>
      <w:bookmarkEnd w:id="77"/>
    </w:p>
    <w:p w14:paraId="0222FA6C">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6.1评标委员会</w:t>
      </w:r>
    </w:p>
    <w:p w14:paraId="25A7A935">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6.1.1评标由招标人依法组建的评标委员会负责。评标委员会由有关技术、经济等方面的专家组成。评标委员会成员人数以及技术、经济等方面专家的确定方式见投标人须知前附表。</w:t>
      </w:r>
    </w:p>
    <w:p w14:paraId="77523EE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6.1.2评标委员会成员有下列情形之一的，应当回避：</w:t>
      </w:r>
    </w:p>
    <w:p w14:paraId="7D984725">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（1）为负责招标项目监督管理的交通运输主管部门的工作人员；</w:t>
      </w:r>
    </w:p>
    <w:p w14:paraId="2D69ACE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（2）与投标人法定代表人或其委托代理人有近亲属关系；</w:t>
      </w:r>
    </w:p>
    <w:p w14:paraId="546558B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（3）为投标人的工作人员或退休人员；</w:t>
      </w:r>
    </w:p>
    <w:p w14:paraId="6F4CE5EA">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（4）与投标人有其他利害关系，可能影响评标活动公正性；</w:t>
      </w:r>
    </w:p>
    <w:p w14:paraId="40A08D3A">
      <w:pPr>
        <w:numPr>
          <w:ilvl w:val="0"/>
          <w:numId w:val="3"/>
        </w:num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在与招标投标有关的活动中有过违法违规行为、曾受过行政处罚或刑事处罚</w:t>
      </w:r>
    </w:p>
    <w:p w14:paraId="6A2A088C">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6.1.3评标过程中，评标委员会成员有回避事由、擅离职守或因健康等原因不能继续评标的，招标人有权更换。被更换的评标委员会成员作出的评审结论无效，由更换后的评标委员会成员重新进行评审。</w:t>
      </w:r>
    </w:p>
    <w:p w14:paraId="382E50D9">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6.2评标原则</w:t>
      </w:r>
    </w:p>
    <w:p w14:paraId="5760879B">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评标活动遵循公平、公正、科学和择优的原则。</w:t>
      </w:r>
    </w:p>
    <w:p w14:paraId="0892D84D">
      <w:pPr>
        <w:autoSpaceDE w:val="0"/>
        <w:autoSpaceDN w:val="0"/>
        <w:adjustRightInd w:val="0"/>
        <w:spacing w:line="360" w:lineRule="auto"/>
        <w:rPr>
          <w:rFonts w:hint="eastAsia" w:ascii="宋体" w:hAnsi="宋体" w:eastAsia="宋体" w:cs="宋体"/>
          <w:b/>
          <w:bCs/>
          <w:szCs w:val="21"/>
          <w:highlight w:val="none"/>
        </w:rPr>
      </w:pPr>
      <w:bookmarkStart w:id="78" w:name="_Toc519242179"/>
      <w:r>
        <w:rPr>
          <w:rFonts w:hint="eastAsia" w:ascii="宋体" w:hAnsi="宋体" w:eastAsia="宋体" w:cs="宋体"/>
          <w:b/>
          <w:bCs/>
          <w:szCs w:val="21"/>
          <w:highlight w:val="none"/>
        </w:rPr>
        <w:t>6.3评标</w:t>
      </w:r>
      <w:bookmarkEnd w:id="78"/>
    </w:p>
    <w:p w14:paraId="20CA037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6.3.1评标委员会按照第三章“评标办法”规定的方法、评审因素、标准和程序对投标文件进行评审。第三章“评标办法”没有规定的方法、评审因素和标准，不作为评标依据。</w:t>
      </w:r>
    </w:p>
    <w:p w14:paraId="166ABA6A">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6.3.2评标及补救措施</w:t>
      </w:r>
    </w:p>
    <w:p w14:paraId="3BBA93A0">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r>
        <w:rPr>
          <w:rFonts w:hint="eastAsia" w:ascii="宋体" w:hAnsi="宋体" w:eastAsia="宋体" w:cs="宋体"/>
          <w:b/>
          <w:szCs w:val="21"/>
          <w:highlight w:val="none"/>
        </w:rPr>
        <w:t>如果出现系统表格和招标文件不一致的情况，以招标文件为唯一评标依据进行评审，在评标报告中说明情况。</w:t>
      </w:r>
    </w:p>
    <w:p w14:paraId="61989372">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评标完成后，评标委员会应向招标人提交评标报告和中标候选人名单。评标委员会推荐中标候选人的人数见投标人须知前附表。</w:t>
      </w:r>
    </w:p>
    <w:p w14:paraId="7C2B1520">
      <w:pPr>
        <w:pStyle w:val="4"/>
        <w:spacing w:before="0" w:after="0" w:line="360" w:lineRule="auto"/>
        <w:jc w:val="left"/>
        <w:rPr>
          <w:rFonts w:hint="eastAsia" w:ascii="宋体" w:hAnsi="宋体" w:eastAsia="宋体" w:cs="宋体"/>
          <w:sz w:val="21"/>
          <w:szCs w:val="21"/>
          <w:highlight w:val="none"/>
          <w:lang w:eastAsia="zh-CN"/>
        </w:rPr>
      </w:pPr>
      <w:bookmarkStart w:id="79" w:name="_Toc533409750"/>
      <w:bookmarkStart w:id="80" w:name="_Toc519325338"/>
      <w:r>
        <w:rPr>
          <w:rFonts w:hint="eastAsia" w:ascii="宋体" w:hAnsi="宋体" w:eastAsia="宋体" w:cs="宋体"/>
          <w:sz w:val="21"/>
          <w:szCs w:val="21"/>
          <w:highlight w:val="none"/>
        </w:rPr>
        <w:t>7.</w:t>
      </w:r>
      <w:bookmarkEnd w:id="79"/>
      <w:bookmarkEnd w:id="80"/>
      <w:r>
        <w:rPr>
          <w:rFonts w:hint="eastAsia" w:ascii="宋体" w:hAnsi="宋体" w:eastAsia="宋体" w:cs="宋体"/>
          <w:sz w:val="21"/>
          <w:szCs w:val="21"/>
          <w:highlight w:val="none"/>
          <w:lang w:eastAsia="zh-CN"/>
        </w:rPr>
        <w:t>定标</w:t>
      </w:r>
    </w:p>
    <w:p w14:paraId="5C1AD206">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7.1中标候选人公示</w:t>
      </w:r>
    </w:p>
    <w:p w14:paraId="526411D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招标人在收到评标报告之日起3日内，按照投标人须知前附表规定的公示媒介和期限公示中标候选人，公示期不得少于3日，公示内容包括：</w:t>
      </w:r>
    </w:p>
    <w:p w14:paraId="6B875B22">
      <w:pPr>
        <w:numPr>
          <w:ilvl w:val="0"/>
          <w:numId w:val="4"/>
        </w:num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中标候选人名称、投标报价，对监理质量要求、安全目标和监理服务期限的响应情况；</w:t>
      </w:r>
    </w:p>
    <w:p w14:paraId="6042016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（2）中标候选人在投标文件中承诺的总监理工程师姓名、相关证书名称和编号；</w:t>
      </w:r>
    </w:p>
    <w:p w14:paraId="257C8C7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（3）提出异议的渠道和方式；</w:t>
      </w:r>
    </w:p>
    <w:p w14:paraId="1BFEAFD7">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（4）投标人须知前附表规定公示的其他内容。</w:t>
      </w:r>
    </w:p>
    <w:p w14:paraId="300BD2BE">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7.2评标结果异议</w:t>
      </w:r>
    </w:p>
    <w:p w14:paraId="415B1C5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投标人或其他利害关系人对依法必须进行招标的项目的评标结果有异议的，应在中标候选人公示期间提出。招标人将在收到异议之日起3日内作出答复；作出答复前，将暂停招标投标活动。</w:t>
      </w:r>
    </w:p>
    <w:p w14:paraId="1D6B0D8A">
      <w:pPr>
        <w:autoSpaceDE w:val="0"/>
        <w:autoSpaceDN w:val="0"/>
        <w:adjustRightInd w:val="0"/>
        <w:spacing w:line="360" w:lineRule="auto"/>
        <w:rPr>
          <w:rFonts w:hint="eastAsia" w:ascii="宋体" w:hAnsi="宋体" w:eastAsia="宋体" w:cs="宋体"/>
          <w:b/>
          <w:bCs/>
          <w:szCs w:val="21"/>
          <w:highlight w:val="none"/>
        </w:rPr>
      </w:pPr>
      <w:bookmarkStart w:id="81" w:name="_Toc519242183"/>
      <w:r>
        <w:rPr>
          <w:rFonts w:hint="eastAsia" w:ascii="宋体" w:hAnsi="宋体" w:eastAsia="宋体" w:cs="宋体"/>
          <w:b/>
          <w:bCs/>
          <w:szCs w:val="21"/>
          <w:highlight w:val="none"/>
        </w:rPr>
        <w:t>7.3</w:t>
      </w:r>
      <w:bookmarkEnd w:id="81"/>
      <w:r>
        <w:rPr>
          <w:rFonts w:hint="eastAsia" w:ascii="宋体" w:hAnsi="宋体" w:eastAsia="宋体" w:cs="宋体"/>
          <w:b/>
          <w:bCs/>
          <w:szCs w:val="21"/>
          <w:highlight w:val="none"/>
          <w:lang w:val="en-US" w:eastAsia="zh-CN"/>
        </w:rPr>
        <w:t>中标候选人核查</w:t>
      </w:r>
    </w:p>
    <w:p w14:paraId="655546F1">
      <w:pPr>
        <w:pStyle w:val="16"/>
        <w:keepNext w:val="0"/>
        <w:keepLines w:val="0"/>
        <w:pageBreakBefore w:val="0"/>
        <w:widowControl w:val="0"/>
        <w:kinsoku/>
        <w:wordWrap/>
        <w:overflowPunct/>
        <w:topLinePunct w:val="0"/>
        <w:autoSpaceDE w:val="0"/>
        <w:autoSpaceDN w:val="0"/>
        <w:bidi w:val="0"/>
        <w:adjustRightInd w:val="0"/>
        <w:snapToGrid/>
        <w:spacing w:line="440" w:lineRule="exact"/>
        <w:rPr>
          <w:rFonts w:hint="default" w:ascii="宋体" w:hAnsi="宋体" w:eastAsia="宋体" w:cs="宋体"/>
          <w:bCs/>
          <w:kern w:val="2"/>
          <w:sz w:val="21"/>
          <w:szCs w:val="21"/>
          <w:highlight w:val="none"/>
          <w:lang w:val="en-US" w:eastAsia="zh-CN" w:bidi="ar-SA"/>
        </w:rPr>
      </w:pPr>
      <w:bookmarkStart w:id="82" w:name="_Toc519242184"/>
      <w:r>
        <w:rPr>
          <w:rFonts w:hint="eastAsia" w:ascii="宋体" w:hAnsi="宋体" w:eastAsia="宋体" w:cs="宋体"/>
          <w:bCs/>
          <w:kern w:val="2"/>
          <w:sz w:val="21"/>
          <w:szCs w:val="21"/>
          <w:highlight w:val="none"/>
          <w:lang w:val="en-US" w:eastAsia="zh-CN" w:bidi="ar-SA"/>
        </w:rPr>
        <w:t>招标人在收到评标报告3日内组建定标委员会，负责对中标候选人进行核查，定标委员会按照第四章“定标办法”规定的核查内容和方法对中标候选人进行核查。</w:t>
      </w:r>
    </w:p>
    <w:p w14:paraId="72CD8907">
      <w:pPr>
        <w:autoSpaceDE w:val="0"/>
        <w:autoSpaceDN w:val="0"/>
        <w:adjustRightInd w:val="0"/>
        <w:spacing w:line="360" w:lineRule="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7.4定标</w:t>
      </w:r>
      <w:bookmarkEnd w:id="82"/>
      <w:r>
        <w:rPr>
          <w:rFonts w:hint="eastAsia" w:ascii="宋体" w:hAnsi="宋体" w:eastAsia="宋体" w:cs="宋体"/>
          <w:b/>
          <w:bCs/>
          <w:szCs w:val="21"/>
          <w:highlight w:val="none"/>
          <w:lang w:eastAsia="zh-CN"/>
        </w:rPr>
        <w:t>方法</w:t>
      </w:r>
    </w:p>
    <w:p w14:paraId="2B52C412">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rPr>
          <w:rFonts w:hint="default" w:ascii="宋体" w:hAnsi="宋体" w:eastAsia="宋体" w:cs="宋体"/>
          <w:bCs/>
          <w:szCs w:val="21"/>
          <w:highlight w:val="none"/>
          <w:lang w:val="en-US" w:eastAsia="zh-CN"/>
        </w:rPr>
      </w:pPr>
      <w:bookmarkStart w:id="83" w:name="_Toc519242185"/>
      <w:r>
        <w:rPr>
          <w:rFonts w:hint="eastAsia" w:ascii="宋体" w:hAnsi="宋体" w:eastAsia="宋体" w:cs="宋体"/>
          <w:bCs/>
          <w:szCs w:val="21"/>
          <w:highlight w:val="none"/>
          <w:lang w:val="en-US" w:eastAsia="zh-CN"/>
        </w:rPr>
        <w:t>按照</w:t>
      </w:r>
      <w:r>
        <w:rPr>
          <w:rFonts w:hint="eastAsia" w:ascii="宋体" w:hAnsi="宋体" w:eastAsia="宋体" w:cs="宋体"/>
          <w:bCs/>
          <w:kern w:val="2"/>
          <w:sz w:val="21"/>
          <w:szCs w:val="21"/>
          <w:highlight w:val="none"/>
          <w:lang w:val="en-US" w:eastAsia="zh-CN" w:bidi="ar-SA"/>
        </w:rPr>
        <w:t>投标人须知前附表的规定，招标人收到评标报告10日内完成定标工作，定标过程包括核查、定标会议两个阶段。</w:t>
      </w:r>
    </w:p>
    <w:p w14:paraId="030BA01C">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7.5中标通知</w:t>
      </w:r>
      <w:bookmarkEnd w:id="83"/>
    </w:p>
    <w:p w14:paraId="1E5C21C2">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在本章第3.3款规定的投标有效期内，招标人以投标人须知前附表规定的形式向中标人发出中标通知书，同时将中标结果通知未中标的投标人。</w:t>
      </w:r>
    </w:p>
    <w:p w14:paraId="165469A1">
      <w:pPr>
        <w:autoSpaceDE w:val="0"/>
        <w:autoSpaceDN w:val="0"/>
        <w:adjustRightInd w:val="0"/>
        <w:spacing w:line="360" w:lineRule="auto"/>
        <w:rPr>
          <w:rFonts w:hint="eastAsia" w:ascii="宋体" w:hAnsi="宋体" w:eastAsia="宋体" w:cs="宋体"/>
          <w:b/>
          <w:bCs/>
          <w:szCs w:val="21"/>
          <w:highlight w:val="none"/>
        </w:rPr>
      </w:pPr>
      <w:bookmarkStart w:id="84" w:name="_Toc519242186"/>
      <w:r>
        <w:rPr>
          <w:rFonts w:hint="eastAsia" w:ascii="宋体" w:hAnsi="宋体" w:eastAsia="宋体" w:cs="宋体"/>
          <w:b/>
          <w:bCs/>
          <w:szCs w:val="21"/>
          <w:highlight w:val="none"/>
        </w:rPr>
        <w:t>7.6中标结果公告</w:t>
      </w:r>
      <w:bookmarkEnd w:id="84"/>
    </w:p>
    <w:p w14:paraId="15424A34">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招标人在确定中标人之日起3日内，按照投标人须知前附表规定的公告媒介和期限公告中标结果，公告期不得少于3日。公告内容包括中标人名称、中标价。</w:t>
      </w:r>
    </w:p>
    <w:p w14:paraId="15069FCC">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7.7履约保证金</w:t>
      </w:r>
    </w:p>
    <w:p w14:paraId="47DA79A2">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 在签订合同前，中标人应按投标人须知前附表规定的金额、担保形式和招标文件第五章“合同条款及格式”规定的或者事先经过招标人书面认可的履约担保格式向招标人提交履约担保。</w:t>
      </w:r>
    </w:p>
    <w:p w14:paraId="0C9F88DB">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 中标人不能按本章第7.4.1 项要求提交履约担保的，视为放弃中标，其投标保证金不予退还，给招标人造成的损失超过投标保证金数额的，中标人还应当对超过部分予以赔偿。</w:t>
      </w:r>
    </w:p>
    <w:p w14:paraId="5B8D3A7A">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7.8签订合同</w:t>
      </w:r>
    </w:p>
    <w:p w14:paraId="750CF562">
      <w:pPr>
        <w:pageBreakBefore w:val="0"/>
        <w:widowControl w:val="0"/>
        <w:kinsoku/>
        <w:wordWrap/>
        <w:overflowPunct/>
        <w:topLinePunct w:val="0"/>
        <w:autoSpaceDE w:val="0"/>
        <w:autoSpaceDN w:val="0"/>
        <w:bidi w:val="0"/>
        <w:adjustRightInd w:val="0"/>
        <w:snapToGrid/>
        <w:spacing w:line="440" w:lineRule="exact"/>
        <w:ind w:firstLine="420" w:firstLineChars="200"/>
        <w:rPr>
          <w:rFonts w:hint="eastAsia" w:ascii="宋体" w:hAnsi="宋体" w:eastAsia="宋体" w:cs="宋体"/>
          <w:bCs/>
          <w:szCs w:val="21"/>
          <w:highlight w:val="none"/>
        </w:rPr>
      </w:pPr>
      <w:bookmarkStart w:id="85" w:name="_Toc519325339"/>
      <w:bookmarkStart w:id="86" w:name="_Toc519242189"/>
      <w:bookmarkStart w:id="87" w:name="_Toc533409751"/>
      <w:bookmarkStart w:id="88" w:name="_Toc476670286"/>
      <w:bookmarkStart w:id="89" w:name="_Toc476670109"/>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8</w:t>
      </w:r>
      <w:r>
        <w:rPr>
          <w:rFonts w:hint="eastAsia" w:ascii="宋体" w:hAnsi="宋体" w:eastAsia="宋体" w:cs="宋体"/>
          <w:bCs/>
          <w:szCs w:val="21"/>
          <w:highlight w:val="none"/>
        </w:rPr>
        <w:t>.1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E6470EC">
      <w:pPr>
        <w:pageBreakBefore w:val="0"/>
        <w:widowControl w:val="0"/>
        <w:kinsoku/>
        <w:wordWrap/>
        <w:overflowPunct/>
        <w:topLinePunct w:val="0"/>
        <w:autoSpaceDE w:val="0"/>
        <w:autoSpaceDN w:val="0"/>
        <w:bidi w:val="0"/>
        <w:adjustRightInd w:val="0"/>
        <w:snapToGrid/>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8</w:t>
      </w:r>
      <w:r>
        <w:rPr>
          <w:rFonts w:hint="eastAsia" w:ascii="宋体" w:hAnsi="宋体" w:eastAsia="宋体" w:cs="宋体"/>
          <w:bCs/>
          <w:szCs w:val="21"/>
          <w:highlight w:val="none"/>
        </w:rPr>
        <w:t>.2 发出中标通知书后，招标人无正当理由拒签合同的，招标人向中标人退还投标保证金；给中标人造成损失的，还应当赔偿损失。</w:t>
      </w:r>
    </w:p>
    <w:p w14:paraId="460DA962">
      <w:pPr>
        <w:pStyle w:val="4"/>
        <w:spacing w:before="0" w:after="0"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8．纪律和监督</w:t>
      </w:r>
      <w:bookmarkEnd w:id="85"/>
      <w:bookmarkEnd w:id="86"/>
      <w:bookmarkEnd w:id="87"/>
    </w:p>
    <w:bookmarkEnd w:id="88"/>
    <w:bookmarkEnd w:id="89"/>
    <w:p w14:paraId="1015D5CF">
      <w:pPr>
        <w:autoSpaceDE w:val="0"/>
        <w:autoSpaceDN w:val="0"/>
        <w:adjustRightInd w:val="0"/>
        <w:spacing w:line="360" w:lineRule="auto"/>
        <w:rPr>
          <w:rFonts w:hint="eastAsia" w:ascii="宋体" w:hAnsi="宋体" w:eastAsia="宋体" w:cs="宋体"/>
          <w:b/>
          <w:bCs/>
          <w:szCs w:val="21"/>
          <w:highlight w:val="none"/>
        </w:rPr>
      </w:pPr>
      <w:bookmarkStart w:id="90" w:name="_Toc519242190"/>
      <w:r>
        <w:rPr>
          <w:rFonts w:hint="eastAsia" w:ascii="宋体" w:hAnsi="宋体" w:eastAsia="宋体" w:cs="宋体"/>
          <w:b/>
          <w:bCs/>
          <w:szCs w:val="21"/>
          <w:highlight w:val="none"/>
        </w:rPr>
        <w:t>8.1对招标人的纪律要求</w:t>
      </w:r>
      <w:bookmarkEnd w:id="90"/>
    </w:p>
    <w:p w14:paraId="38263C7F">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招标人不得泄露招标投标活动中应保密的情况和资料，不得与投标人串通损害国家利益、社会公共利益或他人合法权益。</w:t>
      </w:r>
    </w:p>
    <w:p w14:paraId="340DCC8A">
      <w:pPr>
        <w:autoSpaceDE w:val="0"/>
        <w:autoSpaceDN w:val="0"/>
        <w:adjustRightInd w:val="0"/>
        <w:spacing w:line="360" w:lineRule="auto"/>
        <w:rPr>
          <w:rFonts w:hint="eastAsia" w:ascii="宋体" w:hAnsi="宋体" w:eastAsia="宋体" w:cs="宋体"/>
          <w:b/>
          <w:bCs/>
          <w:szCs w:val="21"/>
          <w:highlight w:val="none"/>
        </w:rPr>
      </w:pPr>
      <w:bookmarkStart w:id="91" w:name="_Toc519242191"/>
      <w:r>
        <w:rPr>
          <w:rFonts w:hint="eastAsia" w:ascii="宋体" w:hAnsi="宋体" w:eastAsia="宋体" w:cs="宋体"/>
          <w:b/>
          <w:bCs/>
          <w:szCs w:val="21"/>
          <w:highlight w:val="none"/>
        </w:rPr>
        <w:t>8.2对投标人的纪律要求</w:t>
      </w:r>
      <w:bookmarkEnd w:id="91"/>
    </w:p>
    <w:p w14:paraId="09FDA6A7">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1C36BEE0">
      <w:pPr>
        <w:autoSpaceDE w:val="0"/>
        <w:autoSpaceDN w:val="0"/>
        <w:adjustRightInd w:val="0"/>
        <w:spacing w:line="360" w:lineRule="auto"/>
        <w:rPr>
          <w:rFonts w:hint="eastAsia" w:ascii="宋体" w:hAnsi="宋体" w:eastAsia="宋体" w:cs="宋体"/>
          <w:b/>
          <w:bCs/>
          <w:szCs w:val="21"/>
          <w:highlight w:val="none"/>
        </w:rPr>
      </w:pPr>
      <w:bookmarkStart w:id="92" w:name="_Toc519242192"/>
      <w:r>
        <w:rPr>
          <w:rFonts w:hint="eastAsia" w:ascii="宋体" w:hAnsi="宋体" w:eastAsia="宋体" w:cs="宋体"/>
          <w:b/>
          <w:bCs/>
          <w:szCs w:val="21"/>
          <w:highlight w:val="none"/>
        </w:rPr>
        <w:t>8.3对评标委员会成员的纪律要求</w:t>
      </w:r>
      <w:bookmarkEnd w:id="92"/>
    </w:p>
    <w:p w14:paraId="4FA03A29">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748F7BD9">
      <w:pPr>
        <w:autoSpaceDE w:val="0"/>
        <w:autoSpaceDN w:val="0"/>
        <w:adjustRightInd w:val="0"/>
        <w:spacing w:line="360" w:lineRule="auto"/>
        <w:rPr>
          <w:rFonts w:hint="eastAsia" w:ascii="宋体" w:hAnsi="宋体" w:eastAsia="宋体" w:cs="宋体"/>
          <w:b/>
          <w:bCs/>
          <w:szCs w:val="21"/>
          <w:highlight w:val="none"/>
        </w:rPr>
      </w:pPr>
      <w:bookmarkStart w:id="93" w:name="_Toc519242193"/>
      <w:r>
        <w:rPr>
          <w:rFonts w:hint="eastAsia" w:ascii="宋体" w:hAnsi="宋体" w:eastAsia="宋体" w:cs="宋体"/>
          <w:b/>
          <w:bCs/>
          <w:szCs w:val="21"/>
          <w:highlight w:val="none"/>
        </w:rPr>
        <w:t>8.4对与评标活动有关的工作人员的纪律要求</w:t>
      </w:r>
      <w:bookmarkEnd w:id="93"/>
    </w:p>
    <w:p w14:paraId="05F46898">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6C5490B0">
      <w:pPr>
        <w:autoSpaceDE w:val="0"/>
        <w:autoSpaceDN w:val="0"/>
        <w:adjustRightInd w:val="0"/>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8.5投诉</w:t>
      </w:r>
    </w:p>
    <w:p w14:paraId="256E2FD2">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8.5.1投标人或其他利害关系人认为招标投标活动不符合法律、行政法规规定的，可以自知道或应当知道之日起10日内向有关行政监督部门投诉。投诉应有明确的请求和必要的证明材料。</w:t>
      </w:r>
    </w:p>
    <w:p w14:paraId="74C95A16">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监督部门的联系方式见投标人须知前附表。</w:t>
      </w:r>
    </w:p>
    <w:p w14:paraId="22F6BAD7">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8.5.2投标人或其他利害关系人对招标文件、开标和评标结果提出投诉的，应按照本章第2.4款、第5.3款和第7.2款的规定先向招标人提出异议。异议答复期间不计算在第8.5.1项规定的期限内。</w:t>
      </w:r>
    </w:p>
    <w:p w14:paraId="7292BDE7">
      <w:pPr>
        <w:pStyle w:val="4"/>
        <w:spacing w:before="0" w:after="0" w:line="360" w:lineRule="auto"/>
        <w:jc w:val="left"/>
        <w:rPr>
          <w:rFonts w:hint="eastAsia" w:ascii="宋体" w:hAnsi="宋体" w:eastAsia="宋体" w:cs="宋体"/>
          <w:sz w:val="21"/>
          <w:szCs w:val="21"/>
          <w:highlight w:val="none"/>
        </w:rPr>
      </w:pPr>
      <w:bookmarkStart w:id="94" w:name="_Toc519325340"/>
      <w:bookmarkStart w:id="95" w:name="_Toc533409752"/>
      <w:bookmarkStart w:id="96" w:name="_Toc519242195"/>
      <w:r>
        <w:rPr>
          <w:rFonts w:hint="eastAsia" w:ascii="宋体" w:hAnsi="宋体" w:eastAsia="宋体" w:cs="宋体"/>
          <w:sz w:val="21"/>
          <w:szCs w:val="21"/>
          <w:highlight w:val="none"/>
        </w:rPr>
        <w:t>9.是否采用电子招标投标</w:t>
      </w:r>
      <w:bookmarkEnd w:id="94"/>
      <w:bookmarkEnd w:id="95"/>
      <w:bookmarkEnd w:id="96"/>
    </w:p>
    <w:p w14:paraId="5FA47EBE">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本招标项目是否采用电子招标投标方式，见投标人须知前附表。</w:t>
      </w:r>
    </w:p>
    <w:p w14:paraId="7B756597">
      <w:pPr>
        <w:pStyle w:val="4"/>
        <w:spacing w:before="0" w:after="0" w:line="360" w:lineRule="auto"/>
        <w:jc w:val="left"/>
        <w:rPr>
          <w:rFonts w:hint="eastAsia" w:ascii="宋体" w:hAnsi="宋体" w:eastAsia="宋体" w:cs="宋体"/>
          <w:sz w:val="21"/>
          <w:szCs w:val="21"/>
          <w:highlight w:val="none"/>
        </w:rPr>
      </w:pPr>
      <w:bookmarkStart w:id="97" w:name="_Toc519325341"/>
      <w:bookmarkStart w:id="98" w:name="_Toc519242196"/>
      <w:bookmarkStart w:id="99" w:name="_Toc533409753"/>
      <w:r>
        <w:rPr>
          <w:rFonts w:hint="eastAsia" w:ascii="宋体" w:hAnsi="宋体" w:eastAsia="宋体" w:cs="宋体"/>
          <w:sz w:val="21"/>
          <w:szCs w:val="21"/>
          <w:highlight w:val="none"/>
        </w:rPr>
        <w:t>10.需要补充的其他内容</w:t>
      </w:r>
      <w:bookmarkEnd w:id="97"/>
      <w:bookmarkEnd w:id="98"/>
      <w:bookmarkEnd w:id="99"/>
    </w:p>
    <w:p w14:paraId="1A8501A7">
      <w:pPr>
        <w:autoSpaceDE w:val="0"/>
        <w:autoSpaceDN w:val="0"/>
        <w:adjustRightIn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10.1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61DECB56">
      <w:pPr>
        <w:autoSpaceDE w:val="0"/>
        <w:autoSpaceDN w:val="0"/>
        <w:adjustRightInd w:val="0"/>
        <w:spacing w:line="360" w:lineRule="auto"/>
        <w:ind w:firstLine="420" w:firstLineChars="200"/>
        <w:rPr>
          <w:rFonts w:hint="eastAsia" w:ascii="宋体" w:hAnsi="宋体" w:eastAsia="宋体" w:cs="宋体"/>
          <w:bCs/>
          <w:sz w:val="24"/>
          <w:highlight w:val="none"/>
        </w:rPr>
      </w:pPr>
      <w:r>
        <w:rPr>
          <w:rFonts w:hint="eastAsia" w:ascii="宋体" w:hAnsi="宋体" w:eastAsia="宋体" w:cs="宋体"/>
          <w:bCs/>
          <w:szCs w:val="21"/>
          <w:highlight w:val="none"/>
        </w:rPr>
        <w:t>需要补充的其他内容：见投标人须知前附表。</w:t>
      </w:r>
    </w:p>
    <w:p w14:paraId="54086592">
      <w:pPr>
        <w:pStyle w:val="10"/>
        <w:rPr>
          <w:rFonts w:hint="eastAsia" w:ascii="宋体" w:hAnsi="宋体" w:eastAsia="宋体" w:cs="宋体"/>
          <w:bCs/>
          <w:sz w:val="24"/>
          <w:highlight w:val="none"/>
        </w:rPr>
      </w:pPr>
    </w:p>
    <w:p w14:paraId="408F54DD">
      <w:pPr>
        <w:pStyle w:val="23"/>
        <w:spacing w:line="440" w:lineRule="exact"/>
        <w:ind w:left="0" w:firstLine="523" w:firstLineChars="217"/>
        <w:rPr>
          <w:rFonts w:hint="eastAsia" w:ascii="宋体" w:hAnsi="宋体" w:eastAsia="宋体" w:cs="宋体"/>
          <w:b/>
          <w:sz w:val="24"/>
          <w:highlight w:val="none"/>
        </w:rPr>
      </w:pPr>
      <w:bookmarkStart w:id="100" w:name="_Toc457201651"/>
      <w:bookmarkStart w:id="101" w:name="_Toc476670289"/>
      <w:bookmarkStart w:id="102" w:name="_Toc476670112"/>
      <w:r>
        <w:rPr>
          <w:rFonts w:hint="eastAsia" w:ascii="宋体" w:hAnsi="宋体" w:eastAsia="宋体" w:cs="宋体"/>
          <w:b/>
          <w:sz w:val="24"/>
          <w:highlight w:val="none"/>
        </w:rPr>
        <w:t>11.河南省政府采购合同融资政策告知函（详见附件）</w:t>
      </w:r>
    </w:p>
    <w:p w14:paraId="7E63818C">
      <w:pPr>
        <w:rPr>
          <w:rFonts w:hint="eastAsia" w:ascii="宋体" w:hAnsi="宋体" w:eastAsia="宋体" w:cs="宋体"/>
          <w:szCs w:val="32"/>
          <w:highlight w:val="none"/>
        </w:rPr>
      </w:pPr>
      <w:r>
        <w:rPr>
          <w:rFonts w:hint="eastAsia" w:ascii="宋体" w:hAnsi="宋体" w:eastAsia="宋体" w:cs="宋体"/>
          <w:szCs w:val="32"/>
          <w:highlight w:val="none"/>
        </w:rPr>
        <w:t>附件：</w:t>
      </w:r>
    </w:p>
    <w:p w14:paraId="0DA722A1">
      <w:pPr>
        <w:jc w:val="center"/>
        <w:rPr>
          <w:rFonts w:hint="eastAsia" w:ascii="宋体" w:hAnsi="宋体" w:eastAsia="宋体" w:cs="宋体"/>
          <w:szCs w:val="32"/>
          <w:highlight w:val="none"/>
        </w:rPr>
      </w:pPr>
      <w:r>
        <w:rPr>
          <w:rFonts w:hint="eastAsia" w:ascii="宋体" w:hAnsi="宋体" w:eastAsia="宋体" w:cs="宋体"/>
          <w:szCs w:val="32"/>
          <w:highlight w:val="none"/>
        </w:rPr>
        <w:t>河南省政府采购合同融资政策告知函</w:t>
      </w:r>
    </w:p>
    <w:p w14:paraId="6A39BB78">
      <w:pPr>
        <w:rPr>
          <w:rFonts w:hint="eastAsia" w:ascii="宋体" w:hAnsi="宋体" w:eastAsia="宋体" w:cs="宋体"/>
          <w:szCs w:val="32"/>
          <w:highlight w:val="none"/>
        </w:rPr>
      </w:pPr>
      <w:r>
        <w:rPr>
          <w:rFonts w:hint="eastAsia" w:ascii="宋体" w:hAnsi="宋体" w:eastAsia="宋体" w:cs="宋体"/>
          <w:szCs w:val="32"/>
          <w:highlight w:val="none"/>
        </w:rPr>
        <w:t> 各供应商：</w:t>
      </w:r>
    </w:p>
    <w:p w14:paraId="5FA571B2">
      <w:pPr>
        <w:ind w:firstLine="420" w:firstLineChars="200"/>
        <w:rPr>
          <w:rFonts w:hint="eastAsia" w:ascii="宋体" w:hAnsi="宋体" w:eastAsia="宋体" w:cs="宋体"/>
          <w:szCs w:val="32"/>
          <w:highlight w:val="none"/>
        </w:rPr>
      </w:pPr>
      <w:r>
        <w:rPr>
          <w:rFonts w:hint="eastAsia" w:ascii="宋体" w:hAnsi="宋体" w:eastAsia="宋体" w:cs="宋体"/>
          <w:szCs w:val="32"/>
          <w:highlight w:val="none"/>
        </w:rPr>
        <w:t>欢迎贵公司参与河南省政府采购活动！</w:t>
      </w:r>
    </w:p>
    <w:p w14:paraId="27B28CB2">
      <w:pPr>
        <w:ind w:firstLine="420" w:firstLineChars="200"/>
        <w:rPr>
          <w:rFonts w:hint="eastAsia" w:ascii="宋体" w:hAnsi="宋体" w:eastAsia="宋体" w:cs="宋体"/>
          <w:szCs w:val="32"/>
          <w:highlight w:val="none"/>
        </w:rPr>
      </w:pPr>
      <w:r>
        <w:rPr>
          <w:rFonts w:hint="eastAsia" w:ascii="宋体" w:hAnsi="宋体" w:eastAsia="宋体" w:cs="宋体"/>
          <w:szCs w:val="32"/>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F175266">
      <w:pPr>
        <w:ind w:firstLine="420" w:firstLineChars="200"/>
        <w:rPr>
          <w:rFonts w:hint="eastAsia" w:ascii="宋体" w:hAnsi="宋体" w:eastAsia="宋体" w:cs="宋体"/>
          <w:szCs w:val="32"/>
          <w:highlight w:val="none"/>
        </w:rPr>
      </w:pPr>
      <w:r>
        <w:rPr>
          <w:rFonts w:hint="eastAsia" w:ascii="宋体" w:hAnsi="宋体" w:eastAsia="宋体" w:cs="宋体"/>
          <w:szCs w:val="32"/>
          <w:highlight w:val="none"/>
        </w:rPr>
        <w:t>贷款渠道和提供贷款的金融机构，可在河南省政府采购网“河南省政府采购合同融资平台”查询联系。</w:t>
      </w:r>
    </w:p>
    <w:p w14:paraId="7E7221F7">
      <w:pPr>
        <w:pStyle w:val="23"/>
        <w:spacing w:line="440" w:lineRule="exact"/>
        <w:ind w:left="0" w:firstLine="455" w:firstLineChars="217"/>
        <w:rPr>
          <w:rFonts w:hint="eastAsia" w:ascii="宋体" w:hAnsi="宋体" w:eastAsia="宋体" w:cs="宋体"/>
          <w:szCs w:val="32"/>
          <w:highlight w:val="none"/>
        </w:rPr>
        <w:sectPr>
          <w:footerReference r:id="rId4" w:type="default"/>
          <w:pgSz w:w="11906" w:h="16838"/>
          <w:pgMar w:top="1247" w:right="1361" w:bottom="1247" w:left="1361" w:header="851" w:footer="851" w:gutter="0"/>
          <w:pgNumType w:fmt="decimal" w:start="1"/>
          <w:cols w:space="720" w:num="1"/>
          <w:docGrid w:type="lines" w:linePitch="312" w:charSpace="0"/>
        </w:sectPr>
      </w:pPr>
    </w:p>
    <w:p w14:paraId="5CE6D5A7">
      <w:pPr>
        <w:rPr>
          <w:rFonts w:hint="eastAsia" w:ascii="宋体" w:hAnsi="宋体" w:eastAsia="宋体" w:cs="宋体"/>
          <w:b/>
          <w:bCs/>
          <w:sz w:val="28"/>
          <w:szCs w:val="28"/>
          <w:highlight w:val="none"/>
          <w:vertAlign w:val="superscript"/>
        </w:rPr>
      </w:pPr>
      <w:r>
        <w:rPr>
          <w:rFonts w:hint="eastAsia" w:ascii="宋体" w:hAnsi="宋体" w:eastAsia="宋体" w:cs="宋体"/>
          <w:b/>
          <w:bCs/>
          <w:sz w:val="28"/>
          <w:szCs w:val="28"/>
          <w:highlight w:val="none"/>
        </w:rPr>
        <w:t>附表一：开标记录表</w:t>
      </w:r>
      <w:bookmarkEnd w:id="100"/>
      <w:bookmarkEnd w:id="101"/>
      <w:bookmarkEnd w:id="102"/>
    </w:p>
    <w:p w14:paraId="4C62FD69">
      <w:pPr>
        <w:ind w:firstLine="1890" w:firstLineChars="900"/>
        <w:rPr>
          <w:rFonts w:hint="eastAsia" w:ascii="宋体" w:hAnsi="宋体" w:eastAsia="宋体" w:cs="宋体"/>
          <w:szCs w:val="21"/>
          <w:highlight w:val="none"/>
          <w:u w:val="single"/>
        </w:rPr>
      </w:pPr>
    </w:p>
    <w:p w14:paraId="68CB73E8">
      <w:pPr>
        <w:ind w:firstLine="1680" w:firstLineChars="800"/>
        <w:rPr>
          <w:rFonts w:hint="eastAsia" w:ascii="宋体" w:hAnsi="宋体" w:eastAsia="宋体" w:cs="宋体"/>
          <w:szCs w:val="21"/>
          <w:highlight w:val="none"/>
        </w:rPr>
      </w:pPr>
      <w:r>
        <w:rPr>
          <w:rFonts w:hint="eastAsia" w:ascii="宋体" w:hAnsi="宋体" w:eastAsia="宋体" w:cs="宋体"/>
          <w:szCs w:val="21"/>
          <w:highlight w:val="none"/>
          <w:u w:val="single"/>
        </w:rPr>
        <w:t xml:space="preserve">  （项目名称）   </w:t>
      </w:r>
      <w:r>
        <w:rPr>
          <w:rFonts w:hint="eastAsia" w:ascii="宋体" w:hAnsi="宋体" w:eastAsia="宋体" w:cs="宋体"/>
          <w:szCs w:val="21"/>
          <w:highlight w:val="none"/>
        </w:rPr>
        <w:t>监理第一个信封（商务及技术文件）</w:t>
      </w:r>
    </w:p>
    <w:p w14:paraId="7617703F">
      <w:pPr>
        <w:ind w:firstLine="3885" w:firstLineChars="1850"/>
        <w:rPr>
          <w:rFonts w:hint="eastAsia" w:ascii="宋体" w:hAnsi="宋体" w:eastAsia="宋体" w:cs="宋体"/>
          <w:b/>
          <w:bCs/>
          <w:szCs w:val="21"/>
          <w:highlight w:val="none"/>
        </w:rPr>
      </w:pPr>
      <w:r>
        <w:rPr>
          <w:rFonts w:hint="eastAsia" w:ascii="宋体" w:hAnsi="宋体" w:eastAsia="宋体" w:cs="宋体"/>
          <w:szCs w:val="21"/>
          <w:highlight w:val="none"/>
        </w:rPr>
        <w:t>开标记录表</w:t>
      </w:r>
    </w:p>
    <w:p w14:paraId="648F8F47">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开标时间：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w:t>
      </w:r>
    </w:p>
    <w:tbl>
      <w:tblPr>
        <w:tblStyle w:val="18"/>
        <w:tblW w:w="0" w:type="auto"/>
        <w:jc w:val="center"/>
        <w:tblLayout w:type="fixed"/>
        <w:tblCellMar>
          <w:top w:w="0" w:type="dxa"/>
          <w:left w:w="0" w:type="dxa"/>
          <w:bottom w:w="0" w:type="dxa"/>
          <w:right w:w="0" w:type="dxa"/>
        </w:tblCellMar>
      </w:tblPr>
      <w:tblGrid>
        <w:gridCol w:w="1046"/>
        <w:gridCol w:w="1249"/>
        <w:gridCol w:w="1040"/>
        <w:gridCol w:w="1656"/>
        <w:gridCol w:w="990"/>
        <w:gridCol w:w="1169"/>
        <w:gridCol w:w="2090"/>
      </w:tblGrid>
      <w:tr w14:paraId="5531BC93">
        <w:tblPrEx>
          <w:tblCellMar>
            <w:top w:w="0" w:type="dxa"/>
            <w:left w:w="0" w:type="dxa"/>
            <w:bottom w:w="0" w:type="dxa"/>
            <w:right w:w="0" w:type="dxa"/>
          </w:tblCellMar>
        </w:tblPrEx>
        <w:trPr>
          <w:trHeight w:val="95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9A76D36">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17FA20A5">
            <w:pPr>
              <w:jc w:val="center"/>
              <w:rPr>
                <w:rFonts w:hint="eastAsia" w:ascii="宋体" w:hAnsi="宋体" w:eastAsia="宋体" w:cs="宋体"/>
                <w:szCs w:val="21"/>
                <w:highlight w:val="none"/>
              </w:rPr>
            </w:pPr>
            <w:r>
              <w:rPr>
                <w:rFonts w:hint="eastAsia" w:ascii="宋体" w:hAnsi="宋体" w:eastAsia="宋体" w:cs="宋体"/>
                <w:szCs w:val="21"/>
                <w:highlight w:val="none"/>
              </w:rPr>
              <w:t>投标人</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F254A10">
            <w:pPr>
              <w:jc w:val="center"/>
              <w:rPr>
                <w:rFonts w:hint="eastAsia" w:ascii="宋体" w:hAnsi="宋体" w:eastAsia="宋体" w:cs="宋体"/>
                <w:szCs w:val="21"/>
                <w:highlight w:val="none"/>
              </w:rPr>
            </w:pPr>
            <w:r>
              <w:rPr>
                <w:rFonts w:hint="eastAsia" w:ascii="宋体" w:hAnsi="宋体" w:eastAsia="宋体" w:cs="宋体"/>
                <w:szCs w:val="21"/>
                <w:highlight w:val="none"/>
              </w:rPr>
              <w:t>密封情况</w:t>
            </w:r>
          </w:p>
        </w:tc>
        <w:tc>
          <w:tcPr>
            <w:tcW w:w="1656" w:type="dxa"/>
            <w:tcBorders>
              <w:top w:val="single" w:color="000000" w:sz="4" w:space="0"/>
              <w:left w:val="single" w:color="auto" w:sz="4" w:space="0"/>
              <w:bottom w:val="single" w:color="000000" w:sz="4" w:space="0"/>
              <w:right w:val="single" w:color="auto" w:sz="4" w:space="0"/>
            </w:tcBorders>
            <w:noWrap w:val="0"/>
            <w:vAlign w:val="center"/>
          </w:tcPr>
          <w:p w14:paraId="68A5BAED">
            <w:pPr>
              <w:jc w:val="center"/>
              <w:rPr>
                <w:rFonts w:hint="eastAsia" w:ascii="宋体" w:hAnsi="宋体" w:eastAsia="宋体" w:cs="宋体"/>
                <w:szCs w:val="21"/>
                <w:highlight w:val="none"/>
              </w:rPr>
            </w:pPr>
            <w:r>
              <w:rPr>
                <w:rFonts w:hint="eastAsia" w:ascii="宋体" w:hAnsi="宋体" w:eastAsia="宋体" w:cs="宋体"/>
                <w:szCs w:val="21"/>
                <w:highlight w:val="none"/>
              </w:rPr>
              <w:t>投标保证金递交情况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134CD6E">
            <w:pPr>
              <w:jc w:val="center"/>
              <w:rPr>
                <w:rFonts w:hint="eastAsia" w:ascii="宋体" w:hAnsi="宋体" w:eastAsia="宋体" w:cs="宋体"/>
                <w:szCs w:val="21"/>
                <w:highlight w:val="none"/>
              </w:rPr>
            </w:pPr>
            <w:r>
              <w:rPr>
                <w:rFonts w:hint="eastAsia" w:ascii="宋体" w:hAnsi="宋体" w:eastAsia="宋体" w:cs="宋体"/>
                <w:szCs w:val="21"/>
                <w:highlight w:val="none"/>
              </w:rPr>
              <w:t>监理服务期限</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06F14DE">
            <w:pPr>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55C79AE">
            <w:pPr>
              <w:jc w:val="center"/>
              <w:rPr>
                <w:rFonts w:hint="eastAsia" w:ascii="宋体" w:hAnsi="宋体" w:eastAsia="宋体" w:cs="宋体"/>
                <w:szCs w:val="21"/>
                <w:highlight w:val="none"/>
              </w:rPr>
            </w:pPr>
            <w:r>
              <w:rPr>
                <w:rFonts w:hint="eastAsia" w:ascii="宋体" w:hAnsi="宋体" w:eastAsia="宋体" w:cs="宋体"/>
                <w:szCs w:val="21"/>
                <w:highlight w:val="none"/>
              </w:rPr>
              <w:t>投标人代表签名</w:t>
            </w:r>
          </w:p>
        </w:tc>
      </w:tr>
      <w:tr w14:paraId="49001132">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A2CDBEE">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61188FC8">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938D7BA">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3EBA8408">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7B9670ED">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CF79819">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11A75A5">
            <w:pPr>
              <w:jc w:val="center"/>
              <w:rPr>
                <w:rFonts w:hint="eastAsia" w:ascii="宋体" w:hAnsi="宋体" w:eastAsia="宋体" w:cs="宋体"/>
                <w:szCs w:val="21"/>
                <w:highlight w:val="none"/>
              </w:rPr>
            </w:pPr>
          </w:p>
        </w:tc>
      </w:tr>
      <w:tr w14:paraId="2098D846">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E8C1AAD">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177969CD">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A2C53FF">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3E2DAB3A">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2195F215">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CEC1DFA">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EC57378">
            <w:pPr>
              <w:jc w:val="center"/>
              <w:rPr>
                <w:rFonts w:hint="eastAsia" w:ascii="宋体" w:hAnsi="宋体" w:eastAsia="宋体" w:cs="宋体"/>
                <w:szCs w:val="21"/>
                <w:highlight w:val="none"/>
              </w:rPr>
            </w:pPr>
          </w:p>
        </w:tc>
      </w:tr>
      <w:tr w14:paraId="4D4BA5FC">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FD23174">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3255B3F9">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FCBB357">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123E109F">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69684A60">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0E26328">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F00A01D">
            <w:pPr>
              <w:jc w:val="center"/>
              <w:rPr>
                <w:rFonts w:hint="eastAsia" w:ascii="宋体" w:hAnsi="宋体" w:eastAsia="宋体" w:cs="宋体"/>
                <w:szCs w:val="21"/>
                <w:highlight w:val="none"/>
              </w:rPr>
            </w:pPr>
          </w:p>
        </w:tc>
      </w:tr>
      <w:tr w14:paraId="39F43D39">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2EAE3BD">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19879093">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0D70C41">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1C17BCE8">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4012DF0B">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5338E09">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04AD69A">
            <w:pPr>
              <w:jc w:val="center"/>
              <w:rPr>
                <w:rFonts w:hint="eastAsia" w:ascii="宋体" w:hAnsi="宋体" w:eastAsia="宋体" w:cs="宋体"/>
                <w:szCs w:val="21"/>
                <w:highlight w:val="none"/>
              </w:rPr>
            </w:pPr>
          </w:p>
        </w:tc>
      </w:tr>
      <w:tr w14:paraId="5DFD35F6">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5CA5CAB">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71CEFDBF">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0B3128F">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61BFD765">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280B28DF">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50807EA1">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5520840">
            <w:pPr>
              <w:jc w:val="center"/>
              <w:rPr>
                <w:rFonts w:hint="eastAsia" w:ascii="宋体" w:hAnsi="宋体" w:eastAsia="宋体" w:cs="宋体"/>
                <w:szCs w:val="21"/>
                <w:highlight w:val="none"/>
              </w:rPr>
            </w:pPr>
          </w:p>
        </w:tc>
      </w:tr>
      <w:tr w14:paraId="54DA846B">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612F414">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6B768BA3">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BE95578">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3FB5E3DE">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2BD1B7EB">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46D63859">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AAD1607">
            <w:pPr>
              <w:jc w:val="center"/>
              <w:rPr>
                <w:rFonts w:hint="eastAsia" w:ascii="宋体" w:hAnsi="宋体" w:eastAsia="宋体" w:cs="宋体"/>
                <w:szCs w:val="21"/>
                <w:highlight w:val="none"/>
              </w:rPr>
            </w:pPr>
          </w:p>
        </w:tc>
      </w:tr>
      <w:tr w14:paraId="4222A0C5">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3241F82">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2D39D90">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C841F8D">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0A643664">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5A8B0BE8">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B2EA651">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4574AB3">
            <w:pPr>
              <w:jc w:val="center"/>
              <w:rPr>
                <w:rFonts w:hint="eastAsia" w:ascii="宋体" w:hAnsi="宋体" w:eastAsia="宋体" w:cs="宋体"/>
                <w:szCs w:val="21"/>
                <w:highlight w:val="none"/>
              </w:rPr>
            </w:pPr>
          </w:p>
        </w:tc>
      </w:tr>
      <w:tr w14:paraId="5A5FB85D">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911247F">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2DAC0AC4">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5EEEE7B">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139650AA">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7AF29A2A">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8ED37EF">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531876E">
            <w:pPr>
              <w:jc w:val="center"/>
              <w:rPr>
                <w:rFonts w:hint="eastAsia" w:ascii="宋体" w:hAnsi="宋体" w:eastAsia="宋体" w:cs="宋体"/>
                <w:szCs w:val="21"/>
                <w:highlight w:val="none"/>
              </w:rPr>
            </w:pPr>
          </w:p>
        </w:tc>
      </w:tr>
      <w:tr w14:paraId="1C6486FF">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3E00D2D">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11F128A7">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F2A069F">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1BDC62F6">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1157F8B4">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26C015DD">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99FC8E1">
            <w:pPr>
              <w:jc w:val="center"/>
              <w:rPr>
                <w:rFonts w:hint="eastAsia" w:ascii="宋体" w:hAnsi="宋体" w:eastAsia="宋体" w:cs="宋体"/>
                <w:szCs w:val="21"/>
                <w:highlight w:val="none"/>
              </w:rPr>
            </w:pPr>
          </w:p>
        </w:tc>
      </w:tr>
      <w:tr w14:paraId="361AA801">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913F449">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0AE3E347">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E78AFE1">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16675473">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6845E197">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9854D47">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627FAD1">
            <w:pPr>
              <w:jc w:val="center"/>
              <w:rPr>
                <w:rFonts w:hint="eastAsia" w:ascii="宋体" w:hAnsi="宋体" w:eastAsia="宋体" w:cs="宋体"/>
                <w:szCs w:val="21"/>
                <w:highlight w:val="none"/>
              </w:rPr>
            </w:pPr>
          </w:p>
        </w:tc>
      </w:tr>
      <w:tr w14:paraId="50F1887F">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E36FA5B">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74E7B6C">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6A0AFE5">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2B723F6C">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3C52397A">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15E20B8">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5B03313">
            <w:pPr>
              <w:jc w:val="center"/>
              <w:rPr>
                <w:rFonts w:hint="eastAsia" w:ascii="宋体" w:hAnsi="宋体" w:eastAsia="宋体" w:cs="宋体"/>
                <w:szCs w:val="21"/>
                <w:highlight w:val="none"/>
              </w:rPr>
            </w:pPr>
          </w:p>
        </w:tc>
      </w:tr>
      <w:tr w14:paraId="2E1B31FE">
        <w:tblPrEx>
          <w:tblCellMar>
            <w:top w:w="0" w:type="dxa"/>
            <w:left w:w="0" w:type="dxa"/>
            <w:bottom w:w="0" w:type="dxa"/>
            <w:right w:w="0" w:type="dxa"/>
          </w:tblCellMar>
        </w:tblPrEx>
        <w:trPr>
          <w:trHeight w:val="651" w:hRule="atLeast"/>
          <w:jc w:val="center"/>
        </w:trPr>
        <w:tc>
          <w:tcPr>
            <w:tcW w:w="1046" w:type="dxa"/>
            <w:tcBorders>
              <w:top w:val="single" w:color="000000" w:sz="4" w:space="0"/>
              <w:left w:val="single" w:color="auto" w:sz="4" w:space="0"/>
              <w:bottom w:val="single" w:color="000000" w:sz="4" w:space="0"/>
              <w:right w:val="single" w:color="000000" w:sz="4" w:space="0"/>
            </w:tcBorders>
            <w:noWrap w:val="0"/>
            <w:vAlign w:val="center"/>
          </w:tcPr>
          <w:p w14:paraId="637D7566">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D3202F1">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03D9034">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4DB53E4E">
            <w:pPr>
              <w:jc w:val="center"/>
              <w:rPr>
                <w:rFonts w:hint="eastAsia" w:ascii="宋体" w:hAnsi="宋体" w:eastAsia="宋体" w:cs="宋体"/>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05B43C6E">
            <w:pPr>
              <w:jc w:val="center"/>
              <w:rPr>
                <w:rFonts w:hint="eastAsia" w:ascii="宋体" w:hAnsi="宋体" w:eastAsia="宋体" w:cs="宋体"/>
                <w:szCs w:val="21"/>
                <w:highlight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D804CF9">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3FB0E2A">
            <w:pPr>
              <w:jc w:val="center"/>
              <w:rPr>
                <w:rFonts w:hint="eastAsia" w:ascii="宋体" w:hAnsi="宋体" w:eastAsia="宋体" w:cs="宋体"/>
                <w:szCs w:val="21"/>
                <w:highlight w:val="none"/>
              </w:rPr>
            </w:pPr>
          </w:p>
        </w:tc>
      </w:tr>
    </w:tbl>
    <w:p w14:paraId="62F4A3B3">
      <w:pPr>
        <w:rPr>
          <w:rFonts w:hint="eastAsia" w:ascii="宋体" w:hAnsi="宋体" w:eastAsia="宋体" w:cs="宋体"/>
          <w:szCs w:val="21"/>
          <w:highlight w:val="none"/>
        </w:rPr>
      </w:pPr>
    </w:p>
    <w:p w14:paraId="1FF15B6C">
      <w:pPr>
        <w:rPr>
          <w:rFonts w:hint="eastAsia" w:ascii="宋体" w:hAnsi="宋体" w:eastAsia="宋体" w:cs="宋体"/>
          <w:szCs w:val="21"/>
          <w:highlight w:val="none"/>
          <w:u w:val="single"/>
        </w:rPr>
      </w:pPr>
      <w:r>
        <w:rPr>
          <w:rFonts w:hint="eastAsia" w:ascii="宋体" w:hAnsi="宋体" w:eastAsia="宋体" w:cs="宋体"/>
          <w:szCs w:val="21"/>
          <w:highlight w:val="none"/>
        </w:rPr>
        <w:t>招标人代表：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公证人：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监督人：</w:t>
      </w:r>
      <w:r>
        <w:rPr>
          <w:rFonts w:hint="eastAsia" w:ascii="宋体" w:hAnsi="宋体" w:eastAsia="宋体" w:cs="宋体"/>
          <w:szCs w:val="21"/>
          <w:highlight w:val="none"/>
          <w:u w:val="single"/>
        </w:rPr>
        <w:t xml:space="preserve">          </w:t>
      </w:r>
    </w:p>
    <w:p w14:paraId="58C1D5D5">
      <w:pPr>
        <w:rPr>
          <w:rFonts w:hint="eastAsia" w:ascii="宋体" w:hAnsi="宋体" w:eastAsia="宋体" w:cs="宋体"/>
          <w:szCs w:val="21"/>
          <w:highlight w:val="none"/>
        </w:rPr>
      </w:pPr>
    </w:p>
    <w:p w14:paraId="290F2AC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0105FB75">
      <w:pPr>
        <w:ind w:firstLine="1680" w:firstLineChars="800"/>
        <w:rPr>
          <w:rFonts w:hint="eastAsia" w:ascii="宋体" w:hAnsi="宋体" w:eastAsia="宋体" w:cs="宋体"/>
          <w:szCs w:val="21"/>
          <w:highlight w:val="none"/>
        </w:rPr>
      </w:pPr>
      <w:r>
        <w:rPr>
          <w:rFonts w:hint="eastAsia" w:ascii="宋体" w:hAnsi="宋体" w:eastAsia="宋体" w:cs="宋体"/>
          <w:szCs w:val="21"/>
          <w:highlight w:val="none"/>
          <w:u w:val="single"/>
        </w:rPr>
        <w:br w:type="page"/>
      </w:r>
      <w:r>
        <w:rPr>
          <w:rFonts w:hint="eastAsia" w:ascii="宋体" w:hAnsi="宋体" w:eastAsia="宋体" w:cs="宋体"/>
          <w:szCs w:val="21"/>
          <w:highlight w:val="none"/>
          <w:u w:val="single"/>
        </w:rPr>
        <w:t xml:space="preserve">   （项目名称）   </w:t>
      </w:r>
      <w:r>
        <w:rPr>
          <w:rFonts w:hint="eastAsia" w:ascii="宋体" w:hAnsi="宋体" w:eastAsia="宋体" w:cs="宋体"/>
          <w:szCs w:val="21"/>
          <w:highlight w:val="none"/>
        </w:rPr>
        <w:t>施工第二个信封（报价文件）</w:t>
      </w:r>
    </w:p>
    <w:p w14:paraId="7649EEA9">
      <w:pPr>
        <w:ind w:firstLine="3465" w:firstLineChars="1650"/>
        <w:rPr>
          <w:rFonts w:hint="eastAsia" w:ascii="宋体" w:hAnsi="宋体" w:eastAsia="宋体" w:cs="宋体"/>
          <w:b/>
          <w:bCs/>
          <w:szCs w:val="21"/>
          <w:highlight w:val="none"/>
        </w:rPr>
      </w:pPr>
      <w:r>
        <w:rPr>
          <w:rFonts w:hint="eastAsia" w:ascii="宋体" w:hAnsi="宋体" w:eastAsia="宋体" w:cs="宋体"/>
          <w:szCs w:val="21"/>
          <w:highlight w:val="none"/>
        </w:rPr>
        <w:t>开标记录表</w:t>
      </w:r>
    </w:p>
    <w:p w14:paraId="63EC94A5">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开标时间：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w:t>
      </w:r>
    </w:p>
    <w:tbl>
      <w:tblPr>
        <w:tblStyle w:val="18"/>
        <w:tblW w:w="0" w:type="auto"/>
        <w:jc w:val="center"/>
        <w:tblLayout w:type="fixed"/>
        <w:tblCellMar>
          <w:top w:w="0" w:type="dxa"/>
          <w:left w:w="0" w:type="dxa"/>
          <w:bottom w:w="0" w:type="dxa"/>
          <w:right w:w="0" w:type="dxa"/>
        </w:tblCellMar>
      </w:tblPr>
      <w:tblGrid>
        <w:gridCol w:w="1046"/>
        <w:gridCol w:w="1249"/>
        <w:gridCol w:w="1040"/>
        <w:gridCol w:w="1656"/>
        <w:gridCol w:w="1064"/>
        <w:gridCol w:w="1095"/>
        <w:gridCol w:w="2090"/>
      </w:tblGrid>
      <w:tr w14:paraId="4AFAF3CF">
        <w:tblPrEx>
          <w:tblCellMar>
            <w:top w:w="0" w:type="dxa"/>
            <w:left w:w="0" w:type="dxa"/>
            <w:bottom w:w="0" w:type="dxa"/>
            <w:right w:w="0" w:type="dxa"/>
          </w:tblCellMar>
        </w:tblPrEx>
        <w:trPr>
          <w:trHeight w:val="95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6066AED">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51FC418F">
            <w:pPr>
              <w:jc w:val="center"/>
              <w:rPr>
                <w:rFonts w:hint="eastAsia" w:ascii="宋体" w:hAnsi="宋体" w:eastAsia="宋体" w:cs="宋体"/>
                <w:szCs w:val="21"/>
                <w:highlight w:val="none"/>
              </w:rPr>
            </w:pPr>
            <w:r>
              <w:rPr>
                <w:rFonts w:hint="eastAsia" w:ascii="宋体" w:hAnsi="宋体" w:eastAsia="宋体" w:cs="宋体"/>
                <w:szCs w:val="21"/>
                <w:highlight w:val="none"/>
              </w:rPr>
              <w:t>投标人</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94FF6E6">
            <w:pPr>
              <w:jc w:val="center"/>
              <w:rPr>
                <w:rFonts w:hint="eastAsia" w:ascii="宋体" w:hAnsi="宋体" w:eastAsia="宋体" w:cs="宋体"/>
                <w:szCs w:val="21"/>
                <w:highlight w:val="none"/>
              </w:rPr>
            </w:pPr>
            <w:r>
              <w:rPr>
                <w:rFonts w:hint="eastAsia" w:ascii="宋体" w:hAnsi="宋体" w:eastAsia="宋体" w:cs="宋体"/>
                <w:szCs w:val="21"/>
                <w:highlight w:val="none"/>
              </w:rPr>
              <w:t>密封情况</w:t>
            </w:r>
          </w:p>
        </w:tc>
        <w:tc>
          <w:tcPr>
            <w:tcW w:w="1656" w:type="dxa"/>
            <w:tcBorders>
              <w:top w:val="single" w:color="000000" w:sz="4" w:space="0"/>
              <w:left w:val="single" w:color="auto" w:sz="4" w:space="0"/>
              <w:bottom w:val="single" w:color="000000" w:sz="4" w:space="0"/>
              <w:right w:val="single" w:color="auto" w:sz="4" w:space="0"/>
            </w:tcBorders>
            <w:noWrap w:val="0"/>
            <w:vAlign w:val="center"/>
          </w:tcPr>
          <w:p w14:paraId="73BB4692">
            <w:pPr>
              <w:jc w:val="center"/>
              <w:rPr>
                <w:rFonts w:hint="eastAsia" w:ascii="宋体" w:hAnsi="宋体" w:eastAsia="宋体" w:cs="宋体"/>
                <w:szCs w:val="21"/>
                <w:highlight w:val="none"/>
              </w:rPr>
            </w:pPr>
            <w:r>
              <w:rPr>
                <w:rFonts w:hint="eastAsia" w:ascii="宋体" w:hAnsi="宋体" w:eastAsia="宋体" w:cs="宋体"/>
                <w:szCs w:val="21"/>
                <w:highlight w:val="none"/>
              </w:rPr>
              <w:t>投标报价（元）</w:t>
            </w:r>
          </w:p>
        </w:tc>
        <w:tc>
          <w:tcPr>
            <w:tcW w:w="1064" w:type="dxa"/>
            <w:tcBorders>
              <w:top w:val="single" w:color="000000" w:sz="4" w:space="0"/>
              <w:left w:val="single" w:color="000000" w:sz="4" w:space="0"/>
              <w:bottom w:val="single" w:color="000000" w:sz="4" w:space="0"/>
              <w:right w:val="single" w:color="000000" w:sz="4" w:space="0"/>
            </w:tcBorders>
            <w:noWrap w:val="0"/>
            <w:vAlign w:val="bottom"/>
          </w:tcPr>
          <w:p w14:paraId="1D9F5FB2">
            <w:pPr>
              <w:spacing w:line="239" w:lineRule="exact"/>
              <w:ind w:left="60"/>
              <w:rPr>
                <w:rFonts w:hint="eastAsia" w:ascii="宋体" w:hAnsi="宋体" w:eastAsia="宋体" w:cs="宋体"/>
                <w:szCs w:val="21"/>
                <w:highlight w:val="none"/>
              </w:rPr>
            </w:pPr>
            <w:r>
              <w:rPr>
                <w:rFonts w:hint="eastAsia" w:ascii="宋体" w:hAnsi="宋体" w:eastAsia="宋体" w:cs="宋体"/>
                <w:highlight w:val="none"/>
              </w:rPr>
              <w:t>是否超过最高投标限价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C7B63F5">
            <w:pPr>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19479A9">
            <w:pPr>
              <w:jc w:val="center"/>
              <w:rPr>
                <w:rFonts w:hint="eastAsia" w:ascii="宋体" w:hAnsi="宋体" w:eastAsia="宋体" w:cs="宋体"/>
                <w:szCs w:val="21"/>
                <w:highlight w:val="none"/>
              </w:rPr>
            </w:pPr>
            <w:r>
              <w:rPr>
                <w:rFonts w:hint="eastAsia" w:ascii="宋体" w:hAnsi="宋体" w:eastAsia="宋体" w:cs="宋体"/>
                <w:szCs w:val="21"/>
                <w:highlight w:val="none"/>
              </w:rPr>
              <w:t>投标人代表签名</w:t>
            </w:r>
          </w:p>
        </w:tc>
      </w:tr>
      <w:tr w14:paraId="4A02F02A">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254D8A5">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6CE44516">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CE70A7B">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1EEFFDF6">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bottom"/>
          </w:tcPr>
          <w:p w14:paraId="1AF49828">
            <w:pPr>
              <w:spacing w:line="0" w:lineRule="atLeast"/>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B3A5BED">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2175DD7">
            <w:pPr>
              <w:jc w:val="center"/>
              <w:rPr>
                <w:rFonts w:hint="eastAsia" w:ascii="宋体" w:hAnsi="宋体" w:eastAsia="宋体" w:cs="宋体"/>
                <w:szCs w:val="21"/>
                <w:highlight w:val="none"/>
              </w:rPr>
            </w:pPr>
          </w:p>
        </w:tc>
      </w:tr>
      <w:tr w14:paraId="255C1447">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302A983">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4DA4EDC">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9F68DD1">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21683309">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bottom"/>
          </w:tcPr>
          <w:p w14:paraId="45902290">
            <w:pPr>
              <w:spacing w:line="239" w:lineRule="exact"/>
              <w:ind w:left="60"/>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B49D563">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56CA9F7">
            <w:pPr>
              <w:jc w:val="center"/>
              <w:rPr>
                <w:rFonts w:hint="eastAsia" w:ascii="宋体" w:hAnsi="宋体" w:eastAsia="宋体" w:cs="宋体"/>
                <w:szCs w:val="21"/>
                <w:highlight w:val="none"/>
              </w:rPr>
            </w:pPr>
          </w:p>
        </w:tc>
      </w:tr>
      <w:tr w14:paraId="27B69B3A">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0C941C7">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72104972">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1EB2D67">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3AC67CA9">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0BE3F596">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D9847D4">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CDF0A9A">
            <w:pPr>
              <w:jc w:val="center"/>
              <w:rPr>
                <w:rFonts w:hint="eastAsia" w:ascii="宋体" w:hAnsi="宋体" w:eastAsia="宋体" w:cs="宋体"/>
                <w:szCs w:val="21"/>
                <w:highlight w:val="none"/>
              </w:rPr>
            </w:pPr>
          </w:p>
        </w:tc>
      </w:tr>
      <w:tr w14:paraId="6BF54A0A">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D1C157F">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96E9EF8">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70BF527">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47AE0CDA">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1FD85CF4">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65F14DB">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D758A5B">
            <w:pPr>
              <w:jc w:val="center"/>
              <w:rPr>
                <w:rFonts w:hint="eastAsia" w:ascii="宋体" w:hAnsi="宋体" w:eastAsia="宋体" w:cs="宋体"/>
                <w:szCs w:val="21"/>
                <w:highlight w:val="none"/>
              </w:rPr>
            </w:pPr>
          </w:p>
        </w:tc>
      </w:tr>
      <w:tr w14:paraId="54BDC01E">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C4422D9">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2E97B93D">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F6DB13E">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6BFE8C92">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1619728C">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DDB5E15">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2DC2ACF">
            <w:pPr>
              <w:jc w:val="center"/>
              <w:rPr>
                <w:rFonts w:hint="eastAsia" w:ascii="宋体" w:hAnsi="宋体" w:eastAsia="宋体" w:cs="宋体"/>
                <w:szCs w:val="21"/>
                <w:highlight w:val="none"/>
              </w:rPr>
            </w:pPr>
          </w:p>
        </w:tc>
      </w:tr>
      <w:tr w14:paraId="5C91CF6A">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00916AD">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630288B6">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984FA9B">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414CD986">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6432C632">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47E79A9">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DE9A1D8">
            <w:pPr>
              <w:jc w:val="center"/>
              <w:rPr>
                <w:rFonts w:hint="eastAsia" w:ascii="宋体" w:hAnsi="宋体" w:eastAsia="宋体" w:cs="宋体"/>
                <w:szCs w:val="21"/>
                <w:highlight w:val="none"/>
              </w:rPr>
            </w:pPr>
          </w:p>
        </w:tc>
      </w:tr>
      <w:tr w14:paraId="4882073C">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0F45770">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06C601D6">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2F2B7BA5">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46DEE509">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7C6B1E2A">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F1AE785">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79FA02D">
            <w:pPr>
              <w:jc w:val="center"/>
              <w:rPr>
                <w:rFonts w:hint="eastAsia" w:ascii="宋体" w:hAnsi="宋体" w:eastAsia="宋体" w:cs="宋体"/>
                <w:szCs w:val="21"/>
                <w:highlight w:val="none"/>
              </w:rPr>
            </w:pPr>
          </w:p>
        </w:tc>
      </w:tr>
      <w:tr w14:paraId="23C2F706">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C349E63">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24E8C5AF">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13F9606">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293BA1F2">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46C96818">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CCA1887">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D1819E2">
            <w:pPr>
              <w:jc w:val="center"/>
              <w:rPr>
                <w:rFonts w:hint="eastAsia" w:ascii="宋体" w:hAnsi="宋体" w:eastAsia="宋体" w:cs="宋体"/>
                <w:szCs w:val="21"/>
                <w:highlight w:val="none"/>
              </w:rPr>
            </w:pPr>
          </w:p>
        </w:tc>
      </w:tr>
      <w:tr w14:paraId="39DDB4E3">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6D3F661">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D8A05DE">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D2CF342">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25A9A16F">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1A6806BC">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C72F684">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841FFB0">
            <w:pPr>
              <w:jc w:val="center"/>
              <w:rPr>
                <w:rFonts w:hint="eastAsia" w:ascii="宋体" w:hAnsi="宋体" w:eastAsia="宋体" w:cs="宋体"/>
                <w:szCs w:val="21"/>
                <w:highlight w:val="none"/>
              </w:rPr>
            </w:pPr>
          </w:p>
        </w:tc>
      </w:tr>
      <w:tr w14:paraId="1FD8B447">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585CDCE">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4F0BF9AE">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3135E53">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2FE8DCB4">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2051FE27">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8D20A4">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D7C0E9D">
            <w:pPr>
              <w:jc w:val="center"/>
              <w:rPr>
                <w:rFonts w:hint="eastAsia" w:ascii="宋体" w:hAnsi="宋体" w:eastAsia="宋体" w:cs="宋体"/>
                <w:szCs w:val="21"/>
                <w:highlight w:val="none"/>
              </w:rPr>
            </w:pPr>
          </w:p>
        </w:tc>
      </w:tr>
      <w:tr w14:paraId="66C91AA5">
        <w:tblPrEx>
          <w:tblCellMar>
            <w:top w:w="0" w:type="dxa"/>
            <w:left w:w="0" w:type="dxa"/>
            <w:bottom w:w="0" w:type="dxa"/>
            <w:right w:w="0" w:type="dxa"/>
          </w:tblCellMar>
        </w:tblPrEx>
        <w:trPr>
          <w:trHeight w:val="633"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9EB2491">
            <w:pPr>
              <w:jc w:val="center"/>
              <w:rPr>
                <w:rFonts w:hint="eastAsia" w:ascii="宋体" w:hAnsi="宋体" w:eastAsia="宋体" w:cs="宋体"/>
                <w:szCs w:val="21"/>
                <w:highlight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14:paraId="3B50EAF2">
            <w:pPr>
              <w:jc w:val="center"/>
              <w:rPr>
                <w:rFonts w:hint="eastAsia" w:ascii="宋体" w:hAnsi="宋体" w:eastAsia="宋体" w:cs="宋体"/>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F234DD5">
            <w:pPr>
              <w:jc w:val="center"/>
              <w:rPr>
                <w:rFonts w:hint="eastAsia" w:ascii="宋体" w:hAnsi="宋体" w:eastAsia="宋体" w:cs="宋体"/>
                <w:szCs w:val="21"/>
                <w:highlight w:val="none"/>
              </w:rPr>
            </w:pP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4888AF77">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4A981DDD">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62603CC">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22A1438">
            <w:pPr>
              <w:jc w:val="center"/>
              <w:rPr>
                <w:rFonts w:hint="eastAsia" w:ascii="宋体" w:hAnsi="宋体" w:eastAsia="宋体" w:cs="宋体"/>
                <w:szCs w:val="21"/>
                <w:highlight w:val="none"/>
              </w:rPr>
            </w:pPr>
          </w:p>
        </w:tc>
      </w:tr>
      <w:tr w14:paraId="79C1ACA4">
        <w:tblPrEx>
          <w:tblCellMar>
            <w:top w:w="0" w:type="dxa"/>
            <w:left w:w="0" w:type="dxa"/>
            <w:bottom w:w="0" w:type="dxa"/>
            <w:right w:w="0" w:type="dxa"/>
          </w:tblCellMar>
        </w:tblPrEx>
        <w:trPr>
          <w:trHeight w:val="651" w:hRule="atLeast"/>
          <w:jc w:val="center"/>
        </w:trPr>
        <w:tc>
          <w:tcPr>
            <w:tcW w:w="3335" w:type="dxa"/>
            <w:gridSpan w:val="3"/>
            <w:tcBorders>
              <w:top w:val="single" w:color="000000" w:sz="4" w:space="0"/>
              <w:left w:val="single" w:color="auto" w:sz="4" w:space="0"/>
              <w:bottom w:val="single" w:color="000000" w:sz="4" w:space="0"/>
              <w:right w:val="single" w:color="000000" w:sz="4" w:space="0"/>
            </w:tcBorders>
            <w:noWrap w:val="0"/>
            <w:vAlign w:val="center"/>
          </w:tcPr>
          <w:p w14:paraId="5B5FE336">
            <w:pPr>
              <w:jc w:val="center"/>
              <w:rPr>
                <w:rFonts w:hint="eastAsia" w:ascii="宋体" w:hAnsi="宋体" w:eastAsia="宋体" w:cs="宋体"/>
                <w:szCs w:val="21"/>
                <w:highlight w:val="none"/>
              </w:rPr>
            </w:pPr>
            <w:r>
              <w:rPr>
                <w:rFonts w:hint="eastAsia" w:ascii="宋体" w:hAnsi="宋体" w:eastAsia="宋体" w:cs="宋体"/>
                <w:szCs w:val="21"/>
                <w:highlight w:val="none"/>
              </w:rPr>
              <w:t>招标人编制的最高投标限价（如有）</w:t>
            </w:r>
          </w:p>
        </w:tc>
        <w:tc>
          <w:tcPr>
            <w:tcW w:w="1656" w:type="dxa"/>
            <w:tcBorders>
              <w:top w:val="single" w:color="000000" w:sz="4" w:space="0"/>
              <w:left w:val="single" w:color="auto" w:sz="4" w:space="0"/>
              <w:bottom w:val="single" w:color="000000" w:sz="4" w:space="0"/>
              <w:right w:val="single" w:color="auto" w:sz="4" w:space="0"/>
            </w:tcBorders>
            <w:noWrap w:val="0"/>
            <w:vAlign w:val="top"/>
          </w:tcPr>
          <w:p w14:paraId="6193197B">
            <w:pPr>
              <w:jc w:val="center"/>
              <w:rPr>
                <w:rFonts w:hint="eastAsia" w:ascii="宋体" w:hAnsi="宋体" w:eastAsia="宋体" w:cs="宋体"/>
                <w:szCs w:val="21"/>
                <w:highlight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top"/>
          </w:tcPr>
          <w:p w14:paraId="0485DCB6">
            <w:pPr>
              <w:jc w:val="center"/>
              <w:rPr>
                <w:rFonts w:hint="eastAsia" w:ascii="宋体" w:hAnsi="宋体" w:eastAsia="宋体" w:cs="宋体"/>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9AB91DB">
            <w:pPr>
              <w:jc w:val="center"/>
              <w:rPr>
                <w:rFonts w:hint="eastAsia" w:ascii="宋体" w:hAnsi="宋体" w:eastAsia="宋体" w:cs="宋体"/>
                <w:szCs w:val="21"/>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DF95DD8">
            <w:pPr>
              <w:jc w:val="center"/>
              <w:rPr>
                <w:rFonts w:hint="eastAsia" w:ascii="宋体" w:hAnsi="宋体" w:eastAsia="宋体" w:cs="宋体"/>
                <w:szCs w:val="21"/>
                <w:highlight w:val="none"/>
              </w:rPr>
            </w:pPr>
          </w:p>
        </w:tc>
      </w:tr>
    </w:tbl>
    <w:p w14:paraId="28825FA1">
      <w:pPr>
        <w:rPr>
          <w:rFonts w:hint="eastAsia" w:ascii="宋体" w:hAnsi="宋体" w:eastAsia="宋体" w:cs="宋体"/>
          <w:szCs w:val="21"/>
          <w:highlight w:val="none"/>
        </w:rPr>
      </w:pPr>
    </w:p>
    <w:p w14:paraId="2446202C">
      <w:pPr>
        <w:rPr>
          <w:rFonts w:hint="eastAsia" w:ascii="宋体" w:hAnsi="宋体" w:eastAsia="宋体" w:cs="宋体"/>
          <w:szCs w:val="21"/>
          <w:highlight w:val="none"/>
          <w:u w:val="single"/>
        </w:rPr>
      </w:pPr>
      <w:r>
        <w:rPr>
          <w:rFonts w:hint="eastAsia" w:ascii="宋体" w:hAnsi="宋体" w:eastAsia="宋体" w:cs="宋体"/>
          <w:szCs w:val="21"/>
          <w:highlight w:val="none"/>
        </w:rPr>
        <w:t>招标人代表：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公证人：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监督人：</w:t>
      </w:r>
      <w:r>
        <w:rPr>
          <w:rFonts w:hint="eastAsia" w:ascii="宋体" w:hAnsi="宋体" w:eastAsia="宋体" w:cs="宋体"/>
          <w:szCs w:val="21"/>
          <w:highlight w:val="none"/>
          <w:u w:val="single"/>
        </w:rPr>
        <w:t xml:space="preserve">          </w:t>
      </w:r>
    </w:p>
    <w:p w14:paraId="577473A9">
      <w:pPr>
        <w:rPr>
          <w:rFonts w:hint="eastAsia" w:ascii="宋体" w:hAnsi="宋体" w:eastAsia="宋体" w:cs="宋体"/>
          <w:szCs w:val="21"/>
          <w:highlight w:val="none"/>
        </w:rPr>
      </w:pPr>
    </w:p>
    <w:p w14:paraId="248DA5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F5E8EDC">
      <w:pPr>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b/>
          <w:bCs/>
          <w:sz w:val="28"/>
          <w:szCs w:val="28"/>
          <w:highlight w:val="none"/>
        </w:rPr>
        <w:t>附表二：问题澄清通知</w:t>
      </w:r>
    </w:p>
    <w:p w14:paraId="45CF3447">
      <w:pPr>
        <w:spacing w:line="360" w:lineRule="auto"/>
        <w:rPr>
          <w:rFonts w:hint="eastAsia" w:ascii="宋体" w:hAnsi="宋体" w:eastAsia="宋体" w:cs="宋体"/>
          <w:szCs w:val="21"/>
          <w:highlight w:val="none"/>
        </w:rPr>
      </w:pPr>
    </w:p>
    <w:p w14:paraId="6A40B7CA">
      <w:pPr>
        <w:jc w:val="center"/>
        <w:rPr>
          <w:rFonts w:hint="eastAsia" w:ascii="宋体" w:hAnsi="宋体" w:eastAsia="宋体" w:cs="宋体"/>
          <w:b/>
          <w:bCs/>
          <w:kern w:val="44"/>
          <w:szCs w:val="21"/>
          <w:highlight w:val="none"/>
        </w:rPr>
      </w:pPr>
      <w:r>
        <w:rPr>
          <w:rFonts w:hint="eastAsia" w:ascii="宋体" w:hAnsi="宋体" w:eastAsia="宋体" w:cs="宋体"/>
          <w:b/>
          <w:bCs/>
          <w:kern w:val="44"/>
          <w:szCs w:val="21"/>
          <w:highlight w:val="none"/>
        </w:rPr>
        <w:t>问题澄清通知</w:t>
      </w:r>
    </w:p>
    <w:p w14:paraId="5790CFBC">
      <w:pPr>
        <w:rPr>
          <w:rFonts w:hint="eastAsia" w:ascii="宋体" w:hAnsi="宋体" w:eastAsia="宋体" w:cs="宋体"/>
          <w:szCs w:val="21"/>
          <w:highlight w:val="none"/>
        </w:rPr>
      </w:pPr>
    </w:p>
    <w:p w14:paraId="27057F8A">
      <w:pPr>
        <w:jc w:val="center"/>
        <w:rPr>
          <w:rFonts w:hint="eastAsia" w:ascii="宋体" w:hAnsi="宋体" w:eastAsia="宋体" w:cs="宋体"/>
          <w:szCs w:val="21"/>
          <w:highlight w:val="none"/>
        </w:rPr>
      </w:pPr>
      <w:r>
        <w:rPr>
          <w:rFonts w:hint="eastAsia" w:ascii="宋体" w:hAnsi="宋体" w:eastAsia="宋体" w:cs="宋体"/>
          <w:szCs w:val="21"/>
          <w:highlight w:val="none"/>
        </w:rPr>
        <w:t>编号：</w:t>
      </w:r>
    </w:p>
    <w:p w14:paraId="59FAAE12">
      <w:pPr>
        <w:rPr>
          <w:rFonts w:hint="eastAsia" w:ascii="宋体" w:hAnsi="宋体" w:eastAsia="宋体" w:cs="宋体"/>
          <w:szCs w:val="21"/>
          <w:highlight w:val="none"/>
        </w:rPr>
      </w:pPr>
    </w:p>
    <w:p w14:paraId="466CEF59">
      <w:pPr>
        <w:rPr>
          <w:rFonts w:hint="eastAsia" w:ascii="宋体" w:hAnsi="宋体" w:eastAsia="宋体" w:cs="宋体"/>
          <w:szCs w:val="21"/>
          <w:highlight w:val="none"/>
        </w:rPr>
      </w:pP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w:t>
      </w:r>
    </w:p>
    <w:p w14:paraId="3C3DD92B">
      <w:pPr>
        <w:rPr>
          <w:rFonts w:hint="eastAsia" w:ascii="宋体" w:hAnsi="宋体" w:eastAsia="宋体" w:cs="宋体"/>
          <w:szCs w:val="21"/>
          <w:highlight w:val="none"/>
        </w:rPr>
      </w:pPr>
    </w:p>
    <w:p w14:paraId="5340B8AB">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（项目名称）监理招标的评标委员会，对你方的投标文件进行了仔细的审查，现需你方对下列问题以书面形式予以澄清：</w:t>
      </w:r>
    </w:p>
    <w:p w14:paraId="17DE56D1">
      <w:pPr>
        <w:rPr>
          <w:rFonts w:hint="eastAsia" w:ascii="宋体" w:hAnsi="宋体" w:eastAsia="宋体" w:cs="宋体"/>
          <w:szCs w:val="21"/>
          <w:highlight w:val="none"/>
        </w:rPr>
      </w:pPr>
    </w:p>
    <w:p w14:paraId="13578132">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 </w:t>
      </w:r>
    </w:p>
    <w:p w14:paraId="25E69BC9">
      <w:pPr>
        <w:spacing w:line="400" w:lineRule="exact"/>
        <w:ind w:firstLine="420" w:firstLineChars="200"/>
        <w:rPr>
          <w:rFonts w:hint="eastAsia" w:ascii="宋体" w:hAnsi="宋体" w:eastAsia="宋体" w:cs="宋体"/>
          <w:szCs w:val="21"/>
          <w:highlight w:val="none"/>
        </w:rPr>
      </w:pPr>
    </w:p>
    <w:p w14:paraId="6B9A1943">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 </w:t>
      </w:r>
    </w:p>
    <w:p w14:paraId="0FAF342D">
      <w:pPr>
        <w:rPr>
          <w:rFonts w:hint="eastAsia" w:ascii="宋体" w:hAnsi="宋体" w:eastAsia="宋体" w:cs="宋体"/>
          <w:szCs w:val="21"/>
          <w:highlight w:val="none"/>
        </w:rPr>
      </w:pPr>
    </w:p>
    <w:p w14:paraId="64479EBD">
      <w:pPr>
        <w:rPr>
          <w:rFonts w:hint="eastAsia" w:ascii="宋体" w:hAnsi="宋体" w:eastAsia="宋体" w:cs="宋体"/>
          <w:szCs w:val="21"/>
          <w:highlight w:val="none"/>
        </w:rPr>
      </w:pPr>
      <w:r>
        <w:rPr>
          <w:rFonts w:hint="eastAsia" w:ascii="宋体" w:hAnsi="宋体" w:eastAsia="宋体" w:cs="宋体"/>
          <w:szCs w:val="21"/>
          <w:highlight w:val="none"/>
        </w:rPr>
        <w:t>......</w:t>
      </w:r>
    </w:p>
    <w:p w14:paraId="2FCF0D53">
      <w:pPr>
        <w:rPr>
          <w:rFonts w:hint="eastAsia" w:ascii="宋体" w:hAnsi="宋体" w:eastAsia="宋体" w:cs="宋体"/>
          <w:szCs w:val="21"/>
          <w:highlight w:val="none"/>
        </w:rPr>
      </w:pPr>
    </w:p>
    <w:p w14:paraId="5573D668">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请将上述问题的澄清于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时前递交至</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（详细地址）或传真至</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（传真号码）。采用传真方式的，应在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时前将原件递交至</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（详细地址）。</w:t>
      </w:r>
    </w:p>
    <w:p w14:paraId="542F605C">
      <w:pPr>
        <w:rPr>
          <w:rFonts w:hint="eastAsia" w:ascii="宋体" w:hAnsi="宋体" w:eastAsia="宋体" w:cs="宋体"/>
          <w:szCs w:val="21"/>
          <w:highlight w:val="none"/>
        </w:rPr>
      </w:pPr>
    </w:p>
    <w:p w14:paraId="6C604F11">
      <w:pPr>
        <w:rPr>
          <w:rFonts w:hint="eastAsia" w:ascii="宋体" w:hAnsi="宋体" w:eastAsia="宋体" w:cs="宋体"/>
          <w:szCs w:val="21"/>
          <w:highlight w:val="none"/>
        </w:rPr>
      </w:pPr>
    </w:p>
    <w:p w14:paraId="3AE88F88">
      <w:pPr>
        <w:rPr>
          <w:rFonts w:hint="eastAsia" w:ascii="宋体" w:hAnsi="宋体" w:eastAsia="宋体" w:cs="宋体"/>
          <w:szCs w:val="21"/>
          <w:highlight w:val="none"/>
        </w:rPr>
      </w:pPr>
    </w:p>
    <w:p w14:paraId="5C5DCB64">
      <w:pPr>
        <w:rPr>
          <w:rFonts w:hint="eastAsia" w:ascii="宋体" w:hAnsi="宋体" w:eastAsia="宋体" w:cs="宋体"/>
          <w:szCs w:val="21"/>
          <w:highlight w:val="none"/>
        </w:rPr>
      </w:pPr>
    </w:p>
    <w:p w14:paraId="293E7190">
      <w:pPr>
        <w:jc w:val="right"/>
        <w:rPr>
          <w:rFonts w:hint="eastAsia" w:ascii="宋体" w:hAnsi="宋体" w:eastAsia="宋体" w:cs="宋体"/>
          <w:szCs w:val="21"/>
          <w:highlight w:val="none"/>
          <w:u w:val="single"/>
        </w:rPr>
      </w:pPr>
      <w:r>
        <w:rPr>
          <w:rFonts w:hint="eastAsia" w:ascii="宋体" w:hAnsi="宋体" w:eastAsia="宋体" w:cs="宋体"/>
          <w:szCs w:val="21"/>
          <w:highlight w:val="none"/>
        </w:rPr>
        <w:t>评标委员会授权的招标人或招标代理机构：</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（签字或盖单位章）</w:t>
      </w:r>
    </w:p>
    <w:p w14:paraId="13AEE185">
      <w:pPr>
        <w:rPr>
          <w:rFonts w:hint="eastAsia" w:ascii="宋体" w:hAnsi="宋体" w:eastAsia="宋体" w:cs="宋体"/>
          <w:szCs w:val="21"/>
          <w:highlight w:val="none"/>
        </w:rPr>
      </w:pPr>
    </w:p>
    <w:p w14:paraId="7F5A2848">
      <w:pPr>
        <w:rPr>
          <w:rFonts w:hint="eastAsia" w:ascii="宋体" w:hAnsi="宋体" w:eastAsia="宋体" w:cs="宋体"/>
          <w:szCs w:val="21"/>
          <w:highlight w:val="none"/>
        </w:rPr>
      </w:pPr>
    </w:p>
    <w:p w14:paraId="455049F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3E73246">
      <w:pPr>
        <w:spacing w:line="360" w:lineRule="auto"/>
        <w:rPr>
          <w:rFonts w:hint="eastAsia" w:ascii="宋体" w:hAnsi="宋体" w:eastAsia="宋体" w:cs="宋体"/>
          <w:szCs w:val="21"/>
          <w:highlight w:val="none"/>
        </w:rPr>
      </w:pPr>
    </w:p>
    <w:p w14:paraId="5D891EE2">
      <w:pPr>
        <w:spacing w:line="360" w:lineRule="auto"/>
        <w:rPr>
          <w:rFonts w:hint="eastAsia" w:ascii="宋体" w:hAnsi="宋体" w:eastAsia="宋体" w:cs="宋体"/>
          <w:szCs w:val="21"/>
          <w:highlight w:val="none"/>
        </w:rPr>
      </w:pPr>
    </w:p>
    <w:p w14:paraId="18081E2D">
      <w:pPr>
        <w:spacing w:line="360" w:lineRule="auto"/>
        <w:rPr>
          <w:rFonts w:hint="eastAsia" w:ascii="宋体" w:hAnsi="宋体" w:eastAsia="宋体" w:cs="宋体"/>
          <w:szCs w:val="21"/>
          <w:highlight w:val="none"/>
        </w:rPr>
      </w:pPr>
    </w:p>
    <w:p w14:paraId="0F006F63">
      <w:pPr>
        <w:spacing w:line="360" w:lineRule="auto"/>
        <w:rPr>
          <w:rFonts w:hint="eastAsia" w:ascii="宋体" w:hAnsi="宋体" w:eastAsia="宋体" w:cs="宋体"/>
          <w:szCs w:val="21"/>
          <w:highlight w:val="none"/>
        </w:rPr>
      </w:pPr>
    </w:p>
    <w:p w14:paraId="141491B6">
      <w:pPr>
        <w:spacing w:line="360" w:lineRule="auto"/>
        <w:rPr>
          <w:rFonts w:hint="eastAsia" w:ascii="宋体" w:hAnsi="宋体" w:eastAsia="宋体" w:cs="宋体"/>
          <w:szCs w:val="21"/>
          <w:highlight w:val="none"/>
        </w:rPr>
      </w:pPr>
    </w:p>
    <w:p w14:paraId="3D139B69">
      <w:pPr>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b/>
          <w:bCs/>
          <w:sz w:val="28"/>
          <w:szCs w:val="28"/>
          <w:highlight w:val="none"/>
        </w:rPr>
        <w:t>附表三：问题的澄清</w:t>
      </w:r>
    </w:p>
    <w:p w14:paraId="1F8D5287">
      <w:pPr>
        <w:spacing w:line="360" w:lineRule="auto"/>
        <w:rPr>
          <w:rFonts w:hint="eastAsia" w:ascii="宋体" w:hAnsi="宋体" w:eastAsia="宋体" w:cs="宋体"/>
          <w:szCs w:val="21"/>
          <w:highlight w:val="none"/>
        </w:rPr>
      </w:pPr>
    </w:p>
    <w:p w14:paraId="51261880">
      <w:pPr>
        <w:jc w:val="center"/>
        <w:rPr>
          <w:rFonts w:hint="eastAsia" w:ascii="宋体" w:hAnsi="宋体" w:eastAsia="宋体" w:cs="宋体"/>
          <w:b/>
          <w:bCs/>
          <w:kern w:val="44"/>
          <w:szCs w:val="21"/>
          <w:highlight w:val="none"/>
        </w:rPr>
      </w:pPr>
      <w:r>
        <w:rPr>
          <w:rFonts w:hint="eastAsia" w:ascii="宋体" w:hAnsi="宋体" w:eastAsia="宋体" w:cs="宋体"/>
          <w:b/>
          <w:bCs/>
          <w:kern w:val="44"/>
          <w:szCs w:val="21"/>
          <w:highlight w:val="none"/>
        </w:rPr>
        <w:t>问题的澄清</w:t>
      </w:r>
    </w:p>
    <w:p w14:paraId="4CA4B8C4">
      <w:pPr>
        <w:rPr>
          <w:rFonts w:hint="eastAsia" w:ascii="宋体" w:hAnsi="宋体" w:eastAsia="宋体" w:cs="宋体"/>
          <w:szCs w:val="21"/>
          <w:highlight w:val="none"/>
        </w:rPr>
      </w:pPr>
    </w:p>
    <w:p w14:paraId="3F3EC113">
      <w:pPr>
        <w:jc w:val="center"/>
        <w:rPr>
          <w:rFonts w:hint="eastAsia" w:ascii="宋体" w:hAnsi="宋体" w:eastAsia="宋体" w:cs="宋体"/>
          <w:szCs w:val="21"/>
          <w:highlight w:val="none"/>
        </w:rPr>
      </w:pPr>
      <w:r>
        <w:rPr>
          <w:rFonts w:hint="eastAsia" w:ascii="宋体" w:hAnsi="宋体" w:eastAsia="宋体" w:cs="宋体"/>
          <w:szCs w:val="21"/>
          <w:highlight w:val="none"/>
        </w:rPr>
        <w:t>编号：</w:t>
      </w:r>
    </w:p>
    <w:p w14:paraId="70F00D96">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（项目名称）监理招标评标委员会： </w:t>
      </w:r>
    </w:p>
    <w:p w14:paraId="07B2B3EB">
      <w:pPr>
        <w:spacing w:line="400" w:lineRule="exact"/>
        <w:ind w:firstLine="420" w:firstLineChars="200"/>
        <w:rPr>
          <w:rFonts w:hint="eastAsia" w:ascii="宋体" w:hAnsi="宋体" w:eastAsia="宋体" w:cs="宋体"/>
          <w:szCs w:val="21"/>
          <w:highlight w:val="none"/>
        </w:rPr>
      </w:pPr>
    </w:p>
    <w:p w14:paraId="454BFD12">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问题澄清通知（编号：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）已收悉，现澄清、说明如下：</w:t>
      </w:r>
    </w:p>
    <w:p w14:paraId="01477074">
      <w:pPr>
        <w:spacing w:line="400" w:lineRule="exact"/>
        <w:ind w:firstLine="420" w:firstLineChars="200"/>
        <w:rPr>
          <w:rFonts w:hint="eastAsia" w:ascii="宋体" w:hAnsi="宋体" w:eastAsia="宋体" w:cs="宋体"/>
          <w:szCs w:val="21"/>
          <w:highlight w:val="none"/>
        </w:rPr>
      </w:pPr>
    </w:p>
    <w:p w14:paraId="18F5F081">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 </w:t>
      </w:r>
    </w:p>
    <w:p w14:paraId="4C2C7CAD">
      <w:pPr>
        <w:spacing w:line="400" w:lineRule="exact"/>
        <w:ind w:firstLine="420" w:firstLineChars="200"/>
        <w:rPr>
          <w:rFonts w:hint="eastAsia" w:ascii="宋体" w:hAnsi="宋体" w:eastAsia="宋体" w:cs="宋体"/>
          <w:szCs w:val="21"/>
          <w:highlight w:val="none"/>
        </w:rPr>
      </w:pPr>
    </w:p>
    <w:p w14:paraId="16100F1A">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 </w:t>
      </w:r>
    </w:p>
    <w:p w14:paraId="6BB24A72">
      <w:pPr>
        <w:rPr>
          <w:rFonts w:hint="eastAsia" w:ascii="宋体" w:hAnsi="宋体" w:eastAsia="宋体" w:cs="宋体"/>
          <w:szCs w:val="21"/>
          <w:highlight w:val="none"/>
        </w:rPr>
      </w:pPr>
    </w:p>
    <w:p w14:paraId="3C1FA3E8">
      <w:pPr>
        <w:rPr>
          <w:rFonts w:hint="eastAsia" w:ascii="宋体" w:hAnsi="宋体" w:eastAsia="宋体" w:cs="宋体"/>
          <w:szCs w:val="21"/>
          <w:highlight w:val="none"/>
        </w:rPr>
      </w:pPr>
      <w:r>
        <w:rPr>
          <w:rFonts w:hint="eastAsia" w:ascii="宋体" w:hAnsi="宋体" w:eastAsia="宋体" w:cs="宋体"/>
          <w:szCs w:val="21"/>
          <w:highlight w:val="none"/>
        </w:rPr>
        <w:t>.....</w:t>
      </w:r>
    </w:p>
    <w:p w14:paraId="1A3504AE">
      <w:pPr>
        <w:rPr>
          <w:rFonts w:hint="eastAsia" w:ascii="宋体" w:hAnsi="宋体" w:eastAsia="宋体" w:cs="宋体"/>
          <w:szCs w:val="21"/>
          <w:highlight w:val="none"/>
        </w:rPr>
      </w:pPr>
    </w:p>
    <w:p w14:paraId="2F01739E">
      <w:pPr>
        <w:rPr>
          <w:rFonts w:hint="eastAsia" w:ascii="宋体" w:hAnsi="宋体" w:eastAsia="宋体" w:cs="宋体"/>
          <w:szCs w:val="21"/>
          <w:highlight w:val="none"/>
        </w:rPr>
      </w:pPr>
    </w:p>
    <w:p w14:paraId="41B1EC86">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上述问题澄清或说明，不改变我方投标文件的实质性内容，构成我方投标文件的组成部分。</w:t>
      </w:r>
    </w:p>
    <w:p w14:paraId="0C8FC61E">
      <w:pPr>
        <w:rPr>
          <w:rFonts w:hint="eastAsia" w:ascii="宋体" w:hAnsi="宋体" w:eastAsia="宋体" w:cs="宋体"/>
          <w:szCs w:val="21"/>
          <w:highlight w:val="none"/>
        </w:rPr>
      </w:pPr>
    </w:p>
    <w:p w14:paraId="07BCC61B">
      <w:pPr>
        <w:rPr>
          <w:rFonts w:hint="eastAsia" w:ascii="宋体" w:hAnsi="宋体" w:eastAsia="宋体" w:cs="宋体"/>
          <w:szCs w:val="21"/>
          <w:highlight w:val="none"/>
        </w:rPr>
      </w:pPr>
    </w:p>
    <w:p w14:paraId="20AC3897">
      <w:pPr>
        <w:rPr>
          <w:rFonts w:hint="eastAsia" w:ascii="宋体" w:hAnsi="宋体" w:eastAsia="宋体" w:cs="宋体"/>
          <w:szCs w:val="21"/>
          <w:highlight w:val="none"/>
        </w:rPr>
      </w:pPr>
    </w:p>
    <w:p w14:paraId="2E492F15">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（盖单位章） </w:t>
      </w:r>
    </w:p>
    <w:p w14:paraId="27867FF4">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法定代表人或其委托代理人：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14E85295">
      <w:pPr>
        <w:rPr>
          <w:rFonts w:hint="eastAsia" w:ascii="宋体" w:hAnsi="宋体" w:eastAsia="宋体" w:cs="宋体"/>
          <w:szCs w:val="21"/>
          <w:highlight w:val="none"/>
        </w:rPr>
      </w:pPr>
    </w:p>
    <w:p w14:paraId="2E5AA8D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4ECD9FFE">
      <w:pPr>
        <w:spacing w:line="360" w:lineRule="auto"/>
        <w:rPr>
          <w:rFonts w:hint="eastAsia" w:ascii="宋体" w:hAnsi="宋体" w:eastAsia="宋体" w:cs="宋体"/>
          <w:szCs w:val="21"/>
          <w:highlight w:val="none"/>
        </w:rPr>
      </w:pPr>
    </w:p>
    <w:p w14:paraId="6B7D0CC0">
      <w:pPr>
        <w:spacing w:line="360" w:lineRule="auto"/>
        <w:rPr>
          <w:rFonts w:hint="eastAsia" w:ascii="宋体" w:hAnsi="宋体" w:eastAsia="宋体" w:cs="宋体"/>
          <w:szCs w:val="21"/>
          <w:highlight w:val="none"/>
        </w:rPr>
      </w:pPr>
    </w:p>
    <w:p w14:paraId="0BDE540E">
      <w:pPr>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b/>
          <w:bCs/>
          <w:sz w:val="28"/>
          <w:szCs w:val="28"/>
          <w:highlight w:val="none"/>
        </w:rPr>
        <w:t>附表四：中标通知书</w:t>
      </w:r>
    </w:p>
    <w:p w14:paraId="29C626A0">
      <w:pPr>
        <w:spacing w:line="360" w:lineRule="auto"/>
        <w:rPr>
          <w:rFonts w:hint="eastAsia" w:ascii="宋体" w:hAnsi="宋体" w:eastAsia="宋体" w:cs="宋体"/>
          <w:szCs w:val="21"/>
          <w:highlight w:val="none"/>
        </w:rPr>
      </w:pPr>
    </w:p>
    <w:p w14:paraId="5BABFAC6">
      <w:pPr>
        <w:rPr>
          <w:rFonts w:hint="eastAsia" w:ascii="宋体" w:hAnsi="宋体" w:eastAsia="宋体" w:cs="宋体"/>
          <w:sz w:val="24"/>
          <w:highlight w:val="none"/>
        </w:rPr>
      </w:pPr>
    </w:p>
    <w:p w14:paraId="37BDDEE1">
      <w:pPr>
        <w:jc w:val="center"/>
        <w:rPr>
          <w:rFonts w:hint="eastAsia" w:ascii="宋体" w:hAnsi="宋体" w:eastAsia="宋体" w:cs="宋体"/>
          <w:b/>
          <w:bCs/>
          <w:kern w:val="44"/>
          <w:szCs w:val="21"/>
          <w:highlight w:val="none"/>
        </w:rPr>
      </w:pPr>
      <w:r>
        <w:rPr>
          <w:rFonts w:hint="eastAsia" w:ascii="宋体" w:hAnsi="宋体" w:eastAsia="宋体" w:cs="宋体"/>
          <w:b/>
          <w:bCs/>
          <w:kern w:val="44"/>
          <w:szCs w:val="21"/>
          <w:highlight w:val="none"/>
        </w:rPr>
        <w:t>中标通知书</w:t>
      </w:r>
    </w:p>
    <w:p w14:paraId="5DFC6B26">
      <w:pPr>
        <w:rPr>
          <w:rFonts w:hint="eastAsia" w:ascii="宋体" w:hAnsi="宋体" w:eastAsia="宋体" w:cs="宋体"/>
          <w:szCs w:val="21"/>
          <w:highlight w:val="none"/>
        </w:rPr>
      </w:pPr>
    </w:p>
    <w:p w14:paraId="74F83748">
      <w:pPr>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（中标人名称）：</w:t>
      </w:r>
    </w:p>
    <w:p w14:paraId="1601820D">
      <w:pPr>
        <w:rPr>
          <w:rFonts w:hint="eastAsia" w:ascii="宋体" w:hAnsi="宋体" w:eastAsia="宋体" w:cs="宋体"/>
          <w:szCs w:val="21"/>
          <w:highlight w:val="none"/>
        </w:rPr>
      </w:pPr>
    </w:p>
    <w:p w14:paraId="04A53E2C">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你方于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（投标日期）所递交的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（项目名称）监理投标文件已被我方接受，被确定为中标人。</w:t>
      </w:r>
    </w:p>
    <w:p w14:paraId="2364DCDA">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中标价：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14:paraId="44F3AAB8">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监理服务期限：</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4EF112E">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质量要求：</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3AA0541E">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安全目标：</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7D39D75">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总监理工程师：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w:t>
      </w:r>
    </w:p>
    <w:p w14:paraId="017FF1F6">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请你方在接到本通知书后的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日内到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（指定地点）与我方签订监理合同，在此之前按招标文件第二章“投标人须知”第 7.7款规定向我方提交履约担保。</w:t>
      </w:r>
    </w:p>
    <w:p w14:paraId="50EA03CA">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特此通知。</w:t>
      </w:r>
    </w:p>
    <w:p w14:paraId="7D152AA7">
      <w:pPr>
        <w:rPr>
          <w:rFonts w:hint="eastAsia" w:ascii="宋体" w:hAnsi="宋体" w:eastAsia="宋体" w:cs="宋体"/>
          <w:szCs w:val="21"/>
          <w:highlight w:val="none"/>
        </w:rPr>
      </w:pPr>
    </w:p>
    <w:p w14:paraId="132B55D3">
      <w:pPr>
        <w:rPr>
          <w:rFonts w:hint="eastAsia" w:ascii="宋体" w:hAnsi="宋体" w:eastAsia="宋体" w:cs="宋体"/>
          <w:szCs w:val="21"/>
          <w:highlight w:val="none"/>
        </w:rPr>
      </w:pPr>
    </w:p>
    <w:p w14:paraId="5CFEDA25">
      <w:pPr>
        <w:rPr>
          <w:rFonts w:hint="eastAsia" w:ascii="宋体" w:hAnsi="宋体" w:eastAsia="宋体" w:cs="宋体"/>
          <w:szCs w:val="21"/>
          <w:highlight w:val="none"/>
        </w:rPr>
      </w:pPr>
    </w:p>
    <w:p w14:paraId="756932CB">
      <w:pPr>
        <w:rPr>
          <w:rFonts w:hint="eastAsia" w:ascii="宋体" w:hAnsi="宋体" w:eastAsia="宋体" w:cs="宋体"/>
          <w:szCs w:val="21"/>
          <w:highlight w:val="none"/>
        </w:rPr>
      </w:pPr>
    </w:p>
    <w:p w14:paraId="7D8E04C7">
      <w:pPr>
        <w:rPr>
          <w:rFonts w:hint="eastAsia" w:ascii="宋体" w:hAnsi="宋体" w:eastAsia="宋体" w:cs="宋体"/>
          <w:szCs w:val="21"/>
          <w:highlight w:val="none"/>
        </w:rPr>
      </w:pPr>
    </w:p>
    <w:p w14:paraId="2A055EC8">
      <w:pPr>
        <w:rPr>
          <w:rFonts w:hint="eastAsia" w:ascii="宋体" w:hAnsi="宋体" w:eastAsia="宋体" w:cs="宋体"/>
          <w:szCs w:val="21"/>
          <w:highlight w:val="none"/>
        </w:rPr>
      </w:pPr>
    </w:p>
    <w:p w14:paraId="3D458323">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招标人：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（盖单位章） </w:t>
      </w:r>
    </w:p>
    <w:p w14:paraId="24F18446">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招标代理：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21CF62C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09BF107">
      <w:pPr>
        <w:spacing w:line="360" w:lineRule="auto"/>
        <w:rPr>
          <w:rFonts w:hint="eastAsia" w:ascii="宋体" w:hAnsi="宋体" w:eastAsia="宋体" w:cs="宋体"/>
          <w:szCs w:val="21"/>
          <w:highlight w:val="none"/>
        </w:rPr>
      </w:pPr>
    </w:p>
    <w:p w14:paraId="67E9F6DB">
      <w:pPr>
        <w:spacing w:line="360" w:lineRule="auto"/>
        <w:rPr>
          <w:rFonts w:hint="eastAsia" w:ascii="宋体" w:hAnsi="宋体" w:eastAsia="宋体" w:cs="宋体"/>
          <w:szCs w:val="21"/>
          <w:highlight w:val="none"/>
        </w:rPr>
      </w:pPr>
    </w:p>
    <w:p w14:paraId="06BE53AA">
      <w:pPr>
        <w:rPr>
          <w:rFonts w:hint="eastAsia" w:ascii="宋体" w:hAnsi="宋体" w:eastAsia="宋体" w:cs="宋体"/>
          <w:szCs w:val="21"/>
          <w:highlight w:val="none"/>
        </w:rPr>
      </w:pPr>
      <w:bookmarkStart w:id="103" w:name="_Toc457201655"/>
      <w:bookmarkStart w:id="104" w:name="_Toc476670116"/>
      <w:bookmarkStart w:id="105" w:name="_Toc476670293"/>
      <w:r>
        <w:rPr>
          <w:rFonts w:hint="eastAsia" w:ascii="宋体" w:hAnsi="宋体" w:eastAsia="宋体" w:cs="宋体"/>
          <w:szCs w:val="21"/>
          <w:highlight w:val="none"/>
        </w:rPr>
        <w:br w:type="page"/>
      </w:r>
      <w:r>
        <w:rPr>
          <w:rFonts w:hint="eastAsia" w:ascii="宋体" w:hAnsi="宋体" w:eastAsia="宋体" w:cs="宋体"/>
          <w:b/>
          <w:bCs/>
          <w:sz w:val="28"/>
          <w:szCs w:val="28"/>
          <w:highlight w:val="none"/>
        </w:rPr>
        <w:t>附表五：中标结果通知书</w:t>
      </w:r>
      <w:bookmarkEnd w:id="103"/>
      <w:bookmarkEnd w:id="104"/>
      <w:bookmarkEnd w:id="105"/>
    </w:p>
    <w:p w14:paraId="0E8611AD">
      <w:pPr>
        <w:spacing w:line="360" w:lineRule="auto"/>
        <w:rPr>
          <w:rFonts w:hint="eastAsia" w:ascii="宋体" w:hAnsi="宋体" w:eastAsia="宋体" w:cs="宋体"/>
          <w:szCs w:val="21"/>
          <w:highlight w:val="none"/>
        </w:rPr>
      </w:pPr>
    </w:p>
    <w:p w14:paraId="1DE000F4">
      <w:pPr>
        <w:jc w:val="center"/>
        <w:rPr>
          <w:rFonts w:hint="eastAsia" w:ascii="宋体" w:hAnsi="宋体" w:eastAsia="宋体" w:cs="宋体"/>
          <w:b/>
          <w:bCs/>
          <w:kern w:val="44"/>
          <w:szCs w:val="21"/>
          <w:highlight w:val="none"/>
        </w:rPr>
      </w:pPr>
      <w:r>
        <w:rPr>
          <w:rFonts w:hint="eastAsia" w:ascii="宋体" w:hAnsi="宋体" w:eastAsia="宋体" w:cs="宋体"/>
          <w:b/>
          <w:bCs/>
          <w:kern w:val="44"/>
          <w:szCs w:val="21"/>
          <w:highlight w:val="none"/>
        </w:rPr>
        <w:t>中标结果通知书</w:t>
      </w:r>
    </w:p>
    <w:p w14:paraId="7B3C279D">
      <w:pPr>
        <w:rPr>
          <w:rFonts w:hint="eastAsia" w:ascii="宋体" w:hAnsi="宋体" w:eastAsia="宋体" w:cs="宋体"/>
          <w:szCs w:val="21"/>
          <w:highlight w:val="none"/>
        </w:rPr>
      </w:pPr>
    </w:p>
    <w:p w14:paraId="427CFB49">
      <w:pPr>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（未中标人名称）：</w:t>
      </w:r>
    </w:p>
    <w:p w14:paraId="41F8770B">
      <w:pPr>
        <w:rPr>
          <w:rFonts w:hint="eastAsia" w:ascii="宋体" w:hAnsi="宋体" w:eastAsia="宋体" w:cs="宋体"/>
          <w:szCs w:val="21"/>
          <w:highlight w:val="none"/>
        </w:rPr>
      </w:pPr>
    </w:p>
    <w:p w14:paraId="0042B7B6">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我方已接受</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（中标人名称）于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（投标日期）所递交的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（项目名称）监理投标文件，确定</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（中标人名称）为中标人。</w:t>
      </w:r>
    </w:p>
    <w:p w14:paraId="2CEFDDCC">
      <w:pPr>
        <w:spacing w:line="400" w:lineRule="exact"/>
        <w:ind w:firstLine="420" w:firstLineChars="200"/>
        <w:rPr>
          <w:rFonts w:hint="eastAsia" w:ascii="宋体" w:hAnsi="宋体" w:eastAsia="宋体" w:cs="宋体"/>
          <w:szCs w:val="21"/>
          <w:highlight w:val="none"/>
        </w:rPr>
      </w:pPr>
    </w:p>
    <w:p w14:paraId="2428599B">
      <w:pPr>
        <w:spacing w:line="400" w:lineRule="exact"/>
        <w:ind w:firstLine="420" w:firstLineChars="200"/>
        <w:rPr>
          <w:rFonts w:hint="eastAsia" w:ascii="宋体" w:hAnsi="宋体" w:eastAsia="宋体" w:cs="宋体"/>
          <w:szCs w:val="21"/>
          <w:highlight w:val="none"/>
        </w:rPr>
      </w:pPr>
    </w:p>
    <w:p w14:paraId="42B074BF">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感谢你单位对招标项目的参与！</w:t>
      </w:r>
    </w:p>
    <w:p w14:paraId="5757CBCE">
      <w:pPr>
        <w:rPr>
          <w:rFonts w:hint="eastAsia" w:ascii="宋体" w:hAnsi="宋体" w:eastAsia="宋体" w:cs="宋体"/>
          <w:szCs w:val="21"/>
          <w:highlight w:val="none"/>
        </w:rPr>
      </w:pPr>
    </w:p>
    <w:p w14:paraId="23EEF62A">
      <w:pPr>
        <w:rPr>
          <w:rFonts w:hint="eastAsia" w:ascii="宋体" w:hAnsi="宋体" w:eastAsia="宋体" w:cs="宋体"/>
          <w:szCs w:val="21"/>
          <w:highlight w:val="none"/>
        </w:rPr>
      </w:pPr>
    </w:p>
    <w:p w14:paraId="17F4A5B0">
      <w:pPr>
        <w:rPr>
          <w:rFonts w:hint="eastAsia" w:ascii="宋体" w:hAnsi="宋体" w:eastAsia="宋体" w:cs="宋体"/>
          <w:szCs w:val="21"/>
          <w:highlight w:val="none"/>
        </w:rPr>
      </w:pPr>
    </w:p>
    <w:p w14:paraId="440076F1">
      <w:pPr>
        <w:rPr>
          <w:rFonts w:hint="eastAsia" w:ascii="宋体" w:hAnsi="宋体" w:eastAsia="宋体" w:cs="宋体"/>
          <w:szCs w:val="21"/>
          <w:highlight w:val="none"/>
        </w:rPr>
      </w:pPr>
    </w:p>
    <w:p w14:paraId="6A78581F">
      <w:pPr>
        <w:rPr>
          <w:rFonts w:hint="eastAsia" w:ascii="宋体" w:hAnsi="宋体" w:eastAsia="宋体" w:cs="宋体"/>
          <w:szCs w:val="21"/>
          <w:highlight w:val="none"/>
        </w:rPr>
      </w:pPr>
    </w:p>
    <w:p w14:paraId="54B400B4">
      <w:pPr>
        <w:rPr>
          <w:rFonts w:hint="eastAsia" w:ascii="宋体" w:hAnsi="宋体" w:eastAsia="宋体" w:cs="宋体"/>
          <w:szCs w:val="21"/>
          <w:highlight w:val="none"/>
        </w:rPr>
      </w:pPr>
    </w:p>
    <w:p w14:paraId="59FC804B">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08EECB7">
      <w:pPr>
        <w:spacing w:line="400" w:lineRule="exact"/>
        <w:ind w:firstLine="4830" w:firstLineChars="2300"/>
        <w:rPr>
          <w:rFonts w:hint="eastAsia" w:ascii="宋体" w:hAnsi="宋体" w:eastAsia="宋体" w:cs="宋体"/>
          <w:szCs w:val="21"/>
          <w:highlight w:val="none"/>
        </w:rPr>
      </w:pPr>
      <w:r>
        <w:rPr>
          <w:rFonts w:hint="eastAsia" w:ascii="宋体" w:hAnsi="宋体" w:eastAsia="宋体" w:cs="宋体"/>
          <w:szCs w:val="21"/>
          <w:highlight w:val="none"/>
        </w:rPr>
        <w:t xml:space="preserve">  招标人：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（盖单位章） </w:t>
      </w:r>
    </w:p>
    <w:p w14:paraId="7D9DA787">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招标代理：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7DCC7BC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9E69EB8">
      <w:pPr>
        <w:spacing w:line="360" w:lineRule="auto"/>
        <w:rPr>
          <w:rFonts w:hint="eastAsia" w:ascii="宋体" w:hAnsi="宋体" w:eastAsia="宋体" w:cs="宋体"/>
          <w:szCs w:val="21"/>
          <w:highlight w:val="none"/>
        </w:rPr>
      </w:pPr>
    </w:p>
    <w:p w14:paraId="09607863">
      <w:pPr>
        <w:spacing w:line="360" w:lineRule="auto"/>
        <w:rPr>
          <w:rFonts w:hint="eastAsia" w:ascii="宋体" w:hAnsi="宋体" w:eastAsia="宋体" w:cs="宋体"/>
          <w:szCs w:val="21"/>
          <w:highlight w:val="none"/>
        </w:rPr>
      </w:pPr>
    </w:p>
    <w:p w14:paraId="57E7AFA2">
      <w:pPr>
        <w:spacing w:line="360" w:lineRule="auto"/>
        <w:rPr>
          <w:rFonts w:hint="eastAsia" w:ascii="宋体" w:hAnsi="宋体" w:eastAsia="宋体" w:cs="宋体"/>
          <w:szCs w:val="21"/>
          <w:highlight w:val="none"/>
        </w:rPr>
      </w:pPr>
    </w:p>
    <w:p w14:paraId="5B79DAF2">
      <w:pPr>
        <w:rPr>
          <w:rFonts w:hint="eastAsia" w:ascii="宋体" w:hAnsi="宋体" w:eastAsia="宋体" w:cs="宋体"/>
          <w:szCs w:val="21"/>
          <w:highlight w:val="none"/>
        </w:rPr>
      </w:pPr>
      <w:bookmarkStart w:id="106" w:name="_Toc457201656"/>
      <w:bookmarkStart w:id="107" w:name="_Toc476670117"/>
      <w:bookmarkStart w:id="108" w:name="_Toc476670294"/>
      <w:r>
        <w:rPr>
          <w:rFonts w:hint="eastAsia" w:ascii="宋体" w:hAnsi="宋体" w:eastAsia="宋体" w:cs="宋体"/>
          <w:szCs w:val="21"/>
          <w:highlight w:val="none"/>
        </w:rPr>
        <w:br w:type="page"/>
      </w:r>
      <w:r>
        <w:rPr>
          <w:rFonts w:hint="eastAsia" w:ascii="宋体" w:hAnsi="宋体" w:eastAsia="宋体" w:cs="宋体"/>
          <w:b/>
          <w:bCs/>
          <w:sz w:val="28"/>
          <w:szCs w:val="28"/>
          <w:highlight w:val="none"/>
        </w:rPr>
        <w:t>附表六：确认通知</w:t>
      </w:r>
      <w:bookmarkEnd w:id="106"/>
      <w:bookmarkEnd w:id="107"/>
      <w:bookmarkEnd w:id="108"/>
    </w:p>
    <w:p w14:paraId="310F49A8">
      <w:pPr>
        <w:spacing w:line="360" w:lineRule="auto"/>
        <w:rPr>
          <w:rFonts w:hint="eastAsia" w:ascii="宋体" w:hAnsi="宋体" w:eastAsia="宋体" w:cs="宋体"/>
          <w:szCs w:val="21"/>
          <w:highlight w:val="none"/>
        </w:rPr>
      </w:pPr>
    </w:p>
    <w:p w14:paraId="1E0CCF16">
      <w:pPr>
        <w:jc w:val="center"/>
        <w:rPr>
          <w:rFonts w:hint="eastAsia" w:ascii="宋体" w:hAnsi="宋体" w:eastAsia="宋体" w:cs="宋体"/>
          <w:b/>
          <w:bCs/>
          <w:kern w:val="44"/>
          <w:szCs w:val="21"/>
          <w:highlight w:val="none"/>
        </w:rPr>
      </w:pPr>
      <w:r>
        <w:rPr>
          <w:rFonts w:hint="eastAsia" w:ascii="宋体" w:hAnsi="宋体" w:eastAsia="宋体" w:cs="宋体"/>
          <w:b/>
          <w:bCs/>
          <w:kern w:val="44"/>
          <w:szCs w:val="21"/>
          <w:highlight w:val="none"/>
        </w:rPr>
        <w:t>确认通知</w:t>
      </w:r>
    </w:p>
    <w:p w14:paraId="248A971F">
      <w:pPr>
        <w:rPr>
          <w:rFonts w:hint="eastAsia" w:ascii="宋体" w:hAnsi="宋体" w:eastAsia="宋体" w:cs="宋体"/>
          <w:szCs w:val="21"/>
          <w:highlight w:val="none"/>
        </w:rPr>
      </w:pPr>
    </w:p>
    <w:p w14:paraId="4295CE5E">
      <w:pPr>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（招标人名称）：</w:t>
      </w:r>
    </w:p>
    <w:p w14:paraId="091C7707">
      <w:pPr>
        <w:rPr>
          <w:rFonts w:hint="eastAsia" w:ascii="宋体" w:hAnsi="宋体" w:eastAsia="宋体" w:cs="宋体"/>
          <w:szCs w:val="21"/>
          <w:highlight w:val="none"/>
        </w:rPr>
      </w:pPr>
    </w:p>
    <w:p w14:paraId="4A4995AB">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你方于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日发出的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（项目名称）监理招标关于招标文件澄清/修改的通知（第</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号补遗书，正文共</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页），我方已于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日收到。</w:t>
      </w:r>
    </w:p>
    <w:p w14:paraId="20465BFA">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特此确认。</w:t>
      </w:r>
    </w:p>
    <w:p w14:paraId="65E2D6EB">
      <w:pPr>
        <w:rPr>
          <w:rFonts w:hint="eastAsia" w:ascii="宋体" w:hAnsi="宋体" w:eastAsia="宋体" w:cs="宋体"/>
          <w:szCs w:val="21"/>
          <w:highlight w:val="none"/>
        </w:rPr>
      </w:pPr>
    </w:p>
    <w:p w14:paraId="5DA83FE4">
      <w:pPr>
        <w:rPr>
          <w:rFonts w:hint="eastAsia" w:ascii="宋体" w:hAnsi="宋体" w:eastAsia="宋体" w:cs="宋体"/>
          <w:szCs w:val="21"/>
          <w:highlight w:val="none"/>
        </w:rPr>
      </w:pPr>
    </w:p>
    <w:p w14:paraId="7D0C02C8">
      <w:pPr>
        <w:rPr>
          <w:rFonts w:hint="eastAsia" w:ascii="宋体" w:hAnsi="宋体" w:eastAsia="宋体" w:cs="宋体"/>
          <w:szCs w:val="21"/>
          <w:highlight w:val="none"/>
        </w:rPr>
      </w:pPr>
    </w:p>
    <w:p w14:paraId="0F6A9B83">
      <w:pPr>
        <w:rPr>
          <w:rFonts w:hint="eastAsia" w:ascii="宋体" w:hAnsi="宋体" w:eastAsia="宋体" w:cs="宋体"/>
          <w:szCs w:val="21"/>
          <w:highlight w:val="none"/>
        </w:rPr>
      </w:pPr>
    </w:p>
    <w:p w14:paraId="11BEBE0D">
      <w:pPr>
        <w:rPr>
          <w:rFonts w:hint="eastAsia" w:ascii="宋体" w:hAnsi="宋体" w:eastAsia="宋体" w:cs="宋体"/>
          <w:szCs w:val="21"/>
          <w:highlight w:val="none"/>
        </w:rPr>
      </w:pPr>
    </w:p>
    <w:p w14:paraId="6CF7F3C6">
      <w:pPr>
        <w:rPr>
          <w:rFonts w:hint="eastAsia" w:ascii="宋体" w:hAnsi="宋体" w:eastAsia="宋体" w:cs="宋体"/>
          <w:szCs w:val="21"/>
          <w:highlight w:val="none"/>
        </w:rPr>
      </w:pPr>
    </w:p>
    <w:p w14:paraId="1A00B002">
      <w:pPr>
        <w:rPr>
          <w:rFonts w:hint="eastAsia" w:ascii="宋体" w:hAnsi="宋体" w:eastAsia="宋体" w:cs="宋体"/>
          <w:szCs w:val="21"/>
          <w:highlight w:val="none"/>
        </w:rPr>
      </w:pPr>
    </w:p>
    <w:p w14:paraId="2A3709E0">
      <w:pPr>
        <w:rPr>
          <w:rFonts w:hint="eastAsia" w:ascii="宋体" w:hAnsi="宋体" w:eastAsia="宋体" w:cs="宋体"/>
          <w:szCs w:val="21"/>
          <w:highlight w:val="none"/>
        </w:rPr>
      </w:pPr>
      <w:r>
        <w:rPr>
          <w:rFonts w:hint="eastAsia" w:ascii="宋体" w:hAnsi="宋体" w:eastAsia="宋体" w:cs="宋体"/>
          <w:szCs w:val="21"/>
          <w:highlight w:val="none"/>
        </w:rPr>
        <w:t xml:space="preserve">                                                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132982A3">
      <w:pPr>
        <w:rPr>
          <w:rFonts w:hint="eastAsia" w:ascii="宋体" w:hAnsi="宋体" w:eastAsia="宋体" w:cs="宋体"/>
          <w:szCs w:val="21"/>
          <w:highlight w:val="none"/>
        </w:rPr>
      </w:pPr>
    </w:p>
    <w:p w14:paraId="2E4F9BB5">
      <w:pPr>
        <w:spacing w:line="360" w:lineRule="auto"/>
        <w:rPr>
          <w:rFonts w:hint="eastAsia" w:ascii="宋体" w:hAnsi="宋体" w:eastAsia="宋体" w:cs="宋体"/>
          <w:bCs/>
          <w:sz w:val="24"/>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0941A1FB">
      <w:pPr>
        <w:rPr>
          <w:rFonts w:hint="eastAsia" w:ascii="宋体" w:hAnsi="宋体" w:eastAsia="宋体" w:cs="宋体"/>
          <w:highlight w:val="none"/>
        </w:rPr>
      </w:pPr>
      <w:r>
        <w:rPr>
          <w:rFonts w:hint="eastAsia" w:ascii="宋体" w:hAnsi="宋体" w:eastAsia="宋体" w:cs="宋体"/>
          <w:highlight w:val="none"/>
        </w:rPr>
        <w:br w:type="page"/>
      </w:r>
    </w:p>
    <w:p w14:paraId="53B4D225">
      <w:pPr>
        <w:bidi w:val="0"/>
        <w:spacing w:line="240" w:lineRule="auto"/>
        <w:ind w:firstLine="0" w:firstLineChars="0"/>
        <w:jc w:val="left"/>
        <w:rPr>
          <w:rFonts w:hint="eastAsia"/>
          <w:b/>
          <w:bCs/>
          <w:sz w:val="28"/>
          <w:szCs w:val="28"/>
          <w:highlight w:val="none"/>
          <w:lang w:eastAsia="zh-CN"/>
        </w:rPr>
      </w:pPr>
      <w:r>
        <w:rPr>
          <w:rFonts w:hint="eastAsia"/>
          <w:b/>
          <w:bCs/>
          <w:sz w:val="28"/>
          <w:szCs w:val="28"/>
          <w:highlight w:val="none"/>
        </w:rPr>
        <w:t>附</w:t>
      </w:r>
      <w:r>
        <w:rPr>
          <w:rFonts w:hint="eastAsia"/>
          <w:b/>
          <w:bCs/>
          <w:sz w:val="28"/>
          <w:szCs w:val="28"/>
          <w:highlight w:val="none"/>
          <w:lang w:eastAsia="zh-CN"/>
        </w:rPr>
        <w:t>表七</w:t>
      </w:r>
      <w:r>
        <w:rPr>
          <w:rFonts w:hint="eastAsia"/>
          <w:b/>
          <w:bCs/>
          <w:sz w:val="28"/>
          <w:szCs w:val="28"/>
          <w:highlight w:val="none"/>
        </w:rPr>
        <w:t>：</w:t>
      </w:r>
      <w:r>
        <w:rPr>
          <w:rFonts w:hint="eastAsia"/>
          <w:b/>
          <w:bCs/>
          <w:sz w:val="28"/>
          <w:szCs w:val="28"/>
          <w:highlight w:val="none"/>
          <w:lang w:eastAsia="zh-CN"/>
        </w:rPr>
        <w:t>中小企业声明函（工程、服务）</w:t>
      </w:r>
    </w:p>
    <w:p w14:paraId="052B9CA5">
      <w:pPr>
        <w:pStyle w:val="14"/>
        <w:rPr>
          <w:rFonts w:hint="eastAsia" w:ascii="宋体" w:hAnsi="宋体" w:eastAsia="宋体" w:cs="宋体"/>
          <w:sz w:val="21"/>
          <w:szCs w:val="21"/>
          <w:highlight w:val="none"/>
          <w:lang w:eastAsia="zh-CN"/>
        </w:rPr>
      </w:pPr>
    </w:p>
    <w:p w14:paraId="6F760407">
      <w:pPr>
        <w:keepLines w:val="0"/>
        <w:pageBreakBefore w:val="0"/>
        <w:widowControl w:val="0"/>
        <w:kinsoku/>
        <w:wordWrap/>
        <w:overflowPunct/>
        <w:topLinePunct w:val="0"/>
        <w:autoSpaceDE/>
        <w:autoSpaceDN/>
        <w:bidi w:val="0"/>
        <w:adjustRightInd w:val="0"/>
        <w:snapToGrid w:val="0"/>
        <w:spacing w:after="156" w:afterLines="50" w:line="360" w:lineRule="exact"/>
        <w:ind w:firstLine="0" w:firstLineChars="0"/>
        <w:jc w:val="center"/>
        <w:textAlignment w:val="auto"/>
        <w:rPr>
          <w:rFonts w:hint="eastAsia" w:ascii="宋体" w:hAnsi="宋体" w:cs="宋体"/>
          <w:b/>
          <w:bCs/>
          <w:color w:val="auto"/>
          <w:sz w:val="30"/>
          <w:szCs w:val="30"/>
          <w:highlight w:val="none"/>
          <w:u w:val="single"/>
          <w:lang w:eastAsia="zh-CN"/>
        </w:rPr>
      </w:pPr>
      <w:r>
        <w:rPr>
          <w:rFonts w:hint="eastAsia" w:ascii="宋体" w:hAnsi="宋体" w:cs="宋体"/>
          <w:b/>
          <w:bCs/>
          <w:color w:val="auto"/>
          <w:sz w:val="30"/>
          <w:szCs w:val="30"/>
          <w:highlight w:val="none"/>
          <w:u w:val="none"/>
          <w:lang w:eastAsia="zh-CN"/>
        </w:rPr>
        <w:t>中小企业声明函（工程、服务）</w:t>
      </w:r>
    </w:p>
    <w:p w14:paraId="2CD5CE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highlight w:val="none"/>
          <w:lang w:eastAsia="zh-CN"/>
        </w:rPr>
      </w:pPr>
      <w:r>
        <w:rPr>
          <w:rFonts w:hint="eastAsia"/>
          <w:b w:val="0"/>
          <w:bCs w:val="0"/>
          <w:highlight w:val="none"/>
          <w:lang w:eastAsia="zh-CN"/>
        </w:rPr>
        <w:t>本公司（联合体）郑重声明，根据《政府采购促进中小企业发展管理办法》（财库【</w:t>
      </w:r>
      <w:r>
        <w:rPr>
          <w:rFonts w:hint="eastAsia"/>
          <w:b w:val="0"/>
          <w:bCs w:val="0"/>
          <w:highlight w:val="none"/>
          <w:lang w:val="en-US" w:eastAsia="zh-CN"/>
        </w:rPr>
        <w:t>2020</w:t>
      </w:r>
      <w:r>
        <w:rPr>
          <w:rFonts w:hint="eastAsia"/>
          <w:b w:val="0"/>
          <w:bCs w:val="0"/>
          <w:highlight w:val="none"/>
          <w:lang w:eastAsia="zh-CN"/>
        </w:rPr>
        <w:t>】</w:t>
      </w:r>
      <w:r>
        <w:rPr>
          <w:rFonts w:hint="eastAsia"/>
          <w:b w:val="0"/>
          <w:bCs w:val="0"/>
          <w:highlight w:val="none"/>
          <w:lang w:val="en-US" w:eastAsia="zh-CN"/>
        </w:rPr>
        <w:t>46号</w:t>
      </w:r>
      <w:r>
        <w:rPr>
          <w:rFonts w:hint="eastAsia"/>
          <w:b w:val="0"/>
          <w:bCs w:val="0"/>
          <w:highlight w:val="none"/>
          <w:lang w:eastAsia="zh-CN"/>
        </w:rPr>
        <w:t>）的规定，本公司（联合体）参加</w:t>
      </w:r>
      <w:r>
        <w:rPr>
          <w:rFonts w:hint="eastAsia"/>
          <w:b w:val="0"/>
          <w:bCs w:val="0"/>
          <w:highlight w:val="none"/>
          <w:u w:val="single"/>
          <w:lang w:eastAsia="zh-CN"/>
        </w:rPr>
        <w:t>（单位名称）</w:t>
      </w:r>
      <w:r>
        <w:rPr>
          <w:rFonts w:hint="eastAsia"/>
          <w:b w:val="0"/>
          <w:bCs w:val="0"/>
          <w:highlight w:val="none"/>
          <w:lang w:eastAsia="zh-CN"/>
        </w:rPr>
        <w:t>的</w:t>
      </w:r>
      <w:r>
        <w:rPr>
          <w:rFonts w:hint="eastAsia"/>
          <w:b w:val="0"/>
          <w:bCs w:val="0"/>
          <w:highlight w:val="none"/>
          <w:u w:val="single"/>
          <w:lang w:eastAsia="zh-CN"/>
        </w:rPr>
        <w:t>（项目名称）</w:t>
      </w:r>
      <w:r>
        <w:rPr>
          <w:rFonts w:hint="eastAsia"/>
          <w:b w:val="0"/>
          <w:bCs w:val="0"/>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D5C5C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highlight w:val="none"/>
          <w:lang w:val="en-US" w:eastAsia="zh-CN"/>
        </w:rPr>
      </w:pPr>
      <w:r>
        <w:rPr>
          <w:rFonts w:hint="eastAsia"/>
          <w:b w:val="0"/>
          <w:bCs w:val="0"/>
          <w:highlight w:val="none"/>
          <w:lang w:val="en-US" w:eastAsia="zh-CN"/>
        </w:rPr>
        <w:t>1.</w:t>
      </w:r>
      <w:r>
        <w:rPr>
          <w:rFonts w:hint="eastAsia"/>
          <w:b w:val="0"/>
          <w:bCs w:val="0"/>
          <w:highlight w:val="none"/>
          <w:u w:val="single"/>
          <w:lang w:val="en-US" w:eastAsia="zh-CN"/>
        </w:rPr>
        <w:t>（标的名称）</w:t>
      </w:r>
      <w:r>
        <w:rPr>
          <w:rFonts w:hint="eastAsia"/>
          <w:b w:val="0"/>
          <w:bCs w:val="0"/>
          <w:highlight w:val="none"/>
          <w:lang w:val="en-US" w:eastAsia="zh-CN"/>
        </w:rPr>
        <w:t>，属于</w:t>
      </w:r>
      <w:r>
        <w:rPr>
          <w:rFonts w:hint="eastAsia"/>
          <w:b w:val="0"/>
          <w:bCs w:val="0"/>
          <w:highlight w:val="none"/>
          <w:u w:val="single"/>
          <w:lang w:val="en-US" w:eastAsia="zh-CN"/>
        </w:rPr>
        <w:t>（采购文件中明确的所属行业）</w:t>
      </w:r>
      <w:r>
        <w:rPr>
          <w:rFonts w:hint="eastAsia"/>
          <w:b w:val="0"/>
          <w:bCs w:val="0"/>
          <w:highlight w:val="none"/>
          <w:lang w:val="en-US" w:eastAsia="zh-CN"/>
        </w:rPr>
        <w:t>；承建（承接）企业为</w:t>
      </w:r>
      <w:r>
        <w:rPr>
          <w:rFonts w:hint="eastAsia"/>
          <w:b w:val="0"/>
          <w:bCs w:val="0"/>
          <w:highlight w:val="none"/>
          <w:u w:val="single"/>
          <w:lang w:val="en-US" w:eastAsia="zh-CN"/>
        </w:rPr>
        <w:t>（企业名称）</w:t>
      </w:r>
      <w:r>
        <w:rPr>
          <w:rFonts w:hint="eastAsia"/>
          <w:b w:val="0"/>
          <w:bCs w:val="0"/>
          <w:highlight w:val="none"/>
          <w:lang w:val="en-US" w:eastAsia="zh-CN"/>
        </w:rPr>
        <w:t>，从业人员</w:t>
      </w:r>
      <w:r>
        <w:rPr>
          <w:rFonts w:hint="eastAsia"/>
          <w:b w:val="0"/>
          <w:bCs w:val="0"/>
          <w:highlight w:val="none"/>
          <w:u w:val="single"/>
          <w:lang w:val="en-US" w:eastAsia="zh-CN"/>
        </w:rPr>
        <w:t xml:space="preserve">   </w:t>
      </w:r>
      <w:r>
        <w:rPr>
          <w:rFonts w:hint="eastAsia"/>
          <w:b w:val="0"/>
          <w:bCs w:val="0"/>
          <w:highlight w:val="none"/>
          <w:lang w:val="en-US" w:eastAsia="zh-CN"/>
        </w:rPr>
        <w:t>人，营业收入为</w:t>
      </w:r>
      <w:r>
        <w:rPr>
          <w:rFonts w:hint="eastAsia"/>
          <w:b w:val="0"/>
          <w:bCs w:val="0"/>
          <w:highlight w:val="none"/>
          <w:u w:val="single"/>
          <w:lang w:val="en-US" w:eastAsia="zh-CN"/>
        </w:rPr>
        <w:t xml:space="preserve">   </w:t>
      </w:r>
      <w:r>
        <w:rPr>
          <w:rFonts w:hint="eastAsia"/>
          <w:b w:val="0"/>
          <w:bCs w:val="0"/>
          <w:highlight w:val="none"/>
          <w:lang w:val="en-US" w:eastAsia="zh-CN"/>
        </w:rPr>
        <w:t>万元，资产总额为</w:t>
      </w:r>
      <w:r>
        <w:rPr>
          <w:rFonts w:hint="eastAsia"/>
          <w:b w:val="0"/>
          <w:bCs w:val="0"/>
          <w:highlight w:val="none"/>
          <w:u w:val="single"/>
          <w:lang w:val="en-US" w:eastAsia="zh-CN"/>
        </w:rPr>
        <w:t xml:space="preserve">   </w:t>
      </w:r>
      <w:r>
        <w:rPr>
          <w:rFonts w:hint="eastAsia"/>
          <w:b w:val="0"/>
          <w:bCs w:val="0"/>
          <w:highlight w:val="none"/>
          <w:lang w:val="en-US" w:eastAsia="zh-CN"/>
        </w:rPr>
        <w:t>万元</w:t>
      </w:r>
      <w:r>
        <w:rPr>
          <w:rFonts w:hint="eastAsia"/>
          <w:b w:val="0"/>
          <w:bCs w:val="0"/>
          <w:sz w:val="21"/>
          <w:highlight w:val="none"/>
          <w:vertAlign w:val="superscript"/>
          <w:lang w:val="en-US" w:eastAsia="zh-CN"/>
        </w:rPr>
        <w:t>1</w:t>
      </w:r>
      <w:r>
        <w:rPr>
          <w:rFonts w:hint="eastAsia"/>
          <w:b w:val="0"/>
          <w:bCs w:val="0"/>
          <w:highlight w:val="none"/>
          <w:lang w:val="en-US" w:eastAsia="zh-CN"/>
        </w:rPr>
        <w:t>，属于</w:t>
      </w:r>
      <w:r>
        <w:rPr>
          <w:rFonts w:hint="eastAsia"/>
          <w:b w:val="0"/>
          <w:bCs w:val="0"/>
          <w:highlight w:val="none"/>
          <w:u w:val="single"/>
          <w:lang w:val="en-US" w:eastAsia="zh-CN"/>
        </w:rPr>
        <w:t>（中型企业、小型企业、微型企业）</w:t>
      </w:r>
      <w:r>
        <w:rPr>
          <w:rFonts w:hint="eastAsia"/>
          <w:b w:val="0"/>
          <w:bCs w:val="0"/>
          <w:highlight w:val="none"/>
          <w:lang w:val="en-US" w:eastAsia="zh-CN"/>
        </w:rPr>
        <w:t>；</w:t>
      </w:r>
    </w:p>
    <w:p w14:paraId="76DA24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highlight w:val="none"/>
          <w:lang w:val="en-US" w:eastAsia="zh-CN"/>
        </w:rPr>
      </w:pPr>
      <w:r>
        <w:rPr>
          <w:rFonts w:hint="eastAsia"/>
          <w:b w:val="0"/>
          <w:bCs w:val="0"/>
          <w:highlight w:val="none"/>
          <w:lang w:val="en-US" w:eastAsia="zh-CN"/>
        </w:rPr>
        <w:t>2.</w:t>
      </w:r>
      <w:r>
        <w:rPr>
          <w:rFonts w:hint="eastAsia"/>
          <w:b w:val="0"/>
          <w:bCs w:val="0"/>
          <w:highlight w:val="none"/>
          <w:u w:val="single"/>
          <w:lang w:val="en-US" w:eastAsia="zh-CN"/>
        </w:rPr>
        <w:t>（标的名称）</w:t>
      </w:r>
      <w:r>
        <w:rPr>
          <w:rFonts w:hint="eastAsia"/>
          <w:b w:val="0"/>
          <w:bCs w:val="0"/>
          <w:highlight w:val="none"/>
          <w:lang w:val="en-US" w:eastAsia="zh-CN"/>
        </w:rPr>
        <w:t>，属于</w:t>
      </w:r>
      <w:r>
        <w:rPr>
          <w:rFonts w:hint="eastAsia"/>
          <w:b w:val="0"/>
          <w:bCs w:val="0"/>
          <w:highlight w:val="none"/>
          <w:u w:val="single"/>
          <w:lang w:val="en-US" w:eastAsia="zh-CN"/>
        </w:rPr>
        <w:t>（采购文件中明确的所属行业）</w:t>
      </w:r>
      <w:r>
        <w:rPr>
          <w:rFonts w:hint="eastAsia"/>
          <w:b w:val="0"/>
          <w:bCs w:val="0"/>
          <w:highlight w:val="none"/>
          <w:lang w:val="en-US" w:eastAsia="zh-CN"/>
        </w:rPr>
        <w:t>；承建（承接）企业为</w:t>
      </w:r>
      <w:r>
        <w:rPr>
          <w:rFonts w:hint="eastAsia"/>
          <w:b w:val="0"/>
          <w:bCs w:val="0"/>
          <w:highlight w:val="none"/>
          <w:u w:val="single"/>
          <w:lang w:val="en-US" w:eastAsia="zh-CN"/>
        </w:rPr>
        <w:t>（企业名称）</w:t>
      </w:r>
      <w:r>
        <w:rPr>
          <w:rFonts w:hint="eastAsia"/>
          <w:b w:val="0"/>
          <w:bCs w:val="0"/>
          <w:highlight w:val="none"/>
          <w:lang w:val="en-US" w:eastAsia="zh-CN"/>
        </w:rPr>
        <w:t>，从业人员</w:t>
      </w:r>
      <w:r>
        <w:rPr>
          <w:rFonts w:hint="eastAsia"/>
          <w:b w:val="0"/>
          <w:bCs w:val="0"/>
          <w:highlight w:val="none"/>
          <w:u w:val="single"/>
          <w:lang w:val="en-US" w:eastAsia="zh-CN"/>
        </w:rPr>
        <w:t xml:space="preserve">   </w:t>
      </w:r>
      <w:r>
        <w:rPr>
          <w:rFonts w:hint="eastAsia"/>
          <w:b w:val="0"/>
          <w:bCs w:val="0"/>
          <w:highlight w:val="none"/>
          <w:lang w:val="en-US" w:eastAsia="zh-CN"/>
        </w:rPr>
        <w:t>人，营业收入为</w:t>
      </w:r>
      <w:r>
        <w:rPr>
          <w:rFonts w:hint="eastAsia"/>
          <w:b w:val="0"/>
          <w:bCs w:val="0"/>
          <w:highlight w:val="none"/>
          <w:u w:val="single"/>
          <w:lang w:val="en-US" w:eastAsia="zh-CN"/>
        </w:rPr>
        <w:t xml:space="preserve">   </w:t>
      </w:r>
      <w:r>
        <w:rPr>
          <w:rFonts w:hint="eastAsia"/>
          <w:b w:val="0"/>
          <w:bCs w:val="0"/>
          <w:highlight w:val="none"/>
          <w:lang w:val="en-US" w:eastAsia="zh-CN"/>
        </w:rPr>
        <w:t>万元，资产总额为</w:t>
      </w:r>
      <w:r>
        <w:rPr>
          <w:rFonts w:hint="eastAsia"/>
          <w:b w:val="0"/>
          <w:bCs w:val="0"/>
          <w:highlight w:val="none"/>
          <w:u w:val="single"/>
          <w:lang w:val="en-US" w:eastAsia="zh-CN"/>
        </w:rPr>
        <w:t xml:space="preserve">   </w:t>
      </w:r>
      <w:r>
        <w:rPr>
          <w:rFonts w:hint="eastAsia"/>
          <w:b w:val="0"/>
          <w:bCs w:val="0"/>
          <w:highlight w:val="none"/>
          <w:lang w:val="en-US" w:eastAsia="zh-CN"/>
        </w:rPr>
        <w:t>万元，属于</w:t>
      </w:r>
      <w:r>
        <w:rPr>
          <w:rFonts w:hint="eastAsia"/>
          <w:b w:val="0"/>
          <w:bCs w:val="0"/>
          <w:highlight w:val="none"/>
          <w:u w:val="single"/>
          <w:lang w:val="en-US" w:eastAsia="zh-CN"/>
        </w:rPr>
        <w:t>（中型企业、小型企业、微型企业）</w:t>
      </w:r>
      <w:r>
        <w:rPr>
          <w:rFonts w:hint="eastAsia"/>
          <w:b w:val="0"/>
          <w:bCs w:val="0"/>
          <w:highlight w:val="none"/>
          <w:lang w:val="en-US" w:eastAsia="zh-CN"/>
        </w:rPr>
        <w:t>；</w:t>
      </w:r>
    </w:p>
    <w:p w14:paraId="28790A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highlight w:val="none"/>
          <w:lang w:eastAsia="zh-CN"/>
        </w:rPr>
      </w:pPr>
      <w:r>
        <w:rPr>
          <w:rFonts w:hint="eastAsia"/>
          <w:b w:val="0"/>
          <w:bCs w:val="0"/>
          <w:highlight w:val="none"/>
          <w:lang w:eastAsia="zh-CN"/>
        </w:rPr>
        <w:t>……</w:t>
      </w:r>
    </w:p>
    <w:p w14:paraId="3823B1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highlight w:val="none"/>
          <w:lang w:eastAsia="zh-CN"/>
        </w:rPr>
      </w:pPr>
      <w:r>
        <w:rPr>
          <w:rFonts w:hint="eastAsia"/>
          <w:b w:val="0"/>
          <w:bCs w:val="0"/>
          <w:highlight w:val="none"/>
          <w:lang w:eastAsia="zh-CN"/>
        </w:rPr>
        <w:t>以上企业，不属于大企业的分支机构，不存在控股股东为大企业的情形，也不存在与大企业的负责人为同一人的情形。</w:t>
      </w:r>
    </w:p>
    <w:p w14:paraId="69807C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highlight w:val="none"/>
          <w:lang w:eastAsia="zh-CN"/>
        </w:rPr>
      </w:pPr>
      <w:r>
        <w:rPr>
          <w:rFonts w:hint="eastAsia"/>
          <w:b w:val="0"/>
          <w:bCs w:val="0"/>
          <w:highlight w:val="none"/>
          <w:lang w:eastAsia="zh-CN"/>
        </w:rPr>
        <w:t>本企业对上述声明内容的真实性负责。如有虚假，将依法承担相应责任。</w:t>
      </w:r>
    </w:p>
    <w:p w14:paraId="60FC00E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b w:val="0"/>
          <w:bCs w:val="0"/>
          <w:highlight w:val="none"/>
          <w:lang w:val="en-US" w:eastAsia="zh-CN"/>
        </w:rPr>
      </w:pPr>
      <w:r>
        <w:rPr>
          <w:rFonts w:hint="eastAsia"/>
          <w:b w:val="0"/>
          <w:bCs w:val="0"/>
          <w:highlight w:val="none"/>
          <w:lang w:val="en-US" w:eastAsia="zh-CN"/>
        </w:rPr>
        <w:t xml:space="preserve">                                          </w:t>
      </w:r>
    </w:p>
    <w:p w14:paraId="048C82B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b w:val="0"/>
          <w:bCs w:val="0"/>
          <w:highlight w:val="none"/>
          <w:lang w:val="en-US" w:eastAsia="zh-CN"/>
        </w:rPr>
      </w:pPr>
      <w:r>
        <w:rPr>
          <w:rFonts w:hint="eastAsia"/>
          <w:b w:val="0"/>
          <w:bCs w:val="0"/>
          <w:highlight w:val="none"/>
          <w:lang w:val="en-US" w:eastAsia="zh-CN"/>
        </w:rPr>
        <w:t xml:space="preserve">                                    </w:t>
      </w:r>
    </w:p>
    <w:p w14:paraId="62A561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b w:val="0"/>
          <w:bCs w:val="0"/>
          <w:highlight w:val="none"/>
          <w:lang w:val="en-US" w:eastAsia="zh-CN"/>
        </w:rPr>
      </w:pPr>
    </w:p>
    <w:p w14:paraId="04022B30">
      <w:pPr>
        <w:keepNext w:val="0"/>
        <w:keepLines w:val="0"/>
        <w:pageBreakBefore w:val="0"/>
        <w:widowControl w:val="0"/>
        <w:kinsoku/>
        <w:wordWrap/>
        <w:overflowPunct/>
        <w:topLinePunct w:val="0"/>
        <w:autoSpaceDE/>
        <w:autoSpaceDN/>
        <w:bidi w:val="0"/>
        <w:adjustRightInd/>
        <w:snapToGrid/>
        <w:spacing w:line="440" w:lineRule="exact"/>
        <w:ind w:firstLine="3780" w:firstLineChars="1800"/>
        <w:jc w:val="left"/>
        <w:textAlignment w:val="auto"/>
        <w:rPr>
          <w:rFonts w:hint="default"/>
          <w:b w:val="0"/>
          <w:bCs w:val="0"/>
          <w:highlight w:val="none"/>
          <w:u w:val="single"/>
          <w:lang w:val="en-US" w:eastAsia="zh-CN"/>
        </w:rPr>
      </w:pPr>
      <w:r>
        <w:rPr>
          <w:rFonts w:hint="eastAsia"/>
          <w:b w:val="0"/>
          <w:bCs w:val="0"/>
          <w:highlight w:val="none"/>
          <w:lang w:eastAsia="zh-CN"/>
        </w:rPr>
        <w:t>企业名称：</w:t>
      </w:r>
      <w:r>
        <w:rPr>
          <w:rFonts w:hint="eastAsia"/>
          <w:b w:val="0"/>
          <w:bCs w:val="0"/>
          <w:highlight w:val="none"/>
          <w:u w:val="single"/>
          <w:lang w:val="en-US" w:eastAsia="zh-CN"/>
        </w:rPr>
        <w:t xml:space="preserve">                </w:t>
      </w:r>
      <w:r>
        <w:rPr>
          <w:rFonts w:hint="eastAsia"/>
          <w:b w:val="0"/>
          <w:bCs w:val="0"/>
          <w:highlight w:val="none"/>
          <w:u w:val="none"/>
          <w:lang w:val="en-US" w:eastAsia="zh-CN"/>
        </w:rPr>
        <w:t>（电子签章）</w:t>
      </w:r>
    </w:p>
    <w:p w14:paraId="55514609">
      <w:pPr>
        <w:keepNext w:val="0"/>
        <w:keepLines w:val="0"/>
        <w:pageBreakBefore w:val="0"/>
        <w:widowControl w:val="0"/>
        <w:kinsoku/>
        <w:wordWrap/>
        <w:overflowPunct/>
        <w:topLinePunct w:val="0"/>
        <w:autoSpaceDE/>
        <w:autoSpaceDN/>
        <w:bidi w:val="0"/>
        <w:adjustRightInd/>
        <w:snapToGrid/>
        <w:spacing w:line="440" w:lineRule="exact"/>
        <w:ind w:firstLine="3780" w:firstLineChars="1800"/>
        <w:jc w:val="left"/>
        <w:textAlignment w:val="auto"/>
        <w:rPr>
          <w:rFonts w:hint="default"/>
          <w:b w:val="0"/>
          <w:bCs w:val="0"/>
          <w:highlight w:val="none"/>
          <w:lang w:val="en-US" w:eastAsia="zh-CN"/>
        </w:rPr>
      </w:pPr>
      <w:r>
        <w:rPr>
          <w:rFonts w:hint="eastAsia"/>
          <w:b w:val="0"/>
          <w:bCs w:val="0"/>
          <w:highlight w:val="none"/>
          <w:lang w:eastAsia="zh-CN"/>
        </w:rPr>
        <w:t>日</w:t>
      </w:r>
      <w:r>
        <w:rPr>
          <w:rFonts w:hint="eastAsia"/>
          <w:b w:val="0"/>
          <w:bCs w:val="0"/>
          <w:highlight w:val="none"/>
          <w:lang w:val="en-US" w:eastAsia="zh-CN"/>
        </w:rPr>
        <w:t xml:space="preserve">    </w:t>
      </w:r>
      <w:r>
        <w:rPr>
          <w:rFonts w:hint="eastAsia"/>
          <w:b w:val="0"/>
          <w:bCs w:val="0"/>
          <w:highlight w:val="none"/>
          <w:lang w:eastAsia="zh-CN"/>
        </w:rPr>
        <w:t>期：</w:t>
      </w:r>
      <w:r>
        <w:rPr>
          <w:rFonts w:hint="eastAsia"/>
          <w:b w:val="0"/>
          <w:bCs w:val="0"/>
          <w:highlight w:val="none"/>
          <w:u w:val="single"/>
          <w:lang w:val="en-US" w:eastAsia="zh-CN"/>
        </w:rPr>
        <w:t xml:space="preserve">                </w:t>
      </w:r>
    </w:p>
    <w:p w14:paraId="23CE1006">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b w:val="0"/>
          <w:bCs w:val="0"/>
          <w:highlight w:val="none"/>
          <w:lang w:val="en-US" w:eastAsia="zh-CN"/>
        </w:rPr>
      </w:pPr>
    </w:p>
    <w:p w14:paraId="07D9008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b w:val="0"/>
          <w:bCs w:val="0"/>
          <w:highlight w:val="none"/>
          <w:lang w:eastAsia="zh-CN"/>
        </w:rPr>
      </w:pPr>
    </w:p>
    <w:p w14:paraId="519AC8D4">
      <w:pPr>
        <w:keepLines w:val="0"/>
        <w:pageBreakBefore w:val="0"/>
        <w:widowControl w:val="0"/>
        <w:kinsoku/>
        <w:wordWrap/>
        <w:overflowPunct/>
        <w:topLinePunct w:val="0"/>
        <w:autoSpaceDE/>
        <w:autoSpaceDN/>
        <w:bidi w:val="0"/>
        <w:spacing w:line="360" w:lineRule="exact"/>
        <w:ind w:firstLine="0" w:firstLineChars="0"/>
        <w:textAlignment w:val="auto"/>
        <w:rPr>
          <w:rFonts w:hint="eastAsia" w:ascii="宋体" w:hAnsi="宋体" w:cs="宋体"/>
          <w:b w:val="0"/>
          <w:bCs w:val="0"/>
          <w:color w:val="auto"/>
          <w:sz w:val="21"/>
          <w:szCs w:val="21"/>
          <w:highlight w:val="none"/>
          <w:vertAlign w:val="superscript"/>
          <w:lang w:val="en-US" w:eastAsia="zh-CN"/>
        </w:rPr>
      </w:pPr>
    </w:p>
    <w:p w14:paraId="57F2CDB9">
      <w:pPr>
        <w:keepLines w:val="0"/>
        <w:pageBreakBefore w:val="0"/>
        <w:widowControl w:val="0"/>
        <w:kinsoku/>
        <w:wordWrap/>
        <w:overflowPunct/>
        <w:topLinePunct w:val="0"/>
        <w:autoSpaceDE/>
        <w:autoSpaceDN/>
        <w:bidi w:val="0"/>
        <w:spacing w:line="360" w:lineRule="exact"/>
        <w:ind w:firstLine="0" w:firstLineChars="0"/>
        <w:textAlignment w:val="auto"/>
        <w:rPr>
          <w:rFonts w:hint="eastAsia" w:ascii="宋体" w:hAnsi="宋体" w:cs="宋体"/>
          <w:b w:val="0"/>
          <w:bCs w:val="0"/>
          <w:color w:val="auto"/>
          <w:sz w:val="21"/>
          <w:szCs w:val="21"/>
          <w:highlight w:val="none"/>
          <w:vertAlign w:val="superscript"/>
          <w:lang w:val="en-US" w:eastAsia="zh-CN"/>
        </w:rPr>
      </w:pPr>
    </w:p>
    <w:p w14:paraId="18062174">
      <w:pPr>
        <w:keepLines w:val="0"/>
        <w:pageBreakBefore w:val="0"/>
        <w:widowControl w:val="0"/>
        <w:kinsoku/>
        <w:wordWrap/>
        <w:overflowPunct/>
        <w:topLinePunct w:val="0"/>
        <w:autoSpaceDE/>
        <w:autoSpaceDN/>
        <w:bidi w:val="0"/>
        <w:spacing w:line="360" w:lineRule="exact"/>
        <w:ind w:firstLine="0" w:firstLineChars="0"/>
        <w:textAlignment w:val="auto"/>
        <w:rPr>
          <w:rFonts w:hint="default"/>
          <w:b w:val="0"/>
          <w:bCs w:val="0"/>
          <w:highlight w:val="none"/>
          <w:lang w:val="en-US" w:eastAsia="zh-CN"/>
        </w:rPr>
      </w:pPr>
      <w:r>
        <w:rPr>
          <w:rFonts w:hint="eastAsia" w:ascii="宋体" w:hAnsi="宋体" w:cs="宋体"/>
          <w:b w:val="0"/>
          <w:bCs w:val="0"/>
          <w:color w:val="auto"/>
          <w:szCs w:val="21"/>
          <w:highlight w:val="none"/>
          <w:lang w:val="en-US" w:eastAsia="zh-CN"/>
        </w:rPr>
        <w:t>从业人员、营业收入、资产总额填报上一年度数据，无上一年度数据的新成立企业可不填报。</w:t>
      </w:r>
    </w:p>
    <w:p w14:paraId="3C1E1369">
      <w:pPr>
        <w:rPr>
          <w:rFonts w:hint="eastAsia"/>
          <w:b/>
          <w:bCs/>
          <w:sz w:val="28"/>
          <w:szCs w:val="28"/>
          <w:highlight w:val="none"/>
        </w:rPr>
      </w:pPr>
      <w:r>
        <w:rPr>
          <w:rFonts w:hint="eastAsia"/>
          <w:b/>
          <w:bCs/>
          <w:sz w:val="28"/>
          <w:szCs w:val="28"/>
          <w:highlight w:val="none"/>
        </w:rPr>
        <w:br w:type="page"/>
      </w:r>
    </w:p>
    <w:p w14:paraId="63A33841">
      <w:pPr>
        <w:bidi w:val="0"/>
        <w:spacing w:line="240" w:lineRule="auto"/>
        <w:ind w:firstLine="0" w:firstLineChars="0"/>
        <w:rPr>
          <w:highlight w:val="none"/>
        </w:rPr>
      </w:pPr>
      <w:r>
        <w:rPr>
          <w:rFonts w:hint="eastAsia" w:ascii="宋体" w:hAnsi="宋体" w:cs="宋体"/>
          <w:b/>
          <w:sz w:val="28"/>
          <w:szCs w:val="28"/>
          <w:highlight w:val="none"/>
        </w:rPr>
        <w:t>附</w:t>
      </w:r>
      <w:r>
        <w:rPr>
          <w:rFonts w:hint="eastAsia" w:ascii="宋体" w:hAnsi="宋体" w:cs="宋体"/>
          <w:b/>
          <w:sz w:val="28"/>
          <w:szCs w:val="28"/>
          <w:highlight w:val="none"/>
          <w:lang w:eastAsia="zh-CN"/>
        </w:rPr>
        <w:t>表八</w:t>
      </w:r>
      <w:r>
        <w:rPr>
          <w:rFonts w:hint="eastAsia" w:ascii="宋体" w:hAnsi="宋体" w:cs="宋体"/>
          <w:b/>
          <w:sz w:val="28"/>
          <w:szCs w:val="28"/>
          <w:highlight w:val="none"/>
        </w:rPr>
        <w:t>：</w:t>
      </w:r>
      <w:r>
        <w:rPr>
          <w:b/>
          <w:bCs/>
          <w:sz w:val="28"/>
          <w:szCs w:val="28"/>
          <w:highlight w:val="none"/>
        </w:rPr>
        <w:t>残疾人福利性单位声明函（如有）</w:t>
      </w:r>
    </w:p>
    <w:p w14:paraId="1A5D8914">
      <w:pPr>
        <w:pStyle w:val="8"/>
        <w:spacing w:line="240" w:lineRule="auto"/>
        <w:ind w:left="0" w:right="0"/>
        <w:jc w:val="center"/>
        <w:rPr>
          <w:rFonts w:hint="eastAsia" w:ascii="宋体" w:hAnsi="宋体" w:eastAsia="宋体" w:cs="宋体"/>
          <w:b/>
          <w:color w:val="auto"/>
          <w:sz w:val="30"/>
          <w:szCs w:val="30"/>
          <w:highlight w:val="none"/>
        </w:rPr>
      </w:pPr>
    </w:p>
    <w:p w14:paraId="75B92010">
      <w:pPr>
        <w:pStyle w:val="8"/>
        <w:spacing w:line="240" w:lineRule="auto"/>
        <w:ind w:left="0" w:right="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残疾人福利性单位声明函（如有）</w:t>
      </w:r>
    </w:p>
    <w:p w14:paraId="3FD484CF">
      <w:pPr>
        <w:pStyle w:val="6"/>
        <w:keepNext w:val="0"/>
        <w:keepLines w:val="0"/>
        <w:pageBreakBefore w:val="0"/>
        <w:widowControl w:val="0"/>
        <w:numPr>
          <w:ilvl w:val="7"/>
          <w:numId w:val="0"/>
        </w:numPr>
        <w:kinsoku/>
        <w:wordWrap/>
        <w:overflowPunct/>
        <w:topLinePunct w:val="0"/>
        <w:autoSpaceDE/>
        <w:autoSpaceDN/>
        <w:bidi w:val="0"/>
        <w:adjustRightInd/>
        <w:snapToGrid/>
        <w:spacing w:before="0" w:after="0" w:line="440" w:lineRule="exact"/>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本单位郑重声明，根据《财政部民政部中国残疾人联合会关于促进残疾人就业政府</w:t>
      </w:r>
      <w:r>
        <w:rPr>
          <w:rFonts w:hint="eastAsia" w:ascii="宋体" w:hAnsi="宋体" w:eastAsia="宋体" w:cs="宋体"/>
          <w:spacing w:val="4"/>
          <w:sz w:val="24"/>
          <w:szCs w:val="24"/>
          <w:highlight w:val="none"/>
        </w:rPr>
        <w:t>采购政</w:t>
      </w:r>
      <w:r>
        <w:rPr>
          <w:rFonts w:hint="eastAsia" w:ascii="宋体" w:hAnsi="宋体" w:eastAsia="宋体" w:cs="宋体"/>
          <w:spacing w:val="7"/>
          <w:sz w:val="24"/>
          <w:szCs w:val="24"/>
          <w:highlight w:val="none"/>
        </w:rPr>
        <w:t>策</w:t>
      </w:r>
      <w:r>
        <w:rPr>
          <w:rFonts w:hint="eastAsia" w:ascii="宋体" w:hAnsi="宋体" w:eastAsia="宋体" w:cs="宋体"/>
          <w:spacing w:val="4"/>
          <w:sz w:val="24"/>
          <w:szCs w:val="24"/>
          <w:highlight w:val="none"/>
        </w:rPr>
        <w:t>的通知》（</w:t>
      </w:r>
      <w:r>
        <w:rPr>
          <w:rFonts w:hint="eastAsia" w:ascii="宋体" w:hAnsi="宋体" w:eastAsia="宋体" w:cs="宋体"/>
          <w:spacing w:val="7"/>
          <w:sz w:val="24"/>
          <w:szCs w:val="24"/>
          <w:highlight w:val="none"/>
        </w:rPr>
        <w:t>财</w:t>
      </w:r>
      <w:r>
        <w:rPr>
          <w:rFonts w:hint="eastAsia" w:ascii="宋体" w:hAnsi="宋体" w:eastAsia="宋体" w:cs="宋体"/>
          <w:spacing w:val="4"/>
          <w:sz w:val="24"/>
          <w:szCs w:val="24"/>
          <w:highlight w:val="none"/>
        </w:rPr>
        <w:t>库</w:t>
      </w:r>
      <w:r>
        <w:rPr>
          <w:rFonts w:hint="eastAsia" w:ascii="宋体" w:hAnsi="宋体" w:eastAsia="宋体" w:cs="宋体"/>
          <w:sz w:val="24"/>
          <w:szCs w:val="24"/>
          <w:highlight w:val="none"/>
        </w:rPr>
        <w:t>〔2017〕141</w:t>
      </w:r>
      <w:r>
        <w:rPr>
          <w:rFonts w:hint="eastAsia" w:ascii="宋体" w:hAnsi="宋体" w:eastAsia="宋体" w:cs="宋体"/>
          <w:spacing w:val="4"/>
          <w:sz w:val="24"/>
          <w:szCs w:val="24"/>
          <w:highlight w:val="none"/>
        </w:rPr>
        <w:t>号）的</w:t>
      </w:r>
      <w:r>
        <w:rPr>
          <w:rFonts w:hint="eastAsia" w:ascii="宋体" w:hAnsi="宋体" w:eastAsia="宋体" w:cs="宋体"/>
          <w:spacing w:val="7"/>
          <w:sz w:val="24"/>
          <w:szCs w:val="24"/>
          <w:highlight w:val="none"/>
        </w:rPr>
        <w:t>规</w:t>
      </w:r>
      <w:r>
        <w:rPr>
          <w:rFonts w:hint="eastAsia" w:ascii="宋体" w:hAnsi="宋体" w:eastAsia="宋体" w:cs="宋体"/>
          <w:spacing w:val="4"/>
          <w:sz w:val="24"/>
          <w:szCs w:val="24"/>
          <w:highlight w:val="none"/>
        </w:rPr>
        <w:t>定，本单位</w:t>
      </w:r>
      <w:r>
        <w:rPr>
          <w:rFonts w:hint="eastAsia" w:ascii="宋体" w:hAnsi="宋体" w:eastAsia="宋体" w:cs="宋体"/>
          <w:spacing w:val="7"/>
          <w:sz w:val="24"/>
          <w:szCs w:val="24"/>
          <w:highlight w:val="none"/>
        </w:rPr>
        <w:t>为</w:t>
      </w:r>
      <w:r>
        <w:rPr>
          <w:rFonts w:hint="eastAsia" w:ascii="宋体" w:hAnsi="宋体" w:eastAsia="宋体" w:cs="宋体"/>
          <w:spacing w:val="4"/>
          <w:sz w:val="24"/>
          <w:szCs w:val="24"/>
          <w:highlight w:val="none"/>
        </w:rPr>
        <w:t>符合条件的</w:t>
      </w:r>
      <w:r>
        <w:rPr>
          <w:rFonts w:hint="eastAsia" w:ascii="宋体" w:hAnsi="宋体" w:eastAsia="宋体" w:cs="宋体"/>
          <w:spacing w:val="7"/>
          <w:sz w:val="24"/>
          <w:szCs w:val="24"/>
          <w:highlight w:val="none"/>
        </w:rPr>
        <w:t>残</w:t>
      </w:r>
      <w:r>
        <w:rPr>
          <w:rFonts w:hint="eastAsia" w:ascii="宋体" w:hAnsi="宋体" w:eastAsia="宋体" w:cs="宋体"/>
          <w:spacing w:val="4"/>
          <w:sz w:val="24"/>
          <w:szCs w:val="24"/>
          <w:highlight w:val="none"/>
        </w:rPr>
        <w:t>疾人福利性</w:t>
      </w:r>
      <w:r>
        <w:rPr>
          <w:rFonts w:hint="eastAsia" w:ascii="宋体" w:hAnsi="宋体" w:eastAsia="宋体" w:cs="宋体"/>
          <w:spacing w:val="7"/>
          <w:sz w:val="24"/>
          <w:szCs w:val="24"/>
          <w:highlight w:val="none"/>
        </w:rPr>
        <w:t>单</w:t>
      </w:r>
      <w:r>
        <w:rPr>
          <w:rFonts w:hint="eastAsia" w:ascii="宋体" w:hAnsi="宋体" w:eastAsia="宋体" w:cs="宋体"/>
          <w:spacing w:val="4"/>
          <w:sz w:val="24"/>
          <w:szCs w:val="24"/>
          <w:highlight w:val="none"/>
        </w:rPr>
        <w:t>位</w:t>
      </w:r>
      <w:r>
        <w:rPr>
          <w:rFonts w:hint="eastAsia" w:ascii="宋体" w:hAnsi="宋体" w:eastAsia="宋体" w:cs="宋体"/>
          <w:sz w:val="24"/>
          <w:szCs w:val="24"/>
          <w:highlight w:val="none"/>
        </w:rPr>
        <w:t>，</w:t>
      </w:r>
      <w:r>
        <w:rPr>
          <w:rFonts w:hint="eastAsia" w:ascii="宋体" w:hAnsi="宋体" w:eastAsia="宋体" w:cs="宋体"/>
          <w:spacing w:val="4"/>
          <w:sz w:val="24"/>
          <w:szCs w:val="24"/>
          <w:highlight w:val="none"/>
        </w:rPr>
        <w:t>且本单</w:t>
      </w:r>
      <w:r>
        <w:rPr>
          <w:rFonts w:hint="eastAsia" w:ascii="宋体" w:hAnsi="宋体" w:eastAsia="宋体" w:cs="宋体"/>
          <w:spacing w:val="7"/>
          <w:sz w:val="24"/>
          <w:szCs w:val="24"/>
          <w:highlight w:val="none"/>
        </w:rPr>
        <w:t>位</w:t>
      </w:r>
      <w:r>
        <w:rPr>
          <w:rFonts w:hint="eastAsia" w:ascii="宋体" w:hAnsi="宋体" w:eastAsia="宋体" w:cs="宋体"/>
          <w:spacing w:val="4"/>
          <w:sz w:val="24"/>
          <w:szCs w:val="24"/>
          <w:highlight w:val="none"/>
        </w:rPr>
        <w:t>参加</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单位的</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项目</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pacing w:val="-3"/>
          <w:sz w:val="24"/>
          <w:szCs w:val="24"/>
          <w:highlight w:val="none"/>
        </w:rPr>
        <w:t>标</w:t>
      </w:r>
      <w:r>
        <w:rPr>
          <w:rFonts w:hint="eastAsia" w:ascii="宋体" w:hAnsi="宋体" w:eastAsia="宋体" w:cs="宋体"/>
          <w:sz w:val="24"/>
          <w:szCs w:val="24"/>
          <w:highlight w:val="none"/>
        </w:rPr>
        <w:t>段</w:t>
      </w:r>
      <w:r>
        <w:rPr>
          <w:rFonts w:hint="eastAsia" w:ascii="宋体" w:hAnsi="宋体" w:eastAsia="宋体" w:cs="宋体"/>
          <w:spacing w:val="-3"/>
          <w:sz w:val="24"/>
          <w:szCs w:val="24"/>
          <w:highlight w:val="none"/>
        </w:rPr>
        <w:t>）</w:t>
      </w:r>
      <w:r>
        <w:rPr>
          <w:rFonts w:hint="eastAsia" w:ascii="宋体" w:hAnsi="宋体" w:eastAsia="宋体" w:cs="宋体"/>
          <w:spacing w:val="4"/>
          <w:sz w:val="24"/>
          <w:szCs w:val="24"/>
          <w:highlight w:val="none"/>
        </w:rPr>
        <w:t>采购活</w:t>
      </w:r>
      <w:r>
        <w:rPr>
          <w:rFonts w:hint="eastAsia" w:ascii="宋体" w:hAnsi="宋体" w:eastAsia="宋体" w:cs="宋体"/>
          <w:spacing w:val="7"/>
          <w:sz w:val="24"/>
          <w:szCs w:val="24"/>
          <w:highlight w:val="none"/>
        </w:rPr>
        <w:t>动</w:t>
      </w:r>
      <w:r>
        <w:rPr>
          <w:rFonts w:hint="eastAsia" w:ascii="宋体" w:hAnsi="宋体" w:eastAsia="宋体" w:cs="宋体"/>
          <w:spacing w:val="4"/>
          <w:sz w:val="24"/>
          <w:szCs w:val="24"/>
          <w:highlight w:val="none"/>
        </w:rPr>
        <w:t>提供本单位</w:t>
      </w:r>
      <w:r>
        <w:rPr>
          <w:rFonts w:hint="eastAsia" w:ascii="宋体" w:hAnsi="宋体" w:eastAsia="宋体" w:cs="宋体"/>
          <w:spacing w:val="7"/>
          <w:sz w:val="24"/>
          <w:szCs w:val="24"/>
          <w:highlight w:val="none"/>
        </w:rPr>
        <w:t>制</w:t>
      </w:r>
      <w:r>
        <w:rPr>
          <w:rFonts w:hint="eastAsia" w:ascii="宋体" w:hAnsi="宋体" w:eastAsia="宋体" w:cs="宋体"/>
          <w:spacing w:val="4"/>
          <w:sz w:val="24"/>
          <w:szCs w:val="24"/>
          <w:highlight w:val="none"/>
        </w:rPr>
        <w:t>造的货</w:t>
      </w:r>
      <w:r>
        <w:rPr>
          <w:rFonts w:hint="eastAsia" w:ascii="宋体" w:hAnsi="宋体" w:eastAsia="宋体" w:cs="宋体"/>
          <w:sz w:val="24"/>
          <w:szCs w:val="24"/>
          <w:highlight w:val="none"/>
        </w:rPr>
        <w:t>物（由本单位承担工程/提供服务），或者提供其他残疾人福利性单位制造的货物（不包括使用非残疾人福利性单位注册商标的货物）。本单位对上述声明的真实性负责。如有虚假，将依法承担相应责任。</w:t>
      </w:r>
    </w:p>
    <w:p w14:paraId="553EC79A">
      <w:pPr>
        <w:pStyle w:val="8"/>
        <w:spacing w:line="240" w:lineRule="auto"/>
        <w:ind w:left="0" w:right="0"/>
        <w:rPr>
          <w:sz w:val="22"/>
          <w:highlight w:val="none"/>
        </w:rPr>
      </w:pPr>
    </w:p>
    <w:p w14:paraId="3F80950D">
      <w:pPr>
        <w:pStyle w:val="8"/>
        <w:rPr>
          <w:sz w:val="22"/>
          <w:highlight w:val="none"/>
        </w:rPr>
      </w:pPr>
    </w:p>
    <w:p w14:paraId="13F34314">
      <w:pPr>
        <w:pStyle w:val="8"/>
        <w:spacing w:before="11"/>
        <w:ind w:left="0" w:leftChars="0" w:firstLine="0" w:firstLineChars="0"/>
        <w:rPr>
          <w:sz w:val="15"/>
          <w:highlight w:val="none"/>
        </w:rPr>
      </w:pPr>
    </w:p>
    <w:p w14:paraId="5E290B5A">
      <w:pPr>
        <w:pStyle w:val="6"/>
        <w:keepNext w:val="0"/>
        <w:keepLines w:val="0"/>
        <w:pageBreakBefore w:val="0"/>
        <w:widowControl w:val="0"/>
        <w:numPr>
          <w:ilvl w:val="7"/>
          <w:numId w:val="0"/>
        </w:numPr>
        <w:tabs>
          <w:tab w:val="left" w:pos="1163"/>
          <w:tab w:val="left" w:pos="2704"/>
          <w:tab w:val="left" w:pos="3472"/>
          <w:tab w:val="left" w:pos="4353"/>
          <w:tab w:val="left" w:pos="4846"/>
        </w:tabs>
        <w:kinsoku/>
        <w:wordWrap/>
        <w:overflowPunct/>
        <w:topLinePunct w:val="0"/>
        <w:autoSpaceDE/>
        <w:autoSpaceDN/>
        <w:bidi w:val="0"/>
        <w:adjustRightInd/>
        <w:snapToGrid/>
        <w:spacing w:line="440" w:lineRule="exact"/>
        <w:ind w:leftChars="0" w:right="0" w:rightChars="0"/>
        <w:textAlignment w:val="auto"/>
        <w:rPr>
          <w:rFonts w:hint="eastAsia" w:ascii="宋体" w:hAnsi="宋体" w:eastAsia="宋体" w:cs="宋体"/>
          <w:spacing w:val="-13"/>
          <w:highlight w:val="none"/>
        </w:rPr>
      </w:pPr>
      <w:r>
        <w:rPr>
          <w:rFonts w:hint="eastAsia" w:ascii="宋体" w:hAnsi="宋体" w:eastAsia="宋体" w:cs="宋体"/>
          <w:highlight w:val="none"/>
          <w:lang w:eastAsia="zh-CN"/>
        </w:rPr>
        <w:t>企业名称</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spacing w:val="-3"/>
          <w:highlight w:val="none"/>
        </w:rPr>
        <w:t>电</w:t>
      </w:r>
      <w:r>
        <w:rPr>
          <w:rFonts w:hint="eastAsia" w:ascii="宋体" w:hAnsi="宋体" w:eastAsia="宋体" w:cs="宋体"/>
          <w:highlight w:val="none"/>
        </w:rPr>
        <w:t>子签章</w:t>
      </w:r>
      <w:r>
        <w:rPr>
          <w:rFonts w:hint="eastAsia" w:ascii="宋体" w:hAnsi="宋体" w:eastAsia="宋体" w:cs="宋体"/>
          <w:spacing w:val="-13"/>
          <w:highlight w:val="none"/>
        </w:rPr>
        <w:t xml:space="preserve">) </w:t>
      </w:r>
    </w:p>
    <w:p w14:paraId="14924093">
      <w:pPr>
        <w:pStyle w:val="6"/>
        <w:keepNext w:val="0"/>
        <w:keepLines w:val="0"/>
        <w:pageBreakBefore w:val="0"/>
        <w:widowControl w:val="0"/>
        <w:numPr>
          <w:ilvl w:val="7"/>
          <w:numId w:val="0"/>
        </w:numPr>
        <w:tabs>
          <w:tab w:val="left" w:pos="1163"/>
          <w:tab w:val="left" w:pos="2704"/>
          <w:tab w:val="left" w:pos="3472"/>
          <w:tab w:val="left" w:pos="4353"/>
          <w:tab w:val="left" w:pos="4846"/>
        </w:tabs>
        <w:kinsoku/>
        <w:wordWrap/>
        <w:overflowPunct/>
        <w:topLinePunct w:val="0"/>
        <w:autoSpaceDE/>
        <w:autoSpaceDN/>
        <w:bidi w:val="0"/>
        <w:adjustRightInd/>
        <w:snapToGrid/>
        <w:spacing w:line="440" w:lineRule="exact"/>
        <w:ind w:leftChars="0" w:right="0" w:rightChars="0"/>
        <w:textAlignment w:val="auto"/>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spacing w:val="-3"/>
          <w:highlight w:val="none"/>
        </w:rPr>
        <w:t>：</w:t>
      </w:r>
      <w:r>
        <w:rPr>
          <w:rFonts w:hint="eastAsia" w:ascii="宋体" w:hAnsi="宋体" w:eastAsia="宋体" w:cs="宋体"/>
          <w:spacing w:val="-3"/>
          <w:highlight w:val="none"/>
          <w:u w:val="single"/>
        </w:rPr>
        <w:t xml:space="preserve"> </w:t>
      </w:r>
      <w:r>
        <w:rPr>
          <w:rFonts w:hint="eastAsia" w:ascii="宋体" w:hAnsi="宋体" w:eastAsia="宋体" w:cs="宋体"/>
          <w:spacing w:val="-3"/>
          <w:highlight w:val="none"/>
          <w:u w:val="single"/>
          <w:lang w:val="en-US" w:eastAsia="zh-CN"/>
        </w:rPr>
        <w:t xml:space="preserve">   </w:t>
      </w:r>
      <w:r>
        <w:rPr>
          <w:rFonts w:hint="eastAsia" w:ascii="宋体" w:hAnsi="宋体" w:eastAsia="宋体" w:cs="宋体"/>
          <w:spacing w:val="-3"/>
          <w:highlight w:val="none"/>
        </w:rPr>
        <w:t>年</w:t>
      </w:r>
      <w:r>
        <w:rPr>
          <w:rFonts w:hint="eastAsia" w:ascii="宋体" w:hAnsi="宋体" w:eastAsia="宋体" w:cs="宋体"/>
          <w:spacing w:val="-3"/>
          <w:highlight w:val="none"/>
          <w:u w:val="single"/>
        </w:rPr>
        <w:t xml:space="preserve"> </w:t>
      </w:r>
      <w:r>
        <w:rPr>
          <w:rFonts w:hint="eastAsia" w:ascii="宋体" w:hAnsi="宋体" w:eastAsia="宋体" w:cs="宋体"/>
          <w:spacing w:val="-3"/>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日</w:t>
      </w:r>
    </w:p>
    <w:p w14:paraId="6F11DA3C">
      <w:pPr>
        <w:spacing w:line="240" w:lineRule="auto"/>
        <w:ind w:firstLine="0" w:firstLineChars="0"/>
        <w:rPr>
          <w:rFonts w:hint="eastAsia"/>
          <w:b/>
          <w:bCs/>
          <w:highlight w:val="none"/>
          <w:lang w:eastAsia="zh-CN"/>
        </w:rPr>
      </w:pPr>
    </w:p>
    <w:p w14:paraId="34ACB645">
      <w:pPr>
        <w:spacing w:line="240" w:lineRule="auto"/>
        <w:ind w:firstLine="0" w:firstLineChars="0"/>
        <w:rPr>
          <w:rFonts w:hint="eastAsia"/>
          <w:b/>
          <w:bCs/>
          <w:highlight w:val="none"/>
          <w:lang w:eastAsia="zh-CN"/>
        </w:rPr>
      </w:pPr>
      <w:r>
        <w:rPr>
          <w:rFonts w:hint="eastAsia"/>
          <w:b/>
          <w:bCs/>
          <w:highlight w:val="none"/>
          <w:lang w:eastAsia="zh-CN"/>
        </w:rPr>
        <w:t>注：投标人</w:t>
      </w:r>
      <w:r>
        <w:rPr>
          <w:b/>
          <w:bCs/>
          <w:highlight w:val="none"/>
        </w:rPr>
        <w:t>非残疾人福利性单位的，可</w:t>
      </w:r>
      <w:r>
        <w:rPr>
          <w:rFonts w:hint="eastAsia"/>
          <w:b/>
          <w:bCs/>
          <w:highlight w:val="none"/>
          <w:lang w:eastAsia="zh-CN"/>
        </w:rPr>
        <w:t>不提供</w:t>
      </w:r>
      <w:r>
        <w:rPr>
          <w:b/>
          <w:bCs/>
          <w:highlight w:val="none"/>
        </w:rPr>
        <w:t>此函</w:t>
      </w:r>
      <w:r>
        <w:rPr>
          <w:rFonts w:hint="eastAsia"/>
          <w:b/>
          <w:bCs/>
          <w:highlight w:val="none"/>
          <w:lang w:eastAsia="zh-CN"/>
        </w:rPr>
        <w:t>。</w:t>
      </w:r>
    </w:p>
    <w:p w14:paraId="66ADAC8F">
      <w:pPr>
        <w:rPr>
          <w:rFonts w:hint="eastAsia"/>
          <w:b/>
          <w:bCs/>
          <w:sz w:val="28"/>
          <w:szCs w:val="28"/>
          <w:highlight w:val="none"/>
        </w:rPr>
      </w:pPr>
      <w:r>
        <w:rPr>
          <w:rFonts w:hint="eastAsia"/>
          <w:b/>
          <w:bCs/>
          <w:sz w:val="28"/>
          <w:szCs w:val="28"/>
          <w:highlight w:val="none"/>
        </w:rPr>
        <w:br w:type="page"/>
      </w:r>
    </w:p>
    <w:p w14:paraId="03D5A59A">
      <w:pPr>
        <w:bidi w:val="0"/>
        <w:spacing w:line="240" w:lineRule="auto"/>
        <w:ind w:firstLine="0" w:firstLineChars="0"/>
        <w:rPr>
          <w:highlight w:val="none"/>
        </w:rPr>
      </w:pPr>
      <w:r>
        <w:rPr>
          <w:rFonts w:hint="eastAsia" w:ascii="宋体" w:hAnsi="宋体" w:cs="宋体"/>
          <w:b/>
          <w:bCs w:val="0"/>
          <w:sz w:val="28"/>
          <w:szCs w:val="28"/>
          <w:highlight w:val="none"/>
        </w:rPr>
        <w:t>附</w:t>
      </w:r>
      <w:r>
        <w:rPr>
          <w:rFonts w:hint="eastAsia" w:ascii="宋体" w:hAnsi="宋体" w:cs="宋体"/>
          <w:b/>
          <w:bCs w:val="0"/>
          <w:sz w:val="28"/>
          <w:szCs w:val="28"/>
          <w:highlight w:val="none"/>
          <w:lang w:eastAsia="zh-CN"/>
        </w:rPr>
        <w:t>表九</w:t>
      </w:r>
      <w:r>
        <w:rPr>
          <w:rFonts w:hint="eastAsia" w:ascii="宋体" w:hAnsi="宋体" w:cs="宋体"/>
          <w:b/>
          <w:bCs w:val="0"/>
          <w:sz w:val="28"/>
          <w:szCs w:val="28"/>
          <w:highlight w:val="none"/>
        </w:rPr>
        <w:t>：</w:t>
      </w:r>
      <w:r>
        <w:rPr>
          <w:b/>
          <w:bCs w:val="0"/>
          <w:sz w:val="28"/>
          <w:szCs w:val="28"/>
          <w:highlight w:val="none"/>
        </w:rPr>
        <w:t>监狱企业单位声明函（如有）</w:t>
      </w:r>
    </w:p>
    <w:p w14:paraId="390646CC">
      <w:pPr>
        <w:bidi w:val="0"/>
        <w:spacing w:line="240" w:lineRule="auto"/>
        <w:ind w:firstLine="0" w:firstLineChars="0"/>
        <w:jc w:val="center"/>
        <w:rPr>
          <w:highlight w:val="none"/>
        </w:rPr>
      </w:pPr>
      <w:bookmarkStart w:id="109" w:name="（格式自拟）"/>
      <w:bookmarkEnd w:id="109"/>
    </w:p>
    <w:p w14:paraId="0ED3FAFE">
      <w:pPr>
        <w:bidi w:val="0"/>
        <w:spacing w:line="240" w:lineRule="auto"/>
        <w:ind w:firstLine="0" w:firstLineChars="0"/>
        <w:jc w:val="center"/>
        <w:rPr>
          <w:highlight w:val="none"/>
        </w:rPr>
      </w:pPr>
    </w:p>
    <w:p w14:paraId="779BA157">
      <w:pPr>
        <w:bidi w:val="0"/>
        <w:spacing w:line="240" w:lineRule="auto"/>
        <w:ind w:firstLine="0" w:firstLineChars="0"/>
        <w:jc w:val="center"/>
        <w:rPr>
          <w:highlight w:val="none"/>
        </w:rPr>
      </w:pPr>
      <w:r>
        <w:rPr>
          <w:highlight w:val="none"/>
        </w:rPr>
        <w:t>（格式自拟）</w:t>
      </w:r>
    </w:p>
    <w:p w14:paraId="78DFE2B2">
      <w:pPr>
        <w:bidi w:val="0"/>
        <w:spacing w:line="240" w:lineRule="auto"/>
        <w:ind w:firstLine="0" w:firstLineChars="0"/>
        <w:jc w:val="left"/>
        <w:rPr>
          <w:rFonts w:hint="eastAsia" w:ascii="宋体" w:hAnsi="宋体" w:cs="宋体"/>
          <w:b/>
          <w:sz w:val="36"/>
          <w:szCs w:val="36"/>
          <w:highlight w:val="none"/>
        </w:rPr>
      </w:pPr>
    </w:p>
    <w:p w14:paraId="6F8A0B85">
      <w:pPr>
        <w:spacing w:line="240" w:lineRule="auto"/>
        <w:ind w:firstLine="0" w:firstLineChars="0"/>
        <w:rPr>
          <w:rFonts w:hint="eastAsia"/>
          <w:b/>
          <w:bCs/>
          <w:sz w:val="28"/>
          <w:szCs w:val="28"/>
          <w:highlight w:val="none"/>
        </w:rPr>
      </w:pPr>
      <w:r>
        <w:rPr>
          <w:rFonts w:hint="eastAsia"/>
          <w:b/>
          <w:bCs/>
          <w:highlight w:val="none"/>
          <w:lang w:eastAsia="zh-CN"/>
        </w:rPr>
        <w:t>注：投标人</w:t>
      </w:r>
      <w:r>
        <w:rPr>
          <w:b/>
          <w:bCs/>
          <w:highlight w:val="none"/>
        </w:rPr>
        <w:t>非监狱企业单位的，可</w:t>
      </w:r>
      <w:r>
        <w:rPr>
          <w:rFonts w:hint="eastAsia"/>
          <w:b/>
          <w:bCs/>
          <w:highlight w:val="none"/>
          <w:lang w:eastAsia="zh-CN"/>
        </w:rPr>
        <w:t>不提供</w:t>
      </w:r>
      <w:r>
        <w:rPr>
          <w:b/>
          <w:bCs/>
          <w:highlight w:val="none"/>
        </w:rPr>
        <w:t>此函</w:t>
      </w:r>
      <w:r>
        <w:rPr>
          <w:rFonts w:hint="eastAsia"/>
          <w:b/>
          <w:bCs/>
          <w:highlight w:val="none"/>
          <w:lang w:eastAsia="zh-CN"/>
        </w:rPr>
        <w:t>。</w:t>
      </w:r>
    </w:p>
    <w:p w14:paraId="63F98891">
      <w:pPr>
        <w:rPr>
          <w:rFonts w:hint="eastAsia"/>
          <w:b/>
          <w:bCs/>
          <w:sz w:val="28"/>
          <w:szCs w:val="28"/>
          <w:highlight w:val="none"/>
        </w:rPr>
      </w:pPr>
      <w:r>
        <w:rPr>
          <w:rFonts w:hint="eastAsia"/>
          <w:b/>
          <w:bCs/>
          <w:sz w:val="28"/>
          <w:szCs w:val="28"/>
          <w:highlight w:val="none"/>
        </w:rPr>
        <w:br w:type="page"/>
      </w:r>
    </w:p>
    <w:p w14:paraId="4571310E">
      <w:pPr>
        <w:bidi w:val="0"/>
        <w:spacing w:line="240" w:lineRule="auto"/>
        <w:ind w:firstLine="0" w:firstLineChars="0"/>
        <w:jc w:val="left"/>
        <w:rPr>
          <w:rFonts w:hint="eastAsia"/>
          <w:b/>
          <w:bCs/>
          <w:sz w:val="28"/>
          <w:szCs w:val="28"/>
          <w:highlight w:val="none"/>
          <w:lang w:eastAsia="zh-CN"/>
        </w:rPr>
      </w:pPr>
      <w:r>
        <w:rPr>
          <w:rFonts w:hint="eastAsia"/>
          <w:b/>
          <w:bCs/>
          <w:sz w:val="28"/>
          <w:szCs w:val="28"/>
          <w:highlight w:val="none"/>
        </w:rPr>
        <w:t>附</w:t>
      </w:r>
      <w:r>
        <w:rPr>
          <w:rFonts w:hint="eastAsia"/>
          <w:b/>
          <w:bCs/>
          <w:sz w:val="28"/>
          <w:szCs w:val="28"/>
          <w:highlight w:val="none"/>
          <w:lang w:eastAsia="zh-CN"/>
        </w:rPr>
        <w:t>表十</w:t>
      </w:r>
      <w:r>
        <w:rPr>
          <w:rFonts w:hint="eastAsia"/>
          <w:b/>
          <w:bCs/>
          <w:sz w:val="28"/>
          <w:szCs w:val="28"/>
          <w:highlight w:val="none"/>
        </w:rPr>
        <w:t>：</w:t>
      </w:r>
      <w:r>
        <w:rPr>
          <w:rFonts w:hint="eastAsia"/>
          <w:b/>
          <w:bCs/>
          <w:sz w:val="28"/>
          <w:szCs w:val="28"/>
          <w:highlight w:val="none"/>
          <w:lang w:eastAsia="zh-CN"/>
        </w:rPr>
        <w:t>投标保证金信用承诺函</w:t>
      </w:r>
    </w:p>
    <w:p w14:paraId="3BBDBE05">
      <w:pPr>
        <w:bidi w:val="0"/>
        <w:rPr>
          <w:rFonts w:hint="eastAsia"/>
          <w:highlight w:val="none"/>
          <w:lang w:eastAsia="zh-CN"/>
        </w:rPr>
      </w:pPr>
    </w:p>
    <w:p w14:paraId="5583EF97">
      <w:pPr>
        <w:bidi w:val="0"/>
        <w:jc w:val="center"/>
        <w:rPr>
          <w:rFonts w:hint="eastAsia"/>
          <w:b/>
          <w:bCs/>
          <w:sz w:val="28"/>
          <w:szCs w:val="28"/>
          <w:highlight w:val="none"/>
          <w:lang w:eastAsia="zh-CN"/>
        </w:rPr>
      </w:pPr>
      <w:r>
        <w:rPr>
          <w:rFonts w:hint="eastAsia"/>
          <w:b/>
          <w:bCs/>
          <w:sz w:val="28"/>
          <w:szCs w:val="28"/>
          <w:highlight w:val="none"/>
          <w:lang w:eastAsia="zh-CN"/>
        </w:rPr>
        <w:t>投标保证金信用承诺函</w:t>
      </w:r>
    </w:p>
    <w:p w14:paraId="0CECF8F6">
      <w:pPr>
        <w:bidi w:val="0"/>
        <w:rPr>
          <w:rFonts w:hint="eastAsia"/>
          <w:highlight w:val="none"/>
          <w:lang w:eastAsia="zh-CN"/>
        </w:rPr>
      </w:pPr>
    </w:p>
    <w:p w14:paraId="72EFA6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招标人名称：</w:t>
      </w:r>
      <w:r>
        <w:rPr>
          <w:rFonts w:hint="eastAsia"/>
          <w:highlight w:val="none"/>
          <w:u w:val="single"/>
          <w:lang w:val="en-US" w:eastAsia="zh-CN"/>
        </w:rPr>
        <w:t xml:space="preserve">                        </w:t>
      </w:r>
    </w:p>
    <w:p w14:paraId="18B914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我公司因参加</w:t>
      </w:r>
      <w:r>
        <w:rPr>
          <w:rFonts w:hint="eastAsia"/>
          <w:highlight w:val="none"/>
          <w:u w:val="single"/>
          <w:lang w:val="en-US" w:eastAsia="zh-CN"/>
        </w:rPr>
        <w:t xml:space="preserve">                        </w:t>
      </w:r>
      <w:r>
        <w:rPr>
          <w:rFonts w:hint="eastAsia"/>
          <w:highlight w:val="none"/>
          <w:lang w:val="en-US" w:eastAsia="zh-CN"/>
        </w:rPr>
        <w:t>（项目名称）投标活动，特承诺将按照招标文件要求依法履行投标人责任和义务。如有违反，将按照招标人要求全额付清投标保证金</w:t>
      </w:r>
      <w:r>
        <w:rPr>
          <w:rFonts w:hint="eastAsia"/>
          <w:highlight w:val="none"/>
          <w:u w:val="single"/>
          <w:lang w:val="en-US" w:eastAsia="zh-CN"/>
        </w:rPr>
        <w:t xml:space="preserve">             </w:t>
      </w:r>
      <w:r>
        <w:rPr>
          <w:rFonts w:hint="eastAsia"/>
          <w:highlight w:val="none"/>
          <w:lang w:val="en-US" w:eastAsia="zh-CN"/>
        </w:rPr>
        <w:t>万元，逾期未支付的愿意承担信用惩戒等相应责任。</w:t>
      </w:r>
    </w:p>
    <w:p w14:paraId="28B1B2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如有争议，服从行政监督部门作出的行政决定，或仲裁委员会作出的仲裁裁决，或工程项目所在地人民法院作出的判决。</w:t>
      </w:r>
    </w:p>
    <w:p w14:paraId="6BBCB4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p>
    <w:p w14:paraId="1E9AD31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highlight w:val="none"/>
          <w:lang w:val="en-US" w:eastAsia="zh-CN"/>
        </w:rPr>
      </w:pPr>
      <w:r>
        <w:rPr>
          <w:rFonts w:hint="eastAsia"/>
          <w:highlight w:val="none"/>
          <w:lang w:val="en-US" w:eastAsia="zh-CN"/>
        </w:rPr>
        <w:t>投标人名称：</w:t>
      </w:r>
      <w:r>
        <w:rPr>
          <w:rFonts w:hint="eastAsia"/>
          <w:highlight w:val="none"/>
          <w:u w:val="single"/>
          <w:lang w:val="en-US" w:eastAsia="zh-CN"/>
        </w:rPr>
        <w:t xml:space="preserve">                      </w:t>
      </w:r>
      <w:r>
        <w:rPr>
          <w:rFonts w:hint="eastAsia"/>
          <w:highlight w:val="none"/>
          <w:lang w:val="en-US" w:eastAsia="zh-CN"/>
        </w:rPr>
        <w:t>（电子签章）</w:t>
      </w:r>
    </w:p>
    <w:p w14:paraId="23ECF8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sz w:val="36"/>
          <w:highlight w:val="none"/>
        </w:rPr>
      </w:pPr>
      <w:r>
        <w:rPr>
          <w:rFonts w:hint="eastAsia"/>
          <w:highlight w:val="none"/>
          <w:lang w:val="en-US" w:eastAsia="zh-CN"/>
        </w:rPr>
        <w:t>年</w:t>
      </w:r>
      <w:r>
        <w:rPr>
          <w:rFonts w:hint="eastAsia"/>
          <w:highlight w:val="none"/>
          <w:u w:val="single"/>
          <w:lang w:val="en-US" w:eastAsia="zh-CN"/>
        </w:rPr>
        <w:t xml:space="preserve">    </w:t>
      </w:r>
      <w:r>
        <w:rPr>
          <w:rFonts w:hint="eastAsia"/>
          <w:highlight w:val="none"/>
          <w:lang w:val="en-US" w:eastAsia="zh-CN"/>
        </w:rPr>
        <w:t>月</w:t>
      </w:r>
      <w:r>
        <w:rPr>
          <w:rFonts w:hint="eastAsia"/>
          <w:highlight w:val="none"/>
          <w:u w:val="single"/>
          <w:lang w:val="en-US" w:eastAsia="zh-CN"/>
        </w:rPr>
        <w:t xml:space="preserve">    </w:t>
      </w:r>
      <w:r>
        <w:rPr>
          <w:rFonts w:hint="eastAsia"/>
          <w:highlight w:val="none"/>
          <w:lang w:val="en-US" w:eastAsia="zh-CN"/>
        </w:rPr>
        <w:t>日</w:t>
      </w:r>
    </w:p>
    <w:p w14:paraId="49F9B3B3">
      <w:pPr>
        <w:pStyle w:val="21"/>
        <w:rPr>
          <w:rFonts w:hint="eastAsia"/>
        </w:rPr>
      </w:pPr>
      <w:r>
        <w:rPr>
          <w:rFonts w:hint="eastAsia" w:ascii="宋体" w:hAnsi="宋体" w:eastAsia="宋体" w:cs="宋体"/>
          <w:bCs/>
          <w:sz w:val="36"/>
          <w:highlight w:val="none"/>
        </w:rPr>
        <w:br w:type="page"/>
      </w:r>
    </w:p>
    <w:p w14:paraId="0C9EDF39">
      <w:pPr>
        <w:bidi w:val="0"/>
        <w:jc w:val="center"/>
        <w:rPr>
          <w:rFonts w:hint="eastAsia" w:ascii="宋体" w:hAnsi="宋体" w:eastAsia="宋体" w:cs="宋体"/>
          <w:bCs/>
          <w:sz w:val="36"/>
          <w:highlight w:val="none"/>
        </w:rPr>
      </w:pPr>
      <w:r>
        <w:rPr>
          <w:rFonts w:hint="eastAsia" w:ascii="宋体" w:hAnsi="宋体" w:eastAsia="宋体" w:cs="宋体"/>
          <w:b/>
          <w:bCs w:val="0"/>
          <w:sz w:val="36"/>
          <w:highlight w:val="none"/>
        </w:rPr>
        <w:t>第三章 评标办法（综合评估法）</w:t>
      </w:r>
    </w:p>
    <w:p w14:paraId="10F03231">
      <w:pPr>
        <w:bidi w:val="0"/>
        <w:jc w:val="center"/>
        <w:rPr>
          <w:rFonts w:hint="eastAsia" w:ascii="宋体" w:hAnsi="宋体" w:eastAsia="宋体" w:cs="宋体"/>
          <w:b/>
          <w:bCs/>
          <w:sz w:val="28"/>
          <w:szCs w:val="28"/>
          <w:highlight w:val="none"/>
        </w:rPr>
      </w:pPr>
      <w:bookmarkStart w:id="110" w:name="_Toc533409755"/>
      <w:bookmarkStart w:id="111" w:name="_Toc519242198"/>
      <w:bookmarkStart w:id="112" w:name="_Toc519325343"/>
      <w:bookmarkStart w:id="113" w:name="_Toc244430348"/>
      <w:bookmarkStart w:id="114" w:name="_Toc222740127"/>
      <w:r>
        <w:rPr>
          <w:rFonts w:hint="eastAsia" w:ascii="宋体" w:hAnsi="宋体" w:eastAsia="宋体" w:cs="宋体"/>
          <w:b/>
          <w:bCs/>
          <w:sz w:val="28"/>
          <w:szCs w:val="28"/>
          <w:highlight w:val="none"/>
        </w:rPr>
        <w:t>评标办法前附表</w:t>
      </w:r>
      <w:bookmarkEnd w:id="110"/>
      <w:bookmarkEnd w:id="111"/>
      <w:bookmarkEnd w:id="112"/>
    </w:p>
    <w:tbl>
      <w:tblPr>
        <w:tblStyle w:val="18"/>
        <w:tblW w:w="0" w:type="auto"/>
        <w:jc w:val="center"/>
        <w:tblLayout w:type="fixed"/>
        <w:tblCellMar>
          <w:top w:w="0" w:type="dxa"/>
          <w:left w:w="0" w:type="dxa"/>
          <w:bottom w:w="0" w:type="dxa"/>
          <w:right w:w="0" w:type="dxa"/>
        </w:tblCellMar>
      </w:tblPr>
      <w:tblGrid>
        <w:gridCol w:w="993"/>
        <w:gridCol w:w="537"/>
        <w:gridCol w:w="7233"/>
      </w:tblGrid>
      <w:tr w14:paraId="7D9E217A">
        <w:tblPrEx>
          <w:tblCellMar>
            <w:top w:w="0" w:type="dxa"/>
            <w:left w:w="0" w:type="dxa"/>
            <w:bottom w:w="0" w:type="dxa"/>
            <w:right w:w="0" w:type="dxa"/>
          </w:tblCellMar>
        </w:tblPrEx>
        <w:trPr>
          <w:trHeight w:val="23" w:hRule="atLeast"/>
          <w:jc w:val="center"/>
        </w:trPr>
        <w:tc>
          <w:tcPr>
            <w:tcW w:w="1530" w:type="dxa"/>
            <w:gridSpan w:val="2"/>
            <w:tcBorders>
              <w:top w:val="single" w:color="auto" w:sz="8" w:space="0"/>
              <w:left w:val="single" w:color="auto" w:sz="8" w:space="0"/>
              <w:right w:val="single" w:color="auto" w:sz="8" w:space="0"/>
            </w:tcBorders>
            <w:noWrap w:val="0"/>
            <w:vAlign w:val="bottom"/>
          </w:tcPr>
          <w:p w14:paraId="05C43458">
            <w:pPr>
              <w:spacing w:line="239" w:lineRule="exact"/>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7233" w:type="dxa"/>
            <w:tcBorders>
              <w:top w:val="single" w:color="auto" w:sz="8" w:space="0"/>
              <w:right w:val="single" w:color="auto" w:sz="8" w:space="0"/>
            </w:tcBorders>
            <w:noWrap w:val="0"/>
            <w:vAlign w:val="bottom"/>
          </w:tcPr>
          <w:p w14:paraId="1113FB37">
            <w:pPr>
              <w:spacing w:line="239" w:lineRule="exact"/>
              <w:jc w:val="center"/>
              <w:rPr>
                <w:rFonts w:hint="eastAsia" w:ascii="宋体" w:hAnsi="宋体" w:eastAsia="宋体" w:cs="宋体"/>
                <w:b/>
                <w:szCs w:val="21"/>
                <w:highlight w:val="none"/>
              </w:rPr>
            </w:pPr>
            <w:r>
              <w:rPr>
                <w:rFonts w:hint="eastAsia" w:ascii="宋体" w:hAnsi="宋体" w:eastAsia="宋体" w:cs="宋体"/>
                <w:b/>
                <w:w w:val="99"/>
                <w:szCs w:val="21"/>
                <w:highlight w:val="none"/>
              </w:rPr>
              <w:t>评审因素与</w:t>
            </w:r>
            <w:r>
              <w:rPr>
                <w:rFonts w:hint="eastAsia" w:ascii="宋体" w:hAnsi="宋体" w:eastAsia="宋体" w:cs="宋体"/>
                <w:b/>
                <w:szCs w:val="21"/>
                <w:highlight w:val="none"/>
              </w:rPr>
              <w:t>标准</w:t>
            </w:r>
          </w:p>
        </w:tc>
      </w:tr>
      <w:tr w14:paraId="468374A6">
        <w:tblPrEx>
          <w:tblCellMar>
            <w:top w:w="0" w:type="dxa"/>
            <w:left w:w="0" w:type="dxa"/>
            <w:bottom w:w="0" w:type="dxa"/>
            <w:right w:w="0" w:type="dxa"/>
          </w:tblCellMar>
        </w:tblPrEx>
        <w:trPr>
          <w:trHeight w:val="23" w:hRule="atLeast"/>
          <w:jc w:val="center"/>
        </w:trPr>
        <w:tc>
          <w:tcPr>
            <w:tcW w:w="993" w:type="dxa"/>
            <w:tcBorders>
              <w:top w:val="single" w:color="auto" w:sz="8" w:space="0"/>
              <w:left w:val="single" w:color="auto" w:sz="8" w:space="0"/>
              <w:right w:val="single" w:color="auto" w:sz="4" w:space="0"/>
            </w:tcBorders>
            <w:noWrap w:val="0"/>
            <w:vAlign w:val="center"/>
          </w:tcPr>
          <w:p w14:paraId="5B7244EC">
            <w:pPr>
              <w:spacing w:line="239"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537" w:type="dxa"/>
            <w:tcBorders>
              <w:top w:val="single" w:color="auto" w:sz="8" w:space="0"/>
              <w:left w:val="single" w:color="auto" w:sz="4" w:space="0"/>
              <w:right w:val="single" w:color="auto" w:sz="8" w:space="0"/>
            </w:tcBorders>
            <w:noWrap w:val="0"/>
            <w:vAlign w:val="center"/>
          </w:tcPr>
          <w:p w14:paraId="2F04A038">
            <w:pPr>
              <w:spacing w:line="239"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评标方法</w:t>
            </w:r>
          </w:p>
        </w:tc>
        <w:tc>
          <w:tcPr>
            <w:tcW w:w="7233" w:type="dxa"/>
            <w:tcBorders>
              <w:top w:val="single" w:color="auto" w:sz="8" w:space="0"/>
              <w:right w:val="single" w:color="auto" w:sz="8" w:space="0"/>
            </w:tcBorders>
            <w:noWrap w:val="0"/>
            <w:vAlign w:val="center"/>
          </w:tcPr>
          <w:p w14:paraId="1ABF9FA4">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综合评分相等时，评标委员会依次按照以下优先顺序推荐中标候选人或确定中标人：</w:t>
            </w:r>
          </w:p>
          <w:p w14:paraId="48BE62B4">
            <w:pPr>
              <w:spacing w:line="360" w:lineRule="auto"/>
              <w:ind w:left="102"/>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color w:val="000000"/>
                <w:szCs w:val="21"/>
                <w:highlight w:val="none"/>
              </w:rPr>
              <w:t>投标报价低</w:t>
            </w:r>
            <w:r>
              <w:rPr>
                <w:rFonts w:hint="eastAsia" w:ascii="宋体" w:hAnsi="宋体" w:eastAsia="宋体" w:cs="宋体"/>
                <w:szCs w:val="21"/>
                <w:highlight w:val="none"/>
              </w:rPr>
              <w:t>的投标人优先；</w:t>
            </w:r>
          </w:p>
          <w:p w14:paraId="165C9979">
            <w:pPr>
              <w:spacing w:line="360" w:lineRule="auto"/>
              <w:ind w:left="102"/>
              <w:rPr>
                <w:rFonts w:hint="eastAsia" w:ascii="宋体" w:hAnsi="宋体" w:eastAsia="宋体" w:cs="宋体"/>
                <w:color w:val="000000"/>
                <w:szCs w:val="21"/>
                <w:highlight w:val="none"/>
              </w:rPr>
            </w:pPr>
            <w:r>
              <w:rPr>
                <w:rFonts w:hint="eastAsia" w:ascii="宋体" w:hAnsi="宋体" w:eastAsia="宋体" w:cs="宋体"/>
                <w:szCs w:val="21"/>
                <w:highlight w:val="none"/>
              </w:rPr>
              <w:t>（2）</w:t>
            </w:r>
            <w:r>
              <w:rPr>
                <w:rFonts w:hint="eastAsia" w:ascii="宋体" w:hAnsi="宋体" w:eastAsia="宋体" w:cs="宋体"/>
                <w:color w:val="000000"/>
                <w:szCs w:val="21"/>
                <w:highlight w:val="none"/>
              </w:rPr>
              <w:t>被交通运输主管部门评为较高信用等级的投标人优先</w:t>
            </w:r>
            <w:r>
              <w:rPr>
                <w:rFonts w:hint="eastAsia" w:ascii="宋体" w:hAnsi="宋体" w:eastAsia="宋体" w:cs="宋体"/>
                <w:szCs w:val="21"/>
                <w:highlight w:val="none"/>
              </w:rPr>
              <w:t>；</w:t>
            </w:r>
          </w:p>
          <w:p w14:paraId="3F28350D">
            <w:pPr>
              <w:spacing w:line="360" w:lineRule="auto"/>
              <w:ind w:left="102"/>
              <w:rPr>
                <w:rFonts w:hint="eastAsia" w:ascii="宋体" w:hAnsi="宋体" w:eastAsia="宋体" w:cs="宋体"/>
                <w:szCs w:val="21"/>
                <w:highlight w:val="none"/>
              </w:rPr>
            </w:pPr>
            <w:r>
              <w:rPr>
                <w:rFonts w:hint="eastAsia" w:ascii="宋体" w:hAnsi="宋体" w:eastAsia="宋体" w:cs="宋体"/>
                <w:szCs w:val="21"/>
                <w:highlight w:val="none"/>
              </w:rPr>
              <w:t>（3）商务和技术得分较高的投标人优先；</w:t>
            </w:r>
          </w:p>
          <w:p w14:paraId="3B16B689">
            <w:pPr>
              <w:spacing w:line="360" w:lineRule="auto"/>
              <w:ind w:left="102"/>
              <w:rPr>
                <w:rFonts w:hint="eastAsia" w:ascii="宋体" w:hAnsi="宋体" w:eastAsia="宋体" w:cs="宋体"/>
                <w:sz w:val="24"/>
                <w:szCs w:val="21"/>
                <w:highlight w:val="none"/>
              </w:rPr>
            </w:pPr>
            <w:r>
              <w:rPr>
                <w:rFonts w:hint="eastAsia" w:ascii="宋体" w:hAnsi="宋体" w:eastAsia="宋体" w:cs="宋体"/>
                <w:szCs w:val="21"/>
                <w:highlight w:val="none"/>
              </w:rPr>
              <w:t>（4）有相关监理业绩的优先。</w:t>
            </w:r>
          </w:p>
        </w:tc>
      </w:tr>
      <w:tr w14:paraId="674119C1">
        <w:tblPrEx>
          <w:tblCellMar>
            <w:top w:w="0" w:type="dxa"/>
            <w:left w:w="0" w:type="dxa"/>
            <w:bottom w:w="0" w:type="dxa"/>
            <w:right w:w="0" w:type="dxa"/>
          </w:tblCellMar>
        </w:tblPrEx>
        <w:trPr>
          <w:trHeight w:val="23" w:hRule="atLeast"/>
          <w:jc w:val="center"/>
        </w:trPr>
        <w:tc>
          <w:tcPr>
            <w:tcW w:w="993" w:type="dxa"/>
            <w:tcBorders>
              <w:top w:val="single" w:color="auto" w:sz="4" w:space="0"/>
              <w:left w:val="single" w:color="auto" w:sz="8" w:space="0"/>
              <w:bottom w:val="single" w:color="auto" w:sz="4" w:space="0"/>
              <w:right w:val="single" w:color="auto" w:sz="4" w:space="0"/>
            </w:tcBorders>
            <w:noWrap w:val="0"/>
            <w:vAlign w:val="center"/>
          </w:tcPr>
          <w:p w14:paraId="2332ACD9">
            <w:pPr>
              <w:spacing w:line="239" w:lineRule="exact"/>
              <w:ind w:right="434"/>
              <w:rPr>
                <w:rFonts w:hint="eastAsia" w:ascii="宋体" w:hAnsi="宋体" w:eastAsia="宋体" w:cs="宋体"/>
                <w:szCs w:val="21"/>
                <w:highlight w:val="none"/>
              </w:rPr>
            </w:pPr>
            <w:r>
              <w:rPr>
                <w:rFonts w:hint="eastAsia" w:ascii="宋体" w:hAnsi="宋体" w:eastAsia="宋体" w:cs="宋体"/>
                <w:szCs w:val="21"/>
                <w:highlight w:val="none"/>
              </w:rPr>
              <w:t>2.1.1</w:t>
            </w:r>
          </w:p>
          <w:p w14:paraId="7402EA1E">
            <w:pPr>
              <w:spacing w:line="239" w:lineRule="exact"/>
              <w:ind w:right="434"/>
              <w:rPr>
                <w:rFonts w:hint="eastAsia" w:ascii="宋体" w:hAnsi="宋体" w:eastAsia="宋体" w:cs="宋体"/>
                <w:szCs w:val="21"/>
                <w:highlight w:val="none"/>
              </w:rPr>
            </w:pPr>
            <w:r>
              <w:rPr>
                <w:rFonts w:hint="eastAsia" w:ascii="宋体" w:hAnsi="宋体" w:eastAsia="宋体" w:cs="宋体"/>
                <w:szCs w:val="21"/>
                <w:highlight w:val="none"/>
              </w:rPr>
              <w:t>2.1.3</w:t>
            </w:r>
          </w:p>
        </w:tc>
        <w:tc>
          <w:tcPr>
            <w:tcW w:w="537" w:type="dxa"/>
            <w:tcBorders>
              <w:top w:val="single" w:color="auto" w:sz="4" w:space="0"/>
              <w:left w:val="single" w:color="auto" w:sz="4" w:space="0"/>
              <w:bottom w:val="single" w:color="auto" w:sz="4" w:space="0"/>
              <w:right w:val="single" w:color="auto" w:sz="8" w:space="0"/>
            </w:tcBorders>
            <w:noWrap w:val="0"/>
            <w:vAlign w:val="center"/>
          </w:tcPr>
          <w:p w14:paraId="6D7F3783">
            <w:pPr>
              <w:spacing w:line="239" w:lineRule="exact"/>
              <w:jc w:val="center"/>
              <w:rPr>
                <w:rFonts w:hint="eastAsia" w:ascii="宋体" w:hAnsi="宋体" w:eastAsia="宋体" w:cs="宋体"/>
                <w:szCs w:val="21"/>
                <w:highlight w:val="none"/>
              </w:rPr>
            </w:pPr>
            <w:r>
              <w:rPr>
                <w:rFonts w:hint="eastAsia" w:ascii="宋体" w:hAnsi="宋体" w:eastAsia="宋体" w:cs="宋体"/>
                <w:szCs w:val="21"/>
                <w:highlight w:val="none"/>
              </w:rPr>
              <w:t>形式评审与响应性评审标准</w:t>
            </w:r>
          </w:p>
        </w:tc>
        <w:tc>
          <w:tcPr>
            <w:tcW w:w="7233" w:type="dxa"/>
            <w:tcBorders>
              <w:top w:val="single" w:color="auto" w:sz="4" w:space="0"/>
              <w:bottom w:val="single" w:color="auto" w:sz="4" w:space="0"/>
              <w:right w:val="single" w:color="auto" w:sz="8" w:space="0"/>
            </w:tcBorders>
            <w:noWrap w:val="0"/>
            <w:vAlign w:val="center"/>
          </w:tcPr>
          <w:p w14:paraId="3E77380D">
            <w:pPr>
              <w:pStyle w:val="20"/>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第一个信封（商务及技术文件）评审标准：</w:t>
            </w:r>
          </w:p>
          <w:p w14:paraId="3B02D5AC">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（1）投标文件按照招标文件规定的格式、内容填写，字迹清晰可辨：</w:t>
            </w:r>
          </w:p>
          <w:p w14:paraId="52D580B0">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a.投标函按招标文件规定填报了项目名称、监理服务期限、工程质量要求及安全目标；</w:t>
            </w:r>
          </w:p>
          <w:p w14:paraId="2DB5494C">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b.投标文件组成齐全完整，内容均按规定填写。</w:t>
            </w:r>
          </w:p>
          <w:p w14:paraId="508900DC">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（2）投标文件上法定代表人或其委托代理人的签字、投标人的单位章盖章齐全，符合招标文件规定。</w:t>
            </w:r>
          </w:p>
          <w:p w14:paraId="0C3FB54D">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（3）具备相应资格条件且其投标未影响招标公正性：</w:t>
            </w:r>
          </w:p>
          <w:p w14:paraId="73A86569">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a.投标人应提供相关部门的合法批件及企业法人营业执照和资质证书等证件的副本变更记录复印件；</w:t>
            </w:r>
          </w:p>
          <w:p w14:paraId="23CCD817">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b.投标人满足规定的最低要求（资质、业绩、人员、信誉等）；</w:t>
            </w:r>
          </w:p>
          <w:p w14:paraId="5746C19B">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c.与所投标段的其他投标人不存在控股、管理关系或单位负责人为同一人的情况；与招标人也不存在利害关系并可能影响招标公正性。</w:t>
            </w:r>
          </w:p>
          <w:p w14:paraId="387341DF">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（4）投标人按照招标文件的规定提供了投标保证金：</w:t>
            </w:r>
          </w:p>
          <w:p w14:paraId="75E1B434">
            <w:pPr>
              <w:spacing w:line="360" w:lineRule="auto"/>
              <w:ind w:left="102"/>
              <w:rPr>
                <w:rFonts w:hint="eastAsia" w:ascii="宋体" w:hAnsi="宋体" w:eastAsia="宋体" w:cs="宋体"/>
                <w:szCs w:val="21"/>
                <w:highlight w:val="none"/>
              </w:rPr>
            </w:pPr>
            <w:r>
              <w:rPr>
                <w:rFonts w:hint="eastAsia" w:ascii="宋体" w:hAnsi="宋体" w:eastAsia="宋体" w:cs="宋体"/>
                <w:szCs w:val="21"/>
                <w:highlight w:val="none"/>
              </w:rPr>
              <w:t>（5）投标人法定代表人授权委托代理人签署投标文件的，须提交授权委托书，且授权人和被授权人均在授权委托书上签名，未使用印章、签名章或其他电子制版签名代替（电子招标除外）。</w:t>
            </w:r>
          </w:p>
          <w:p w14:paraId="721DD6C2">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（6）投标人法定代表人亲自签署投标文件的，提供了法定代表人身份证明，且法定代表人在法定代表人身份证明上签名，未使用印章、签名章或其他电子制版签名代替（电子招标除外）。</w:t>
            </w:r>
          </w:p>
          <w:p w14:paraId="729CF5F0">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（7）同一投标人未提交两个以上不同的投标文件，但招标文件要求提交备选投标的除外。</w:t>
            </w:r>
          </w:p>
          <w:p w14:paraId="74B1CA85">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（8）投标文件中未出现有关投标报价的内容。</w:t>
            </w:r>
          </w:p>
          <w:p w14:paraId="152FE656">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（9）投标文件载明的招标项目完成期限未超过招标文件规定的时限。</w:t>
            </w:r>
          </w:p>
          <w:p w14:paraId="2B1CD045">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（10）投标文件对招标文件的实质性要求和条件作出响应。</w:t>
            </w:r>
          </w:p>
          <w:p w14:paraId="2271158C">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（11）权利义务符合招标文件规定：</w:t>
            </w:r>
          </w:p>
          <w:p w14:paraId="75F9DA98">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a.投标人应接受招标文件规定的风险划分原则，未提出新的风险划分办法；</w:t>
            </w:r>
          </w:p>
          <w:p w14:paraId="264B222F">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b.投标人未增加发包人的责任范围，或减少投标人义务；</w:t>
            </w:r>
          </w:p>
          <w:p w14:paraId="05C0EFB1">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c.投标人未提出不同的支付办法；</w:t>
            </w:r>
          </w:p>
          <w:p w14:paraId="44CCE87E">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d.投标人对合同纠纷、事故处理办法未提出异议；</w:t>
            </w:r>
          </w:p>
          <w:p w14:paraId="277B3D33">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e.投标人在投标活动中无欺诈行为；</w:t>
            </w:r>
          </w:p>
          <w:p w14:paraId="7E7DACAA">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f.投标人未对合同条款有重要保留。</w:t>
            </w:r>
          </w:p>
          <w:p w14:paraId="3187AC2A">
            <w:pPr>
              <w:pStyle w:val="20"/>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第二个信封（报价文件）评审标准：</w:t>
            </w:r>
          </w:p>
          <w:p w14:paraId="5EFEFC86">
            <w:pPr>
              <w:spacing w:line="360" w:lineRule="auto"/>
              <w:ind w:left="102"/>
              <w:rPr>
                <w:rFonts w:hint="eastAsia" w:ascii="宋体" w:hAnsi="宋体" w:eastAsia="宋体" w:cs="宋体"/>
                <w:sz w:val="24"/>
                <w:szCs w:val="21"/>
                <w:highlight w:val="none"/>
                <w:lang w:eastAsia="zh-CN"/>
              </w:rPr>
            </w:pPr>
            <w:r>
              <w:rPr>
                <w:rFonts w:hint="eastAsia" w:ascii="宋体" w:hAnsi="宋体" w:eastAsia="宋体" w:cs="宋体"/>
                <w:szCs w:val="21"/>
                <w:highlight w:val="none"/>
              </w:rPr>
              <w:t>（1）投标文件按照招标文件规定的格式、内容填写，字迹清晰可辨，内容齐全完整；</w:t>
            </w:r>
          </w:p>
          <w:p w14:paraId="36AA4E53">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a.投标函按招标文件规定填报了项目名称、补遗书编号（如有）、投标价（包括大写金额和小写金额）；</w:t>
            </w:r>
          </w:p>
          <w:p w14:paraId="52EDAB2D">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b.投标文件组成齐全完整，内容均按规定填写。</w:t>
            </w:r>
          </w:p>
          <w:p w14:paraId="630F52D7">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（2）投标文件上法定代表人或其委托代理人的签字、投标人的单位章盖章齐全，符合招标文件规定。</w:t>
            </w:r>
          </w:p>
          <w:p w14:paraId="2AE9F7F7">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（3）投标报价未超过招标文件设定的最高投标限价（如有）。</w:t>
            </w:r>
          </w:p>
          <w:p w14:paraId="7AF81361">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（4）投标报价的大写金额能够确定具体数值。</w:t>
            </w:r>
          </w:p>
          <w:p w14:paraId="29D6AAB2">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（5）同一投标人未提交两个以上不同的投标报价，但招标文件要求提交备选投标的除外。</w:t>
            </w:r>
          </w:p>
        </w:tc>
      </w:tr>
      <w:tr w14:paraId="64D8DD18">
        <w:tblPrEx>
          <w:tblCellMar>
            <w:top w:w="0" w:type="dxa"/>
            <w:left w:w="0" w:type="dxa"/>
            <w:bottom w:w="0" w:type="dxa"/>
            <w:right w:w="0" w:type="dxa"/>
          </w:tblCellMar>
        </w:tblPrEx>
        <w:trPr>
          <w:trHeight w:val="23" w:hRule="atLeast"/>
          <w:jc w:val="center"/>
        </w:trPr>
        <w:tc>
          <w:tcPr>
            <w:tcW w:w="993" w:type="dxa"/>
            <w:tcBorders>
              <w:top w:val="single" w:color="auto" w:sz="4" w:space="0"/>
              <w:left w:val="single" w:color="auto" w:sz="8" w:space="0"/>
              <w:bottom w:val="single" w:color="auto" w:sz="4" w:space="0"/>
              <w:right w:val="single" w:color="auto" w:sz="8" w:space="0"/>
            </w:tcBorders>
            <w:noWrap w:val="0"/>
            <w:vAlign w:val="center"/>
          </w:tcPr>
          <w:p w14:paraId="1E027B6C">
            <w:pPr>
              <w:spacing w:line="239" w:lineRule="exact"/>
              <w:ind w:right="434"/>
              <w:rPr>
                <w:rFonts w:hint="eastAsia" w:ascii="宋体" w:hAnsi="宋体" w:eastAsia="宋体" w:cs="宋体"/>
                <w:szCs w:val="21"/>
                <w:highlight w:val="none"/>
              </w:rPr>
            </w:pPr>
            <w:r>
              <w:rPr>
                <w:rFonts w:hint="eastAsia" w:ascii="宋体" w:hAnsi="宋体" w:eastAsia="宋体" w:cs="宋体"/>
                <w:szCs w:val="21"/>
                <w:highlight w:val="none"/>
              </w:rPr>
              <w:t>2.1.2</w:t>
            </w:r>
          </w:p>
        </w:tc>
        <w:tc>
          <w:tcPr>
            <w:tcW w:w="537" w:type="dxa"/>
            <w:tcBorders>
              <w:top w:val="single" w:color="auto" w:sz="4" w:space="0"/>
              <w:bottom w:val="single" w:color="auto" w:sz="4" w:space="0"/>
              <w:right w:val="single" w:color="auto" w:sz="8" w:space="0"/>
            </w:tcBorders>
            <w:noWrap w:val="0"/>
            <w:vAlign w:val="center"/>
          </w:tcPr>
          <w:p w14:paraId="4C373BE8">
            <w:pPr>
              <w:spacing w:line="239"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7233" w:type="dxa"/>
            <w:tcBorders>
              <w:top w:val="single" w:color="auto" w:sz="4" w:space="0"/>
              <w:bottom w:val="single" w:color="auto" w:sz="4" w:space="0"/>
              <w:right w:val="single" w:color="auto" w:sz="8" w:space="0"/>
            </w:tcBorders>
            <w:noWrap w:val="0"/>
            <w:vAlign w:val="center"/>
          </w:tcPr>
          <w:p w14:paraId="6F604D06">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（1）投标人具备有效的营业执照、监理资质证书和基本账户开户许可证。</w:t>
            </w:r>
          </w:p>
          <w:p w14:paraId="7965C8B4">
            <w:pPr>
              <w:spacing w:line="360" w:lineRule="auto"/>
              <w:ind w:left="102"/>
              <w:rPr>
                <w:rFonts w:hint="eastAsia" w:ascii="宋体" w:hAnsi="宋体" w:eastAsia="宋体" w:cs="宋体"/>
                <w:szCs w:val="21"/>
                <w:highlight w:val="none"/>
                <w:lang w:eastAsia="zh-CN"/>
              </w:rPr>
            </w:pPr>
            <w:r>
              <w:rPr>
                <w:rFonts w:hint="eastAsia" w:ascii="宋体" w:hAnsi="宋体" w:eastAsia="宋体" w:cs="宋体"/>
                <w:szCs w:val="21"/>
                <w:highlight w:val="none"/>
              </w:rPr>
              <w:t>（2）投标人的资质等级符合招标文件规定。</w:t>
            </w:r>
          </w:p>
          <w:p w14:paraId="3A646047">
            <w:pPr>
              <w:spacing w:line="360" w:lineRule="auto"/>
              <w:ind w:left="102"/>
              <w:rPr>
                <w:rFonts w:hint="eastAsia" w:ascii="宋体" w:hAnsi="宋体" w:eastAsia="宋体" w:cs="宋体"/>
                <w:szCs w:val="21"/>
                <w:highlight w:val="none"/>
              </w:rPr>
            </w:pPr>
            <w:r>
              <w:rPr>
                <w:rFonts w:hint="eastAsia" w:ascii="宋体" w:hAnsi="宋体" w:eastAsia="宋体" w:cs="宋体"/>
                <w:szCs w:val="21"/>
                <w:highlight w:val="none"/>
              </w:rPr>
              <w:t>（3）投标人的类似项目业绩符合招标文件规定。</w:t>
            </w:r>
          </w:p>
          <w:p w14:paraId="0DAE19DB">
            <w:pPr>
              <w:spacing w:line="360" w:lineRule="auto"/>
              <w:ind w:left="102"/>
              <w:rPr>
                <w:rFonts w:hint="eastAsia" w:ascii="宋体" w:hAnsi="宋体" w:eastAsia="宋体" w:cs="宋体"/>
                <w:szCs w:val="21"/>
                <w:highlight w:val="none"/>
              </w:rPr>
            </w:pPr>
            <w:r>
              <w:rPr>
                <w:rFonts w:hint="eastAsia" w:ascii="宋体" w:hAnsi="宋体" w:eastAsia="宋体" w:cs="宋体"/>
                <w:szCs w:val="21"/>
                <w:highlight w:val="none"/>
              </w:rPr>
              <w:t>（4）投标人的信誉符合招标文件规定。</w:t>
            </w:r>
          </w:p>
          <w:p w14:paraId="7E5932DE">
            <w:pPr>
              <w:spacing w:line="360" w:lineRule="auto"/>
              <w:ind w:left="102"/>
              <w:rPr>
                <w:rFonts w:hint="eastAsia" w:ascii="宋体" w:hAnsi="宋体" w:eastAsia="宋体" w:cs="宋体"/>
                <w:sz w:val="24"/>
                <w:szCs w:val="21"/>
                <w:highlight w:val="none"/>
              </w:rPr>
            </w:pPr>
            <w:r>
              <w:rPr>
                <w:rFonts w:hint="eastAsia" w:ascii="宋体" w:hAnsi="宋体" w:eastAsia="宋体" w:cs="宋体"/>
                <w:szCs w:val="21"/>
                <w:highlight w:val="none"/>
              </w:rPr>
              <w:t>（5）投标人的总监理工程师、在岗情况符合招标文件规定。</w:t>
            </w:r>
          </w:p>
          <w:p w14:paraId="24A93E4E">
            <w:pPr>
              <w:spacing w:line="360" w:lineRule="auto"/>
              <w:ind w:left="102"/>
              <w:rPr>
                <w:rFonts w:hint="eastAsia" w:ascii="宋体" w:hAnsi="宋体" w:eastAsia="宋体" w:cs="宋体"/>
                <w:szCs w:val="21"/>
                <w:highlight w:val="none"/>
              </w:rPr>
            </w:pPr>
            <w:r>
              <w:rPr>
                <w:rFonts w:hint="eastAsia" w:ascii="宋体" w:hAnsi="宋体" w:eastAsia="宋体" w:cs="宋体"/>
                <w:szCs w:val="21"/>
                <w:highlight w:val="none"/>
              </w:rPr>
              <w:t>（6）投标人的其他要求符合招标文件规定。</w:t>
            </w:r>
          </w:p>
          <w:p w14:paraId="68E62329">
            <w:pPr>
              <w:spacing w:line="360" w:lineRule="auto"/>
              <w:ind w:left="102"/>
              <w:rPr>
                <w:rFonts w:hint="eastAsia" w:ascii="宋体" w:hAnsi="宋体" w:eastAsia="宋体" w:cs="宋体"/>
                <w:szCs w:val="21"/>
                <w:highlight w:val="none"/>
              </w:rPr>
            </w:pPr>
            <w:r>
              <w:rPr>
                <w:rFonts w:hint="eastAsia" w:ascii="宋体" w:hAnsi="宋体" w:eastAsia="宋体" w:cs="宋体"/>
                <w:szCs w:val="21"/>
                <w:highlight w:val="none"/>
              </w:rPr>
              <w:t>（7）投标人不存在第二章“投标人须知”第1.4.3项或第1.4.4项规定的任何一种情形。</w:t>
            </w:r>
          </w:p>
        </w:tc>
      </w:tr>
    </w:tbl>
    <w:p w14:paraId="3A405CA3">
      <w:pPr>
        <w:rPr>
          <w:rFonts w:hint="eastAsia" w:ascii="宋体" w:hAnsi="宋体" w:eastAsia="宋体" w:cs="宋体"/>
          <w:b/>
          <w:highlight w:val="none"/>
        </w:rPr>
      </w:pPr>
      <w:r>
        <w:rPr>
          <w:rFonts w:hint="eastAsia" w:ascii="宋体" w:hAnsi="宋体" w:eastAsia="宋体" w:cs="宋体"/>
          <w:b/>
          <w:highlight w:val="none"/>
        </w:rPr>
        <w:br w:type="page"/>
      </w:r>
    </w:p>
    <w:tbl>
      <w:tblPr>
        <w:tblStyle w:val="18"/>
        <w:tblW w:w="9338" w:type="dxa"/>
        <w:jc w:val="center"/>
        <w:tblLayout w:type="fixed"/>
        <w:tblCellMar>
          <w:top w:w="0" w:type="dxa"/>
          <w:left w:w="108" w:type="dxa"/>
          <w:bottom w:w="0" w:type="dxa"/>
          <w:right w:w="108" w:type="dxa"/>
        </w:tblCellMar>
      </w:tblPr>
      <w:tblGrid>
        <w:gridCol w:w="756"/>
        <w:gridCol w:w="1011"/>
        <w:gridCol w:w="2704"/>
        <w:gridCol w:w="4867"/>
      </w:tblGrid>
      <w:tr w14:paraId="6841F2CE">
        <w:tblPrEx>
          <w:tblCellMar>
            <w:top w:w="0" w:type="dxa"/>
            <w:left w:w="108" w:type="dxa"/>
            <w:bottom w:w="0" w:type="dxa"/>
            <w:right w:w="108" w:type="dxa"/>
          </w:tblCellMar>
        </w:tblPrEx>
        <w:trPr>
          <w:trHeight w:val="469" w:hRule="atLeast"/>
          <w:jc w:val="center"/>
        </w:trPr>
        <w:tc>
          <w:tcPr>
            <w:tcW w:w="1767" w:type="dxa"/>
            <w:gridSpan w:val="2"/>
            <w:tcBorders>
              <w:top w:val="single" w:color="auto" w:sz="4" w:space="0"/>
              <w:left w:val="single" w:color="auto" w:sz="4" w:space="0"/>
              <w:bottom w:val="single" w:color="auto" w:sz="4" w:space="0"/>
              <w:right w:val="single" w:color="auto" w:sz="4" w:space="0"/>
            </w:tcBorders>
            <w:noWrap w:val="0"/>
            <w:vAlign w:val="center"/>
          </w:tcPr>
          <w:p w14:paraId="79DB436B">
            <w:pPr>
              <w:rPr>
                <w:rFonts w:hint="eastAsia" w:ascii="宋体" w:hAnsi="宋体" w:eastAsia="宋体" w:cs="宋体"/>
                <w:b/>
                <w:bCs/>
                <w:highlight w:val="none"/>
              </w:rPr>
            </w:pPr>
          </w:p>
          <w:p w14:paraId="2A2DFE28">
            <w:pPr>
              <w:rPr>
                <w:rFonts w:hint="eastAsia" w:ascii="宋体" w:hAnsi="宋体" w:eastAsia="宋体" w:cs="宋体"/>
                <w:b/>
                <w:bCs/>
                <w:highlight w:val="none"/>
              </w:rPr>
            </w:pPr>
            <w:r>
              <w:rPr>
                <w:rFonts w:hint="eastAsia" w:ascii="宋体" w:hAnsi="宋体" w:eastAsia="宋体" w:cs="宋体"/>
                <w:b/>
                <w:bCs/>
                <w:highlight w:val="none"/>
              </w:rPr>
              <w:t>条款号</w:t>
            </w:r>
          </w:p>
        </w:tc>
        <w:tc>
          <w:tcPr>
            <w:tcW w:w="2704" w:type="dxa"/>
            <w:tcBorders>
              <w:top w:val="single" w:color="auto" w:sz="4" w:space="0"/>
              <w:left w:val="nil"/>
              <w:bottom w:val="single" w:color="auto" w:sz="4" w:space="0"/>
              <w:right w:val="single" w:color="auto" w:sz="4" w:space="0"/>
            </w:tcBorders>
            <w:noWrap w:val="0"/>
            <w:vAlign w:val="center"/>
          </w:tcPr>
          <w:p w14:paraId="539B59A4">
            <w:pPr>
              <w:rPr>
                <w:rFonts w:hint="eastAsia" w:ascii="宋体" w:hAnsi="宋体" w:eastAsia="宋体" w:cs="宋体"/>
                <w:b/>
                <w:bCs/>
                <w:highlight w:val="none"/>
              </w:rPr>
            </w:pPr>
            <w:r>
              <w:rPr>
                <w:rFonts w:hint="eastAsia" w:ascii="宋体" w:hAnsi="宋体" w:eastAsia="宋体" w:cs="宋体"/>
                <w:b/>
                <w:bCs/>
                <w:highlight w:val="none"/>
              </w:rPr>
              <w:t>条款内容</w:t>
            </w:r>
          </w:p>
        </w:tc>
        <w:tc>
          <w:tcPr>
            <w:tcW w:w="4867" w:type="dxa"/>
            <w:tcBorders>
              <w:top w:val="single" w:color="auto" w:sz="4" w:space="0"/>
              <w:left w:val="nil"/>
              <w:bottom w:val="single" w:color="auto" w:sz="4" w:space="0"/>
              <w:right w:val="single" w:color="auto" w:sz="4" w:space="0"/>
            </w:tcBorders>
            <w:noWrap w:val="0"/>
            <w:vAlign w:val="center"/>
          </w:tcPr>
          <w:p w14:paraId="46DECCA6">
            <w:pPr>
              <w:jc w:val="left"/>
              <w:rPr>
                <w:rFonts w:hint="eastAsia" w:ascii="宋体" w:hAnsi="宋体" w:eastAsia="宋体" w:cs="宋体"/>
                <w:b/>
                <w:bCs/>
                <w:highlight w:val="none"/>
              </w:rPr>
            </w:pPr>
            <w:r>
              <w:rPr>
                <w:rFonts w:hint="eastAsia" w:ascii="宋体" w:hAnsi="宋体" w:eastAsia="宋体" w:cs="宋体"/>
                <w:b/>
                <w:bCs/>
                <w:highlight w:val="none"/>
              </w:rPr>
              <w:t>编列内容</w:t>
            </w:r>
          </w:p>
        </w:tc>
      </w:tr>
      <w:tr w14:paraId="051A8941">
        <w:tblPrEx>
          <w:tblCellMar>
            <w:top w:w="0" w:type="dxa"/>
            <w:left w:w="108" w:type="dxa"/>
            <w:bottom w:w="0" w:type="dxa"/>
            <w:right w:w="108" w:type="dxa"/>
          </w:tblCellMar>
        </w:tblPrEx>
        <w:trPr>
          <w:trHeight w:val="1100" w:hRule="atLeast"/>
          <w:jc w:val="center"/>
        </w:trPr>
        <w:tc>
          <w:tcPr>
            <w:tcW w:w="1767" w:type="dxa"/>
            <w:gridSpan w:val="2"/>
            <w:tcBorders>
              <w:top w:val="single" w:color="auto" w:sz="4" w:space="0"/>
              <w:left w:val="single" w:color="auto" w:sz="4" w:space="0"/>
              <w:bottom w:val="single" w:color="auto" w:sz="4" w:space="0"/>
              <w:right w:val="single" w:color="auto" w:sz="4" w:space="0"/>
            </w:tcBorders>
            <w:noWrap w:val="0"/>
            <w:vAlign w:val="center"/>
          </w:tcPr>
          <w:p w14:paraId="5424BAF3">
            <w:pPr>
              <w:rPr>
                <w:rFonts w:hint="eastAsia" w:ascii="宋体" w:hAnsi="宋体" w:eastAsia="宋体" w:cs="宋体"/>
                <w:highlight w:val="none"/>
              </w:rPr>
            </w:pPr>
            <w:r>
              <w:rPr>
                <w:rFonts w:hint="eastAsia" w:ascii="宋体" w:hAnsi="宋体" w:eastAsia="宋体" w:cs="宋体"/>
                <w:highlight w:val="none"/>
              </w:rPr>
              <w:t>2.2.1</w:t>
            </w:r>
          </w:p>
        </w:tc>
        <w:tc>
          <w:tcPr>
            <w:tcW w:w="2704" w:type="dxa"/>
            <w:tcBorders>
              <w:top w:val="single" w:color="auto" w:sz="4" w:space="0"/>
              <w:left w:val="nil"/>
              <w:bottom w:val="single" w:color="auto" w:sz="4" w:space="0"/>
              <w:right w:val="single" w:color="auto" w:sz="4" w:space="0"/>
            </w:tcBorders>
            <w:noWrap w:val="0"/>
            <w:vAlign w:val="center"/>
          </w:tcPr>
          <w:p w14:paraId="572DF00C">
            <w:pPr>
              <w:jc w:val="center"/>
              <w:rPr>
                <w:rFonts w:hint="eastAsia" w:ascii="宋体" w:hAnsi="宋体" w:eastAsia="宋体" w:cs="宋体"/>
                <w:highlight w:val="none"/>
              </w:rPr>
            </w:pPr>
            <w:r>
              <w:rPr>
                <w:rFonts w:hint="eastAsia" w:ascii="宋体" w:hAnsi="宋体" w:eastAsia="宋体" w:cs="宋体"/>
                <w:highlight w:val="none"/>
              </w:rPr>
              <w:t>分值构成</w:t>
            </w:r>
          </w:p>
          <w:p w14:paraId="0097CA04">
            <w:pPr>
              <w:jc w:val="center"/>
              <w:rPr>
                <w:rFonts w:hint="eastAsia" w:ascii="宋体" w:hAnsi="宋体" w:eastAsia="宋体" w:cs="宋体"/>
                <w:highlight w:val="none"/>
              </w:rPr>
            </w:pPr>
            <w:r>
              <w:rPr>
                <w:rFonts w:hint="eastAsia" w:ascii="宋体" w:hAnsi="宋体" w:eastAsia="宋体" w:cs="宋体"/>
                <w:highlight w:val="none"/>
              </w:rPr>
              <w:t>（总分100分）</w:t>
            </w:r>
          </w:p>
        </w:tc>
        <w:tc>
          <w:tcPr>
            <w:tcW w:w="4867" w:type="dxa"/>
            <w:tcBorders>
              <w:top w:val="single" w:color="auto" w:sz="4" w:space="0"/>
              <w:left w:val="nil"/>
              <w:bottom w:val="single" w:color="auto" w:sz="4" w:space="0"/>
              <w:right w:val="single" w:color="auto" w:sz="4" w:space="0"/>
            </w:tcBorders>
            <w:noWrap w:val="0"/>
            <w:vAlign w:val="center"/>
          </w:tcPr>
          <w:p w14:paraId="4E5908BC">
            <w:pPr>
              <w:spacing w:line="360" w:lineRule="auto"/>
              <w:ind w:left="0"/>
              <w:rPr>
                <w:rFonts w:hint="eastAsia" w:ascii="宋体" w:hAnsi="宋体" w:eastAsia="宋体" w:cs="宋体"/>
                <w:b/>
                <w:highlight w:val="none"/>
              </w:rPr>
            </w:pPr>
            <w:r>
              <w:rPr>
                <w:rFonts w:hint="eastAsia" w:ascii="宋体" w:hAnsi="宋体" w:eastAsia="宋体" w:cs="宋体"/>
                <w:b/>
                <w:highlight w:val="none"/>
              </w:rPr>
              <w:t>第一个信封（商务及技术文件）评分分值构成：</w:t>
            </w:r>
          </w:p>
          <w:p w14:paraId="37D52740">
            <w:pPr>
              <w:spacing w:line="360" w:lineRule="auto"/>
              <w:ind w:left="0"/>
              <w:rPr>
                <w:rFonts w:hint="eastAsia" w:ascii="宋体" w:hAnsi="宋体" w:eastAsia="宋体" w:cs="宋体"/>
                <w:highlight w:val="none"/>
                <w:lang w:eastAsia="zh-CN"/>
              </w:rPr>
            </w:pPr>
            <w:r>
              <w:rPr>
                <w:rFonts w:hint="eastAsia" w:ascii="宋体" w:hAnsi="宋体" w:eastAsia="宋体" w:cs="宋体"/>
                <w:highlight w:val="none"/>
              </w:rPr>
              <w:t>技术建议书：</w:t>
            </w:r>
            <w:r>
              <w:rPr>
                <w:rFonts w:hint="eastAsia" w:ascii="宋体" w:hAnsi="宋体" w:eastAsia="宋体" w:cs="宋体"/>
                <w:highlight w:val="none"/>
                <w:u w:val="single"/>
              </w:rPr>
              <w:t>35</w:t>
            </w:r>
            <w:r>
              <w:rPr>
                <w:rFonts w:hint="eastAsia" w:ascii="宋体" w:hAnsi="宋体" w:eastAsia="宋体" w:cs="宋体"/>
                <w:highlight w:val="none"/>
              </w:rPr>
              <w:t>分</w:t>
            </w:r>
          </w:p>
          <w:p w14:paraId="0B031DB6">
            <w:pPr>
              <w:spacing w:line="360" w:lineRule="auto"/>
              <w:ind w:left="0"/>
              <w:rPr>
                <w:rFonts w:hint="eastAsia" w:ascii="宋体" w:hAnsi="宋体" w:eastAsia="宋体" w:cs="宋体"/>
                <w:highlight w:val="none"/>
                <w:lang w:eastAsia="zh-CN"/>
              </w:rPr>
            </w:pPr>
            <w:r>
              <w:rPr>
                <w:rFonts w:hint="eastAsia" w:ascii="宋体" w:hAnsi="宋体" w:eastAsia="宋体" w:cs="宋体"/>
                <w:highlight w:val="none"/>
              </w:rPr>
              <w:t>主要人员：</w:t>
            </w:r>
            <w:r>
              <w:rPr>
                <w:rFonts w:hint="eastAsia" w:ascii="宋体" w:hAnsi="宋体" w:eastAsia="宋体" w:cs="宋体"/>
                <w:highlight w:val="none"/>
                <w:u w:val="single"/>
              </w:rPr>
              <w:t>25</w:t>
            </w:r>
            <w:r>
              <w:rPr>
                <w:rFonts w:hint="eastAsia" w:ascii="宋体" w:hAnsi="宋体" w:eastAsia="宋体" w:cs="宋体"/>
                <w:highlight w:val="none"/>
              </w:rPr>
              <w:t>分</w:t>
            </w:r>
          </w:p>
          <w:p w14:paraId="639A6967">
            <w:pPr>
              <w:spacing w:line="360" w:lineRule="auto"/>
              <w:ind w:left="0"/>
              <w:rPr>
                <w:rFonts w:hint="eastAsia" w:ascii="宋体" w:hAnsi="宋体" w:eastAsia="宋体" w:cs="宋体"/>
                <w:highlight w:val="none"/>
                <w:lang w:eastAsia="zh-CN"/>
              </w:rPr>
            </w:pPr>
            <w:r>
              <w:rPr>
                <w:rFonts w:hint="eastAsia" w:ascii="宋体" w:hAnsi="宋体" w:eastAsia="宋体" w:cs="宋体"/>
                <w:highlight w:val="none"/>
              </w:rPr>
              <w:t>其他因素：</w:t>
            </w:r>
            <w:r>
              <w:rPr>
                <w:rFonts w:hint="eastAsia" w:ascii="宋体" w:hAnsi="宋体" w:eastAsia="宋体" w:cs="宋体"/>
                <w:highlight w:val="none"/>
                <w:u w:val="single"/>
              </w:rPr>
              <w:t>30</w:t>
            </w:r>
            <w:r>
              <w:rPr>
                <w:rFonts w:hint="eastAsia" w:ascii="宋体" w:hAnsi="宋体" w:eastAsia="宋体" w:cs="宋体"/>
                <w:highlight w:val="none"/>
              </w:rPr>
              <w:t>分</w:t>
            </w:r>
          </w:p>
          <w:p w14:paraId="38F61581">
            <w:pPr>
              <w:spacing w:line="360" w:lineRule="auto"/>
              <w:ind w:left="0"/>
              <w:rPr>
                <w:rFonts w:hint="eastAsia" w:ascii="宋体" w:hAnsi="宋体" w:eastAsia="宋体" w:cs="宋体"/>
                <w:b/>
                <w:highlight w:val="none"/>
                <w:lang w:eastAsia="zh-CN"/>
              </w:rPr>
            </w:pPr>
            <w:r>
              <w:rPr>
                <w:rFonts w:hint="eastAsia" w:ascii="宋体" w:hAnsi="宋体" w:eastAsia="宋体" w:cs="宋体"/>
                <w:b/>
                <w:highlight w:val="none"/>
              </w:rPr>
              <w:t>第二个信封（报价文件）评分分值构成：</w:t>
            </w:r>
          </w:p>
          <w:p w14:paraId="08D33489">
            <w:pPr>
              <w:spacing w:line="360" w:lineRule="auto"/>
              <w:ind w:left="0"/>
              <w:rPr>
                <w:rFonts w:hint="eastAsia" w:ascii="宋体" w:hAnsi="宋体" w:eastAsia="宋体" w:cs="宋体"/>
                <w:szCs w:val="21"/>
                <w:highlight w:val="none"/>
                <w:lang w:eastAsia="zh-CN"/>
              </w:rPr>
            </w:pPr>
            <w:r>
              <w:rPr>
                <w:rFonts w:hint="eastAsia" w:ascii="宋体" w:hAnsi="宋体" w:eastAsia="宋体" w:cs="宋体"/>
                <w:highlight w:val="none"/>
              </w:rPr>
              <w:t>评标价：</w:t>
            </w:r>
            <w:r>
              <w:rPr>
                <w:rFonts w:hint="eastAsia" w:ascii="宋体" w:hAnsi="宋体" w:eastAsia="宋体" w:cs="宋体"/>
                <w:highlight w:val="none"/>
                <w:u w:val="single"/>
              </w:rPr>
              <w:t>10</w:t>
            </w:r>
            <w:r>
              <w:rPr>
                <w:rFonts w:hint="eastAsia" w:ascii="宋体" w:hAnsi="宋体" w:eastAsia="宋体" w:cs="宋体"/>
                <w:highlight w:val="none"/>
              </w:rPr>
              <w:t>分</w:t>
            </w:r>
          </w:p>
        </w:tc>
      </w:tr>
      <w:tr w14:paraId="1B6A14E9">
        <w:tblPrEx>
          <w:tblCellMar>
            <w:top w:w="0" w:type="dxa"/>
            <w:left w:w="108" w:type="dxa"/>
            <w:bottom w:w="0" w:type="dxa"/>
            <w:right w:w="108" w:type="dxa"/>
          </w:tblCellMar>
        </w:tblPrEx>
        <w:trPr>
          <w:trHeight w:val="1966" w:hRule="atLeast"/>
          <w:jc w:val="center"/>
        </w:trPr>
        <w:tc>
          <w:tcPr>
            <w:tcW w:w="1767" w:type="dxa"/>
            <w:gridSpan w:val="2"/>
            <w:tcBorders>
              <w:top w:val="single" w:color="auto" w:sz="4" w:space="0"/>
              <w:left w:val="single" w:color="auto" w:sz="4" w:space="0"/>
              <w:bottom w:val="single" w:color="auto" w:sz="4" w:space="0"/>
              <w:right w:val="single" w:color="auto" w:sz="4" w:space="0"/>
            </w:tcBorders>
            <w:noWrap w:val="0"/>
            <w:vAlign w:val="center"/>
          </w:tcPr>
          <w:p w14:paraId="0E21E08B">
            <w:pPr>
              <w:rPr>
                <w:rFonts w:hint="eastAsia" w:ascii="宋体" w:hAnsi="宋体" w:eastAsia="宋体" w:cs="宋体"/>
                <w:highlight w:val="none"/>
              </w:rPr>
            </w:pPr>
            <w:r>
              <w:rPr>
                <w:rFonts w:hint="eastAsia" w:ascii="宋体" w:hAnsi="宋体" w:eastAsia="宋体" w:cs="宋体"/>
                <w:highlight w:val="none"/>
              </w:rPr>
              <w:t>2.2.2</w:t>
            </w:r>
          </w:p>
        </w:tc>
        <w:tc>
          <w:tcPr>
            <w:tcW w:w="2704" w:type="dxa"/>
            <w:tcBorders>
              <w:top w:val="single" w:color="auto" w:sz="4" w:space="0"/>
              <w:left w:val="nil"/>
              <w:bottom w:val="single" w:color="auto" w:sz="4" w:space="0"/>
              <w:right w:val="single" w:color="auto" w:sz="4" w:space="0"/>
            </w:tcBorders>
            <w:noWrap w:val="0"/>
            <w:vAlign w:val="center"/>
          </w:tcPr>
          <w:p w14:paraId="07D26202">
            <w:pPr>
              <w:rPr>
                <w:rFonts w:hint="eastAsia" w:ascii="宋体" w:hAnsi="宋体" w:eastAsia="宋体" w:cs="宋体"/>
                <w:highlight w:val="none"/>
              </w:rPr>
            </w:pPr>
            <w:r>
              <w:rPr>
                <w:rFonts w:hint="eastAsia" w:ascii="宋体" w:hAnsi="宋体" w:eastAsia="宋体" w:cs="宋体"/>
                <w:highlight w:val="none"/>
              </w:rPr>
              <w:t>评标基准价计算方法</w:t>
            </w:r>
          </w:p>
        </w:tc>
        <w:tc>
          <w:tcPr>
            <w:tcW w:w="4867" w:type="dxa"/>
            <w:tcBorders>
              <w:top w:val="single" w:color="auto" w:sz="4" w:space="0"/>
              <w:left w:val="nil"/>
              <w:bottom w:val="single" w:color="auto" w:sz="4" w:space="0"/>
              <w:right w:val="single" w:color="auto" w:sz="4" w:space="0"/>
            </w:tcBorders>
            <w:noWrap w:val="0"/>
            <w:vAlign w:val="center"/>
          </w:tcPr>
          <w:p w14:paraId="0DB0BD27">
            <w:pPr>
              <w:spacing w:line="360" w:lineRule="auto"/>
              <w:ind w:left="0"/>
              <w:rPr>
                <w:rFonts w:hint="eastAsia" w:ascii="宋体" w:hAnsi="宋体" w:eastAsia="宋体" w:cs="宋体"/>
                <w:highlight w:val="none"/>
              </w:rPr>
            </w:pPr>
            <w:r>
              <w:rPr>
                <w:rFonts w:hint="eastAsia" w:ascii="宋体" w:hAnsi="宋体" w:eastAsia="宋体" w:cs="宋体"/>
                <w:highlight w:val="none"/>
              </w:rPr>
              <w:t>评标基准价的计算：</w:t>
            </w:r>
          </w:p>
          <w:p w14:paraId="25E6525B">
            <w:pPr>
              <w:spacing w:line="360" w:lineRule="auto"/>
              <w:ind w:left="0"/>
              <w:rPr>
                <w:rFonts w:hint="eastAsia" w:ascii="宋体" w:hAnsi="宋体" w:eastAsia="宋体" w:cs="宋体"/>
                <w:highlight w:val="none"/>
              </w:rPr>
            </w:pPr>
            <w:r>
              <w:rPr>
                <w:rFonts w:hint="eastAsia" w:ascii="宋体" w:hAnsi="宋体" w:eastAsia="宋体" w:cs="宋体"/>
                <w:highlight w:val="none"/>
              </w:rPr>
              <w:t>在开标现场，招标人将当场计算并宣布评标基准价。</w:t>
            </w:r>
          </w:p>
          <w:p w14:paraId="23651767">
            <w:pPr>
              <w:spacing w:line="360" w:lineRule="auto"/>
              <w:ind w:left="0"/>
              <w:rPr>
                <w:rFonts w:hint="eastAsia" w:ascii="宋体" w:hAnsi="宋体" w:eastAsia="宋体" w:cs="宋体"/>
                <w:highlight w:val="none"/>
              </w:rPr>
            </w:pPr>
            <w:r>
              <w:rPr>
                <w:rFonts w:hint="eastAsia" w:ascii="宋体" w:hAnsi="宋体" w:eastAsia="宋体" w:cs="宋体"/>
                <w:highlight w:val="none"/>
              </w:rPr>
              <w:t>（1）评标价的确定：</w:t>
            </w:r>
          </w:p>
          <w:p w14:paraId="104E62F6">
            <w:pPr>
              <w:spacing w:line="360" w:lineRule="auto"/>
              <w:ind w:left="0"/>
              <w:rPr>
                <w:rFonts w:hint="eastAsia" w:ascii="宋体" w:hAnsi="宋体" w:eastAsia="宋体" w:cs="宋体"/>
                <w:highlight w:val="none"/>
              </w:rPr>
            </w:pPr>
            <w:r>
              <w:rPr>
                <w:rFonts w:hint="eastAsia" w:ascii="宋体" w:hAnsi="宋体" w:eastAsia="宋体" w:cs="宋体"/>
                <w:highlight w:val="none"/>
              </w:rPr>
              <w:t>评标价＝投标函文字报价</w:t>
            </w:r>
          </w:p>
          <w:p w14:paraId="398AE171">
            <w:pPr>
              <w:spacing w:line="360" w:lineRule="auto"/>
              <w:ind w:left="0"/>
              <w:rPr>
                <w:rFonts w:hint="eastAsia" w:ascii="宋体" w:hAnsi="宋体" w:eastAsia="宋体" w:cs="宋体"/>
                <w:highlight w:val="none"/>
              </w:rPr>
            </w:pPr>
            <w:r>
              <w:rPr>
                <w:rFonts w:hint="eastAsia" w:ascii="宋体" w:hAnsi="宋体" w:eastAsia="宋体" w:cs="宋体"/>
                <w:highlight w:val="none"/>
              </w:rPr>
              <w:t>（2）评标价平均值的计算：</w:t>
            </w:r>
          </w:p>
          <w:p w14:paraId="7B344F95">
            <w:pPr>
              <w:spacing w:line="360" w:lineRule="auto"/>
              <w:ind w:left="0"/>
              <w:rPr>
                <w:rFonts w:hint="eastAsia" w:ascii="宋体" w:hAnsi="宋体" w:eastAsia="宋体" w:cs="宋体"/>
                <w:highlight w:val="none"/>
              </w:rPr>
            </w:pPr>
            <w:r>
              <w:rPr>
                <w:rFonts w:hint="eastAsia" w:ascii="宋体" w:hAnsi="宋体" w:eastAsia="宋体" w:cs="宋体"/>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056C7481">
            <w:pPr>
              <w:spacing w:line="360" w:lineRule="auto"/>
              <w:ind w:left="0"/>
              <w:rPr>
                <w:rFonts w:hint="eastAsia" w:ascii="宋体" w:hAnsi="宋体" w:eastAsia="宋体" w:cs="宋体"/>
                <w:highlight w:val="none"/>
              </w:rPr>
            </w:pPr>
            <w:r>
              <w:rPr>
                <w:rFonts w:hint="eastAsia" w:ascii="宋体" w:hAnsi="宋体" w:eastAsia="宋体" w:cs="宋体"/>
                <w:highlight w:val="none"/>
              </w:rPr>
              <w:t>（3）评标基准价的确定：</w:t>
            </w:r>
          </w:p>
          <w:p w14:paraId="5944AED1">
            <w:pPr>
              <w:spacing w:line="360" w:lineRule="auto"/>
              <w:ind w:left="0"/>
              <w:rPr>
                <w:rFonts w:hint="eastAsia" w:ascii="宋体" w:hAnsi="宋体" w:eastAsia="宋体" w:cs="宋体"/>
                <w:highlight w:val="none"/>
              </w:rPr>
            </w:pPr>
            <w:r>
              <w:rPr>
                <w:rFonts w:hint="eastAsia" w:ascii="宋体" w:hAnsi="宋体" w:eastAsia="宋体" w:cs="宋体"/>
                <w:highlight w:val="none"/>
              </w:rPr>
              <w:t>将评标价平均值直接作为评标基准价。</w:t>
            </w:r>
          </w:p>
          <w:p w14:paraId="6260B884">
            <w:pPr>
              <w:spacing w:line="360" w:lineRule="auto"/>
              <w:ind w:left="0"/>
              <w:rPr>
                <w:rFonts w:hint="eastAsia" w:ascii="宋体" w:hAnsi="宋体" w:eastAsia="宋体" w:cs="宋体"/>
                <w:b/>
                <w:bCs/>
                <w:highlight w:val="none"/>
              </w:rPr>
            </w:pPr>
            <w:r>
              <w:rPr>
                <w:rFonts w:hint="eastAsia" w:ascii="宋体" w:hAnsi="宋体" w:eastAsia="宋体" w:cs="宋体"/>
                <w:b/>
                <w:bCs/>
                <w:highlight w:val="none"/>
              </w:rPr>
              <w:t>注：</w:t>
            </w:r>
          </w:p>
          <w:p w14:paraId="2F425087">
            <w:pPr>
              <w:spacing w:line="360" w:lineRule="auto"/>
              <w:ind w:left="0"/>
              <w:rPr>
                <w:rFonts w:hint="eastAsia" w:ascii="宋体" w:hAnsi="宋体" w:eastAsia="宋体" w:cs="宋体"/>
                <w:highlight w:val="none"/>
              </w:rPr>
            </w:pPr>
            <w:r>
              <w:rPr>
                <w:rFonts w:hint="eastAsia" w:ascii="宋体" w:hAnsi="宋体" w:eastAsia="宋体" w:cs="宋体"/>
                <w:highlight w:val="none"/>
              </w:rPr>
              <w:t>1.在最高投标限价100%～95%(含100%、95%，下同）范围内的投标报价参与评标基准值的计算。投标人报价与评标基准值相比较进行计分。当投标报价小于最高投标限价的95%时，该投标报价不参与计算评标基准值，在报价计分时仍予以计分。超过本项目最高投标限价为无效标。</w:t>
            </w:r>
          </w:p>
          <w:p w14:paraId="2A0E1856">
            <w:pPr>
              <w:spacing w:line="360" w:lineRule="auto"/>
              <w:ind w:left="0"/>
              <w:rPr>
                <w:rFonts w:hint="eastAsia" w:ascii="宋体" w:hAnsi="宋体" w:eastAsia="宋体" w:cs="宋体"/>
                <w:b/>
                <w:highlight w:val="none"/>
              </w:rPr>
            </w:pPr>
            <w:r>
              <w:rPr>
                <w:rFonts w:hint="eastAsia" w:ascii="宋体" w:hAnsi="宋体" w:eastAsia="宋体" w:cs="宋体"/>
                <w:highlight w:val="none"/>
              </w:rPr>
              <w:t>2.在评标过程中，评标委员会应对招标人计算的评标基准价进行复核，存在计算错误的应予以修正并在评标报告中作出说明。除此之外，评标基准价在整个评标期间保持不变，不随任何因素发生变化。</w:t>
            </w:r>
          </w:p>
        </w:tc>
      </w:tr>
      <w:tr w14:paraId="574E63B9">
        <w:tblPrEx>
          <w:tblCellMar>
            <w:top w:w="0" w:type="dxa"/>
            <w:left w:w="108" w:type="dxa"/>
            <w:bottom w:w="0" w:type="dxa"/>
            <w:right w:w="108" w:type="dxa"/>
          </w:tblCellMar>
        </w:tblPrEx>
        <w:trPr>
          <w:trHeight w:val="1013" w:hRule="atLeast"/>
          <w:jc w:val="center"/>
        </w:trPr>
        <w:tc>
          <w:tcPr>
            <w:tcW w:w="1767" w:type="dxa"/>
            <w:gridSpan w:val="2"/>
            <w:tcBorders>
              <w:top w:val="single" w:color="auto" w:sz="4" w:space="0"/>
              <w:left w:val="single" w:color="auto" w:sz="4" w:space="0"/>
              <w:bottom w:val="single" w:color="auto" w:sz="4" w:space="0"/>
              <w:right w:val="single" w:color="auto" w:sz="4" w:space="0"/>
            </w:tcBorders>
            <w:noWrap w:val="0"/>
            <w:vAlign w:val="center"/>
          </w:tcPr>
          <w:p w14:paraId="240C2E4C">
            <w:pPr>
              <w:rPr>
                <w:rFonts w:hint="eastAsia" w:ascii="宋体" w:hAnsi="宋体" w:eastAsia="宋体" w:cs="宋体"/>
                <w:highlight w:val="none"/>
              </w:rPr>
            </w:pPr>
            <w:r>
              <w:rPr>
                <w:rFonts w:hint="eastAsia" w:ascii="宋体" w:hAnsi="宋体" w:eastAsia="宋体" w:cs="宋体"/>
                <w:highlight w:val="none"/>
              </w:rPr>
              <w:t>2.2.3</w:t>
            </w:r>
          </w:p>
        </w:tc>
        <w:tc>
          <w:tcPr>
            <w:tcW w:w="2704" w:type="dxa"/>
            <w:tcBorders>
              <w:top w:val="single" w:color="auto" w:sz="4" w:space="0"/>
              <w:left w:val="nil"/>
              <w:bottom w:val="single" w:color="auto" w:sz="4" w:space="0"/>
              <w:right w:val="single" w:color="auto" w:sz="4" w:space="0"/>
            </w:tcBorders>
            <w:noWrap w:val="0"/>
            <w:vAlign w:val="center"/>
          </w:tcPr>
          <w:p w14:paraId="5A7C1E38">
            <w:pPr>
              <w:rPr>
                <w:rFonts w:hint="eastAsia" w:ascii="宋体" w:hAnsi="宋体" w:eastAsia="宋体" w:cs="宋体"/>
                <w:highlight w:val="none"/>
              </w:rPr>
            </w:pPr>
            <w:r>
              <w:rPr>
                <w:rFonts w:hint="eastAsia" w:ascii="宋体" w:hAnsi="宋体" w:eastAsia="宋体" w:cs="宋体"/>
                <w:highlight w:val="none"/>
              </w:rPr>
              <w:t>投标报价的偏差率</w:t>
            </w:r>
          </w:p>
          <w:p w14:paraId="5E40CA74">
            <w:pPr>
              <w:rPr>
                <w:rFonts w:hint="eastAsia" w:ascii="宋体" w:hAnsi="宋体" w:eastAsia="宋体" w:cs="宋体"/>
                <w:highlight w:val="none"/>
              </w:rPr>
            </w:pPr>
            <w:r>
              <w:rPr>
                <w:rFonts w:hint="eastAsia" w:ascii="宋体" w:hAnsi="宋体" w:eastAsia="宋体" w:cs="宋体"/>
                <w:highlight w:val="none"/>
              </w:rPr>
              <w:t>计算公式</w:t>
            </w:r>
          </w:p>
        </w:tc>
        <w:tc>
          <w:tcPr>
            <w:tcW w:w="4867" w:type="dxa"/>
            <w:tcBorders>
              <w:top w:val="single" w:color="auto" w:sz="4" w:space="0"/>
              <w:left w:val="nil"/>
              <w:bottom w:val="single" w:color="auto" w:sz="4" w:space="0"/>
              <w:right w:val="single" w:color="auto" w:sz="4" w:space="0"/>
            </w:tcBorders>
            <w:noWrap w:val="0"/>
            <w:vAlign w:val="center"/>
          </w:tcPr>
          <w:p w14:paraId="7734B7FF">
            <w:pPr>
              <w:spacing w:line="360" w:lineRule="auto"/>
              <w:ind w:left="0"/>
              <w:rPr>
                <w:rFonts w:hint="eastAsia" w:ascii="宋体" w:hAnsi="宋体" w:eastAsia="宋体" w:cs="宋体"/>
                <w:highlight w:val="none"/>
                <w:lang w:eastAsia="zh-CN"/>
              </w:rPr>
            </w:pPr>
            <w:r>
              <w:rPr>
                <w:rFonts w:hint="eastAsia" w:ascii="宋体" w:hAnsi="宋体" w:eastAsia="宋体" w:cs="宋体"/>
                <w:highlight w:val="none"/>
              </w:rPr>
              <w:t>偏差率=100%×（投标人评标价－评标基准价）/评标基准价</w:t>
            </w:r>
          </w:p>
          <w:p w14:paraId="4DF6C58A">
            <w:pPr>
              <w:spacing w:line="360" w:lineRule="auto"/>
              <w:ind w:left="0"/>
              <w:rPr>
                <w:rFonts w:hint="eastAsia" w:ascii="宋体" w:hAnsi="宋体" w:eastAsia="宋体" w:cs="宋体"/>
                <w:highlight w:val="none"/>
                <w:lang w:eastAsia="zh-CN"/>
              </w:rPr>
            </w:pPr>
            <w:r>
              <w:rPr>
                <w:rFonts w:hint="eastAsia" w:ascii="宋体" w:hAnsi="宋体" w:eastAsia="宋体" w:cs="宋体"/>
                <w:highlight w:val="none"/>
              </w:rPr>
              <w:t>偏差率保留2位小数</w:t>
            </w:r>
          </w:p>
        </w:tc>
      </w:tr>
      <w:tr w14:paraId="5F0A4D91">
        <w:tblPrEx>
          <w:tblCellMar>
            <w:top w:w="0" w:type="dxa"/>
            <w:left w:w="108" w:type="dxa"/>
            <w:bottom w:w="0" w:type="dxa"/>
            <w:right w:w="108" w:type="dxa"/>
          </w:tblCellMar>
        </w:tblPrEx>
        <w:trPr>
          <w:trHeight w:val="799" w:hRule="atLeast"/>
          <w:jc w:val="center"/>
        </w:trPr>
        <w:tc>
          <w:tcPr>
            <w:tcW w:w="1767" w:type="dxa"/>
            <w:gridSpan w:val="2"/>
            <w:tcBorders>
              <w:top w:val="single" w:color="auto" w:sz="4" w:space="0"/>
              <w:left w:val="single" w:color="auto" w:sz="4" w:space="0"/>
              <w:bottom w:val="single" w:color="auto" w:sz="4" w:space="0"/>
              <w:right w:val="single" w:color="auto" w:sz="4" w:space="0"/>
            </w:tcBorders>
            <w:noWrap w:val="0"/>
            <w:vAlign w:val="center"/>
          </w:tcPr>
          <w:p w14:paraId="138D539E">
            <w:pPr>
              <w:rPr>
                <w:rFonts w:hint="eastAsia" w:ascii="宋体" w:hAnsi="宋体" w:eastAsia="宋体" w:cs="宋体"/>
                <w:b/>
                <w:bCs/>
                <w:highlight w:val="none"/>
              </w:rPr>
            </w:pPr>
            <w:r>
              <w:rPr>
                <w:rFonts w:hint="eastAsia" w:ascii="宋体" w:hAnsi="宋体" w:eastAsia="宋体" w:cs="宋体"/>
                <w:b/>
                <w:bCs/>
                <w:highlight w:val="none"/>
              </w:rPr>
              <w:t>条款号</w:t>
            </w:r>
          </w:p>
        </w:tc>
        <w:tc>
          <w:tcPr>
            <w:tcW w:w="2704" w:type="dxa"/>
            <w:tcBorders>
              <w:top w:val="single" w:color="auto" w:sz="4" w:space="0"/>
              <w:left w:val="nil"/>
              <w:bottom w:val="single" w:color="auto" w:sz="4" w:space="0"/>
              <w:right w:val="single" w:color="auto" w:sz="4" w:space="0"/>
            </w:tcBorders>
            <w:noWrap w:val="0"/>
            <w:vAlign w:val="center"/>
          </w:tcPr>
          <w:p w14:paraId="5E69BE05">
            <w:pPr>
              <w:rPr>
                <w:rFonts w:hint="eastAsia" w:ascii="宋体" w:hAnsi="宋体" w:eastAsia="宋体" w:cs="宋体"/>
                <w:b/>
                <w:bCs/>
                <w:highlight w:val="none"/>
              </w:rPr>
            </w:pPr>
            <w:r>
              <w:rPr>
                <w:rFonts w:hint="eastAsia" w:ascii="宋体" w:hAnsi="宋体" w:eastAsia="宋体" w:cs="宋体"/>
                <w:b/>
                <w:bCs/>
                <w:highlight w:val="none"/>
              </w:rPr>
              <w:t>评分因素</w:t>
            </w:r>
          </w:p>
        </w:tc>
        <w:tc>
          <w:tcPr>
            <w:tcW w:w="4867" w:type="dxa"/>
            <w:tcBorders>
              <w:top w:val="single" w:color="auto" w:sz="4" w:space="0"/>
              <w:left w:val="nil"/>
              <w:bottom w:val="single" w:color="auto" w:sz="4" w:space="0"/>
              <w:right w:val="single" w:color="auto" w:sz="4" w:space="0"/>
            </w:tcBorders>
            <w:noWrap w:val="0"/>
            <w:vAlign w:val="center"/>
          </w:tcPr>
          <w:p w14:paraId="54A402B1">
            <w:pPr>
              <w:rPr>
                <w:rFonts w:hint="eastAsia" w:ascii="宋体" w:hAnsi="宋体" w:eastAsia="宋体" w:cs="宋体"/>
                <w:b/>
                <w:bCs/>
                <w:highlight w:val="none"/>
              </w:rPr>
            </w:pPr>
            <w:r>
              <w:rPr>
                <w:rFonts w:hint="eastAsia" w:ascii="宋体" w:hAnsi="宋体" w:eastAsia="宋体" w:cs="宋体"/>
                <w:b/>
                <w:bCs/>
                <w:highlight w:val="none"/>
              </w:rPr>
              <w:t>评分标准</w:t>
            </w:r>
          </w:p>
        </w:tc>
      </w:tr>
      <w:tr w14:paraId="5413BBE4">
        <w:tblPrEx>
          <w:tblCellMar>
            <w:top w:w="0" w:type="dxa"/>
            <w:left w:w="108" w:type="dxa"/>
            <w:bottom w:w="0" w:type="dxa"/>
            <w:right w:w="108" w:type="dxa"/>
          </w:tblCellMar>
        </w:tblPrEx>
        <w:trPr>
          <w:trHeight w:val="485" w:hRule="atLeast"/>
          <w:jc w:val="center"/>
        </w:trPr>
        <w:tc>
          <w:tcPr>
            <w:tcW w:w="756" w:type="dxa"/>
            <w:vMerge w:val="restart"/>
            <w:tcBorders>
              <w:top w:val="nil"/>
              <w:left w:val="single" w:color="auto" w:sz="4" w:space="0"/>
              <w:right w:val="single" w:color="auto" w:sz="4" w:space="0"/>
            </w:tcBorders>
            <w:noWrap w:val="0"/>
            <w:vAlign w:val="center"/>
          </w:tcPr>
          <w:p w14:paraId="387E474B">
            <w:pPr>
              <w:jc w:val="center"/>
              <w:rPr>
                <w:rFonts w:hint="eastAsia" w:ascii="宋体" w:hAnsi="宋体" w:eastAsia="宋体" w:cs="宋体"/>
                <w:highlight w:val="none"/>
              </w:rPr>
            </w:pPr>
            <w:r>
              <w:rPr>
                <w:rFonts w:hint="eastAsia" w:ascii="宋体" w:hAnsi="宋体" w:eastAsia="宋体" w:cs="宋体"/>
                <w:highlight w:val="none"/>
              </w:rPr>
              <w:t>2.2.4（1）</w:t>
            </w:r>
          </w:p>
        </w:tc>
        <w:tc>
          <w:tcPr>
            <w:tcW w:w="1011" w:type="dxa"/>
            <w:vMerge w:val="restart"/>
            <w:tcBorders>
              <w:top w:val="nil"/>
              <w:left w:val="nil"/>
              <w:right w:val="single" w:color="auto" w:sz="4" w:space="0"/>
            </w:tcBorders>
            <w:noWrap w:val="0"/>
            <w:vAlign w:val="center"/>
          </w:tcPr>
          <w:p w14:paraId="0DD1A4F6">
            <w:pPr>
              <w:jc w:val="center"/>
              <w:rPr>
                <w:rFonts w:hint="eastAsia" w:ascii="宋体" w:hAnsi="宋体" w:eastAsia="宋体" w:cs="宋体"/>
                <w:highlight w:val="none"/>
              </w:rPr>
            </w:pPr>
            <w:r>
              <w:rPr>
                <w:rFonts w:hint="eastAsia" w:ascii="宋体" w:hAnsi="宋体" w:eastAsia="宋体" w:cs="宋体"/>
                <w:highlight w:val="none"/>
              </w:rPr>
              <w:t>技术建议书（35分）</w:t>
            </w:r>
          </w:p>
        </w:tc>
        <w:tc>
          <w:tcPr>
            <w:tcW w:w="2704" w:type="dxa"/>
            <w:tcBorders>
              <w:top w:val="single" w:color="auto" w:sz="4" w:space="0"/>
              <w:left w:val="nil"/>
              <w:bottom w:val="single" w:color="auto" w:sz="4" w:space="0"/>
              <w:right w:val="single" w:color="auto" w:sz="4" w:space="0"/>
            </w:tcBorders>
            <w:noWrap w:val="0"/>
            <w:vAlign w:val="center"/>
          </w:tcPr>
          <w:p w14:paraId="359EFCA1">
            <w:pPr>
              <w:rPr>
                <w:rFonts w:hint="eastAsia" w:ascii="宋体" w:hAnsi="宋体" w:eastAsia="宋体" w:cs="宋体"/>
                <w:highlight w:val="none"/>
              </w:rPr>
            </w:pPr>
            <w:r>
              <w:rPr>
                <w:rFonts w:hint="eastAsia" w:ascii="宋体" w:hAnsi="宋体" w:eastAsia="宋体" w:cs="宋体"/>
                <w:highlight w:val="none"/>
              </w:rPr>
              <w:t>监理大纲（或监理方案）和措施</w:t>
            </w:r>
          </w:p>
        </w:tc>
        <w:tc>
          <w:tcPr>
            <w:tcW w:w="4867" w:type="dxa"/>
            <w:tcBorders>
              <w:top w:val="single" w:color="auto" w:sz="4" w:space="0"/>
              <w:left w:val="nil"/>
              <w:bottom w:val="single" w:color="auto" w:sz="4" w:space="0"/>
              <w:right w:val="single" w:color="auto" w:sz="4" w:space="0"/>
            </w:tcBorders>
            <w:noWrap w:val="0"/>
            <w:vAlign w:val="center"/>
          </w:tcPr>
          <w:p w14:paraId="0A53E90E">
            <w:pPr>
              <w:rPr>
                <w:rFonts w:hint="eastAsia" w:ascii="宋体" w:hAnsi="宋体" w:eastAsia="宋体" w:cs="宋体"/>
                <w:highlight w:val="none"/>
              </w:rPr>
            </w:pPr>
            <w:r>
              <w:rPr>
                <w:rFonts w:hint="eastAsia" w:ascii="宋体" w:hAnsi="宋体" w:eastAsia="宋体" w:cs="宋体"/>
                <w:highlight w:val="none"/>
              </w:rPr>
              <w:t>20分（评审细则见后附表）</w:t>
            </w:r>
          </w:p>
        </w:tc>
      </w:tr>
      <w:tr w14:paraId="6C71356F">
        <w:tblPrEx>
          <w:tblCellMar>
            <w:top w:w="0" w:type="dxa"/>
            <w:left w:w="108" w:type="dxa"/>
            <w:bottom w:w="0" w:type="dxa"/>
            <w:right w:w="108" w:type="dxa"/>
          </w:tblCellMar>
        </w:tblPrEx>
        <w:trPr>
          <w:trHeight w:val="563" w:hRule="atLeast"/>
          <w:jc w:val="center"/>
        </w:trPr>
        <w:tc>
          <w:tcPr>
            <w:tcW w:w="756" w:type="dxa"/>
            <w:vMerge w:val="continue"/>
            <w:tcBorders>
              <w:top w:val="nil"/>
              <w:left w:val="single" w:color="auto" w:sz="4" w:space="0"/>
              <w:right w:val="single" w:color="auto" w:sz="4" w:space="0"/>
            </w:tcBorders>
            <w:noWrap w:val="0"/>
            <w:vAlign w:val="center"/>
          </w:tcPr>
          <w:p w14:paraId="76FBCA8B">
            <w:pPr>
              <w:jc w:val="center"/>
              <w:rPr>
                <w:rFonts w:hint="eastAsia" w:ascii="宋体" w:hAnsi="宋体" w:eastAsia="宋体" w:cs="宋体"/>
                <w:highlight w:val="none"/>
              </w:rPr>
            </w:pPr>
          </w:p>
        </w:tc>
        <w:tc>
          <w:tcPr>
            <w:tcW w:w="1011" w:type="dxa"/>
            <w:vMerge w:val="continue"/>
            <w:tcBorders>
              <w:top w:val="nil"/>
              <w:left w:val="nil"/>
              <w:right w:val="single" w:color="auto" w:sz="4" w:space="0"/>
            </w:tcBorders>
            <w:noWrap w:val="0"/>
            <w:vAlign w:val="center"/>
          </w:tcPr>
          <w:p w14:paraId="1A56F4AB">
            <w:pPr>
              <w:jc w:val="center"/>
              <w:rPr>
                <w:rFonts w:hint="eastAsia" w:ascii="宋体" w:hAnsi="宋体" w:eastAsia="宋体" w:cs="宋体"/>
                <w:highlight w:val="none"/>
              </w:rPr>
            </w:pPr>
          </w:p>
        </w:tc>
        <w:tc>
          <w:tcPr>
            <w:tcW w:w="2704" w:type="dxa"/>
            <w:tcBorders>
              <w:top w:val="single" w:color="auto" w:sz="4" w:space="0"/>
              <w:left w:val="nil"/>
              <w:bottom w:val="single" w:color="auto" w:sz="4" w:space="0"/>
              <w:right w:val="single" w:color="auto" w:sz="4" w:space="0"/>
            </w:tcBorders>
            <w:noWrap w:val="0"/>
            <w:vAlign w:val="center"/>
          </w:tcPr>
          <w:p w14:paraId="31CCCA7E">
            <w:pPr>
              <w:rPr>
                <w:rFonts w:hint="eastAsia" w:ascii="宋体" w:hAnsi="宋体" w:eastAsia="宋体" w:cs="宋体"/>
                <w:highlight w:val="none"/>
              </w:rPr>
            </w:pPr>
            <w:r>
              <w:rPr>
                <w:rFonts w:hint="eastAsia" w:ascii="宋体" w:hAnsi="宋体" w:eastAsia="宋体" w:cs="宋体"/>
                <w:highlight w:val="none"/>
              </w:rPr>
              <w:t>对本工程重点、难点分析</w:t>
            </w:r>
          </w:p>
        </w:tc>
        <w:tc>
          <w:tcPr>
            <w:tcW w:w="4867" w:type="dxa"/>
            <w:tcBorders>
              <w:top w:val="single" w:color="auto" w:sz="4" w:space="0"/>
              <w:left w:val="nil"/>
              <w:bottom w:val="single" w:color="auto" w:sz="4" w:space="0"/>
              <w:right w:val="single" w:color="auto" w:sz="4" w:space="0"/>
            </w:tcBorders>
            <w:noWrap w:val="0"/>
            <w:vAlign w:val="center"/>
          </w:tcPr>
          <w:p w14:paraId="760CFDEF">
            <w:pPr>
              <w:rPr>
                <w:rFonts w:hint="eastAsia" w:ascii="宋体" w:hAnsi="宋体" w:eastAsia="宋体" w:cs="宋体"/>
                <w:highlight w:val="none"/>
              </w:rPr>
            </w:pPr>
            <w:r>
              <w:rPr>
                <w:rFonts w:hint="eastAsia" w:ascii="宋体" w:hAnsi="宋体" w:eastAsia="宋体" w:cs="宋体"/>
                <w:highlight w:val="none"/>
              </w:rPr>
              <w:t>10分（评审细则见后附表）</w:t>
            </w:r>
          </w:p>
        </w:tc>
      </w:tr>
      <w:tr w14:paraId="2CAD65A3">
        <w:tblPrEx>
          <w:tblCellMar>
            <w:top w:w="0" w:type="dxa"/>
            <w:left w:w="108" w:type="dxa"/>
            <w:bottom w:w="0" w:type="dxa"/>
            <w:right w:w="108" w:type="dxa"/>
          </w:tblCellMar>
        </w:tblPrEx>
        <w:trPr>
          <w:trHeight w:val="557" w:hRule="atLeast"/>
          <w:jc w:val="center"/>
        </w:trPr>
        <w:tc>
          <w:tcPr>
            <w:tcW w:w="756" w:type="dxa"/>
            <w:vMerge w:val="continue"/>
            <w:tcBorders>
              <w:left w:val="single" w:color="auto" w:sz="4" w:space="0"/>
              <w:bottom w:val="single" w:color="auto" w:sz="4" w:space="0"/>
              <w:right w:val="single" w:color="auto" w:sz="4" w:space="0"/>
            </w:tcBorders>
            <w:noWrap w:val="0"/>
            <w:vAlign w:val="center"/>
          </w:tcPr>
          <w:p w14:paraId="2C12D096">
            <w:pPr>
              <w:jc w:val="center"/>
              <w:rPr>
                <w:rFonts w:hint="eastAsia" w:ascii="宋体" w:hAnsi="宋体" w:eastAsia="宋体" w:cs="宋体"/>
                <w:highlight w:val="none"/>
              </w:rPr>
            </w:pPr>
          </w:p>
        </w:tc>
        <w:tc>
          <w:tcPr>
            <w:tcW w:w="1011" w:type="dxa"/>
            <w:vMerge w:val="continue"/>
            <w:tcBorders>
              <w:left w:val="nil"/>
              <w:bottom w:val="single" w:color="auto" w:sz="4" w:space="0"/>
              <w:right w:val="single" w:color="auto" w:sz="4" w:space="0"/>
            </w:tcBorders>
            <w:noWrap w:val="0"/>
            <w:vAlign w:val="center"/>
          </w:tcPr>
          <w:p w14:paraId="31B90998">
            <w:pPr>
              <w:jc w:val="center"/>
              <w:rPr>
                <w:rFonts w:hint="eastAsia" w:ascii="宋体" w:hAnsi="宋体" w:eastAsia="宋体" w:cs="宋体"/>
                <w:highlight w:val="none"/>
              </w:rPr>
            </w:pPr>
          </w:p>
        </w:tc>
        <w:tc>
          <w:tcPr>
            <w:tcW w:w="2704" w:type="dxa"/>
            <w:tcBorders>
              <w:top w:val="single" w:color="auto" w:sz="4" w:space="0"/>
              <w:left w:val="nil"/>
              <w:bottom w:val="single" w:color="auto" w:sz="4" w:space="0"/>
              <w:right w:val="single" w:color="auto" w:sz="4" w:space="0"/>
            </w:tcBorders>
            <w:noWrap w:val="0"/>
            <w:vAlign w:val="center"/>
          </w:tcPr>
          <w:p w14:paraId="13197A90">
            <w:pPr>
              <w:rPr>
                <w:rFonts w:hint="eastAsia" w:ascii="宋体" w:hAnsi="宋体" w:eastAsia="宋体" w:cs="宋体"/>
                <w:highlight w:val="none"/>
              </w:rPr>
            </w:pPr>
            <w:r>
              <w:rPr>
                <w:rFonts w:hint="eastAsia" w:ascii="宋体" w:hAnsi="宋体" w:eastAsia="宋体" w:cs="宋体"/>
                <w:highlight w:val="none"/>
              </w:rPr>
              <w:t>对本工程的建议</w:t>
            </w:r>
          </w:p>
        </w:tc>
        <w:tc>
          <w:tcPr>
            <w:tcW w:w="4867" w:type="dxa"/>
            <w:tcBorders>
              <w:top w:val="single" w:color="auto" w:sz="4" w:space="0"/>
              <w:left w:val="nil"/>
              <w:bottom w:val="single" w:color="auto" w:sz="4" w:space="0"/>
              <w:right w:val="single" w:color="auto" w:sz="4" w:space="0"/>
            </w:tcBorders>
            <w:noWrap w:val="0"/>
            <w:vAlign w:val="center"/>
          </w:tcPr>
          <w:p w14:paraId="10396C4D">
            <w:pPr>
              <w:rPr>
                <w:rFonts w:hint="eastAsia" w:ascii="宋体" w:hAnsi="宋体" w:eastAsia="宋体" w:cs="宋体"/>
                <w:highlight w:val="none"/>
              </w:rPr>
            </w:pPr>
            <w:r>
              <w:rPr>
                <w:rFonts w:hint="eastAsia" w:ascii="宋体" w:hAnsi="宋体" w:eastAsia="宋体" w:cs="宋体"/>
                <w:highlight w:val="none"/>
              </w:rPr>
              <w:t>5分（评审细则见后附表）</w:t>
            </w:r>
          </w:p>
        </w:tc>
      </w:tr>
      <w:tr w14:paraId="4D526ACB">
        <w:tblPrEx>
          <w:tblCellMar>
            <w:top w:w="0" w:type="dxa"/>
            <w:left w:w="108" w:type="dxa"/>
            <w:bottom w:w="0" w:type="dxa"/>
            <w:right w:w="108" w:type="dxa"/>
          </w:tblCellMar>
        </w:tblPrEx>
        <w:trPr>
          <w:trHeight w:val="699" w:hRule="atLeast"/>
          <w:jc w:val="center"/>
        </w:trPr>
        <w:tc>
          <w:tcPr>
            <w:tcW w:w="756" w:type="dxa"/>
            <w:tcBorders>
              <w:top w:val="nil"/>
              <w:left w:val="single" w:color="auto" w:sz="4" w:space="0"/>
              <w:bottom w:val="single" w:color="auto" w:sz="4" w:space="0"/>
              <w:right w:val="single" w:color="auto" w:sz="4" w:space="0"/>
            </w:tcBorders>
            <w:noWrap w:val="0"/>
            <w:vAlign w:val="center"/>
          </w:tcPr>
          <w:p w14:paraId="40FA30B9">
            <w:pPr>
              <w:jc w:val="center"/>
              <w:rPr>
                <w:rFonts w:hint="eastAsia" w:ascii="宋体" w:hAnsi="宋体" w:eastAsia="宋体" w:cs="宋体"/>
                <w:highlight w:val="none"/>
              </w:rPr>
            </w:pPr>
            <w:r>
              <w:rPr>
                <w:rFonts w:hint="eastAsia" w:ascii="宋体" w:hAnsi="宋体" w:eastAsia="宋体" w:cs="宋体"/>
                <w:highlight w:val="none"/>
              </w:rPr>
              <w:t>2.2.4（2）</w:t>
            </w:r>
          </w:p>
        </w:tc>
        <w:tc>
          <w:tcPr>
            <w:tcW w:w="1011" w:type="dxa"/>
            <w:tcBorders>
              <w:top w:val="nil"/>
              <w:left w:val="nil"/>
              <w:bottom w:val="single" w:color="auto" w:sz="4" w:space="0"/>
              <w:right w:val="single" w:color="auto" w:sz="4" w:space="0"/>
            </w:tcBorders>
            <w:noWrap w:val="0"/>
            <w:vAlign w:val="center"/>
          </w:tcPr>
          <w:p w14:paraId="0426D68C">
            <w:pPr>
              <w:pStyle w:val="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tc>
        <w:tc>
          <w:tcPr>
            <w:tcW w:w="2704" w:type="dxa"/>
            <w:tcBorders>
              <w:top w:val="single" w:color="auto" w:sz="4" w:space="0"/>
              <w:left w:val="nil"/>
              <w:bottom w:val="single" w:color="auto" w:sz="4" w:space="0"/>
              <w:right w:val="single" w:color="auto" w:sz="4" w:space="0"/>
            </w:tcBorders>
            <w:noWrap w:val="0"/>
            <w:vAlign w:val="center"/>
          </w:tcPr>
          <w:p w14:paraId="1D4850C0">
            <w:pPr>
              <w:pStyle w:val="20"/>
              <w:jc w:val="both"/>
              <w:rPr>
                <w:rFonts w:hint="eastAsia" w:ascii="宋体" w:hAnsi="宋体" w:eastAsia="宋体" w:cs="宋体"/>
                <w:color w:val="auto"/>
                <w:sz w:val="21"/>
                <w:szCs w:val="21"/>
                <w:highlight w:val="none"/>
              </w:rPr>
            </w:pPr>
            <w:r>
              <w:rPr>
                <w:rFonts w:hint="eastAsia" w:ascii="宋体" w:hAnsi="宋体" w:eastAsia="宋体" w:cs="宋体"/>
                <w:kern w:val="2"/>
                <w:sz w:val="21"/>
                <w:highlight w:val="none"/>
              </w:rPr>
              <w:t>监理人员</w:t>
            </w:r>
          </w:p>
        </w:tc>
        <w:tc>
          <w:tcPr>
            <w:tcW w:w="4867" w:type="dxa"/>
            <w:tcBorders>
              <w:top w:val="single" w:color="auto" w:sz="4" w:space="0"/>
              <w:left w:val="nil"/>
              <w:bottom w:val="single" w:color="auto" w:sz="4" w:space="0"/>
              <w:right w:val="single" w:color="auto" w:sz="4" w:space="0"/>
            </w:tcBorders>
            <w:noWrap w:val="0"/>
            <w:vAlign w:val="center"/>
          </w:tcPr>
          <w:p w14:paraId="6B36BE43">
            <w:pPr>
              <w:pStyle w:val="20"/>
              <w:jc w:val="both"/>
              <w:rPr>
                <w:rFonts w:hint="eastAsia" w:ascii="宋体" w:hAnsi="宋体" w:eastAsia="宋体" w:cs="宋体"/>
                <w:color w:val="auto"/>
                <w:sz w:val="21"/>
                <w:szCs w:val="21"/>
                <w:highlight w:val="none"/>
              </w:rPr>
            </w:pPr>
            <w:r>
              <w:rPr>
                <w:rFonts w:hint="eastAsia" w:ascii="宋体" w:hAnsi="宋体" w:eastAsia="宋体" w:cs="宋体"/>
                <w:kern w:val="2"/>
                <w:sz w:val="21"/>
                <w:highlight w:val="none"/>
              </w:rPr>
              <w:t>25分（评审细则见后附表）</w:t>
            </w:r>
          </w:p>
        </w:tc>
      </w:tr>
      <w:tr w14:paraId="6899D76A">
        <w:tblPrEx>
          <w:tblCellMar>
            <w:top w:w="0" w:type="dxa"/>
            <w:left w:w="108" w:type="dxa"/>
            <w:bottom w:w="0" w:type="dxa"/>
            <w:right w:w="108" w:type="dxa"/>
          </w:tblCellMar>
        </w:tblPrEx>
        <w:trPr>
          <w:trHeight w:val="1376" w:hRule="atLeast"/>
          <w:jc w:val="center"/>
        </w:trPr>
        <w:tc>
          <w:tcPr>
            <w:tcW w:w="756" w:type="dxa"/>
            <w:tcBorders>
              <w:top w:val="nil"/>
              <w:left w:val="single" w:color="auto" w:sz="4" w:space="0"/>
              <w:bottom w:val="single" w:color="auto" w:sz="4" w:space="0"/>
              <w:right w:val="single" w:color="auto" w:sz="4" w:space="0"/>
            </w:tcBorders>
            <w:noWrap w:val="0"/>
            <w:vAlign w:val="center"/>
          </w:tcPr>
          <w:p w14:paraId="10270DF0">
            <w:pPr>
              <w:jc w:val="center"/>
              <w:rPr>
                <w:rFonts w:hint="eastAsia" w:ascii="宋体" w:hAnsi="宋体" w:eastAsia="宋体" w:cs="宋体"/>
                <w:highlight w:val="none"/>
              </w:rPr>
            </w:pPr>
            <w:r>
              <w:rPr>
                <w:rFonts w:hint="eastAsia" w:ascii="宋体" w:hAnsi="宋体" w:eastAsia="宋体" w:cs="宋体"/>
                <w:highlight w:val="none"/>
              </w:rPr>
              <w:t>2.2.4（3）</w:t>
            </w:r>
          </w:p>
        </w:tc>
        <w:tc>
          <w:tcPr>
            <w:tcW w:w="1011" w:type="dxa"/>
            <w:tcBorders>
              <w:top w:val="nil"/>
              <w:left w:val="nil"/>
              <w:bottom w:val="single" w:color="auto" w:sz="4" w:space="0"/>
              <w:right w:val="single" w:color="auto" w:sz="4" w:space="0"/>
            </w:tcBorders>
            <w:noWrap w:val="0"/>
            <w:vAlign w:val="center"/>
          </w:tcPr>
          <w:p w14:paraId="722D3CEC">
            <w:pPr>
              <w:pStyle w:val="20"/>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评标价（10分）</w:t>
            </w:r>
          </w:p>
          <w:p w14:paraId="2348993D">
            <w:pPr>
              <w:jc w:val="center"/>
              <w:rPr>
                <w:rFonts w:hint="eastAsia" w:ascii="宋体" w:hAnsi="宋体" w:eastAsia="宋体" w:cs="宋体"/>
                <w:highlight w:val="none"/>
              </w:rPr>
            </w:pPr>
          </w:p>
        </w:tc>
        <w:tc>
          <w:tcPr>
            <w:tcW w:w="7571" w:type="dxa"/>
            <w:gridSpan w:val="2"/>
            <w:tcBorders>
              <w:top w:val="single" w:color="auto" w:sz="4" w:space="0"/>
              <w:left w:val="nil"/>
              <w:bottom w:val="single" w:color="auto" w:sz="4" w:space="0"/>
              <w:right w:val="single" w:color="auto" w:sz="4" w:space="0"/>
            </w:tcBorders>
            <w:noWrap w:val="0"/>
            <w:vAlign w:val="center"/>
          </w:tcPr>
          <w:p w14:paraId="34C89371">
            <w:pPr>
              <w:spacing w:line="360" w:lineRule="auto"/>
              <w:ind w:firstLine="0" w:firstLineChars="0"/>
              <w:rPr>
                <w:rFonts w:hint="eastAsia" w:ascii="宋体" w:hAnsi="宋体" w:eastAsia="宋体" w:cs="宋体"/>
                <w:highlight w:val="none"/>
              </w:rPr>
            </w:pPr>
            <w:r>
              <w:rPr>
                <w:rFonts w:hint="eastAsia" w:ascii="宋体" w:hAnsi="宋体" w:eastAsia="宋体" w:cs="宋体"/>
                <w:highlight w:val="none"/>
              </w:rPr>
              <w:t>评标价得分计算公式示例：</w:t>
            </w:r>
          </w:p>
          <w:p w14:paraId="16C7B3C9">
            <w:pPr>
              <w:spacing w:line="360" w:lineRule="auto"/>
              <w:ind w:firstLine="0" w:firstLineChars="0"/>
              <w:rPr>
                <w:rFonts w:hint="eastAsia" w:ascii="宋体" w:hAnsi="宋体" w:eastAsia="宋体" w:cs="宋体"/>
                <w:highlight w:val="none"/>
                <w:lang w:eastAsia="zh-CN"/>
              </w:rPr>
            </w:pPr>
            <w:r>
              <w:rPr>
                <w:rFonts w:hint="eastAsia" w:ascii="宋体" w:hAnsi="宋体" w:eastAsia="宋体" w:cs="宋体"/>
                <w:highlight w:val="none"/>
              </w:rPr>
              <w:t>（1）如果投标人的评标价&gt;评标基准价，则评标价得分＝10－偏差率×100×E1；</w:t>
            </w:r>
          </w:p>
          <w:p w14:paraId="6F4401E2">
            <w:pPr>
              <w:spacing w:line="360" w:lineRule="auto"/>
              <w:ind w:firstLine="0" w:firstLineChars="0"/>
              <w:rPr>
                <w:rFonts w:hint="eastAsia" w:ascii="宋体" w:hAnsi="宋体" w:eastAsia="宋体" w:cs="宋体"/>
                <w:highlight w:val="none"/>
                <w:lang w:eastAsia="zh-CN"/>
              </w:rPr>
            </w:pPr>
            <w:r>
              <w:rPr>
                <w:rFonts w:hint="eastAsia" w:ascii="宋体" w:hAnsi="宋体" w:eastAsia="宋体" w:cs="宋体"/>
                <w:highlight w:val="none"/>
              </w:rPr>
              <w:t>（2）如果投标人的评标价≤评标基准价，则评标价得分＝10＋偏差率×100×E2。</w:t>
            </w:r>
          </w:p>
          <w:p w14:paraId="2CFA6F1B">
            <w:pPr>
              <w:spacing w:line="360" w:lineRule="auto"/>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rPr>
              <w:t>其中：E1是评标价每高于评标基准价一个百分点的扣分值，E2是评标价每低于评标基准价一个百分点的扣分值</w:t>
            </w:r>
            <w:r>
              <w:rPr>
                <w:rFonts w:hint="eastAsia" w:ascii="宋体" w:hAnsi="宋体" w:eastAsia="宋体" w:cs="宋体"/>
                <w:szCs w:val="21"/>
                <w:highlight w:val="none"/>
              </w:rPr>
              <w:t>；</w:t>
            </w:r>
            <w:r>
              <w:rPr>
                <w:rFonts w:hint="eastAsia" w:ascii="宋体" w:hAnsi="宋体" w:eastAsia="宋体" w:cs="宋体"/>
                <w:b/>
                <w:szCs w:val="21"/>
                <w:highlight w:val="none"/>
              </w:rPr>
              <w:t>招标人可依据招标项目具体特点和实际需要设置E</w:t>
            </w:r>
            <w:r>
              <w:rPr>
                <w:rFonts w:hint="eastAsia" w:ascii="宋体" w:hAnsi="宋体" w:eastAsia="宋体" w:cs="宋体"/>
                <w:b/>
                <w:sz w:val="14"/>
                <w:szCs w:val="14"/>
                <w:highlight w:val="none"/>
              </w:rPr>
              <w:t>1</w:t>
            </w:r>
            <w:r>
              <w:rPr>
                <w:rFonts w:hint="eastAsia" w:ascii="宋体" w:hAnsi="宋体" w:eastAsia="宋体" w:cs="宋体"/>
                <w:b/>
                <w:szCs w:val="21"/>
                <w:highlight w:val="none"/>
              </w:rPr>
              <w:t>、E</w:t>
            </w:r>
            <w:r>
              <w:rPr>
                <w:rFonts w:hint="eastAsia" w:ascii="宋体" w:hAnsi="宋体" w:eastAsia="宋体" w:cs="宋体"/>
                <w:b/>
                <w:sz w:val="14"/>
                <w:szCs w:val="14"/>
                <w:highlight w:val="none"/>
              </w:rPr>
              <w:t>2</w:t>
            </w:r>
            <w:r>
              <w:rPr>
                <w:rFonts w:hint="eastAsia" w:ascii="宋体" w:hAnsi="宋体" w:eastAsia="宋体" w:cs="宋体"/>
                <w:b/>
                <w:szCs w:val="21"/>
                <w:highlight w:val="none"/>
              </w:rPr>
              <w:t>，但E</w:t>
            </w:r>
            <w:r>
              <w:rPr>
                <w:rFonts w:hint="eastAsia" w:ascii="宋体" w:hAnsi="宋体" w:eastAsia="宋体" w:cs="宋体"/>
                <w:b/>
                <w:sz w:val="14"/>
                <w:szCs w:val="14"/>
                <w:highlight w:val="none"/>
              </w:rPr>
              <w:t>1</w:t>
            </w:r>
            <w:r>
              <w:rPr>
                <w:rFonts w:hint="eastAsia" w:ascii="宋体" w:hAnsi="宋体" w:eastAsia="宋体" w:cs="宋体"/>
                <w:b/>
                <w:szCs w:val="21"/>
                <w:highlight w:val="none"/>
              </w:rPr>
              <w:t>应大于E</w:t>
            </w:r>
            <w:r>
              <w:rPr>
                <w:rFonts w:hint="eastAsia" w:ascii="宋体" w:hAnsi="宋体" w:eastAsia="宋体" w:cs="宋体"/>
                <w:b/>
                <w:sz w:val="14"/>
                <w:szCs w:val="14"/>
                <w:highlight w:val="none"/>
              </w:rPr>
              <w:t>2，</w:t>
            </w:r>
            <w:r>
              <w:rPr>
                <w:rFonts w:hint="eastAsia" w:ascii="宋体" w:hAnsi="宋体" w:eastAsia="宋体" w:cs="宋体"/>
                <w:b/>
                <w:szCs w:val="21"/>
                <w:highlight w:val="none"/>
              </w:rPr>
              <w:t>E</w:t>
            </w:r>
            <w:r>
              <w:rPr>
                <w:rFonts w:hint="eastAsia" w:ascii="宋体" w:hAnsi="宋体" w:eastAsia="宋体" w:cs="宋体"/>
                <w:b/>
                <w:sz w:val="14"/>
                <w:szCs w:val="14"/>
                <w:highlight w:val="none"/>
              </w:rPr>
              <w:t>1</w:t>
            </w:r>
            <w:r>
              <w:rPr>
                <w:rFonts w:hint="eastAsia" w:ascii="宋体" w:hAnsi="宋体" w:eastAsia="宋体" w:cs="宋体"/>
                <w:b/>
                <w:szCs w:val="21"/>
                <w:highlight w:val="none"/>
              </w:rPr>
              <w:t>=0.3、E</w:t>
            </w:r>
            <w:r>
              <w:rPr>
                <w:rFonts w:hint="eastAsia" w:ascii="宋体" w:hAnsi="宋体" w:eastAsia="宋体" w:cs="宋体"/>
                <w:b/>
                <w:sz w:val="14"/>
                <w:szCs w:val="14"/>
                <w:highlight w:val="none"/>
              </w:rPr>
              <w:t>2</w:t>
            </w:r>
            <w:r>
              <w:rPr>
                <w:rFonts w:hint="eastAsia" w:ascii="宋体" w:hAnsi="宋体" w:eastAsia="宋体" w:cs="宋体"/>
                <w:b/>
                <w:szCs w:val="21"/>
                <w:highlight w:val="none"/>
              </w:rPr>
              <w:t>=0.2</w:t>
            </w:r>
          </w:p>
        </w:tc>
      </w:tr>
      <w:tr w14:paraId="37E26173">
        <w:tblPrEx>
          <w:tblCellMar>
            <w:top w:w="0" w:type="dxa"/>
            <w:left w:w="108" w:type="dxa"/>
            <w:bottom w:w="0" w:type="dxa"/>
            <w:right w:w="108" w:type="dxa"/>
          </w:tblCellMar>
        </w:tblPrEx>
        <w:trPr>
          <w:trHeight w:val="1408" w:hRule="atLeast"/>
          <w:jc w:val="center"/>
        </w:trPr>
        <w:tc>
          <w:tcPr>
            <w:tcW w:w="756" w:type="dxa"/>
            <w:tcBorders>
              <w:top w:val="nil"/>
              <w:left w:val="single" w:color="auto" w:sz="4" w:space="0"/>
              <w:right w:val="single" w:color="auto" w:sz="4" w:space="0"/>
            </w:tcBorders>
            <w:noWrap w:val="0"/>
            <w:vAlign w:val="center"/>
          </w:tcPr>
          <w:p w14:paraId="44FCC045">
            <w:pPr>
              <w:jc w:val="center"/>
              <w:rPr>
                <w:rFonts w:hint="eastAsia" w:ascii="宋体" w:hAnsi="宋体" w:eastAsia="宋体" w:cs="宋体"/>
                <w:highlight w:val="none"/>
              </w:rPr>
            </w:pPr>
            <w:r>
              <w:rPr>
                <w:rFonts w:hint="eastAsia" w:ascii="宋体" w:hAnsi="宋体" w:eastAsia="宋体" w:cs="宋体"/>
                <w:highlight w:val="none"/>
              </w:rPr>
              <w:t>2.2.4（4）</w:t>
            </w:r>
          </w:p>
        </w:tc>
        <w:tc>
          <w:tcPr>
            <w:tcW w:w="1011" w:type="dxa"/>
            <w:tcBorders>
              <w:top w:val="nil"/>
              <w:left w:val="nil"/>
              <w:right w:val="single" w:color="auto" w:sz="4" w:space="0"/>
            </w:tcBorders>
            <w:noWrap w:val="0"/>
            <w:vAlign w:val="center"/>
          </w:tcPr>
          <w:p w14:paraId="47977E35">
            <w:pPr>
              <w:pStyle w:val="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其他因素（30分）</w:t>
            </w:r>
          </w:p>
        </w:tc>
        <w:tc>
          <w:tcPr>
            <w:tcW w:w="2704" w:type="dxa"/>
            <w:tcBorders>
              <w:top w:val="single" w:color="auto" w:sz="4" w:space="0"/>
              <w:left w:val="nil"/>
              <w:right w:val="single" w:color="auto" w:sz="4" w:space="0"/>
            </w:tcBorders>
            <w:noWrap w:val="0"/>
            <w:vAlign w:val="center"/>
          </w:tcPr>
          <w:p w14:paraId="0EC83B53">
            <w:pPr>
              <w:pStyle w:val="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技术能力、监理业绩、信誉及承诺</w:t>
            </w:r>
          </w:p>
        </w:tc>
        <w:tc>
          <w:tcPr>
            <w:tcW w:w="4867" w:type="dxa"/>
            <w:tcBorders>
              <w:top w:val="single" w:color="auto" w:sz="4" w:space="0"/>
              <w:left w:val="nil"/>
              <w:bottom w:val="single" w:color="auto" w:sz="4" w:space="0"/>
              <w:right w:val="single" w:color="auto" w:sz="4" w:space="0"/>
            </w:tcBorders>
            <w:noWrap w:val="0"/>
            <w:vAlign w:val="center"/>
          </w:tcPr>
          <w:p w14:paraId="38EC83D7">
            <w:pPr>
              <w:pStyle w:val="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30分（评审细则见后附表）</w:t>
            </w:r>
          </w:p>
        </w:tc>
      </w:tr>
      <w:tr w14:paraId="68ED4A17">
        <w:tblPrEx>
          <w:tblCellMar>
            <w:top w:w="0" w:type="dxa"/>
            <w:left w:w="108" w:type="dxa"/>
            <w:bottom w:w="0" w:type="dxa"/>
            <w:right w:w="108" w:type="dxa"/>
          </w:tblCellMar>
        </w:tblPrEx>
        <w:trPr>
          <w:trHeight w:val="540" w:hRule="atLeast"/>
          <w:jc w:val="center"/>
        </w:trPr>
        <w:tc>
          <w:tcPr>
            <w:tcW w:w="4471" w:type="dxa"/>
            <w:gridSpan w:val="3"/>
            <w:tcBorders>
              <w:top w:val="single" w:color="auto" w:sz="4" w:space="0"/>
              <w:left w:val="single" w:color="auto" w:sz="4" w:space="0"/>
              <w:bottom w:val="single" w:color="auto" w:sz="4" w:space="0"/>
              <w:right w:val="single" w:color="auto" w:sz="4" w:space="0"/>
            </w:tcBorders>
            <w:noWrap w:val="0"/>
            <w:vAlign w:val="center"/>
          </w:tcPr>
          <w:p w14:paraId="7F9ECFDE">
            <w:pPr>
              <w:pStyle w:val="20"/>
              <w:jc w:val="both"/>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需要补充的其他内容：</w:t>
            </w:r>
          </w:p>
        </w:tc>
        <w:tc>
          <w:tcPr>
            <w:tcW w:w="4867" w:type="dxa"/>
            <w:tcBorders>
              <w:top w:val="single" w:color="auto" w:sz="4" w:space="0"/>
              <w:left w:val="nil"/>
              <w:bottom w:val="single" w:color="auto" w:sz="4" w:space="0"/>
              <w:right w:val="single" w:color="auto" w:sz="4" w:space="0"/>
            </w:tcBorders>
            <w:noWrap w:val="0"/>
            <w:vAlign w:val="center"/>
          </w:tcPr>
          <w:p w14:paraId="39608495">
            <w:pPr>
              <w:rPr>
                <w:rFonts w:hint="eastAsia" w:ascii="宋体" w:hAnsi="宋体" w:eastAsia="宋体" w:cs="宋体"/>
                <w:highlight w:val="none"/>
              </w:rPr>
            </w:pPr>
            <w:r>
              <w:rPr>
                <w:rFonts w:hint="eastAsia" w:ascii="宋体" w:hAnsi="宋体" w:eastAsia="宋体" w:cs="宋体"/>
                <w:highlight w:val="none"/>
              </w:rPr>
              <w:t>/</w:t>
            </w:r>
          </w:p>
        </w:tc>
      </w:tr>
    </w:tbl>
    <w:p w14:paraId="21292647">
      <w:pPr>
        <w:widowControl/>
        <w:jc w:val="left"/>
        <w:rPr>
          <w:rFonts w:hint="eastAsia" w:ascii="宋体" w:hAnsi="宋体" w:eastAsia="宋体" w:cs="宋体"/>
          <w:highlight w:val="none"/>
        </w:rPr>
      </w:pPr>
    </w:p>
    <w:p w14:paraId="76E3AD14">
      <w:pPr>
        <w:bidi w:val="0"/>
        <w:jc w:val="center"/>
        <w:rPr>
          <w:rFonts w:hint="eastAsia" w:ascii="宋体" w:hAnsi="宋体" w:eastAsia="宋体" w:cs="宋体"/>
          <w:b/>
          <w:spacing w:val="-6"/>
          <w:sz w:val="28"/>
          <w:szCs w:val="28"/>
          <w:highlight w:val="none"/>
        </w:rPr>
      </w:pPr>
      <w:r>
        <w:rPr>
          <w:rFonts w:hint="eastAsia" w:ascii="宋体" w:hAnsi="宋体" w:eastAsia="宋体" w:cs="宋体"/>
          <w:highlight w:val="none"/>
        </w:rPr>
        <w:br w:type="page"/>
      </w:r>
      <w:bookmarkStart w:id="115" w:name="_Toc533409756"/>
      <w:bookmarkStart w:id="116" w:name="_Toc519325344"/>
      <w:r>
        <w:rPr>
          <w:rFonts w:hint="eastAsia" w:ascii="宋体" w:hAnsi="宋体" w:eastAsia="宋体" w:cs="宋体"/>
          <w:b/>
          <w:bCs/>
          <w:sz w:val="28"/>
          <w:szCs w:val="28"/>
          <w:highlight w:val="none"/>
        </w:rPr>
        <w:t>技术评审细则表</w:t>
      </w:r>
      <w:bookmarkEnd w:id="115"/>
      <w:bookmarkEnd w:id="116"/>
    </w:p>
    <w:tbl>
      <w:tblPr>
        <w:tblStyle w:val="18"/>
        <w:tblW w:w="0" w:type="auto"/>
        <w:jc w:val="center"/>
        <w:tblLayout w:type="fixed"/>
        <w:tblCellMar>
          <w:top w:w="0" w:type="dxa"/>
          <w:left w:w="0" w:type="dxa"/>
          <w:bottom w:w="0" w:type="dxa"/>
          <w:right w:w="0" w:type="dxa"/>
        </w:tblCellMar>
      </w:tblPr>
      <w:tblGrid>
        <w:gridCol w:w="646"/>
        <w:gridCol w:w="1005"/>
        <w:gridCol w:w="3440"/>
        <w:gridCol w:w="1071"/>
        <w:gridCol w:w="1326"/>
        <w:gridCol w:w="1695"/>
      </w:tblGrid>
      <w:tr w14:paraId="0327AE20">
        <w:tblPrEx>
          <w:tblCellMar>
            <w:top w:w="0" w:type="dxa"/>
            <w:left w:w="0" w:type="dxa"/>
            <w:bottom w:w="0" w:type="dxa"/>
            <w:right w:w="0" w:type="dxa"/>
          </w:tblCellMar>
        </w:tblPrEx>
        <w:trPr>
          <w:cantSplit/>
          <w:trHeight w:val="715" w:hRule="atLeast"/>
          <w:jc w:val="center"/>
        </w:trPr>
        <w:tc>
          <w:tcPr>
            <w:tcW w:w="646" w:type="dxa"/>
            <w:vMerge w:val="restart"/>
            <w:tcBorders>
              <w:top w:val="single" w:color="auto" w:sz="4" w:space="0"/>
              <w:left w:val="single" w:color="auto" w:sz="8" w:space="0"/>
              <w:bottom w:val="single" w:color="auto" w:sz="4" w:space="0"/>
              <w:right w:val="single" w:color="auto" w:sz="4" w:space="0"/>
            </w:tcBorders>
            <w:noWrap w:val="0"/>
            <w:tcMar>
              <w:top w:w="19" w:type="dxa"/>
              <w:left w:w="19" w:type="dxa"/>
              <w:bottom w:w="0" w:type="dxa"/>
              <w:right w:w="19" w:type="dxa"/>
            </w:tcMar>
            <w:vAlign w:val="center"/>
          </w:tcPr>
          <w:p w14:paraId="41AD3BF0">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4445" w:type="dxa"/>
            <w:gridSpan w:val="2"/>
            <w:vMerge w:val="restart"/>
            <w:tcBorders>
              <w:top w:val="single" w:color="auto" w:sz="4" w:space="0"/>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5F996282">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项目</w:t>
            </w:r>
          </w:p>
        </w:tc>
        <w:tc>
          <w:tcPr>
            <w:tcW w:w="4092" w:type="dxa"/>
            <w:gridSpan w:val="3"/>
            <w:tcBorders>
              <w:top w:val="single" w:color="auto" w:sz="4" w:space="0"/>
              <w:left w:val="single" w:color="auto" w:sz="4" w:space="0"/>
              <w:bottom w:val="single" w:color="auto" w:sz="4" w:space="0"/>
              <w:right w:val="single" w:color="auto" w:sz="8" w:space="0"/>
            </w:tcBorders>
            <w:noWrap w:val="0"/>
            <w:tcMar>
              <w:top w:w="19" w:type="dxa"/>
              <w:left w:w="19" w:type="dxa"/>
              <w:bottom w:w="0" w:type="dxa"/>
              <w:right w:w="19" w:type="dxa"/>
            </w:tcMar>
            <w:vAlign w:val="center"/>
          </w:tcPr>
          <w:p w14:paraId="4E34758F">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分值</w:t>
            </w:r>
          </w:p>
        </w:tc>
      </w:tr>
      <w:tr w14:paraId="4D412B86">
        <w:tblPrEx>
          <w:tblCellMar>
            <w:top w:w="0" w:type="dxa"/>
            <w:left w:w="0" w:type="dxa"/>
            <w:bottom w:w="0" w:type="dxa"/>
            <w:right w:w="0" w:type="dxa"/>
          </w:tblCellMar>
        </w:tblPrEx>
        <w:trPr>
          <w:cantSplit/>
          <w:trHeight w:val="850" w:hRule="atLeast"/>
          <w:jc w:val="center"/>
        </w:trPr>
        <w:tc>
          <w:tcPr>
            <w:tcW w:w="646" w:type="dxa"/>
            <w:vMerge w:val="continue"/>
            <w:tcBorders>
              <w:top w:val="nil"/>
              <w:left w:val="single" w:color="auto" w:sz="8" w:space="0"/>
              <w:bottom w:val="single" w:color="auto" w:sz="4" w:space="0"/>
              <w:right w:val="single" w:color="auto" w:sz="4" w:space="0"/>
            </w:tcBorders>
            <w:noWrap w:val="0"/>
            <w:vAlign w:val="center"/>
          </w:tcPr>
          <w:p w14:paraId="4EB7B893">
            <w:pPr>
              <w:spacing w:line="240" w:lineRule="exact"/>
              <w:rPr>
                <w:rFonts w:hint="eastAsia" w:ascii="宋体" w:hAnsi="宋体" w:eastAsia="宋体" w:cs="宋体"/>
                <w:szCs w:val="21"/>
                <w:highlight w:val="none"/>
              </w:rPr>
            </w:pPr>
          </w:p>
        </w:tc>
        <w:tc>
          <w:tcPr>
            <w:tcW w:w="4445" w:type="dxa"/>
            <w:gridSpan w:val="2"/>
            <w:vMerge w:val="continue"/>
            <w:tcBorders>
              <w:top w:val="single" w:color="auto" w:sz="8" w:space="0"/>
              <w:left w:val="single" w:color="auto" w:sz="4" w:space="0"/>
              <w:bottom w:val="single" w:color="auto" w:sz="4" w:space="0"/>
              <w:right w:val="single" w:color="auto" w:sz="4" w:space="0"/>
            </w:tcBorders>
            <w:noWrap w:val="0"/>
            <w:vAlign w:val="center"/>
          </w:tcPr>
          <w:p w14:paraId="40D4C1D3">
            <w:pPr>
              <w:spacing w:line="240" w:lineRule="exact"/>
              <w:rPr>
                <w:rFonts w:hint="eastAsia" w:ascii="宋体" w:hAnsi="宋体" w:eastAsia="宋体" w:cs="宋体"/>
                <w:szCs w:val="21"/>
                <w:highlight w:val="none"/>
              </w:rPr>
            </w:pPr>
          </w:p>
        </w:tc>
        <w:tc>
          <w:tcPr>
            <w:tcW w:w="2397" w:type="dxa"/>
            <w:gridSpan w:val="2"/>
            <w:tcBorders>
              <w:top w:val="single" w:color="auto" w:sz="4" w:space="0"/>
              <w:left w:val="nil"/>
              <w:bottom w:val="single" w:color="auto" w:sz="4" w:space="0"/>
              <w:right w:val="single" w:color="000000" w:sz="4" w:space="0"/>
            </w:tcBorders>
            <w:noWrap w:val="0"/>
            <w:tcMar>
              <w:top w:w="19" w:type="dxa"/>
              <w:left w:w="19" w:type="dxa"/>
              <w:bottom w:w="0" w:type="dxa"/>
              <w:right w:w="19" w:type="dxa"/>
            </w:tcMar>
            <w:vAlign w:val="center"/>
          </w:tcPr>
          <w:p w14:paraId="7219E25D">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得分</w:t>
            </w:r>
          </w:p>
        </w:tc>
        <w:tc>
          <w:tcPr>
            <w:tcW w:w="1695" w:type="dxa"/>
            <w:tcBorders>
              <w:top w:val="nil"/>
              <w:left w:val="single" w:color="auto" w:sz="4" w:space="0"/>
              <w:bottom w:val="single" w:color="auto" w:sz="4" w:space="0"/>
              <w:right w:val="single" w:color="auto" w:sz="8" w:space="0"/>
            </w:tcBorders>
            <w:noWrap w:val="0"/>
            <w:vAlign w:val="center"/>
          </w:tcPr>
          <w:p w14:paraId="59CBCFC7">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C5D023E">
        <w:tblPrEx>
          <w:tblCellMar>
            <w:top w:w="0" w:type="dxa"/>
            <w:left w:w="0" w:type="dxa"/>
            <w:bottom w:w="0" w:type="dxa"/>
            <w:right w:w="0" w:type="dxa"/>
          </w:tblCellMar>
        </w:tblPrEx>
        <w:trPr>
          <w:cantSplit/>
          <w:trHeight w:val="1230" w:hRule="atLeast"/>
          <w:jc w:val="center"/>
        </w:trPr>
        <w:tc>
          <w:tcPr>
            <w:tcW w:w="646" w:type="dxa"/>
            <w:vMerge w:val="restart"/>
            <w:tcBorders>
              <w:top w:val="single" w:color="auto" w:sz="4" w:space="0"/>
              <w:left w:val="single" w:color="auto" w:sz="8" w:space="0"/>
              <w:right w:val="single" w:color="auto" w:sz="4" w:space="0"/>
            </w:tcBorders>
            <w:noWrap w:val="0"/>
            <w:tcMar>
              <w:top w:w="19" w:type="dxa"/>
              <w:left w:w="19" w:type="dxa"/>
              <w:bottom w:w="0" w:type="dxa"/>
              <w:right w:w="19" w:type="dxa"/>
            </w:tcMar>
            <w:vAlign w:val="center"/>
          </w:tcPr>
          <w:p w14:paraId="2A75ACE9">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005" w:type="dxa"/>
            <w:vMerge w:val="restart"/>
            <w:tcBorders>
              <w:top w:val="single" w:color="auto" w:sz="4" w:space="0"/>
              <w:left w:val="single" w:color="auto" w:sz="4" w:space="0"/>
              <w:right w:val="single" w:color="auto" w:sz="4" w:space="0"/>
            </w:tcBorders>
            <w:noWrap w:val="0"/>
            <w:tcMar>
              <w:top w:w="19" w:type="dxa"/>
              <w:left w:w="19" w:type="dxa"/>
              <w:bottom w:w="0" w:type="dxa"/>
              <w:right w:w="19" w:type="dxa"/>
            </w:tcMar>
            <w:vAlign w:val="center"/>
          </w:tcPr>
          <w:p w14:paraId="2F9591E1">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监理大纲（或监理方案）和措施</w:t>
            </w:r>
          </w:p>
        </w:tc>
        <w:tc>
          <w:tcPr>
            <w:tcW w:w="3440"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54CA2965">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拟投监理合同段的工程概述</w:t>
            </w:r>
          </w:p>
        </w:tc>
        <w:tc>
          <w:tcPr>
            <w:tcW w:w="1071" w:type="dxa"/>
            <w:vMerge w:val="restart"/>
            <w:tcBorders>
              <w:top w:val="single" w:color="auto" w:sz="4" w:space="0"/>
              <w:left w:val="single" w:color="auto" w:sz="4" w:space="0"/>
              <w:right w:val="single" w:color="auto" w:sz="4" w:space="0"/>
            </w:tcBorders>
            <w:noWrap w:val="0"/>
            <w:tcMar>
              <w:top w:w="19" w:type="dxa"/>
              <w:left w:w="19" w:type="dxa"/>
              <w:bottom w:w="0" w:type="dxa"/>
              <w:right w:w="19" w:type="dxa"/>
            </w:tcMar>
            <w:vAlign w:val="center"/>
          </w:tcPr>
          <w:p w14:paraId="37CD5D13">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1326"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101962EC">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1.5-3</w:t>
            </w:r>
          </w:p>
        </w:tc>
        <w:tc>
          <w:tcPr>
            <w:tcW w:w="1695" w:type="dxa"/>
            <w:vMerge w:val="restart"/>
            <w:tcBorders>
              <w:top w:val="single" w:color="auto" w:sz="4" w:space="0"/>
              <w:left w:val="nil"/>
              <w:right w:val="single" w:color="auto" w:sz="4" w:space="0"/>
            </w:tcBorders>
            <w:noWrap w:val="0"/>
            <w:tcMar>
              <w:top w:w="19" w:type="dxa"/>
              <w:left w:w="19" w:type="dxa"/>
              <w:bottom w:w="0" w:type="dxa"/>
              <w:right w:w="19" w:type="dxa"/>
            </w:tcMar>
            <w:vAlign w:val="center"/>
          </w:tcPr>
          <w:p w14:paraId="3D2A186C">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缺项漏项不得分</w:t>
            </w:r>
          </w:p>
        </w:tc>
      </w:tr>
      <w:tr w14:paraId="62366F04">
        <w:tblPrEx>
          <w:tblCellMar>
            <w:top w:w="0" w:type="dxa"/>
            <w:left w:w="0" w:type="dxa"/>
            <w:bottom w:w="0" w:type="dxa"/>
            <w:right w:w="0" w:type="dxa"/>
          </w:tblCellMar>
        </w:tblPrEx>
        <w:trPr>
          <w:cantSplit/>
          <w:trHeight w:val="875" w:hRule="atLeast"/>
          <w:jc w:val="center"/>
        </w:trPr>
        <w:tc>
          <w:tcPr>
            <w:tcW w:w="646" w:type="dxa"/>
            <w:vMerge w:val="continue"/>
            <w:tcBorders>
              <w:left w:val="single" w:color="auto" w:sz="8" w:space="0"/>
              <w:right w:val="single" w:color="auto" w:sz="4" w:space="0"/>
            </w:tcBorders>
            <w:noWrap w:val="0"/>
            <w:tcMar>
              <w:top w:w="19" w:type="dxa"/>
              <w:left w:w="19" w:type="dxa"/>
              <w:bottom w:w="0" w:type="dxa"/>
              <w:right w:w="19" w:type="dxa"/>
            </w:tcMar>
            <w:vAlign w:val="center"/>
          </w:tcPr>
          <w:p w14:paraId="2A54FEE9">
            <w:pPr>
              <w:spacing w:line="240" w:lineRule="exact"/>
              <w:jc w:val="center"/>
              <w:rPr>
                <w:rFonts w:hint="eastAsia" w:ascii="宋体" w:hAnsi="宋体" w:eastAsia="宋体" w:cs="宋体"/>
                <w:szCs w:val="21"/>
                <w:highlight w:val="none"/>
              </w:rPr>
            </w:pPr>
          </w:p>
        </w:tc>
        <w:tc>
          <w:tcPr>
            <w:tcW w:w="1005" w:type="dxa"/>
            <w:vMerge w:val="continue"/>
            <w:tcBorders>
              <w:left w:val="single" w:color="auto" w:sz="4" w:space="0"/>
              <w:right w:val="single" w:color="auto" w:sz="4" w:space="0"/>
            </w:tcBorders>
            <w:noWrap w:val="0"/>
            <w:tcMar>
              <w:top w:w="19" w:type="dxa"/>
              <w:left w:w="19" w:type="dxa"/>
              <w:bottom w:w="0" w:type="dxa"/>
              <w:right w:w="19" w:type="dxa"/>
            </w:tcMar>
            <w:vAlign w:val="center"/>
          </w:tcPr>
          <w:p w14:paraId="035187A6">
            <w:pPr>
              <w:spacing w:line="240" w:lineRule="exact"/>
              <w:jc w:val="center"/>
              <w:rPr>
                <w:rFonts w:hint="eastAsia" w:ascii="宋体" w:hAnsi="宋体" w:eastAsia="宋体" w:cs="宋体"/>
                <w:szCs w:val="21"/>
                <w:highlight w:val="none"/>
              </w:rPr>
            </w:pPr>
          </w:p>
        </w:tc>
        <w:tc>
          <w:tcPr>
            <w:tcW w:w="3440"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42CD1639">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监理工作的指导思想和监理目标</w:t>
            </w:r>
          </w:p>
        </w:tc>
        <w:tc>
          <w:tcPr>
            <w:tcW w:w="1071" w:type="dxa"/>
            <w:vMerge w:val="continue"/>
            <w:tcBorders>
              <w:left w:val="single" w:color="auto" w:sz="4" w:space="0"/>
              <w:right w:val="single" w:color="auto" w:sz="4" w:space="0"/>
            </w:tcBorders>
            <w:noWrap w:val="0"/>
            <w:tcMar>
              <w:top w:w="19" w:type="dxa"/>
              <w:left w:w="19" w:type="dxa"/>
              <w:bottom w:w="0" w:type="dxa"/>
              <w:right w:w="19" w:type="dxa"/>
            </w:tcMar>
            <w:vAlign w:val="center"/>
          </w:tcPr>
          <w:p w14:paraId="574C3F61">
            <w:pPr>
              <w:spacing w:line="240" w:lineRule="exact"/>
              <w:jc w:val="center"/>
              <w:rPr>
                <w:rFonts w:hint="eastAsia" w:ascii="宋体" w:hAnsi="宋体" w:eastAsia="宋体" w:cs="宋体"/>
                <w:szCs w:val="21"/>
                <w:highlight w:val="none"/>
              </w:rPr>
            </w:pPr>
          </w:p>
        </w:tc>
        <w:tc>
          <w:tcPr>
            <w:tcW w:w="1326"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1EEB3EDD">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1.5-3</w:t>
            </w:r>
          </w:p>
        </w:tc>
        <w:tc>
          <w:tcPr>
            <w:tcW w:w="1695" w:type="dxa"/>
            <w:vMerge w:val="continue"/>
            <w:tcBorders>
              <w:left w:val="nil"/>
              <w:right w:val="single" w:color="auto" w:sz="4" w:space="0"/>
            </w:tcBorders>
            <w:noWrap w:val="0"/>
            <w:tcMar>
              <w:top w:w="19" w:type="dxa"/>
              <w:left w:w="19" w:type="dxa"/>
              <w:bottom w:w="0" w:type="dxa"/>
              <w:right w:w="19" w:type="dxa"/>
            </w:tcMar>
            <w:vAlign w:val="center"/>
          </w:tcPr>
          <w:p w14:paraId="151EE498">
            <w:pPr>
              <w:spacing w:line="240" w:lineRule="exact"/>
              <w:rPr>
                <w:rFonts w:hint="eastAsia" w:ascii="宋体" w:hAnsi="宋体" w:eastAsia="宋体" w:cs="宋体"/>
                <w:bCs/>
                <w:szCs w:val="21"/>
                <w:highlight w:val="none"/>
              </w:rPr>
            </w:pPr>
          </w:p>
        </w:tc>
      </w:tr>
      <w:tr w14:paraId="1204ABC1">
        <w:tblPrEx>
          <w:tblCellMar>
            <w:top w:w="0" w:type="dxa"/>
            <w:left w:w="0" w:type="dxa"/>
            <w:bottom w:w="0" w:type="dxa"/>
            <w:right w:w="0" w:type="dxa"/>
          </w:tblCellMar>
        </w:tblPrEx>
        <w:trPr>
          <w:cantSplit/>
          <w:trHeight w:val="815" w:hRule="atLeast"/>
          <w:jc w:val="center"/>
        </w:trPr>
        <w:tc>
          <w:tcPr>
            <w:tcW w:w="646" w:type="dxa"/>
            <w:vMerge w:val="continue"/>
            <w:tcBorders>
              <w:left w:val="single" w:color="auto" w:sz="8" w:space="0"/>
              <w:right w:val="single" w:color="auto" w:sz="4" w:space="0"/>
            </w:tcBorders>
            <w:noWrap w:val="0"/>
            <w:vAlign w:val="center"/>
          </w:tcPr>
          <w:p w14:paraId="3E14BC22">
            <w:pPr>
              <w:spacing w:line="240" w:lineRule="exact"/>
              <w:rPr>
                <w:rFonts w:hint="eastAsia" w:ascii="宋体" w:hAnsi="宋体" w:eastAsia="宋体" w:cs="宋体"/>
                <w:szCs w:val="21"/>
                <w:highlight w:val="none"/>
              </w:rPr>
            </w:pPr>
          </w:p>
        </w:tc>
        <w:tc>
          <w:tcPr>
            <w:tcW w:w="1005" w:type="dxa"/>
            <w:vMerge w:val="continue"/>
            <w:tcBorders>
              <w:left w:val="single" w:color="auto" w:sz="4" w:space="0"/>
              <w:right w:val="single" w:color="auto" w:sz="4" w:space="0"/>
            </w:tcBorders>
            <w:noWrap w:val="0"/>
            <w:vAlign w:val="center"/>
          </w:tcPr>
          <w:p w14:paraId="61B1EE38">
            <w:pPr>
              <w:spacing w:line="240" w:lineRule="exact"/>
              <w:rPr>
                <w:rFonts w:hint="eastAsia" w:ascii="宋体" w:hAnsi="宋体" w:eastAsia="宋体" w:cs="宋体"/>
                <w:szCs w:val="21"/>
                <w:highlight w:val="none"/>
              </w:rPr>
            </w:pPr>
          </w:p>
        </w:tc>
        <w:tc>
          <w:tcPr>
            <w:tcW w:w="3440"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37FD077E">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质量控制的方案与措施</w:t>
            </w:r>
          </w:p>
        </w:tc>
        <w:tc>
          <w:tcPr>
            <w:tcW w:w="1071" w:type="dxa"/>
            <w:vMerge w:val="continue"/>
            <w:tcBorders>
              <w:left w:val="single" w:color="auto" w:sz="4" w:space="0"/>
              <w:right w:val="single" w:color="auto" w:sz="4" w:space="0"/>
            </w:tcBorders>
            <w:noWrap w:val="0"/>
            <w:tcMar>
              <w:top w:w="19" w:type="dxa"/>
              <w:left w:w="19" w:type="dxa"/>
              <w:bottom w:w="0" w:type="dxa"/>
              <w:right w:w="19" w:type="dxa"/>
            </w:tcMar>
            <w:vAlign w:val="center"/>
          </w:tcPr>
          <w:p w14:paraId="1CF322DE">
            <w:pPr>
              <w:spacing w:line="240" w:lineRule="exact"/>
              <w:rPr>
                <w:rFonts w:hint="eastAsia" w:ascii="宋体" w:hAnsi="宋体" w:eastAsia="宋体" w:cs="宋体"/>
                <w:szCs w:val="21"/>
                <w:highlight w:val="none"/>
              </w:rPr>
            </w:pPr>
          </w:p>
        </w:tc>
        <w:tc>
          <w:tcPr>
            <w:tcW w:w="132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5C17E293">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1.5-3</w:t>
            </w:r>
          </w:p>
        </w:tc>
        <w:tc>
          <w:tcPr>
            <w:tcW w:w="1695" w:type="dxa"/>
            <w:vMerge w:val="continue"/>
            <w:tcBorders>
              <w:left w:val="nil"/>
              <w:right w:val="single" w:color="auto" w:sz="4" w:space="0"/>
            </w:tcBorders>
            <w:noWrap w:val="0"/>
            <w:tcMar>
              <w:top w:w="19" w:type="dxa"/>
              <w:left w:w="19" w:type="dxa"/>
              <w:bottom w:w="0" w:type="dxa"/>
              <w:right w:w="19" w:type="dxa"/>
            </w:tcMar>
            <w:vAlign w:val="center"/>
          </w:tcPr>
          <w:p w14:paraId="03C5288A">
            <w:pPr>
              <w:spacing w:line="240" w:lineRule="exact"/>
              <w:rPr>
                <w:rFonts w:hint="eastAsia" w:ascii="宋体" w:hAnsi="宋体" w:eastAsia="宋体" w:cs="宋体"/>
                <w:szCs w:val="21"/>
                <w:highlight w:val="none"/>
              </w:rPr>
            </w:pPr>
          </w:p>
        </w:tc>
      </w:tr>
      <w:tr w14:paraId="0EF57EBD">
        <w:tblPrEx>
          <w:tblCellMar>
            <w:top w:w="0" w:type="dxa"/>
            <w:left w:w="0" w:type="dxa"/>
            <w:bottom w:w="0" w:type="dxa"/>
            <w:right w:w="0" w:type="dxa"/>
          </w:tblCellMar>
        </w:tblPrEx>
        <w:trPr>
          <w:cantSplit/>
          <w:trHeight w:val="799" w:hRule="atLeast"/>
          <w:jc w:val="center"/>
        </w:trPr>
        <w:tc>
          <w:tcPr>
            <w:tcW w:w="646" w:type="dxa"/>
            <w:vMerge w:val="continue"/>
            <w:tcBorders>
              <w:left w:val="single" w:color="auto" w:sz="8" w:space="0"/>
              <w:right w:val="single" w:color="auto" w:sz="4" w:space="0"/>
            </w:tcBorders>
            <w:noWrap w:val="0"/>
            <w:vAlign w:val="center"/>
          </w:tcPr>
          <w:p w14:paraId="0E8187D1">
            <w:pPr>
              <w:spacing w:line="240" w:lineRule="exact"/>
              <w:rPr>
                <w:rFonts w:hint="eastAsia" w:ascii="宋体" w:hAnsi="宋体" w:eastAsia="宋体" w:cs="宋体"/>
                <w:szCs w:val="21"/>
                <w:highlight w:val="none"/>
              </w:rPr>
            </w:pPr>
          </w:p>
        </w:tc>
        <w:tc>
          <w:tcPr>
            <w:tcW w:w="1005" w:type="dxa"/>
            <w:vMerge w:val="continue"/>
            <w:tcBorders>
              <w:left w:val="single" w:color="auto" w:sz="4" w:space="0"/>
              <w:right w:val="single" w:color="auto" w:sz="4" w:space="0"/>
            </w:tcBorders>
            <w:noWrap w:val="0"/>
            <w:vAlign w:val="center"/>
          </w:tcPr>
          <w:p w14:paraId="2DE32BD6">
            <w:pPr>
              <w:spacing w:line="240" w:lineRule="exact"/>
              <w:rPr>
                <w:rFonts w:hint="eastAsia" w:ascii="宋体" w:hAnsi="宋体" w:eastAsia="宋体" w:cs="宋体"/>
                <w:szCs w:val="21"/>
                <w:highlight w:val="none"/>
              </w:rPr>
            </w:pPr>
          </w:p>
        </w:tc>
        <w:tc>
          <w:tcPr>
            <w:tcW w:w="3440"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484B824C">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投资控制的方案与措施</w:t>
            </w:r>
          </w:p>
        </w:tc>
        <w:tc>
          <w:tcPr>
            <w:tcW w:w="1071" w:type="dxa"/>
            <w:vMerge w:val="continue"/>
            <w:tcBorders>
              <w:left w:val="single" w:color="auto" w:sz="4" w:space="0"/>
              <w:right w:val="single" w:color="auto" w:sz="4" w:space="0"/>
            </w:tcBorders>
            <w:noWrap w:val="0"/>
            <w:tcMar>
              <w:top w:w="19" w:type="dxa"/>
              <w:left w:w="19" w:type="dxa"/>
              <w:bottom w:w="0" w:type="dxa"/>
              <w:right w:w="19" w:type="dxa"/>
            </w:tcMar>
            <w:vAlign w:val="center"/>
          </w:tcPr>
          <w:p w14:paraId="4F52BFFB">
            <w:pPr>
              <w:spacing w:line="240" w:lineRule="exact"/>
              <w:rPr>
                <w:rFonts w:hint="eastAsia" w:ascii="宋体" w:hAnsi="宋体" w:eastAsia="宋体" w:cs="宋体"/>
                <w:szCs w:val="21"/>
                <w:highlight w:val="none"/>
              </w:rPr>
            </w:pPr>
          </w:p>
        </w:tc>
        <w:tc>
          <w:tcPr>
            <w:tcW w:w="132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78A9B732">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1.5-3</w:t>
            </w:r>
          </w:p>
        </w:tc>
        <w:tc>
          <w:tcPr>
            <w:tcW w:w="1695" w:type="dxa"/>
            <w:vMerge w:val="continue"/>
            <w:tcBorders>
              <w:left w:val="nil"/>
              <w:right w:val="single" w:color="auto" w:sz="4" w:space="0"/>
            </w:tcBorders>
            <w:noWrap w:val="0"/>
            <w:tcMar>
              <w:top w:w="19" w:type="dxa"/>
              <w:left w:w="19" w:type="dxa"/>
              <w:bottom w:w="0" w:type="dxa"/>
              <w:right w:w="19" w:type="dxa"/>
            </w:tcMar>
            <w:vAlign w:val="center"/>
          </w:tcPr>
          <w:p w14:paraId="5F5EF5E2">
            <w:pPr>
              <w:spacing w:line="240" w:lineRule="exact"/>
              <w:rPr>
                <w:rFonts w:hint="eastAsia" w:ascii="宋体" w:hAnsi="宋体" w:eastAsia="宋体" w:cs="宋体"/>
                <w:szCs w:val="21"/>
                <w:highlight w:val="none"/>
              </w:rPr>
            </w:pPr>
          </w:p>
        </w:tc>
      </w:tr>
      <w:tr w14:paraId="258EBB26">
        <w:tblPrEx>
          <w:tblCellMar>
            <w:top w:w="0" w:type="dxa"/>
            <w:left w:w="0" w:type="dxa"/>
            <w:bottom w:w="0" w:type="dxa"/>
            <w:right w:w="0" w:type="dxa"/>
          </w:tblCellMar>
        </w:tblPrEx>
        <w:trPr>
          <w:cantSplit/>
          <w:trHeight w:val="799" w:hRule="atLeast"/>
          <w:jc w:val="center"/>
        </w:trPr>
        <w:tc>
          <w:tcPr>
            <w:tcW w:w="646" w:type="dxa"/>
            <w:vMerge w:val="continue"/>
            <w:tcBorders>
              <w:left w:val="single" w:color="auto" w:sz="8" w:space="0"/>
              <w:right w:val="single" w:color="auto" w:sz="4" w:space="0"/>
            </w:tcBorders>
            <w:noWrap w:val="0"/>
            <w:vAlign w:val="center"/>
          </w:tcPr>
          <w:p w14:paraId="246F3004">
            <w:pPr>
              <w:spacing w:line="240" w:lineRule="exact"/>
              <w:rPr>
                <w:rFonts w:hint="eastAsia" w:ascii="宋体" w:hAnsi="宋体" w:eastAsia="宋体" w:cs="宋体"/>
                <w:szCs w:val="21"/>
                <w:highlight w:val="none"/>
              </w:rPr>
            </w:pPr>
          </w:p>
        </w:tc>
        <w:tc>
          <w:tcPr>
            <w:tcW w:w="1005" w:type="dxa"/>
            <w:vMerge w:val="continue"/>
            <w:tcBorders>
              <w:left w:val="single" w:color="auto" w:sz="4" w:space="0"/>
              <w:right w:val="single" w:color="auto" w:sz="4" w:space="0"/>
            </w:tcBorders>
            <w:noWrap w:val="0"/>
            <w:vAlign w:val="center"/>
          </w:tcPr>
          <w:p w14:paraId="4891A5A1">
            <w:pPr>
              <w:spacing w:line="240" w:lineRule="exact"/>
              <w:rPr>
                <w:rFonts w:hint="eastAsia" w:ascii="宋体" w:hAnsi="宋体" w:eastAsia="宋体" w:cs="宋体"/>
                <w:szCs w:val="21"/>
                <w:highlight w:val="none"/>
              </w:rPr>
            </w:pPr>
          </w:p>
        </w:tc>
        <w:tc>
          <w:tcPr>
            <w:tcW w:w="3440"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75E13EF6">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进度控制的方案与措施</w:t>
            </w:r>
          </w:p>
        </w:tc>
        <w:tc>
          <w:tcPr>
            <w:tcW w:w="1071" w:type="dxa"/>
            <w:vMerge w:val="continue"/>
            <w:tcBorders>
              <w:left w:val="single" w:color="auto" w:sz="4" w:space="0"/>
              <w:right w:val="single" w:color="auto" w:sz="4" w:space="0"/>
            </w:tcBorders>
            <w:noWrap w:val="0"/>
            <w:tcMar>
              <w:top w:w="19" w:type="dxa"/>
              <w:left w:w="19" w:type="dxa"/>
              <w:bottom w:w="0" w:type="dxa"/>
              <w:right w:w="19" w:type="dxa"/>
            </w:tcMar>
            <w:vAlign w:val="center"/>
          </w:tcPr>
          <w:p w14:paraId="3EB581AE">
            <w:pPr>
              <w:spacing w:line="240" w:lineRule="exact"/>
              <w:rPr>
                <w:rFonts w:hint="eastAsia" w:ascii="宋体" w:hAnsi="宋体" w:eastAsia="宋体" w:cs="宋体"/>
                <w:szCs w:val="21"/>
                <w:highlight w:val="none"/>
              </w:rPr>
            </w:pPr>
          </w:p>
        </w:tc>
        <w:tc>
          <w:tcPr>
            <w:tcW w:w="132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75711FA3">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1695" w:type="dxa"/>
            <w:vMerge w:val="continue"/>
            <w:tcBorders>
              <w:left w:val="nil"/>
              <w:right w:val="single" w:color="auto" w:sz="4" w:space="0"/>
            </w:tcBorders>
            <w:noWrap w:val="0"/>
            <w:tcMar>
              <w:top w:w="19" w:type="dxa"/>
              <w:left w:w="19" w:type="dxa"/>
              <w:bottom w:w="0" w:type="dxa"/>
              <w:right w:w="19" w:type="dxa"/>
            </w:tcMar>
            <w:vAlign w:val="center"/>
          </w:tcPr>
          <w:p w14:paraId="22C31305">
            <w:pPr>
              <w:spacing w:line="240" w:lineRule="exact"/>
              <w:rPr>
                <w:rFonts w:hint="eastAsia" w:ascii="宋体" w:hAnsi="宋体" w:eastAsia="宋体" w:cs="宋体"/>
                <w:szCs w:val="21"/>
                <w:highlight w:val="none"/>
              </w:rPr>
            </w:pPr>
          </w:p>
        </w:tc>
      </w:tr>
      <w:tr w14:paraId="642B63D3">
        <w:tblPrEx>
          <w:tblCellMar>
            <w:top w:w="0" w:type="dxa"/>
            <w:left w:w="0" w:type="dxa"/>
            <w:bottom w:w="0" w:type="dxa"/>
            <w:right w:w="0" w:type="dxa"/>
          </w:tblCellMar>
        </w:tblPrEx>
        <w:trPr>
          <w:cantSplit/>
          <w:trHeight w:val="799" w:hRule="atLeast"/>
          <w:jc w:val="center"/>
        </w:trPr>
        <w:tc>
          <w:tcPr>
            <w:tcW w:w="646" w:type="dxa"/>
            <w:vMerge w:val="continue"/>
            <w:tcBorders>
              <w:left w:val="single" w:color="auto" w:sz="8" w:space="0"/>
              <w:right w:val="single" w:color="auto" w:sz="4" w:space="0"/>
            </w:tcBorders>
            <w:noWrap w:val="0"/>
            <w:vAlign w:val="center"/>
          </w:tcPr>
          <w:p w14:paraId="6F1663E9">
            <w:pPr>
              <w:spacing w:line="240" w:lineRule="exact"/>
              <w:rPr>
                <w:rFonts w:hint="eastAsia" w:ascii="宋体" w:hAnsi="宋体" w:eastAsia="宋体" w:cs="宋体"/>
                <w:szCs w:val="21"/>
                <w:highlight w:val="none"/>
              </w:rPr>
            </w:pPr>
          </w:p>
        </w:tc>
        <w:tc>
          <w:tcPr>
            <w:tcW w:w="1005" w:type="dxa"/>
            <w:vMerge w:val="continue"/>
            <w:tcBorders>
              <w:left w:val="single" w:color="auto" w:sz="4" w:space="0"/>
              <w:right w:val="single" w:color="auto" w:sz="4" w:space="0"/>
            </w:tcBorders>
            <w:noWrap w:val="0"/>
            <w:vAlign w:val="center"/>
          </w:tcPr>
          <w:p w14:paraId="48F8EB0C">
            <w:pPr>
              <w:spacing w:line="240" w:lineRule="exact"/>
              <w:rPr>
                <w:rFonts w:hint="eastAsia" w:ascii="宋体" w:hAnsi="宋体" w:eastAsia="宋体" w:cs="宋体"/>
                <w:szCs w:val="21"/>
                <w:highlight w:val="none"/>
              </w:rPr>
            </w:pPr>
          </w:p>
        </w:tc>
        <w:tc>
          <w:tcPr>
            <w:tcW w:w="3440"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1CC32880">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合同管理的方案与措施</w:t>
            </w:r>
          </w:p>
        </w:tc>
        <w:tc>
          <w:tcPr>
            <w:tcW w:w="1071" w:type="dxa"/>
            <w:vMerge w:val="continue"/>
            <w:tcBorders>
              <w:left w:val="single" w:color="auto" w:sz="4" w:space="0"/>
              <w:right w:val="single" w:color="auto" w:sz="4" w:space="0"/>
            </w:tcBorders>
            <w:noWrap w:val="0"/>
            <w:tcMar>
              <w:top w:w="19" w:type="dxa"/>
              <w:left w:w="19" w:type="dxa"/>
              <w:bottom w:w="0" w:type="dxa"/>
              <w:right w:w="19" w:type="dxa"/>
            </w:tcMar>
            <w:vAlign w:val="center"/>
          </w:tcPr>
          <w:p w14:paraId="498B20C4">
            <w:pPr>
              <w:spacing w:line="240" w:lineRule="exact"/>
              <w:rPr>
                <w:rFonts w:hint="eastAsia" w:ascii="宋体" w:hAnsi="宋体" w:eastAsia="宋体" w:cs="宋体"/>
                <w:szCs w:val="21"/>
                <w:highlight w:val="none"/>
              </w:rPr>
            </w:pPr>
          </w:p>
        </w:tc>
        <w:tc>
          <w:tcPr>
            <w:tcW w:w="132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69E4AE83">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1695" w:type="dxa"/>
            <w:vMerge w:val="continue"/>
            <w:tcBorders>
              <w:left w:val="nil"/>
              <w:right w:val="single" w:color="auto" w:sz="4" w:space="0"/>
            </w:tcBorders>
            <w:noWrap w:val="0"/>
            <w:tcMar>
              <w:top w:w="19" w:type="dxa"/>
              <w:left w:w="19" w:type="dxa"/>
              <w:bottom w:w="0" w:type="dxa"/>
              <w:right w:w="19" w:type="dxa"/>
            </w:tcMar>
            <w:vAlign w:val="center"/>
          </w:tcPr>
          <w:p w14:paraId="04DBC031">
            <w:pPr>
              <w:spacing w:line="240" w:lineRule="exact"/>
              <w:rPr>
                <w:rFonts w:hint="eastAsia" w:ascii="宋体" w:hAnsi="宋体" w:eastAsia="宋体" w:cs="宋体"/>
                <w:szCs w:val="21"/>
                <w:highlight w:val="none"/>
              </w:rPr>
            </w:pPr>
          </w:p>
        </w:tc>
      </w:tr>
      <w:tr w14:paraId="25743EFB">
        <w:tblPrEx>
          <w:tblCellMar>
            <w:top w:w="0" w:type="dxa"/>
            <w:left w:w="0" w:type="dxa"/>
            <w:bottom w:w="0" w:type="dxa"/>
            <w:right w:w="0" w:type="dxa"/>
          </w:tblCellMar>
        </w:tblPrEx>
        <w:trPr>
          <w:cantSplit/>
          <w:trHeight w:val="799" w:hRule="atLeast"/>
          <w:jc w:val="center"/>
        </w:trPr>
        <w:tc>
          <w:tcPr>
            <w:tcW w:w="646" w:type="dxa"/>
            <w:vMerge w:val="continue"/>
            <w:tcBorders>
              <w:left w:val="single" w:color="auto" w:sz="8" w:space="0"/>
              <w:right w:val="single" w:color="auto" w:sz="4" w:space="0"/>
            </w:tcBorders>
            <w:noWrap w:val="0"/>
            <w:vAlign w:val="center"/>
          </w:tcPr>
          <w:p w14:paraId="0244F652">
            <w:pPr>
              <w:spacing w:line="240" w:lineRule="exact"/>
              <w:rPr>
                <w:rFonts w:hint="eastAsia" w:ascii="宋体" w:hAnsi="宋体" w:eastAsia="宋体" w:cs="宋体"/>
                <w:szCs w:val="21"/>
                <w:highlight w:val="none"/>
              </w:rPr>
            </w:pPr>
          </w:p>
        </w:tc>
        <w:tc>
          <w:tcPr>
            <w:tcW w:w="1005" w:type="dxa"/>
            <w:vMerge w:val="continue"/>
            <w:tcBorders>
              <w:left w:val="single" w:color="auto" w:sz="4" w:space="0"/>
              <w:right w:val="single" w:color="auto" w:sz="4" w:space="0"/>
            </w:tcBorders>
            <w:noWrap w:val="0"/>
            <w:vAlign w:val="center"/>
          </w:tcPr>
          <w:p w14:paraId="3605F1EF">
            <w:pPr>
              <w:spacing w:line="240" w:lineRule="exact"/>
              <w:rPr>
                <w:rFonts w:hint="eastAsia" w:ascii="宋体" w:hAnsi="宋体" w:eastAsia="宋体" w:cs="宋体"/>
                <w:szCs w:val="21"/>
                <w:highlight w:val="none"/>
              </w:rPr>
            </w:pPr>
          </w:p>
        </w:tc>
        <w:tc>
          <w:tcPr>
            <w:tcW w:w="3440"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120E102F">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信息管理的方案与措施</w:t>
            </w:r>
          </w:p>
        </w:tc>
        <w:tc>
          <w:tcPr>
            <w:tcW w:w="1071" w:type="dxa"/>
            <w:vMerge w:val="continue"/>
            <w:tcBorders>
              <w:left w:val="single" w:color="auto" w:sz="4" w:space="0"/>
              <w:right w:val="single" w:color="auto" w:sz="4" w:space="0"/>
            </w:tcBorders>
            <w:noWrap w:val="0"/>
            <w:tcMar>
              <w:top w:w="19" w:type="dxa"/>
              <w:left w:w="19" w:type="dxa"/>
              <w:bottom w:w="0" w:type="dxa"/>
              <w:right w:w="19" w:type="dxa"/>
            </w:tcMar>
            <w:vAlign w:val="center"/>
          </w:tcPr>
          <w:p w14:paraId="2F123EAA">
            <w:pPr>
              <w:spacing w:line="240" w:lineRule="exact"/>
              <w:rPr>
                <w:rFonts w:hint="eastAsia" w:ascii="宋体" w:hAnsi="宋体" w:eastAsia="宋体" w:cs="宋体"/>
                <w:szCs w:val="21"/>
                <w:highlight w:val="none"/>
              </w:rPr>
            </w:pPr>
          </w:p>
        </w:tc>
        <w:tc>
          <w:tcPr>
            <w:tcW w:w="132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09EB51F9">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1695" w:type="dxa"/>
            <w:vMerge w:val="continue"/>
            <w:tcBorders>
              <w:left w:val="nil"/>
              <w:right w:val="single" w:color="auto" w:sz="4" w:space="0"/>
            </w:tcBorders>
            <w:noWrap w:val="0"/>
            <w:tcMar>
              <w:top w:w="19" w:type="dxa"/>
              <w:left w:w="19" w:type="dxa"/>
              <w:bottom w:w="0" w:type="dxa"/>
              <w:right w:w="19" w:type="dxa"/>
            </w:tcMar>
            <w:vAlign w:val="center"/>
          </w:tcPr>
          <w:p w14:paraId="6E12AAED">
            <w:pPr>
              <w:spacing w:line="240" w:lineRule="exact"/>
              <w:rPr>
                <w:rFonts w:hint="eastAsia" w:ascii="宋体" w:hAnsi="宋体" w:eastAsia="宋体" w:cs="宋体"/>
                <w:szCs w:val="21"/>
                <w:highlight w:val="none"/>
              </w:rPr>
            </w:pPr>
          </w:p>
        </w:tc>
      </w:tr>
      <w:tr w14:paraId="701853D5">
        <w:tblPrEx>
          <w:tblCellMar>
            <w:top w:w="0" w:type="dxa"/>
            <w:left w:w="0" w:type="dxa"/>
            <w:bottom w:w="0" w:type="dxa"/>
            <w:right w:w="0" w:type="dxa"/>
          </w:tblCellMar>
        </w:tblPrEx>
        <w:trPr>
          <w:cantSplit/>
          <w:trHeight w:val="939" w:hRule="atLeast"/>
          <w:jc w:val="center"/>
        </w:trPr>
        <w:tc>
          <w:tcPr>
            <w:tcW w:w="646" w:type="dxa"/>
            <w:vMerge w:val="continue"/>
            <w:tcBorders>
              <w:left w:val="single" w:color="auto" w:sz="8" w:space="0"/>
              <w:right w:val="single" w:color="auto" w:sz="4" w:space="0"/>
            </w:tcBorders>
            <w:noWrap w:val="0"/>
            <w:vAlign w:val="center"/>
          </w:tcPr>
          <w:p w14:paraId="74283BB4">
            <w:pPr>
              <w:spacing w:line="240" w:lineRule="exact"/>
              <w:rPr>
                <w:rFonts w:hint="eastAsia" w:ascii="宋体" w:hAnsi="宋体" w:eastAsia="宋体" w:cs="宋体"/>
                <w:szCs w:val="21"/>
                <w:highlight w:val="none"/>
              </w:rPr>
            </w:pPr>
          </w:p>
        </w:tc>
        <w:tc>
          <w:tcPr>
            <w:tcW w:w="1005" w:type="dxa"/>
            <w:vMerge w:val="continue"/>
            <w:tcBorders>
              <w:left w:val="single" w:color="auto" w:sz="4" w:space="0"/>
              <w:right w:val="single" w:color="auto" w:sz="4" w:space="0"/>
            </w:tcBorders>
            <w:noWrap w:val="0"/>
            <w:vAlign w:val="center"/>
          </w:tcPr>
          <w:p w14:paraId="692EFC86">
            <w:pPr>
              <w:spacing w:line="240" w:lineRule="exact"/>
              <w:rPr>
                <w:rFonts w:hint="eastAsia" w:ascii="宋体" w:hAnsi="宋体" w:eastAsia="宋体" w:cs="宋体"/>
                <w:szCs w:val="21"/>
                <w:highlight w:val="none"/>
              </w:rPr>
            </w:pPr>
          </w:p>
        </w:tc>
        <w:tc>
          <w:tcPr>
            <w:tcW w:w="3440"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2EC771E0">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安全、环保及文明施工管理的方案与措施</w:t>
            </w:r>
          </w:p>
        </w:tc>
        <w:tc>
          <w:tcPr>
            <w:tcW w:w="1071" w:type="dxa"/>
            <w:vMerge w:val="continue"/>
            <w:tcBorders>
              <w:left w:val="single" w:color="auto" w:sz="4" w:space="0"/>
              <w:right w:val="single" w:color="auto" w:sz="4" w:space="0"/>
            </w:tcBorders>
            <w:noWrap w:val="0"/>
            <w:tcMar>
              <w:top w:w="19" w:type="dxa"/>
              <w:left w:w="19" w:type="dxa"/>
              <w:bottom w:w="0" w:type="dxa"/>
              <w:right w:w="19" w:type="dxa"/>
            </w:tcMar>
            <w:vAlign w:val="center"/>
          </w:tcPr>
          <w:p w14:paraId="42C41E16">
            <w:pPr>
              <w:spacing w:line="240" w:lineRule="exact"/>
              <w:rPr>
                <w:rFonts w:hint="eastAsia" w:ascii="宋体" w:hAnsi="宋体" w:eastAsia="宋体" w:cs="宋体"/>
                <w:szCs w:val="21"/>
                <w:highlight w:val="none"/>
              </w:rPr>
            </w:pPr>
          </w:p>
        </w:tc>
        <w:tc>
          <w:tcPr>
            <w:tcW w:w="132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641F059B">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1695" w:type="dxa"/>
            <w:vMerge w:val="continue"/>
            <w:tcBorders>
              <w:left w:val="nil"/>
              <w:right w:val="single" w:color="auto" w:sz="4" w:space="0"/>
            </w:tcBorders>
            <w:noWrap w:val="0"/>
            <w:tcMar>
              <w:top w:w="19" w:type="dxa"/>
              <w:left w:w="19" w:type="dxa"/>
              <w:bottom w:w="0" w:type="dxa"/>
              <w:right w:w="19" w:type="dxa"/>
            </w:tcMar>
            <w:vAlign w:val="center"/>
          </w:tcPr>
          <w:p w14:paraId="7F55A74F">
            <w:pPr>
              <w:spacing w:line="240" w:lineRule="exact"/>
              <w:rPr>
                <w:rFonts w:hint="eastAsia" w:ascii="宋体" w:hAnsi="宋体" w:eastAsia="宋体" w:cs="宋体"/>
                <w:szCs w:val="21"/>
                <w:highlight w:val="none"/>
              </w:rPr>
            </w:pPr>
          </w:p>
        </w:tc>
      </w:tr>
      <w:tr w14:paraId="4523C93A">
        <w:tblPrEx>
          <w:tblCellMar>
            <w:top w:w="0" w:type="dxa"/>
            <w:left w:w="0" w:type="dxa"/>
            <w:bottom w:w="0" w:type="dxa"/>
            <w:right w:w="0" w:type="dxa"/>
          </w:tblCellMar>
        </w:tblPrEx>
        <w:trPr>
          <w:cantSplit/>
          <w:trHeight w:val="942" w:hRule="atLeast"/>
          <w:jc w:val="center"/>
        </w:trPr>
        <w:tc>
          <w:tcPr>
            <w:tcW w:w="646" w:type="dxa"/>
            <w:vMerge w:val="restart"/>
            <w:tcBorders>
              <w:top w:val="single" w:color="auto" w:sz="4" w:space="0"/>
              <w:left w:val="single" w:color="auto" w:sz="8" w:space="0"/>
              <w:right w:val="single" w:color="auto" w:sz="4" w:space="0"/>
            </w:tcBorders>
            <w:noWrap w:val="0"/>
            <w:vAlign w:val="center"/>
          </w:tcPr>
          <w:p w14:paraId="3BC8D1E0">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005" w:type="dxa"/>
            <w:vMerge w:val="restart"/>
            <w:tcBorders>
              <w:top w:val="single" w:color="auto" w:sz="4" w:space="0"/>
              <w:left w:val="single" w:color="auto" w:sz="4" w:space="0"/>
              <w:right w:val="single" w:color="auto" w:sz="4" w:space="0"/>
            </w:tcBorders>
            <w:noWrap w:val="0"/>
            <w:vAlign w:val="center"/>
          </w:tcPr>
          <w:p w14:paraId="16231C4B">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重点与难点分析</w:t>
            </w:r>
          </w:p>
        </w:tc>
        <w:tc>
          <w:tcPr>
            <w:tcW w:w="3440"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162F8774">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对本工程监理工作的重点分析</w:t>
            </w:r>
          </w:p>
        </w:tc>
        <w:tc>
          <w:tcPr>
            <w:tcW w:w="1071" w:type="dxa"/>
            <w:vMerge w:val="restart"/>
            <w:tcBorders>
              <w:top w:val="single" w:color="auto" w:sz="4" w:space="0"/>
              <w:left w:val="single" w:color="auto" w:sz="4" w:space="0"/>
              <w:right w:val="single" w:color="auto" w:sz="4" w:space="0"/>
            </w:tcBorders>
            <w:noWrap w:val="0"/>
            <w:tcMar>
              <w:top w:w="19" w:type="dxa"/>
              <w:left w:w="19" w:type="dxa"/>
              <w:bottom w:w="0" w:type="dxa"/>
              <w:right w:w="19" w:type="dxa"/>
            </w:tcMar>
            <w:vAlign w:val="center"/>
          </w:tcPr>
          <w:p w14:paraId="665B9380">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1326"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787F56D5">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1695" w:type="dxa"/>
            <w:vMerge w:val="continue"/>
            <w:tcBorders>
              <w:left w:val="nil"/>
              <w:right w:val="single" w:color="auto" w:sz="4" w:space="0"/>
            </w:tcBorders>
            <w:noWrap w:val="0"/>
            <w:tcMar>
              <w:top w:w="19" w:type="dxa"/>
              <w:left w:w="19" w:type="dxa"/>
              <w:bottom w:w="0" w:type="dxa"/>
              <w:right w:w="19" w:type="dxa"/>
            </w:tcMar>
            <w:vAlign w:val="center"/>
          </w:tcPr>
          <w:p w14:paraId="3440C633">
            <w:pPr>
              <w:spacing w:line="240" w:lineRule="exact"/>
              <w:rPr>
                <w:rFonts w:hint="eastAsia" w:ascii="宋体" w:hAnsi="宋体" w:eastAsia="宋体" w:cs="宋体"/>
                <w:szCs w:val="21"/>
                <w:highlight w:val="none"/>
              </w:rPr>
            </w:pPr>
          </w:p>
        </w:tc>
      </w:tr>
      <w:tr w14:paraId="0D1046F4">
        <w:tblPrEx>
          <w:tblCellMar>
            <w:top w:w="0" w:type="dxa"/>
            <w:left w:w="0" w:type="dxa"/>
            <w:bottom w:w="0" w:type="dxa"/>
            <w:right w:w="0" w:type="dxa"/>
          </w:tblCellMar>
        </w:tblPrEx>
        <w:trPr>
          <w:cantSplit/>
          <w:trHeight w:val="1056" w:hRule="atLeast"/>
          <w:jc w:val="center"/>
        </w:trPr>
        <w:tc>
          <w:tcPr>
            <w:tcW w:w="646" w:type="dxa"/>
            <w:vMerge w:val="continue"/>
            <w:tcBorders>
              <w:left w:val="single" w:color="auto" w:sz="8" w:space="0"/>
              <w:bottom w:val="single" w:color="auto" w:sz="4" w:space="0"/>
              <w:right w:val="single" w:color="auto" w:sz="4" w:space="0"/>
            </w:tcBorders>
            <w:noWrap w:val="0"/>
            <w:vAlign w:val="center"/>
          </w:tcPr>
          <w:p w14:paraId="1BBD06CC">
            <w:pPr>
              <w:spacing w:line="240" w:lineRule="exact"/>
              <w:jc w:val="center"/>
              <w:rPr>
                <w:rFonts w:hint="eastAsia" w:ascii="宋体" w:hAnsi="宋体" w:eastAsia="宋体" w:cs="宋体"/>
                <w:szCs w:val="21"/>
                <w:highlight w:val="none"/>
              </w:rPr>
            </w:pPr>
          </w:p>
        </w:tc>
        <w:tc>
          <w:tcPr>
            <w:tcW w:w="1005" w:type="dxa"/>
            <w:vMerge w:val="continue"/>
            <w:tcBorders>
              <w:left w:val="single" w:color="auto" w:sz="4" w:space="0"/>
              <w:bottom w:val="single" w:color="auto" w:sz="4" w:space="0"/>
              <w:right w:val="single" w:color="auto" w:sz="4" w:space="0"/>
            </w:tcBorders>
            <w:noWrap w:val="0"/>
            <w:vAlign w:val="center"/>
          </w:tcPr>
          <w:p w14:paraId="6E8039F1">
            <w:pPr>
              <w:spacing w:line="240" w:lineRule="exact"/>
              <w:jc w:val="center"/>
              <w:rPr>
                <w:rFonts w:hint="eastAsia" w:ascii="宋体" w:hAnsi="宋体" w:eastAsia="宋体" w:cs="宋体"/>
                <w:szCs w:val="21"/>
                <w:highlight w:val="none"/>
              </w:rPr>
            </w:pPr>
          </w:p>
        </w:tc>
        <w:tc>
          <w:tcPr>
            <w:tcW w:w="3440"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2197F7F8">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对本工程监理工作的难点分析</w:t>
            </w:r>
          </w:p>
        </w:tc>
        <w:tc>
          <w:tcPr>
            <w:tcW w:w="1071" w:type="dxa"/>
            <w:vMerge w:val="continue"/>
            <w:tcBorders>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39384D6C">
            <w:pPr>
              <w:spacing w:line="240" w:lineRule="exact"/>
              <w:jc w:val="center"/>
              <w:rPr>
                <w:rFonts w:hint="eastAsia" w:ascii="宋体" w:hAnsi="宋体" w:eastAsia="宋体" w:cs="宋体"/>
                <w:szCs w:val="21"/>
                <w:highlight w:val="none"/>
              </w:rPr>
            </w:pPr>
          </w:p>
        </w:tc>
        <w:tc>
          <w:tcPr>
            <w:tcW w:w="1326"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0BA85FE5">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1695" w:type="dxa"/>
            <w:vMerge w:val="continue"/>
            <w:tcBorders>
              <w:left w:val="nil"/>
              <w:right w:val="single" w:color="auto" w:sz="4" w:space="0"/>
            </w:tcBorders>
            <w:noWrap w:val="0"/>
            <w:tcMar>
              <w:top w:w="19" w:type="dxa"/>
              <w:left w:w="19" w:type="dxa"/>
              <w:bottom w:w="0" w:type="dxa"/>
              <w:right w:w="19" w:type="dxa"/>
            </w:tcMar>
            <w:vAlign w:val="center"/>
          </w:tcPr>
          <w:p w14:paraId="0672DD40">
            <w:pPr>
              <w:spacing w:line="240" w:lineRule="exact"/>
              <w:rPr>
                <w:rFonts w:hint="eastAsia" w:ascii="宋体" w:hAnsi="宋体" w:eastAsia="宋体" w:cs="宋体"/>
                <w:szCs w:val="21"/>
                <w:highlight w:val="none"/>
              </w:rPr>
            </w:pPr>
          </w:p>
        </w:tc>
      </w:tr>
      <w:tr w14:paraId="71906FED">
        <w:tblPrEx>
          <w:tblCellMar>
            <w:top w:w="0" w:type="dxa"/>
            <w:left w:w="0" w:type="dxa"/>
            <w:bottom w:w="0" w:type="dxa"/>
            <w:right w:w="0" w:type="dxa"/>
          </w:tblCellMar>
        </w:tblPrEx>
        <w:trPr>
          <w:cantSplit/>
          <w:trHeight w:val="799" w:hRule="atLeast"/>
          <w:jc w:val="center"/>
        </w:trPr>
        <w:tc>
          <w:tcPr>
            <w:tcW w:w="646" w:type="dxa"/>
            <w:tcBorders>
              <w:top w:val="single" w:color="auto" w:sz="4" w:space="0"/>
              <w:left w:val="single" w:color="auto" w:sz="8" w:space="0"/>
              <w:bottom w:val="single" w:color="auto" w:sz="4" w:space="0"/>
              <w:right w:val="single" w:color="auto" w:sz="4" w:space="0"/>
            </w:tcBorders>
            <w:noWrap w:val="0"/>
            <w:vAlign w:val="center"/>
          </w:tcPr>
          <w:p w14:paraId="5EDE0768">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46135B3">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建议</w:t>
            </w:r>
          </w:p>
        </w:tc>
        <w:tc>
          <w:tcPr>
            <w:tcW w:w="3440"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3A98BA2A">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t>对本工程监理工作的建议</w:t>
            </w:r>
          </w:p>
        </w:tc>
        <w:tc>
          <w:tcPr>
            <w:tcW w:w="1071" w:type="dxa"/>
            <w:tcBorders>
              <w:top w:val="single" w:color="auto" w:sz="4" w:space="0"/>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4C69FBA3">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326" w:type="dxa"/>
            <w:tcBorders>
              <w:top w:val="single" w:color="auto" w:sz="4" w:space="0"/>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18D4E7DC">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1695" w:type="dxa"/>
            <w:vMerge w:val="continue"/>
            <w:tcBorders>
              <w:left w:val="nil"/>
              <w:bottom w:val="single" w:color="auto" w:sz="4" w:space="0"/>
              <w:right w:val="single" w:color="auto" w:sz="4" w:space="0"/>
            </w:tcBorders>
            <w:noWrap w:val="0"/>
            <w:tcMar>
              <w:top w:w="19" w:type="dxa"/>
              <w:left w:w="19" w:type="dxa"/>
              <w:bottom w:w="0" w:type="dxa"/>
              <w:right w:w="19" w:type="dxa"/>
            </w:tcMar>
            <w:vAlign w:val="center"/>
          </w:tcPr>
          <w:p w14:paraId="0360F58B">
            <w:pPr>
              <w:spacing w:line="240" w:lineRule="exact"/>
              <w:rPr>
                <w:rFonts w:hint="eastAsia" w:ascii="宋体" w:hAnsi="宋体" w:eastAsia="宋体" w:cs="宋体"/>
                <w:szCs w:val="21"/>
                <w:highlight w:val="none"/>
              </w:rPr>
            </w:pPr>
          </w:p>
        </w:tc>
      </w:tr>
      <w:tr w14:paraId="7B1A00DA">
        <w:tblPrEx>
          <w:tblCellMar>
            <w:top w:w="0" w:type="dxa"/>
            <w:left w:w="0" w:type="dxa"/>
            <w:bottom w:w="0" w:type="dxa"/>
            <w:right w:w="0" w:type="dxa"/>
          </w:tblCellMar>
        </w:tblPrEx>
        <w:trPr>
          <w:cantSplit/>
          <w:trHeight w:val="1090" w:hRule="atLeast"/>
          <w:jc w:val="center"/>
        </w:trPr>
        <w:tc>
          <w:tcPr>
            <w:tcW w:w="5091" w:type="dxa"/>
            <w:gridSpan w:val="3"/>
            <w:tcBorders>
              <w:top w:val="single" w:color="auto" w:sz="4" w:space="0"/>
              <w:left w:val="single" w:color="auto" w:sz="8" w:space="0"/>
              <w:bottom w:val="single" w:color="auto" w:sz="4" w:space="0"/>
              <w:right w:val="single" w:color="auto" w:sz="4" w:space="0"/>
            </w:tcBorders>
            <w:noWrap w:val="0"/>
            <w:vAlign w:val="center"/>
          </w:tcPr>
          <w:p w14:paraId="7282FF12">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合计</w:t>
            </w:r>
          </w:p>
        </w:tc>
        <w:tc>
          <w:tcPr>
            <w:tcW w:w="2397" w:type="dxa"/>
            <w:gridSpan w:val="2"/>
            <w:tcBorders>
              <w:top w:val="single" w:color="auto" w:sz="4" w:space="0"/>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5902EEC7">
            <w:pPr>
              <w:spacing w:line="24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1695" w:type="dxa"/>
            <w:tcBorders>
              <w:top w:val="single" w:color="auto" w:sz="4" w:space="0"/>
              <w:left w:val="nil"/>
              <w:bottom w:val="single" w:color="auto" w:sz="4" w:space="0"/>
              <w:right w:val="single" w:color="auto" w:sz="8" w:space="0"/>
            </w:tcBorders>
            <w:noWrap w:val="0"/>
            <w:tcMar>
              <w:top w:w="19" w:type="dxa"/>
              <w:left w:w="19" w:type="dxa"/>
              <w:bottom w:w="0" w:type="dxa"/>
              <w:right w:w="19" w:type="dxa"/>
            </w:tcMar>
            <w:vAlign w:val="center"/>
          </w:tcPr>
          <w:p w14:paraId="746659BC">
            <w:pPr>
              <w:spacing w:line="240" w:lineRule="exact"/>
              <w:rPr>
                <w:rFonts w:hint="eastAsia" w:ascii="宋体" w:hAnsi="宋体" w:eastAsia="宋体" w:cs="宋体"/>
                <w:szCs w:val="21"/>
                <w:highlight w:val="none"/>
              </w:rPr>
            </w:pPr>
          </w:p>
        </w:tc>
      </w:tr>
    </w:tbl>
    <w:p w14:paraId="129F3092">
      <w:pPr>
        <w:bidi w:val="0"/>
        <w:jc w:val="center"/>
        <w:rPr>
          <w:rFonts w:hint="eastAsia" w:ascii="宋体" w:hAnsi="宋体" w:eastAsia="宋体" w:cs="宋体"/>
          <w:b/>
          <w:spacing w:val="-6"/>
          <w:sz w:val="28"/>
          <w:szCs w:val="28"/>
          <w:highlight w:val="none"/>
        </w:rPr>
      </w:pPr>
      <w:r>
        <w:rPr>
          <w:rFonts w:hint="eastAsia" w:ascii="宋体" w:hAnsi="宋体" w:eastAsia="宋体" w:cs="宋体"/>
          <w:spacing w:val="-6"/>
          <w:szCs w:val="21"/>
          <w:highlight w:val="none"/>
        </w:rPr>
        <w:br w:type="page"/>
      </w:r>
      <w:bookmarkStart w:id="117" w:name="_Toc533409757"/>
      <w:bookmarkStart w:id="118" w:name="_Toc519325345"/>
      <w:r>
        <w:rPr>
          <w:rFonts w:hint="eastAsia" w:ascii="宋体" w:hAnsi="宋体" w:eastAsia="宋体" w:cs="宋体"/>
          <w:b/>
          <w:bCs/>
          <w:spacing w:val="-6"/>
          <w:sz w:val="28"/>
          <w:szCs w:val="28"/>
          <w:highlight w:val="none"/>
        </w:rPr>
        <w:t>主要人员</w:t>
      </w:r>
      <w:r>
        <w:rPr>
          <w:rFonts w:hint="eastAsia" w:ascii="宋体" w:hAnsi="宋体" w:eastAsia="宋体" w:cs="宋体"/>
          <w:b/>
          <w:bCs/>
          <w:sz w:val="28"/>
          <w:szCs w:val="28"/>
          <w:highlight w:val="none"/>
        </w:rPr>
        <w:t>评审细则表</w:t>
      </w:r>
      <w:bookmarkEnd w:id="117"/>
      <w:bookmarkEnd w:id="11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677"/>
        <w:gridCol w:w="845"/>
        <w:gridCol w:w="539"/>
        <w:gridCol w:w="5807"/>
      </w:tblGrid>
      <w:tr w14:paraId="7A78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2" w:type="dxa"/>
            <w:noWrap w:val="0"/>
            <w:vAlign w:val="center"/>
          </w:tcPr>
          <w:p w14:paraId="23203E54">
            <w:pPr>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22" w:type="dxa"/>
            <w:gridSpan w:val="2"/>
            <w:noWrap w:val="0"/>
            <w:vAlign w:val="center"/>
          </w:tcPr>
          <w:p w14:paraId="13B36837">
            <w:pPr>
              <w:jc w:val="center"/>
              <w:rPr>
                <w:rFonts w:hint="eastAsia" w:ascii="宋体" w:hAnsi="宋体" w:eastAsia="宋体" w:cs="宋体"/>
                <w:b/>
                <w:sz w:val="24"/>
                <w:highlight w:val="none"/>
              </w:rPr>
            </w:pPr>
            <w:r>
              <w:rPr>
                <w:rFonts w:hint="eastAsia" w:ascii="宋体" w:hAnsi="宋体" w:eastAsia="宋体" w:cs="宋体"/>
                <w:b/>
                <w:sz w:val="24"/>
                <w:highlight w:val="none"/>
              </w:rPr>
              <w:t>项目</w:t>
            </w:r>
          </w:p>
        </w:tc>
        <w:tc>
          <w:tcPr>
            <w:tcW w:w="539" w:type="dxa"/>
            <w:noWrap w:val="0"/>
            <w:vAlign w:val="center"/>
          </w:tcPr>
          <w:p w14:paraId="080A4F4B">
            <w:pPr>
              <w:jc w:val="center"/>
              <w:rPr>
                <w:rFonts w:hint="eastAsia" w:ascii="宋体" w:hAnsi="宋体" w:eastAsia="宋体" w:cs="宋体"/>
                <w:b/>
                <w:sz w:val="24"/>
                <w:highlight w:val="none"/>
              </w:rPr>
            </w:pPr>
            <w:r>
              <w:rPr>
                <w:rFonts w:hint="eastAsia" w:ascii="宋体" w:hAnsi="宋体" w:eastAsia="宋体" w:cs="宋体"/>
                <w:b/>
                <w:sz w:val="24"/>
                <w:highlight w:val="none"/>
              </w:rPr>
              <w:t>分值</w:t>
            </w:r>
          </w:p>
        </w:tc>
        <w:tc>
          <w:tcPr>
            <w:tcW w:w="5807" w:type="dxa"/>
            <w:noWrap w:val="0"/>
            <w:vAlign w:val="center"/>
          </w:tcPr>
          <w:p w14:paraId="4D64A7E3">
            <w:pPr>
              <w:jc w:val="center"/>
              <w:rPr>
                <w:rFonts w:hint="eastAsia" w:ascii="宋体" w:hAnsi="宋体" w:eastAsia="宋体" w:cs="宋体"/>
                <w:b/>
                <w:sz w:val="24"/>
                <w:highlight w:val="none"/>
              </w:rPr>
            </w:pPr>
            <w:r>
              <w:rPr>
                <w:rFonts w:hint="eastAsia" w:ascii="宋体" w:hAnsi="宋体" w:eastAsia="宋体" w:cs="宋体"/>
                <w:b/>
                <w:sz w:val="24"/>
                <w:highlight w:val="none"/>
              </w:rPr>
              <w:t>具体评分标准</w:t>
            </w:r>
          </w:p>
        </w:tc>
      </w:tr>
      <w:tr w14:paraId="59B0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72" w:type="dxa"/>
            <w:noWrap w:val="0"/>
            <w:vAlign w:val="center"/>
          </w:tcPr>
          <w:p w14:paraId="3D09DAAE">
            <w:pPr>
              <w:jc w:val="center"/>
              <w:rPr>
                <w:rFonts w:hint="eastAsia" w:ascii="宋体" w:hAnsi="宋体" w:eastAsia="宋体" w:cs="宋体"/>
                <w:sz w:val="22"/>
                <w:highlight w:val="none"/>
              </w:rPr>
            </w:pPr>
            <w:r>
              <w:rPr>
                <w:rFonts w:hint="eastAsia" w:ascii="宋体" w:hAnsi="宋体" w:eastAsia="宋体" w:cs="宋体"/>
                <w:sz w:val="22"/>
                <w:highlight w:val="none"/>
              </w:rPr>
              <w:t>1</w:t>
            </w:r>
          </w:p>
        </w:tc>
        <w:tc>
          <w:tcPr>
            <w:tcW w:w="677" w:type="dxa"/>
            <w:noWrap w:val="0"/>
            <w:vAlign w:val="center"/>
          </w:tcPr>
          <w:p w14:paraId="6FC46338">
            <w:pPr>
              <w:jc w:val="center"/>
              <w:rPr>
                <w:rFonts w:hint="eastAsia" w:ascii="宋体" w:hAnsi="宋体" w:eastAsia="宋体" w:cs="宋体"/>
                <w:b/>
                <w:sz w:val="22"/>
                <w:highlight w:val="none"/>
              </w:rPr>
            </w:pPr>
            <w:r>
              <w:rPr>
                <w:rFonts w:hint="eastAsia" w:ascii="宋体" w:hAnsi="宋体" w:eastAsia="宋体" w:cs="宋体"/>
                <w:b/>
                <w:sz w:val="22"/>
                <w:highlight w:val="none"/>
              </w:rPr>
              <w:t>监理人员</w:t>
            </w:r>
          </w:p>
          <w:p w14:paraId="6305FEAF">
            <w:pPr>
              <w:jc w:val="center"/>
              <w:rPr>
                <w:rFonts w:hint="eastAsia" w:ascii="宋体" w:hAnsi="宋体" w:eastAsia="宋体" w:cs="宋体"/>
                <w:sz w:val="22"/>
                <w:highlight w:val="none"/>
              </w:rPr>
            </w:pPr>
            <w:r>
              <w:rPr>
                <w:rFonts w:hint="eastAsia" w:ascii="宋体" w:hAnsi="宋体" w:eastAsia="宋体" w:cs="宋体"/>
                <w:b/>
                <w:sz w:val="22"/>
                <w:highlight w:val="none"/>
              </w:rPr>
              <w:t>（25分）</w:t>
            </w:r>
          </w:p>
        </w:tc>
        <w:tc>
          <w:tcPr>
            <w:tcW w:w="845" w:type="dxa"/>
            <w:noWrap w:val="0"/>
            <w:vAlign w:val="center"/>
          </w:tcPr>
          <w:p w14:paraId="3084BB7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总监理工程师</w:t>
            </w:r>
          </w:p>
        </w:tc>
        <w:tc>
          <w:tcPr>
            <w:tcW w:w="539" w:type="dxa"/>
            <w:noWrap w:val="0"/>
            <w:vAlign w:val="center"/>
          </w:tcPr>
          <w:p w14:paraId="5A3B4A9E">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25</w:t>
            </w:r>
          </w:p>
        </w:tc>
        <w:tc>
          <w:tcPr>
            <w:tcW w:w="5807" w:type="dxa"/>
            <w:noWrap w:val="0"/>
            <w:vAlign w:val="center"/>
          </w:tcPr>
          <w:p w14:paraId="66CDDE9F">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1、总监理工程师满足资格审查条件要求的得10分；</w:t>
            </w:r>
          </w:p>
          <w:p w14:paraId="4949EFE1">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2、具有道路工程试验检测师得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w:t>
            </w:r>
          </w:p>
          <w:p w14:paraId="241E7EC5">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3、具有交通建设工程安全监理培训合格证书得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p w14:paraId="3FCD6922">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4、具有交通建设工程施工环境保护监理培训合格证书得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p w14:paraId="5D9430EB">
            <w:pPr>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5、具有总监理工程业绩得5分。</w:t>
            </w:r>
          </w:p>
          <w:p w14:paraId="42702D05">
            <w:pPr>
              <w:spacing w:line="360" w:lineRule="auto"/>
              <w:ind w:firstLine="0" w:firstLineChars="0"/>
              <w:rPr>
                <w:rFonts w:hint="eastAsia" w:ascii="宋体" w:hAnsi="宋体" w:eastAsia="宋体" w:cs="宋体"/>
                <w:sz w:val="22"/>
                <w:szCs w:val="22"/>
                <w:highlight w:val="none"/>
              </w:rPr>
            </w:pPr>
            <w:r>
              <w:rPr>
                <w:rFonts w:hint="eastAsia" w:ascii="宋体" w:hAnsi="宋体" w:eastAsia="宋体" w:cs="宋体"/>
                <w:b/>
                <w:bCs/>
                <w:szCs w:val="21"/>
                <w:highlight w:val="none"/>
              </w:rPr>
              <w:t>注：（总监业绩提供合同协议书或业主出具的履约证明彩色复印件）。</w:t>
            </w:r>
          </w:p>
        </w:tc>
      </w:tr>
    </w:tbl>
    <w:p w14:paraId="75C6121C">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其他因素评审细则表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714"/>
        <w:gridCol w:w="750"/>
        <w:gridCol w:w="729"/>
        <w:gridCol w:w="5724"/>
      </w:tblGrid>
      <w:tr w14:paraId="169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84" w:type="dxa"/>
            <w:noWrap w:val="0"/>
            <w:vAlign w:val="center"/>
          </w:tcPr>
          <w:p w14:paraId="61364239">
            <w:pPr>
              <w:jc w:val="center"/>
              <w:rPr>
                <w:rFonts w:hint="eastAsia" w:ascii="宋体" w:hAnsi="宋体" w:eastAsia="宋体" w:cs="宋体"/>
                <w:b/>
                <w:szCs w:val="21"/>
                <w:highlight w:val="none"/>
              </w:rPr>
            </w:pPr>
            <w:r>
              <w:rPr>
                <w:rFonts w:hint="eastAsia" w:ascii="宋体" w:hAnsi="宋体" w:eastAsia="宋体" w:cs="宋体"/>
                <w:b/>
                <w:sz w:val="24"/>
                <w:highlight w:val="none"/>
              </w:rPr>
              <w:t>序号</w:t>
            </w:r>
          </w:p>
        </w:tc>
        <w:tc>
          <w:tcPr>
            <w:tcW w:w="1464" w:type="dxa"/>
            <w:gridSpan w:val="2"/>
            <w:noWrap w:val="0"/>
            <w:vAlign w:val="center"/>
          </w:tcPr>
          <w:p w14:paraId="6E73D16B">
            <w:pPr>
              <w:jc w:val="center"/>
              <w:rPr>
                <w:rFonts w:hint="eastAsia" w:ascii="宋体" w:hAnsi="宋体" w:eastAsia="宋体" w:cs="宋体"/>
                <w:szCs w:val="21"/>
                <w:highlight w:val="none"/>
              </w:rPr>
            </w:pPr>
            <w:r>
              <w:rPr>
                <w:rFonts w:hint="eastAsia" w:ascii="宋体" w:hAnsi="宋体" w:eastAsia="宋体" w:cs="宋体"/>
                <w:b/>
                <w:sz w:val="24"/>
                <w:highlight w:val="none"/>
              </w:rPr>
              <w:t>项目</w:t>
            </w:r>
          </w:p>
        </w:tc>
        <w:tc>
          <w:tcPr>
            <w:tcW w:w="729" w:type="dxa"/>
            <w:noWrap w:val="0"/>
            <w:vAlign w:val="center"/>
          </w:tcPr>
          <w:p w14:paraId="2724647D">
            <w:pPr>
              <w:jc w:val="center"/>
              <w:rPr>
                <w:rFonts w:hint="eastAsia" w:ascii="宋体" w:hAnsi="宋体" w:eastAsia="宋体" w:cs="宋体"/>
                <w:szCs w:val="21"/>
                <w:highlight w:val="none"/>
              </w:rPr>
            </w:pPr>
            <w:r>
              <w:rPr>
                <w:rFonts w:hint="eastAsia" w:ascii="宋体" w:hAnsi="宋体" w:eastAsia="宋体" w:cs="宋体"/>
                <w:b/>
                <w:sz w:val="24"/>
                <w:highlight w:val="none"/>
              </w:rPr>
              <w:t>分值</w:t>
            </w:r>
          </w:p>
        </w:tc>
        <w:tc>
          <w:tcPr>
            <w:tcW w:w="5724" w:type="dxa"/>
            <w:noWrap w:val="0"/>
            <w:vAlign w:val="center"/>
          </w:tcPr>
          <w:p w14:paraId="734FFD7A">
            <w:pPr>
              <w:jc w:val="center"/>
              <w:rPr>
                <w:rFonts w:hint="eastAsia" w:ascii="宋体" w:hAnsi="宋体" w:eastAsia="宋体" w:cs="宋体"/>
                <w:szCs w:val="21"/>
                <w:highlight w:val="none"/>
              </w:rPr>
            </w:pPr>
            <w:r>
              <w:rPr>
                <w:rFonts w:hint="eastAsia" w:ascii="宋体" w:hAnsi="宋体" w:eastAsia="宋体" w:cs="宋体"/>
                <w:b/>
                <w:sz w:val="24"/>
                <w:highlight w:val="none"/>
              </w:rPr>
              <w:t>具体评分标准</w:t>
            </w:r>
          </w:p>
        </w:tc>
      </w:tr>
      <w:tr w14:paraId="1DCF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984" w:type="dxa"/>
            <w:vMerge w:val="restart"/>
            <w:noWrap w:val="0"/>
            <w:vAlign w:val="center"/>
          </w:tcPr>
          <w:p w14:paraId="4A60F9B0">
            <w:pPr>
              <w:rPr>
                <w:rFonts w:hint="eastAsia" w:ascii="宋体" w:hAnsi="宋体" w:eastAsia="宋体" w:cs="宋体"/>
                <w:szCs w:val="21"/>
                <w:highlight w:val="none"/>
              </w:rPr>
            </w:pPr>
          </w:p>
          <w:p w14:paraId="369AD257">
            <w:pPr>
              <w:jc w:val="center"/>
              <w:rPr>
                <w:rFonts w:hint="eastAsia" w:ascii="宋体" w:hAnsi="宋体" w:eastAsia="宋体" w:cs="宋体"/>
                <w:b/>
                <w:szCs w:val="21"/>
                <w:highlight w:val="none"/>
              </w:rPr>
            </w:pPr>
            <w:r>
              <w:rPr>
                <w:rFonts w:hint="eastAsia" w:ascii="宋体" w:hAnsi="宋体" w:eastAsia="宋体" w:cs="宋体"/>
                <w:b/>
                <w:szCs w:val="21"/>
                <w:highlight w:val="none"/>
              </w:rPr>
              <w:t>1</w:t>
            </w:r>
          </w:p>
        </w:tc>
        <w:tc>
          <w:tcPr>
            <w:tcW w:w="714" w:type="dxa"/>
            <w:vMerge w:val="restart"/>
            <w:noWrap w:val="0"/>
            <w:vAlign w:val="center"/>
          </w:tcPr>
          <w:p w14:paraId="783AFC9A">
            <w:pPr>
              <w:jc w:val="center"/>
              <w:rPr>
                <w:rFonts w:hint="eastAsia" w:ascii="宋体" w:hAnsi="宋体" w:eastAsia="宋体" w:cs="宋体"/>
                <w:b/>
                <w:szCs w:val="21"/>
                <w:highlight w:val="none"/>
              </w:rPr>
            </w:pPr>
            <w:r>
              <w:rPr>
                <w:rFonts w:hint="eastAsia" w:ascii="宋体" w:hAnsi="宋体" w:eastAsia="宋体" w:cs="宋体"/>
                <w:b/>
                <w:szCs w:val="21"/>
                <w:highlight w:val="none"/>
              </w:rPr>
              <w:t>其他因素(30分)</w:t>
            </w:r>
          </w:p>
        </w:tc>
        <w:tc>
          <w:tcPr>
            <w:tcW w:w="750" w:type="dxa"/>
            <w:noWrap w:val="0"/>
            <w:vAlign w:val="center"/>
          </w:tcPr>
          <w:p w14:paraId="7E6CB29B">
            <w:pPr>
              <w:jc w:val="center"/>
              <w:rPr>
                <w:rFonts w:hint="eastAsia" w:ascii="宋体" w:hAnsi="宋体" w:eastAsia="宋体" w:cs="宋体"/>
                <w:szCs w:val="21"/>
                <w:highlight w:val="none"/>
              </w:rPr>
            </w:pPr>
            <w:r>
              <w:rPr>
                <w:rFonts w:hint="eastAsia" w:ascii="宋体" w:hAnsi="宋体" w:eastAsia="宋体" w:cs="宋体"/>
                <w:szCs w:val="21"/>
                <w:highlight w:val="none"/>
              </w:rPr>
              <w:t>业绩</w:t>
            </w:r>
          </w:p>
        </w:tc>
        <w:tc>
          <w:tcPr>
            <w:tcW w:w="729" w:type="dxa"/>
            <w:noWrap w:val="0"/>
            <w:vAlign w:val="center"/>
          </w:tcPr>
          <w:p w14:paraId="35121301">
            <w:pPr>
              <w:jc w:val="center"/>
              <w:rPr>
                <w:rFonts w:hint="eastAsia" w:ascii="宋体" w:hAnsi="宋体" w:eastAsia="宋体" w:cs="宋体"/>
                <w:szCs w:val="21"/>
                <w:highlight w:val="none"/>
              </w:rPr>
            </w:pPr>
            <w:r>
              <w:rPr>
                <w:rFonts w:hint="eastAsia" w:ascii="宋体" w:hAnsi="宋体" w:eastAsia="宋体" w:cs="宋体"/>
                <w:szCs w:val="21"/>
                <w:highlight w:val="none"/>
              </w:rPr>
              <w:t>20分</w:t>
            </w:r>
          </w:p>
        </w:tc>
        <w:tc>
          <w:tcPr>
            <w:tcW w:w="5724" w:type="dxa"/>
            <w:noWrap w:val="0"/>
            <w:vAlign w:val="center"/>
          </w:tcPr>
          <w:p w14:paraId="6DF055D8">
            <w:pPr>
              <w:spacing w:line="360" w:lineRule="auto"/>
              <w:ind w:firstLine="0" w:firstLineChars="0"/>
              <w:rPr>
                <w:rFonts w:hint="eastAsia" w:ascii="宋体" w:hAnsi="宋体" w:eastAsia="宋体" w:cs="宋体"/>
                <w:bCs/>
                <w:szCs w:val="21"/>
                <w:highlight w:val="none"/>
              </w:rPr>
            </w:pPr>
            <w:r>
              <w:rPr>
                <w:rFonts w:hint="eastAsia" w:ascii="宋体" w:hAnsi="宋体" w:eastAsia="宋体" w:cs="宋体"/>
                <w:bCs/>
                <w:szCs w:val="21"/>
                <w:highlight w:val="none"/>
              </w:rPr>
              <w:t>满足资格要求得5分；每增加一项加5分，最多加15分。</w:t>
            </w:r>
          </w:p>
          <w:p w14:paraId="0E82632B">
            <w:pPr>
              <w:spacing w:line="360" w:lineRule="auto"/>
              <w:ind w:firstLine="0" w:firstLineChars="0"/>
              <w:rPr>
                <w:rFonts w:hint="eastAsia" w:ascii="宋体" w:hAnsi="宋体" w:eastAsia="宋体" w:cs="宋体"/>
                <w:color w:val="000000"/>
                <w:szCs w:val="21"/>
                <w:highlight w:val="none"/>
              </w:rPr>
            </w:pPr>
            <w:r>
              <w:rPr>
                <w:rFonts w:hint="eastAsia" w:ascii="宋体" w:hAnsi="宋体" w:eastAsia="宋体" w:cs="宋体"/>
                <w:bCs/>
                <w:szCs w:val="21"/>
                <w:highlight w:val="none"/>
              </w:rPr>
              <w:t>注：项目业绩[提供在交通运输部“</w:t>
            </w:r>
            <w:r>
              <w:rPr>
                <w:rFonts w:hint="eastAsia" w:ascii="宋体" w:hAnsi="宋体" w:eastAsia="宋体" w:cs="宋体"/>
                <w:bCs/>
                <w:szCs w:val="21"/>
                <w:highlight w:val="none"/>
                <w:lang w:eastAsia="zh-CN"/>
              </w:rPr>
              <w:t>全国公路建设市场监督管理系统</w:t>
            </w:r>
            <w:r>
              <w:rPr>
                <w:rFonts w:hint="eastAsia" w:ascii="宋体" w:hAnsi="宋体" w:eastAsia="宋体" w:cs="宋体"/>
                <w:bCs/>
                <w:szCs w:val="21"/>
                <w:highlight w:val="none"/>
              </w:rPr>
              <w:t>”（网址：https://hwdms.mot.gov.cn）中查询到的企业业绩，“业绩信息”相关项目信息齐全的网页截图]。</w:t>
            </w:r>
          </w:p>
        </w:tc>
      </w:tr>
      <w:tr w14:paraId="46FE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984" w:type="dxa"/>
            <w:vMerge w:val="continue"/>
            <w:noWrap w:val="0"/>
            <w:vAlign w:val="top"/>
          </w:tcPr>
          <w:p w14:paraId="7A86031D">
            <w:pPr>
              <w:jc w:val="center"/>
              <w:rPr>
                <w:rFonts w:hint="eastAsia" w:ascii="宋体" w:hAnsi="宋体" w:eastAsia="宋体" w:cs="宋体"/>
                <w:sz w:val="22"/>
                <w:highlight w:val="none"/>
              </w:rPr>
            </w:pPr>
          </w:p>
        </w:tc>
        <w:tc>
          <w:tcPr>
            <w:tcW w:w="714" w:type="dxa"/>
            <w:vMerge w:val="continue"/>
            <w:noWrap w:val="0"/>
            <w:vAlign w:val="center"/>
          </w:tcPr>
          <w:p w14:paraId="0A198235">
            <w:pPr>
              <w:jc w:val="center"/>
              <w:rPr>
                <w:rFonts w:hint="eastAsia" w:ascii="宋体" w:hAnsi="宋体" w:eastAsia="宋体" w:cs="宋体"/>
                <w:sz w:val="22"/>
                <w:highlight w:val="none"/>
              </w:rPr>
            </w:pPr>
          </w:p>
        </w:tc>
        <w:tc>
          <w:tcPr>
            <w:tcW w:w="750" w:type="dxa"/>
            <w:noWrap w:val="0"/>
            <w:vAlign w:val="center"/>
          </w:tcPr>
          <w:p w14:paraId="2BE811EE">
            <w:pPr>
              <w:spacing w:line="380" w:lineRule="exact"/>
              <w:jc w:val="center"/>
              <w:rPr>
                <w:rFonts w:hint="eastAsia" w:ascii="宋体" w:hAnsi="宋体" w:eastAsia="宋体" w:cs="宋体"/>
                <w:szCs w:val="21"/>
                <w:highlight w:val="none"/>
              </w:rPr>
            </w:pPr>
            <w:r>
              <w:rPr>
                <w:rFonts w:hint="eastAsia" w:ascii="宋体" w:hAnsi="宋体" w:eastAsia="宋体" w:cs="宋体"/>
                <w:szCs w:val="21"/>
                <w:highlight w:val="none"/>
              </w:rPr>
              <w:t>履约信誉</w:t>
            </w:r>
          </w:p>
        </w:tc>
        <w:tc>
          <w:tcPr>
            <w:tcW w:w="729" w:type="dxa"/>
            <w:noWrap w:val="0"/>
            <w:vAlign w:val="center"/>
          </w:tcPr>
          <w:p w14:paraId="727D32A4">
            <w:pPr>
              <w:spacing w:line="38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tc>
        <w:tc>
          <w:tcPr>
            <w:tcW w:w="5724" w:type="dxa"/>
            <w:noWrap w:val="0"/>
            <w:vAlign w:val="center"/>
          </w:tcPr>
          <w:p w14:paraId="1E98984A">
            <w:pPr>
              <w:spacing w:line="360" w:lineRule="auto"/>
              <w:ind w:firstLine="0" w:firstLineChars="0"/>
              <w:rPr>
                <w:rFonts w:hint="eastAsia" w:ascii="宋体" w:hAnsi="宋体" w:eastAsia="宋体" w:cs="宋体"/>
                <w:szCs w:val="21"/>
                <w:highlight w:val="none"/>
              </w:rPr>
            </w:pPr>
            <w:r>
              <w:rPr>
                <w:rFonts w:hint="eastAsia" w:ascii="宋体" w:hAnsi="宋体" w:eastAsia="宋体" w:cs="宋体"/>
                <w:bCs/>
                <w:szCs w:val="21"/>
                <w:highlight w:val="none"/>
              </w:rPr>
              <w:t>（1）参照“</w:t>
            </w:r>
            <w:r>
              <w:rPr>
                <w:rFonts w:hint="eastAsia" w:ascii="宋体" w:hAnsi="宋体" w:eastAsia="宋体" w:cs="宋体"/>
                <w:bCs/>
                <w:szCs w:val="21"/>
                <w:highlight w:val="none"/>
                <w:lang w:eastAsia="zh-CN"/>
              </w:rPr>
              <w:t>全国公路建设市场监督管理系统</w:t>
            </w:r>
            <w:r>
              <w:rPr>
                <w:rFonts w:hint="eastAsia" w:ascii="宋体" w:hAnsi="宋体" w:eastAsia="宋体" w:cs="宋体"/>
                <w:bCs/>
                <w:szCs w:val="21"/>
                <w:highlight w:val="none"/>
              </w:rPr>
              <w:t>”近五年（20</w:t>
            </w:r>
            <w:r>
              <w:rPr>
                <w:rFonts w:hint="eastAsia" w:ascii="宋体" w:hAnsi="宋体" w:eastAsia="宋体" w:cs="宋体"/>
                <w:bCs/>
                <w:szCs w:val="21"/>
                <w:highlight w:val="none"/>
                <w:lang w:val="en-US" w:eastAsia="zh-CN"/>
              </w:rPr>
              <w:t>20</w:t>
            </w:r>
            <w:r>
              <w:rPr>
                <w:rFonts w:hint="eastAsia" w:ascii="宋体" w:hAnsi="宋体" w:eastAsia="宋体" w:cs="宋体"/>
                <w:bCs/>
                <w:szCs w:val="21"/>
                <w:highlight w:val="none"/>
              </w:rPr>
              <w:t>-202</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）全国综合评价企业信用等级连续5年A级及以上得</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分；其中有一年为B级得1分；其他情况不得分。（附《</w:t>
            </w:r>
            <w:r>
              <w:rPr>
                <w:rFonts w:hint="eastAsia" w:ascii="宋体" w:hAnsi="宋体" w:eastAsia="宋体" w:cs="宋体"/>
                <w:bCs/>
                <w:szCs w:val="21"/>
                <w:highlight w:val="none"/>
                <w:lang w:eastAsia="zh-CN"/>
              </w:rPr>
              <w:t>全国公路建设市场监督管理系统</w:t>
            </w:r>
            <w:r>
              <w:rPr>
                <w:rFonts w:hint="eastAsia" w:ascii="宋体" w:hAnsi="宋体" w:eastAsia="宋体" w:cs="宋体"/>
                <w:bCs/>
                <w:szCs w:val="21"/>
                <w:highlight w:val="none"/>
              </w:rPr>
              <w:t>》中的信用查询截图）（2）质量管理体系认证证书、职业健康安全管理体系认证证书、环境管理体系认证证书证书齐全加3分，每缺一项扣1分。</w:t>
            </w:r>
          </w:p>
        </w:tc>
      </w:tr>
      <w:tr w14:paraId="4969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984" w:type="dxa"/>
            <w:vMerge w:val="continue"/>
            <w:noWrap w:val="0"/>
            <w:vAlign w:val="top"/>
          </w:tcPr>
          <w:p w14:paraId="6AAC9951">
            <w:pPr>
              <w:jc w:val="center"/>
              <w:rPr>
                <w:rFonts w:hint="eastAsia" w:ascii="宋体" w:hAnsi="宋体" w:eastAsia="宋体" w:cs="宋体"/>
                <w:sz w:val="22"/>
                <w:highlight w:val="none"/>
              </w:rPr>
            </w:pPr>
          </w:p>
        </w:tc>
        <w:tc>
          <w:tcPr>
            <w:tcW w:w="714" w:type="dxa"/>
            <w:vMerge w:val="continue"/>
            <w:noWrap w:val="0"/>
            <w:vAlign w:val="center"/>
          </w:tcPr>
          <w:p w14:paraId="42768ED1">
            <w:pPr>
              <w:jc w:val="center"/>
              <w:rPr>
                <w:rFonts w:hint="eastAsia" w:ascii="宋体" w:hAnsi="宋体" w:eastAsia="宋体" w:cs="宋体"/>
                <w:sz w:val="22"/>
                <w:highlight w:val="none"/>
              </w:rPr>
            </w:pPr>
          </w:p>
        </w:tc>
        <w:tc>
          <w:tcPr>
            <w:tcW w:w="750" w:type="dxa"/>
            <w:noWrap w:val="0"/>
            <w:vAlign w:val="center"/>
          </w:tcPr>
          <w:p w14:paraId="53E59DF2">
            <w:pPr>
              <w:spacing w:line="380" w:lineRule="exact"/>
              <w:jc w:val="center"/>
              <w:rPr>
                <w:rFonts w:hint="eastAsia" w:ascii="宋体" w:hAnsi="宋体" w:eastAsia="宋体" w:cs="宋体"/>
                <w:szCs w:val="21"/>
                <w:highlight w:val="none"/>
              </w:rPr>
            </w:pPr>
            <w:r>
              <w:rPr>
                <w:rFonts w:hint="eastAsia" w:ascii="宋体" w:hAnsi="宋体" w:eastAsia="宋体" w:cs="宋体"/>
                <w:szCs w:val="21"/>
                <w:highlight w:val="none"/>
              </w:rPr>
              <w:t>服务承诺</w:t>
            </w:r>
          </w:p>
        </w:tc>
        <w:tc>
          <w:tcPr>
            <w:tcW w:w="729" w:type="dxa"/>
            <w:noWrap w:val="0"/>
            <w:vAlign w:val="center"/>
          </w:tcPr>
          <w:p w14:paraId="4CCA2994">
            <w:pPr>
              <w:spacing w:line="38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tc>
        <w:tc>
          <w:tcPr>
            <w:tcW w:w="5724" w:type="dxa"/>
            <w:noWrap w:val="0"/>
            <w:vAlign w:val="center"/>
          </w:tcPr>
          <w:p w14:paraId="0A0ACD24">
            <w:pPr>
              <w:spacing w:line="240" w:lineRule="auto"/>
              <w:ind w:firstLine="0" w:firstLineChars="0"/>
              <w:rPr>
                <w:rFonts w:hint="eastAsia" w:ascii="宋体" w:hAnsi="宋体" w:eastAsia="宋体" w:cs="宋体"/>
                <w:bCs/>
                <w:szCs w:val="21"/>
                <w:highlight w:val="none"/>
                <w:lang w:eastAsia="zh-CN"/>
              </w:rPr>
            </w:pPr>
            <w:r>
              <w:rPr>
                <w:rFonts w:hint="eastAsia" w:ascii="宋体" w:hAnsi="宋体" w:eastAsia="宋体" w:cs="宋体"/>
                <w:bCs/>
                <w:szCs w:val="21"/>
                <w:highlight w:val="none"/>
              </w:rPr>
              <w:t>针对本项目为招标人服务、排忧解难提出的承诺</w:t>
            </w:r>
            <w:r>
              <w:rPr>
                <w:rFonts w:hint="eastAsia" w:ascii="宋体" w:hAnsi="宋体" w:eastAsia="宋体" w:cs="宋体"/>
                <w:bCs/>
                <w:szCs w:val="21"/>
                <w:highlight w:val="none"/>
                <w:lang w:eastAsia="zh-CN"/>
              </w:rPr>
              <w:t>。</w:t>
            </w:r>
          </w:p>
          <w:p w14:paraId="72BE1664">
            <w:pPr>
              <w:pStyle w:val="16"/>
              <w:ind w:left="0" w:leftChars="0" w:firstLine="0" w:firstLineChars="0"/>
              <w:rPr>
                <w:rFonts w:hint="eastAsia"/>
                <w:lang w:eastAsia="zh-CN"/>
              </w:rPr>
            </w:pPr>
            <w:r>
              <w:rPr>
                <w:rFonts w:hint="eastAsia" w:ascii="宋体" w:hAnsi="宋体" w:eastAsia="宋体" w:cs="宋体"/>
                <w:bCs/>
                <w:kern w:val="2"/>
                <w:sz w:val="21"/>
                <w:szCs w:val="21"/>
                <w:highlight w:val="none"/>
                <w:lang w:val="en-US" w:eastAsia="zh-CN" w:bidi="ar-SA"/>
              </w:rPr>
              <w:t>服务承诺：有针对性、实质性、合理性。优得4～5分，良的得3～4分，一般的得1～2分。缺该项得0分。</w:t>
            </w:r>
          </w:p>
        </w:tc>
      </w:tr>
    </w:tbl>
    <w:p w14:paraId="220AF78A">
      <w:pPr>
        <w:pStyle w:val="4"/>
        <w:pageBreakBefore w:val="0"/>
        <w:widowControl w:val="0"/>
        <w:kinsoku/>
        <w:wordWrap/>
        <w:overflowPunct/>
        <w:topLinePunct w:val="0"/>
        <w:autoSpaceDE/>
        <w:autoSpaceDN/>
        <w:bidi w:val="0"/>
        <w:spacing w:before="0" w:after="0" w:line="360" w:lineRule="auto"/>
        <w:ind w:firstLine="643" w:firstLineChars="200"/>
        <w:jc w:val="left"/>
        <w:textAlignment w:val="auto"/>
        <w:rPr>
          <w:rFonts w:hint="eastAsia" w:ascii="宋体" w:hAnsi="宋体" w:eastAsia="宋体" w:cs="宋体"/>
          <w:b w:val="0"/>
          <w:bCs/>
          <w:sz w:val="24"/>
          <w:szCs w:val="24"/>
          <w:highlight w:val="none"/>
        </w:rPr>
      </w:pPr>
      <w:r>
        <w:rPr>
          <w:rFonts w:hint="eastAsia" w:ascii="宋体" w:hAnsi="宋体" w:eastAsia="宋体" w:cs="宋体"/>
          <w:highlight w:val="none"/>
        </w:rPr>
        <w:br w:type="page"/>
      </w:r>
      <w:bookmarkStart w:id="119" w:name="_Toc533409758"/>
      <w:bookmarkStart w:id="120" w:name="_Toc519325346"/>
      <w:r>
        <w:rPr>
          <w:rFonts w:hint="eastAsia" w:ascii="宋体" w:hAnsi="宋体" w:eastAsia="宋体" w:cs="宋体"/>
          <w:sz w:val="24"/>
          <w:szCs w:val="16"/>
          <w:highlight w:val="none"/>
        </w:rPr>
        <w:t>1.评标方法</w:t>
      </w:r>
      <w:bookmarkEnd w:id="119"/>
      <w:bookmarkEnd w:id="120"/>
    </w:p>
    <w:p w14:paraId="6588406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bookmarkStart w:id="121" w:name="_Toc533409759"/>
      <w:bookmarkStart w:id="122" w:name="_Toc519325347"/>
      <w:r>
        <w:rPr>
          <w:rFonts w:hint="eastAsia" w:ascii="宋体" w:hAnsi="宋体" w:eastAsia="宋体" w:cs="宋体"/>
          <w:bCs/>
          <w:szCs w:val="21"/>
          <w:highlight w:val="none"/>
        </w:rPr>
        <w:t>本次评标采用综合评估法。评标委员会对满足招标文件实质性要求的投标文件，按照本章第2.2款规定的评分标准进行打分，并按得分由高到低顺序推荐</w:t>
      </w:r>
      <w:r>
        <w:rPr>
          <w:rFonts w:hint="eastAsia" w:ascii="宋体" w:hAnsi="宋体" w:cs="宋体"/>
          <w:bCs/>
          <w:szCs w:val="21"/>
          <w:highlight w:val="none"/>
          <w:lang w:val="en-US" w:eastAsia="zh-CN"/>
        </w:rPr>
        <w:t>5</w:t>
      </w:r>
      <w:r>
        <w:rPr>
          <w:rFonts w:hint="eastAsia" w:ascii="宋体" w:hAnsi="宋体" w:eastAsia="宋体" w:cs="宋体"/>
          <w:bCs/>
          <w:szCs w:val="21"/>
          <w:highlight w:val="none"/>
          <w:lang w:val="en-US" w:eastAsia="zh-CN"/>
        </w:rPr>
        <w:t>名中标</w:t>
      </w:r>
      <w:r>
        <w:rPr>
          <w:rFonts w:hint="eastAsia" w:ascii="宋体" w:hAnsi="宋体" w:eastAsia="宋体" w:cs="宋体"/>
          <w:bCs/>
          <w:szCs w:val="21"/>
          <w:highlight w:val="none"/>
        </w:rPr>
        <w:t>候选人，</w:t>
      </w:r>
      <w:r>
        <w:rPr>
          <w:rFonts w:hint="eastAsia" w:ascii="宋体" w:hAnsi="宋体" w:eastAsia="宋体" w:cs="宋体"/>
          <w:bCs/>
          <w:szCs w:val="21"/>
          <w:highlight w:val="none"/>
          <w:lang w:eastAsia="zh-CN"/>
        </w:rPr>
        <w:t>得分高低不作为中标候选人排序依据，推荐的</w:t>
      </w:r>
      <w:r>
        <w:rPr>
          <w:rFonts w:hint="eastAsia" w:ascii="宋体" w:hAnsi="宋体" w:cs="宋体"/>
          <w:bCs/>
          <w:szCs w:val="21"/>
          <w:highlight w:val="none"/>
          <w:lang w:val="en-US" w:eastAsia="zh-CN"/>
        </w:rPr>
        <w:t>5</w:t>
      </w:r>
      <w:r>
        <w:rPr>
          <w:rFonts w:hint="eastAsia" w:ascii="宋体" w:hAnsi="宋体" w:eastAsia="宋体" w:cs="宋体"/>
          <w:bCs/>
          <w:szCs w:val="21"/>
          <w:highlight w:val="none"/>
          <w:lang w:val="en-US" w:eastAsia="zh-CN"/>
        </w:rPr>
        <w:t>名中标候选人均平等进入中标候选人公示和后续定标环节，由招标人组建定标委员会按要求组织定标活动。</w:t>
      </w:r>
    </w:p>
    <w:p w14:paraId="1F58E4EB">
      <w:pPr>
        <w:pStyle w:val="4"/>
        <w:pageBreakBefore w:val="0"/>
        <w:widowControl w:val="0"/>
        <w:kinsoku/>
        <w:wordWrap/>
        <w:overflowPunct/>
        <w:topLinePunct w:val="0"/>
        <w:autoSpaceDE/>
        <w:autoSpaceDN/>
        <w:bidi w:val="0"/>
        <w:spacing w:before="0" w:after="0" w:line="360" w:lineRule="auto"/>
        <w:ind w:firstLine="482" w:firstLineChars="200"/>
        <w:jc w:val="left"/>
        <w:textAlignment w:val="auto"/>
        <w:rPr>
          <w:rFonts w:hint="eastAsia" w:ascii="宋体" w:hAnsi="宋体" w:eastAsia="宋体" w:cs="宋体"/>
          <w:sz w:val="24"/>
          <w:szCs w:val="16"/>
          <w:highlight w:val="none"/>
        </w:rPr>
      </w:pPr>
      <w:r>
        <w:rPr>
          <w:rFonts w:hint="eastAsia" w:ascii="宋体" w:hAnsi="宋体" w:eastAsia="宋体" w:cs="宋体"/>
          <w:sz w:val="24"/>
          <w:szCs w:val="16"/>
          <w:highlight w:val="none"/>
        </w:rPr>
        <w:t>2.评审标准</w:t>
      </w:r>
      <w:bookmarkEnd w:id="121"/>
      <w:bookmarkEnd w:id="122"/>
    </w:p>
    <w:p w14:paraId="1BAA7A6E">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bookmarkStart w:id="123" w:name="_Toc519242201"/>
      <w:r>
        <w:rPr>
          <w:rFonts w:hint="eastAsia" w:ascii="宋体" w:hAnsi="宋体" w:eastAsia="宋体" w:cs="宋体"/>
          <w:b/>
          <w:bCs/>
          <w:szCs w:val="21"/>
          <w:highlight w:val="none"/>
        </w:rPr>
        <w:t>2.1初步评审标准</w:t>
      </w:r>
      <w:bookmarkEnd w:id="123"/>
    </w:p>
    <w:p w14:paraId="2F5F5F10">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2.1.1形式评审标准：见评标办法前附表。</w:t>
      </w:r>
    </w:p>
    <w:p w14:paraId="2ED9BE4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2.1.2资格评审标准：见评标办法前附表。</w:t>
      </w:r>
    </w:p>
    <w:p w14:paraId="63C97CB0">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2.1.3响应性评审标准：见评标办法前附表。</w:t>
      </w:r>
    </w:p>
    <w:p w14:paraId="4AC16952">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bookmarkStart w:id="124" w:name="_Toc519242202"/>
      <w:r>
        <w:rPr>
          <w:rFonts w:hint="eastAsia" w:ascii="宋体" w:hAnsi="宋体" w:eastAsia="宋体" w:cs="宋体"/>
          <w:b/>
          <w:bCs/>
          <w:szCs w:val="21"/>
          <w:highlight w:val="none"/>
        </w:rPr>
        <w:t>2.2分值构成与评分标准</w:t>
      </w:r>
      <w:bookmarkEnd w:id="124"/>
    </w:p>
    <w:p w14:paraId="5858C25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2.2.1分值构成</w:t>
      </w:r>
    </w:p>
    <w:p w14:paraId="2C6B52E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（1）技术建议书：见评标办法前附表；</w:t>
      </w:r>
    </w:p>
    <w:p w14:paraId="0D86648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（2）主要人员：见评标办法前附表；</w:t>
      </w:r>
    </w:p>
    <w:p w14:paraId="6B25B21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（3）评标价：见评标办法前附表；</w:t>
      </w:r>
    </w:p>
    <w:p w14:paraId="4650826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（4）其他评分因素：见评标办法前附表。</w:t>
      </w:r>
    </w:p>
    <w:p w14:paraId="01F6192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2.2.2评标基准价计算</w:t>
      </w:r>
    </w:p>
    <w:p w14:paraId="3D36561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2.2.3评标价的偏差率计算</w:t>
      </w:r>
    </w:p>
    <w:p w14:paraId="419A5D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评标价的偏差率计算公式：见评标办法前附表。</w:t>
      </w:r>
    </w:p>
    <w:p w14:paraId="60BDDFB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2.2.4评分标准</w:t>
      </w:r>
    </w:p>
    <w:p w14:paraId="7CDB86F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（1）技术建议书评分标准：见评标办法前附表；</w:t>
      </w:r>
    </w:p>
    <w:p w14:paraId="78B19A4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（2）主要人员评分标准：见评标办法前附表；</w:t>
      </w:r>
    </w:p>
    <w:p w14:paraId="655459B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（3）评标价评分标准：见评标办法前附表；</w:t>
      </w:r>
    </w:p>
    <w:p w14:paraId="4C61B20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（4）其他因素评分标准：见评标办法前附表。</w:t>
      </w:r>
    </w:p>
    <w:p w14:paraId="536C627C">
      <w:pPr>
        <w:pStyle w:val="4"/>
        <w:pageBreakBefore w:val="0"/>
        <w:widowControl w:val="0"/>
        <w:kinsoku/>
        <w:wordWrap/>
        <w:overflowPunct/>
        <w:topLinePunct w:val="0"/>
        <w:autoSpaceDE/>
        <w:autoSpaceDN/>
        <w:bidi w:val="0"/>
        <w:spacing w:before="0" w:after="0" w:line="360" w:lineRule="auto"/>
        <w:ind w:firstLine="482" w:firstLineChars="200"/>
        <w:jc w:val="left"/>
        <w:textAlignment w:val="auto"/>
        <w:rPr>
          <w:rFonts w:hint="eastAsia" w:ascii="宋体" w:hAnsi="宋体" w:eastAsia="宋体" w:cs="宋体"/>
          <w:sz w:val="24"/>
          <w:szCs w:val="16"/>
          <w:highlight w:val="none"/>
        </w:rPr>
      </w:pPr>
      <w:bookmarkStart w:id="125" w:name="_Toc533409760"/>
      <w:bookmarkStart w:id="126" w:name="_Toc519325348"/>
      <w:r>
        <w:rPr>
          <w:rFonts w:hint="eastAsia" w:ascii="宋体" w:hAnsi="宋体" w:eastAsia="宋体" w:cs="宋体"/>
          <w:sz w:val="24"/>
          <w:szCs w:val="16"/>
          <w:highlight w:val="none"/>
        </w:rPr>
        <w:t>3.评标程序</w:t>
      </w:r>
      <w:bookmarkEnd w:id="125"/>
      <w:bookmarkEnd w:id="126"/>
    </w:p>
    <w:p w14:paraId="61394130">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3.1第一个信封初步评审</w:t>
      </w:r>
    </w:p>
    <w:p w14:paraId="456DD35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3.1.1评标委员会依据本章第2.1款规定的标准对投标文件第一个信封（商务及技术文件）进行初步评审。有一项不符合评审标准的，评标委员会应否决其投标。</w:t>
      </w:r>
    </w:p>
    <w:p w14:paraId="78395D7F">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3.2第一个信封详细评审</w:t>
      </w:r>
    </w:p>
    <w:p w14:paraId="37F00C6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3.2.1评标委员会按本章第2.2款规定的量化因素和分值进行打分，并计算出各投标人的商务和技术得分。</w:t>
      </w:r>
    </w:p>
    <w:p w14:paraId="39C0B1C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（1）按本章第2.2.4项（1）目规定的评审因素和分值对技术建议书部分计算出得分A；</w:t>
      </w:r>
    </w:p>
    <w:p w14:paraId="34CF548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（2）按本章第2.2.4项（2）目规定的评审因素和分值对主要人员部分计算出得分B；</w:t>
      </w:r>
    </w:p>
    <w:p w14:paraId="35BE69D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（3）按本章第2.2.4项（4）目规定的评审因素和分值对其他部分计算出得分D。</w:t>
      </w:r>
    </w:p>
    <w:p w14:paraId="7D22744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3.2.2投标人的商务和技术得分分值计算保留小数点后两位，小数点后第三位“四舍五入”。</w:t>
      </w:r>
    </w:p>
    <w:p w14:paraId="11BBEBD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3.2.3投标人的商务和技术得分=A+B+D。</w:t>
      </w:r>
    </w:p>
    <w:p w14:paraId="6CAFC214">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3.3第二个信封开标</w:t>
      </w:r>
    </w:p>
    <w:p w14:paraId="72ED347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第一个信封（商务及技术文件）开标结束后，招标人将按照第二章“投标人须知”第5.1款规定的时间和地点对第二个信封（报价文件）进行开标。</w:t>
      </w:r>
    </w:p>
    <w:p w14:paraId="40EC1705">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3.4第二个信封初步评审</w:t>
      </w:r>
    </w:p>
    <w:p w14:paraId="63787F3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3.4.1评标委员会依据本章第2.1.1项、第2.1.3项规定的评审标准对投标文件第二个信封（报价文件）进行初步评审。有一项不符合评审标准的，评标委员会应否决其投标。</w:t>
      </w:r>
    </w:p>
    <w:p w14:paraId="1B4412E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3.4.2投标报价有算术错误的，评标委员会按以下原则对投标报价进行修正，修正的价格经投标人书面确认后具有约束力。投标人不接受修正价格的，评标委员会应否决其投标。</w:t>
      </w:r>
    </w:p>
    <w:p w14:paraId="1538EC5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（1）投标文件中的大写金额与小写金额不一致的，以大写金额为准；</w:t>
      </w:r>
    </w:p>
    <w:p w14:paraId="4FC3233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（2）总价金额与依据单价计算出的结果不一致的，以单价金额为准修正总价，但单价金额小数点有明显错误的除外；</w:t>
      </w:r>
    </w:p>
    <w:p w14:paraId="3B856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（3）当单价与数量相乘不等于合价时，以单价计算为准，如果单价有明显的小数点位置差错，应以标出的合价为准，同时对单价予以修正；</w:t>
      </w:r>
    </w:p>
    <w:p w14:paraId="0098EAE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（4）当各子目的合价累计不等于总价时，应以各子目合价累计数为准，修正总价。</w:t>
      </w:r>
    </w:p>
    <w:p w14:paraId="4D4D4AE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3.4.3修正后的最终投标报价若超过最高投标限价（如有），评标委员会应否决其投标。</w:t>
      </w:r>
    </w:p>
    <w:p w14:paraId="49E7FFB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3.4.4修正后的最终投标报价仅作为签订合同的一个依据，不参与评标价得分的计算。</w:t>
      </w:r>
    </w:p>
    <w:p w14:paraId="5C6B02C1">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3.5第二个信封详细评审</w:t>
      </w:r>
    </w:p>
    <w:p w14:paraId="6FF9BD6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3.5.1评标委员会按本章第2.2.4项（3）目规定的评审因素和分值对评标价计算出得分C。评标价得分分值计算保留小数点后两位，小数点后第三位“四舍五入”。</w:t>
      </w:r>
    </w:p>
    <w:p w14:paraId="65DC2EE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3.5.2投标人综合得分=投标人的商务和技术得分+C。</w:t>
      </w:r>
    </w:p>
    <w:p w14:paraId="101B10E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673430EB">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3.6投标文件相关信息的核查</w:t>
      </w:r>
    </w:p>
    <w:p w14:paraId="5C2A4DD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3.6.1评标委员会应对在评标过程中发现的投标人与投标人之间、投标人与招标人之间存在的串通投标的情形进行评审和认定。投标人存在串通投标、弄虚作假、行贿等违法行为的，评标委员会应否决其投标。</w:t>
      </w:r>
    </w:p>
    <w:p w14:paraId="7999308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（1）有下列情形之一的，属于投标人相互串通投标：</w:t>
      </w:r>
    </w:p>
    <w:p w14:paraId="116F12A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a.投标人之间协商投标报价等投标文件的实质性内容；</w:t>
      </w:r>
    </w:p>
    <w:p w14:paraId="307D281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b.投标人之间约定中标人；</w:t>
      </w:r>
    </w:p>
    <w:p w14:paraId="66A1F42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c.投标人之间约定部分投标人放弃投标或中标；</w:t>
      </w:r>
    </w:p>
    <w:p w14:paraId="3C65E99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d.属于同一集团、协会、商会等组织成员的投标人按照该组织要求协同投标；</w:t>
      </w:r>
    </w:p>
    <w:p w14:paraId="535FBE1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e.投标人之间为谋取中标或排斥特定投标人而采取的其他联合行动。</w:t>
      </w:r>
    </w:p>
    <w:p w14:paraId="5733EF1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（2）有下列情形之一的，视为投标人相互串通投标：</w:t>
      </w:r>
    </w:p>
    <w:p w14:paraId="0BDC0D9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a.不同投标人的投标文件由同一单位或个人编制；</w:t>
      </w:r>
    </w:p>
    <w:p w14:paraId="1E6BE31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b.不同投标人委托同一单位或个人办理投标事宜；</w:t>
      </w:r>
    </w:p>
    <w:p w14:paraId="2181712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c.不同投标人的投标文件载明的项目管理成员为同一人；</w:t>
      </w:r>
    </w:p>
    <w:p w14:paraId="64C3FEA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d.不同投标人的投标文件异常一致或投标报价呈规律性差异；</w:t>
      </w:r>
    </w:p>
    <w:p w14:paraId="4DB8F860">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e.不同投标人的投标文件相互混装；</w:t>
      </w:r>
    </w:p>
    <w:p w14:paraId="130C9A1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f.不同投标人的投标保证金从同一单位或个人的账户转出。</w:t>
      </w:r>
    </w:p>
    <w:p w14:paraId="3A0B2F5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（3）有下列情形之一的，属于招标人与投标人串通投标：</w:t>
      </w:r>
    </w:p>
    <w:p w14:paraId="000438C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a.招标人在开标前开启投标文件并将有关信息泄露给其他投标人;</w:t>
      </w:r>
    </w:p>
    <w:p w14:paraId="5693973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b.招标人直接或间接向投标人泄露标底、评标委员会成员等信息；</w:t>
      </w:r>
    </w:p>
    <w:p w14:paraId="3FB66D1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c.招标人明示或暗示投标人压低或抬高投标报价；</w:t>
      </w:r>
    </w:p>
    <w:p w14:paraId="6890E2D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d.招标人授意投标人撤换、修改投标文件；</w:t>
      </w:r>
    </w:p>
    <w:p w14:paraId="4A1C4A7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e.招标人明示或暗示投标人为特定投标人中标提供方便；</w:t>
      </w:r>
    </w:p>
    <w:p w14:paraId="37188A5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f.招标人与投标人为谋求特定投标人中标而采取的其他串通行为。</w:t>
      </w:r>
    </w:p>
    <w:p w14:paraId="6C00524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（4）投标人有下列情形之一的，属于弄虚作假的行为：</w:t>
      </w:r>
    </w:p>
    <w:p w14:paraId="021B622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a.使用通过受让或租借等方式获取的资格、资质证书投标；</w:t>
      </w:r>
    </w:p>
    <w:p w14:paraId="3A4DD31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b.使用伪造、变造的许可证件；</w:t>
      </w:r>
    </w:p>
    <w:p w14:paraId="737608D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c.提供虚假的业绩；</w:t>
      </w:r>
    </w:p>
    <w:p w14:paraId="6ADD1CB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d.提供虚假的项目负责人或主要技术人员简历、劳动关系证明；</w:t>
      </w:r>
    </w:p>
    <w:p w14:paraId="1D3B4D5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e.提供虚假的信用状况；</w:t>
      </w:r>
    </w:p>
    <w:p w14:paraId="715DDB6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f.其他弄虚作假的行为。</w:t>
      </w:r>
    </w:p>
    <w:p w14:paraId="31FCDF93">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3.7投标文件的澄清和说明</w:t>
      </w:r>
    </w:p>
    <w:p w14:paraId="002883F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11F64D4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3.7.2澄清和说明不得超出投标文件的范围或改变投标文件的实质性内容（算术性错误的修正除外）。投标人的书面澄清、说明属于投标文件的组成部分。</w:t>
      </w:r>
    </w:p>
    <w:p w14:paraId="333AC64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3.7.3评标委员会不得暗示或诱导投标人作出澄清、说明，对投标人提交的澄清、说明有疑问的，可以要求投标人进一步澄清或说明，直至满足评标委员会的要求。</w:t>
      </w:r>
    </w:p>
    <w:p w14:paraId="0DB04C2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3.7.4凡超出招标文件规定的或给委托人带来未曾要求的利益的变化、偏差或其他因素在评标时不予考虑。</w:t>
      </w:r>
    </w:p>
    <w:p w14:paraId="6863F700">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3.8不得否决投标的情形</w:t>
      </w:r>
    </w:p>
    <w:p w14:paraId="5447828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投标文件存在第二章“投标人须知”第1.12.3项所列情形的，均视为细微偏差，评标委员会不得否决投标人的投标，应按照第二章“投标人须知”第1.12.4项规定的原则处理。</w:t>
      </w:r>
    </w:p>
    <w:p w14:paraId="2190EC1D">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3.9评标结果</w:t>
      </w:r>
    </w:p>
    <w:p w14:paraId="2B32ECD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rPr>
        <w:t>3.9.1除第二章“投标人须知”前附表授权直接确定中标人外，评标委员会按照得分由高到低的顺序推荐</w:t>
      </w:r>
      <w:r>
        <w:rPr>
          <w:rFonts w:hint="eastAsia" w:ascii="宋体" w:hAnsi="宋体" w:eastAsia="宋体" w:cs="宋体"/>
          <w:bCs/>
          <w:szCs w:val="21"/>
          <w:highlight w:val="none"/>
          <w:lang w:val="en-US" w:eastAsia="zh-CN"/>
        </w:rPr>
        <w:t>5名</w:t>
      </w:r>
      <w:r>
        <w:rPr>
          <w:rFonts w:hint="eastAsia" w:ascii="宋体" w:hAnsi="宋体" w:eastAsia="宋体" w:cs="宋体"/>
          <w:bCs/>
          <w:szCs w:val="21"/>
          <w:highlight w:val="none"/>
        </w:rPr>
        <w:t>中标候选人，中标候选人排名不分先后。</w:t>
      </w:r>
    </w:p>
    <w:p w14:paraId="2EEB4B7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3.8.2评标委员会在评标报告中应报告有无串标、围标行为，如无此行为应报告“无串标、围标行为”，若有则详细说明情况。</w:t>
      </w:r>
    </w:p>
    <w:p w14:paraId="0E08265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3.9.2评标委员会完成评标后，应向招标人提交书面评标报告。</w:t>
      </w:r>
    </w:p>
    <w:bookmarkEnd w:id="113"/>
    <w:bookmarkEnd w:id="114"/>
    <w:p w14:paraId="3AFB2DFB">
      <w:pPr>
        <w:pStyle w:val="20"/>
        <w:tabs>
          <w:tab w:val="left" w:pos="8460"/>
        </w:tabs>
        <w:spacing w:line="360" w:lineRule="auto"/>
        <w:jc w:val="center"/>
        <w:rPr>
          <w:rFonts w:hint="eastAsia" w:asciiTheme="minorEastAsia" w:hAnsiTheme="minorEastAsia" w:eastAsiaTheme="minorEastAsia"/>
          <w:b/>
          <w:color w:val="auto"/>
          <w:sz w:val="32"/>
          <w:szCs w:val="32"/>
          <w:highlight w:val="none"/>
        </w:rPr>
      </w:pPr>
      <w:r>
        <w:rPr>
          <w:rFonts w:hint="eastAsia" w:ascii="宋体" w:hAnsi="宋体" w:eastAsia="宋体" w:cs="宋体"/>
          <w:highlight w:val="none"/>
        </w:rPr>
        <w:br w:type="page"/>
      </w:r>
    </w:p>
    <w:p w14:paraId="4E988434">
      <w:pPr>
        <w:keepNext w:val="0"/>
        <w:keepLines w:val="0"/>
        <w:pageBreakBefore w:val="0"/>
        <w:widowControl w:val="0"/>
        <w:kinsoku/>
        <w:overflowPunct/>
        <w:topLinePunct w:val="0"/>
        <w:autoSpaceDE/>
        <w:autoSpaceDN/>
        <w:bidi w:val="0"/>
        <w:adjustRightInd/>
        <w:snapToGrid/>
        <w:spacing w:line="360" w:lineRule="auto"/>
        <w:ind w:firstLine="723" w:firstLineChars="200"/>
        <w:jc w:val="center"/>
        <w:textAlignment w:val="auto"/>
        <w:outlineLvl w:val="0"/>
        <w:rPr>
          <w:rFonts w:hint="default" w:ascii="宋体" w:hAnsi="宋体" w:cs="宋体"/>
          <w:b/>
          <w:color w:val="auto"/>
          <w:sz w:val="36"/>
          <w:szCs w:val="36"/>
          <w:highlight w:val="none"/>
          <w:lang w:val="en-US" w:eastAsia="zh-CN"/>
        </w:rPr>
      </w:pPr>
      <w:bookmarkStart w:id="127" w:name="_Toc2062"/>
      <w:r>
        <w:rPr>
          <w:rFonts w:hint="eastAsia" w:ascii="宋体" w:hAnsi="宋体" w:cs="宋体"/>
          <w:b/>
          <w:color w:val="auto"/>
          <w:sz w:val="36"/>
          <w:szCs w:val="36"/>
          <w:highlight w:val="none"/>
        </w:rPr>
        <w:t>第四章</w:t>
      </w:r>
      <w:r>
        <w:rPr>
          <w:rFonts w:hint="eastAsia" w:ascii="宋体" w:hAnsi="宋体" w:cs="宋体"/>
          <w:b/>
          <w:color w:val="auto"/>
          <w:sz w:val="36"/>
          <w:szCs w:val="36"/>
          <w:highlight w:val="none"/>
          <w:lang w:val="en-US" w:eastAsia="zh-CN"/>
        </w:rPr>
        <w:t xml:space="preserve"> 定标办法</w:t>
      </w:r>
      <w:bookmarkEnd w:id="127"/>
    </w:p>
    <w:p w14:paraId="47B60E85">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1、评审标准</w:t>
      </w:r>
    </w:p>
    <w:p w14:paraId="442E6D2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本次定标办法的制定依据下列文件进行：</w:t>
      </w:r>
    </w:p>
    <w:p w14:paraId="7DF98D9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《中华人民共和国招标投标法》；</w:t>
      </w:r>
    </w:p>
    <w:p w14:paraId="7460B69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《河南省交通运输厅关于印发河南省公路水运工程建设项目招标投标管理办法（试行）的通知》豫交规〔2024〕4号；</w:t>
      </w:r>
    </w:p>
    <w:p w14:paraId="61024BA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新乡市交通运输局《新乡市公路水运工程建设项目招标投标“评定分离”规范</w:t>
      </w:r>
      <w:r>
        <w:rPr>
          <w:rFonts w:hint="eastAsia" w:ascii="宋体" w:hAnsi="宋体" w:cs="宋体"/>
          <w:color w:val="auto"/>
          <w:szCs w:val="21"/>
          <w:highlight w:val="none"/>
          <w:lang w:val="en-US" w:eastAsia="zh-CN"/>
        </w:rPr>
        <w:t>指引（试行）</w:t>
      </w:r>
      <w:r>
        <w:rPr>
          <w:rFonts w:hint="eastAsia" w:ascii="宋体" w:hAnsi="宋体" w:eastAsia="宋体" w:cs="宋体"/>
          <w:color w:val="auto"/>
          <w:szCs w:val="21"/>
          <w:highlight w:val="none"/>
          <w:lang w:val="en-US" w:eastAsia="zh-CN"/>
        </w:rPr>
        <w:t>》</w:t>
      </w:r>
    </w:p>
    <w:p w14:paraId="56BC3E3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本项目招标文件；</w:t>
      </w:r>
    </w:p>
    <w:p w14:paraId="727348A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评标委员会推荐的中标候选人名单；</w:t>
      </w:r>
    </w:p>
    <w:p w14:paraId="51998E2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招标投标全过程资料；</w:t>
      </w:r>
    </w:p>
    <w:p w14:paraId="5804AE4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其他有关法律法规和相关制度。</w:t>
      </w:r>
    </w:p>
    <w:p w14:paraId="42777053">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2、定标原则及时间地点</w:t>
      </w:r>
    </w:p>
    <w:p w14:paraId="416F1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（1）基本原则：</w:t>
      </w:r>
      <w:r>
        <w:rPr>
          <w:rFonts w:hint="eastAsia" w:asciiTheme="minorEastAsia" w:hAnsiTheme="minorEastAsia" w:eastAsiaTheme="minorEastAsia" w:cstheme="minorEastAsia"/>
          <w:bCs/>
          <w:color w:val="auto"/>
          <w:szCs w:val="21"/>
          <w:highlight w:val="none"/>
        </w:rPr>
        <w:t>遵循公开透明、科学规范、廉洁高效的原则，综合考虑信用、履约等因素，</w:t>
      </w:r>
      <w:r>
        <w:rPr>
          <w:rFonts w:hint="eastAsia" w:asciiTheme="minorEastAsia" w:hAnsiTheme="minorEastAsia" w:eastAsiaTheme="minorEastAsia" w:cstheme="minorEastAsia"/>
          <w:bCs/>
          <w:color w:val="auto"/>
          <w:szCs w:val="21"/>
          <w:highlight w:val="none"/>
          <w:lang w:val="en-US" w:eastAsia="zh-CN"/>
        </w:rPr>
        <w:t>定标过程包括核查、定标会议两个阶段。</w:t>
      </w:r>
    </w:p>
    <w:p w14:paraId="03FA43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（2）定标时间：招标人应当在收到评标报告10日内完成定标工作。</w:t>
      </w:r>
    </w:p>
    <w:p w14:paraId="2F48C2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（3）定标地点：新乡市公共资源交易中心，鼓励中标候选人的法定代表人或其授权委托代理人现场参加定标会议。</w:t>
      </w:r>
    </w:p>
    <w:p w14:paraId="6303232E">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3、定标办法</w:t>
      </w:r>
    </w:p>
    <w:p w14:paraId="2711F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本项目定标委员会将通过核查随机法进行定标，定标过程包括核查、定标会议两个阶段。</w:t>
      </w:r>
    </w:p>
    <w:p w14:paraId="21ADC926">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4、定标委员会的组建</w:t>
      </w:r>
    </w:p>
    <w:p w14:paraId="26ECED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招标人应当在收到评标报告3日内组建定标委员会，负责对中标候选人进行核查和组织召开定标会议等内容。定标工作应当由定标委员会独立完成。</w:t>
      </w:r>
    </w:p>
    <w:p w14:paraId="32EDCF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定标委员会成员数量为5人，本单位成员不低于成员总数的三分之二。定标委员会组长由招标人确定，原则上由招标人的法定代表人、主要负责人或分管负责人担任，其他成员可由招标人负责项目且业务熟练的工作人员担任，也可从招标人上下级单位或受招标人委托的专业人员中产生。</w:t>
      </w:r>
    </w:p>
    <w:p w14:paraId="12740C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定标委员会成员与中标候选人有利害关系的应当主动申请回避。中标结果公示前，评标专家和定标委员会名单及个人信息应当严格保密。定标委员会应当对定标过程保密，对所提出的定标意见承担个人责任，不得私下与投标人或者其他利害关系人接触。</w:t>
      </w:r>
    </w:p>
    <w:p w14:paraId="33E39145">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5、定标前核查</w:t>
      </w:r>
    </w:p>
    <w:p w14:paraId="716D22B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定标会议召开前，定标委员会将对中标候选人进行定标</w:t>
      </w:r>
      <w:r>
        <w:rPr>
          <w:rFonts w:hint="eastAsia" w:asciiTheme="minorEastAsia" w:hAnsiTheme="minorEastAsia" w:eastAsiaTheme="minorEastAsia" w:cstheme="minorEastAsia"/>
          <w:bCs/>
          <w:color w:val="auto"/>
          <w:szCs w:val="21"/>
          <w:highlight w:val="none"/>
          <w:lang w:val="en-US" w:eastAsia="zh-CN"/>
        </w:rPr>
        <w:t>前</w:t>
      </w:r>
      <w:r>
        <w:rPr>
          <w:rFonts w:hint="eastAsia" w:asciiTheme="minorEastAsia" w:hAnsiTheme="minorEastAsia" w:eastAsiaTheme="minorEastAsia" w:cstheme="minorEastAsia"/>
          <w:bCs/>
          <w:color w:val="auto"/>
          <w:szCs w:val="21"/>
          <w:highlight w:val="none"/>
        </w:rPr>
        <w:t>核查</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并形成核查报告</w:t>
      </w:r>
      <w:r>
        <w:rPr>
          <w:rFonts w:hint="eastAsia" w:asciiTheme="minorEastAsia" w:hAnsiTheme="minorEastAsia" w:eastAsiaTheme="minorEastAsia" w:cstheme="minorEastAsia"/>
          <w:bCs/>
          <w:color w:val="auto"/>
          <w:szCs w:val="21"/>
          <w:highlight w:val="none"/>
          <w:lang w:eastAsia="zh-CN"/>
        </w:rPr>
        <w:t>。</w:t>
      </w:r>
    </w:p>
    <w:p w14:paraId="2DA43CB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核查内容包括</w:t>
      </w:r>
      <w:r>
        <w:rPr>
          <w:rFonts w:hint="eastAsia" w:asciiTheme="minorEastAsia" w:hAnsiTheme="minorEastAsia" w:eastAsiaTheme="minorEastAsia" w:cstheme="minorEastAsia"/>
          <w:bCs/>
          <w:color w:val="auto"/>
          <w:szCs w:val="21"/>
          <w:highlight w:val="none"/>
          <w:lang w:eastAsia="zh-CN"/>
        </w:rPr>
        <w:t>：</w:t>
      </w:r>
    </w:p>
    <w:p w14:paraId="64F37000">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kern w:val="2"/>
          <w:sz w:val="21"/>
          <w:szCs w:val="21"/>
          <w:lang w:val="en-US" w:eastAsia="zh-CN" w:bidi="ar-SA"/>
        </w:rPr>
        <w:t>(1)</w:t>
      </w:r>
      <w:r>
        <w:rPr>
          <w:rFonts w:hint="eastAsia" w:asciiTheme="minorEastAsia" w:hAnsiTheme="minorEastAsia" w:eastAsiaTheme="minorEastAsia" w:cstheme="minorEastAsia"/>
          <w:bCs/>
          <w:color w:val="auto"/>
          <w:szCs w:val="21"/>
          <w:highlight w:val="none"/>
        </w:rPr>
        <w:t>中标候选人资质证书</w:t>
      </w:r>
      <w:r>
        <w:rPr>
          <w:rFonts w:hint="eastAsia" w:asciiTheme="minorEastAsia" w:hAnsiTheme="minorEastAsia" w:eastAsiaTheme="minorEastAsia" w:cstheme="minorEastAsia"/>
          <w:bCs/>
          <w:color w:val="auto"/>
          <w:szCs w:val="21"/>
          <w:highlight w:val="none"/>
          <w:lang w:eastAsia="zh-CN"/>
        </w:rPr>
        <w:t>；</w:t>
      </w:r>
    </w:p>
    <w:p w14:paraId="47F0295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(2)</w:t>
      </w:r>
      <w:r>
        <w:rPr>
          <w:rFonts w:hint="eastAsia" w:asciiTheme="minorEastAsia" w:hAnsiTheme="minorEastAsia" w:eastAsiaTheme="minorEastAsia" w:cstheme="minorEastAsia"/>
          <w:bCs/>
          <w:color w:val="auto"/>
          <w:szCs w:val="21"/>
          <w:highlight w:val="none"/>
        </w:rPr>
        <w:t>项目</w:t>
      </w:r>
      <w:r>
        <w:rPr>
          <w:rFonts w:hint="eastAsia" w:asciiTheme="minorEastAsia" w:hAnsiTheme="minorEastAsia" w:eastAsiaTheme="minorEastAsia" w:cstheme="minorEastAsia"/>
          <w:bCs/>
          <w:color w:val="auto"/>
          <w:szCs w:val="21"/>
          <w:highlight w:val="none"/>
          <w:lang w:eastAsia="zh-CN"/>
        </w:rPr>
        <w:t>总监</w:t>
      </w:r>
      <w:r>
        <w:rPr>
          <w:rFonts w:hint="eastAsia" w:asciiTheme="minorEastAsia" w:hAnsiTheme="minorEastAsia" w:eastAsiaTheme="minorEastAsia" w:cstheme="minorEastAsia"/>
          <w:bCs/>
          <w:color w:val="auto"/>
          <w:szCs w:val="21"/>
          <w:highlight w:val="none"/>
        </w:rPr>
        <w:t>的资格证书</w:t>
      </w:r>
      <w:r>
        <w:rPr>
          <w:rFonts w:hint="eastAsia" w:asciiTheme="minorEastAsia" w:hAnsiTheme="minorEastAsia" w:eastAsiaTheme="minorEastAsia" w:cstheme="minorEastAsia"/>
          <w:bCs/>
          <w:color w:val="auto"/>
          <w:szCs w:val="21"/>
          <w:highlight w:val="none"/>
          <w:lang w:eastAsia="zh-CN"/>
        </w:rPr>
        <w:t>；</w:t>
      </w:r>
    </w:p>
    <w:p w14:paraId="5E14CBA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(3)投标文件所列</w:t>
      </w:r>
      <w:r>
        <w:rPr>
          <w:rFonts w:hint="eastAsia" w:asciiTheme="minorEastAsia" w:hAnsiTheme="minorEastAsia" w:eastAsiaTheme="minorEastAsia" w:cstheme="minorEastAsia"/>
          <w:bCs/>
          <w:color w:val="auto"/>
          <w:szCs w:val="21"/>
          <w:highlight w:val="none"/>
        </w:rPr>
        <w:t>人员社保</w:t>
      </w:r>
      <w:r>
        <w:rPr>
          <w:rFonts w:hint="eastAsia" w:asciiTheme="minorEastAsia" w:hAnsiTheme="minorEastAsia" w:eastAsiaTheme="minorEastAsia" w:cstheme="minorEastAsia"/>
          <w:bCs/>
          <w:color w:val="auto"/>
          <w:szCs w:val="21"/>
          <w:highlight w:val="none"/>
          <w:lang w:eastAsia="zh-CN"/>
        </w:rPr>
        <w:t>；</w:t>
      </w:r>
    </w:p>
    <w:p w14:paraId="15AF99CF">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(4)投标文件所列</w:t>
      </w:r>
      <w:r>
        <w:rPr>
          <w:rFonts w:hint="eastAsia" w:asciiTheme="minorEastAsia" w:hAnsiTheme="minorEastAsia" w:eastAsiaTheme="minorEastAsia" w:cstheme="minorEastAsia"/>
          <w:bCs/>
          <w:color w:val="auto"/>
          <w:szCs w:val="21"/>
          <w:highlight w:val="none"/>
        </w:rPr>
        <w:t>业绩</w:t>
      </w:r>
      <w:r>
        <w:rPr>
          <w:rFonts w:hint="eastAsia" w:asciiTheme="minorEastAsia" w:hAnsiTheme="minorEastAsia" w:eastAsiaTheme="minorEastAsia" w:cstheme="minorEastAsia"/>
          <w:bCs/>
          <w:color w:val="auto"/>
          <w:szCs w:val="21"/>
          <w:highlight w:val="none"/>
          <w:lang w:eastAsia="zh-CN"/>
        </w:rPr>
        <w:t>；；</w:t>
      </w:r>
    </w:p>
    <w:p w14:paraId="6F7E264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kern w:val="2"/>
          <w:sz w:val="21"/>
          <w:szCs w:val="21"/>
          <w:highlight w:val="none"/>
          <w:lang w:val="en-US" w:eastAsia="zh-CN" w:bidi="ar-SA"/>
        </w:rPr>
        <w:t>(5)</w:t>
      </w:r>
      <w:r>
        <w:rPr>
          <w:rFonts w:hint="eastAsia" w:asciiTheme="minorEastAsia" w:hAnsiTheme="minorEastAsia" w:eastAsiaTheme="minorEastAsia" w:cstheme="minorEastAsia"/>
          <w:bCs/>
          <w:color w:val="auto"/>
          <w:szCs w:val="21"/>
          <w:highlight w:val="none"/>
        </w:rPr>
        <w:t>企业信用信誉</w:t>
      </w:r>
      <w:r>
        <w:rPr>
          <w:rFonts w:hint="eastAsia" w:asciiTheme="minorEastAsia" w:hAnsiTheme="minorEastAsia" w:eastAsiaTheme="minorEastAsia" w:cstheme="minorEastAsia"/>
          <w:bCs/>
          <w:color w:val="auto"/>
          <w:szCs w:val="21"/>
          <w:highlight w:val="none"/>
          <w:lang w:val="en-US" w:eastAsia="zh-CN"/>
        </w:rPr>
        <w:t>通过以下平台查询：</w:t>
      </w:r>
      <w:r>
        <w:rPr>
          <w:rFonts w:hint="eastAsia" w:asciiTheme="minorEastAsia" w:hAnsiTheme="minorEastAsia" w:eastAsiaTheme="minorEastAsia" w:cstheme="minorEastAsia"/>
          <w:bCs/>
          <w:color w:val="auto"/>
          <w:szCs w:val="21"/>
          <w:highlight w:val="none"/>
        </w:rPr>
        <w:t>信用中国网站查询“失信被执行人”</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国家企业信用信息公示系统查询“严重违法失信企业名单”</w:t>
      </w:r>
      <w:r>
        <w:rPr>
          <w:rFonts w:hint="eastAsia" w:asciiTheme="minorEastAsia" w:hAnsiTheme="minorEastAsia" w:eastAsiaTheme="minorEastAsia" w:cstheme="minorEastAsia"/>
          <w:bCs/>
          <w:color w:val="auto"/>
          <w:szCs w:val="21"/>
          <w:highlight w:val="none"/>
          <w:lang w:eastAsia="zh-CN"/>
        </w:rPr>
        <w:t>。</w:t>
      </w:r>
    </w:p>
    <w:p w14:paraId="0D89F9F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定标委员</w:t>
      </w:r>
      <w:r>
        <w:rPr>
          <w:rFonts w:hint="eastAsia" w:asciiTheme="minorEastAsia" w:hAnsiTheme="minorEastAsia" w:eastAsiaTheme="minorEastAsia" w:cstheme="minorEastAsia"/>
          <w:bCs/>
          <w:color w:val="auto"/>
          <w:szCs w:val="21"/>
          <w:highlight w:val="none"/>
          <w:lang w:val="en-US" w:eastAsia="zh-CN"/>
        </w:rPr>
        <w:t>会</w:t>
      </w:r>
      <w:r>
        <w:rPr>
          <w:rFonts w:hint="eastAsia" w:asciiTheme="minorEastAsia" w:hAnsiTheme="minorEastAsia" w:eastAsiaTheme="minorEastAsia" w:cstheme="minorEastAsia"/>
          <w:bCs/>
          <w:color w:val="auto"/>
          <w:szCs w:val="21"/>
          <w:highlight w:val="none"/>
        </w:rPr>
        <w:t>查实有中标候选人存在影响中标结果的违反法律、法规及招标文件相关规定，不符合中标条件的，不得进入定标程序。</w:t>
      </w:r>
    </w:p>
    <w:p w14:paraId="452EF0A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经核查后合格的中标候选人即可进入抽取程序，如经核查合格的中标候选人数量为2家，招标人选择继续进入抽取程序；如经核查合格的中标候选人数量为1家或全部不合格，招标人应重新招标。</w:t>
      </w:r>
    </w:p>
    <w:p w14:paraId="181B269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pacing w:val="0"/>
          <w:kern w:val="2"/>
          <w:sz w:val="21"/>
          <w:szCs w:val="21"/>
          <w:highlight w:val="none"/>
          <w:lang w:val="en-US" w:eastAsia="zh-CN"/>
        </w:rPr>
      </w:pPr>
      <w:r>
        <w:rPr>
          <w:rFonts w:hint="eastAsia" w:asciiTheme="minorEastAsia" w:hAnsiTheme="minorEastAsia" w:eastAsiaTheme="minorEastAsia" w:cstheme="minorEastAsia"/>
          <w:bCs/>
          <w:color w:val="auto"/>
          <w:szCs w:val="21"/>
          <w:highlight w:val="none"/>
        </w:rPr>
        <w:t>定标委员会应当严格履行定标环节核查责任，经核查发现中标候选人确有问题的，应当主动向行政监督部门报告，并依规否决相应中标候选人资格。</w:t>
      </w:r>
    </w:p>
    <w:p w14:paraId="2041EB8B">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6、定标程序</w:t>
      </w:r>
    </w:p>
    <w:p w14:paraId="2A64DB4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本项目采用核查随机法。定标委员会在通过核查的中标候选人中按照随机选取方式确定中标人。</w:t>
      </w:r>
    </w:p>
    <w:p w14:paraId="289FA11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kern w:val="2"/>
          <w:sz w:val="21"/>
          <w:szCs w:val="21"/>
          <w:lang w:val="en-US" w:eastAsia="zh-CN" w:bidi="ar-SA"/>
        </w:rPr>
        <w:t>(1)</w:t>
      </w:r>
      <w:r>
        <w:rPr>
          <w:rFonts w:hint="eastAsia" w:asciiTheme="minorEastAsia" w:hAnsiTheme="minorEastAsia" w:eastAsiaTheme="minorEastAsia" w:cstheme="minorEastAsia"/>
          <w:bCs/>
          <w:color w:val="auto"/>
          <w:szCs w:val="21"/>
          <w:highlight w:val="none"/>
          <w:lang w:val="en-US" w:eastAsia="zh-CN"/>
        </w:rPr>
        <w:t>监督人员向与会人员展示抽球箱及号码球密封完整；</w:t>
      </w:r>
    </w:p>
    <w:p w14:paraId="007E3D0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lang w:val="en-US" w:eastAsia="zh-CN" w:bidi="ar-SA"/>
        </w:rPr>
        <w:t>(2)</w:t>
      </w:r>
      <w:r>
        <w:rPr>
          <w:rFonts w:hint="eastAsia" w:asciiTheme="minorEastAsia" w:hAnsiTheme="minorEastAsia" w:eastAsiaTheme="minorEastAsia" w:cstheme="minorEastAsia"/>
          <w:bCs/>
          <w:color w:val="auto"/>
          <w:szCs w:val="21"/>
          <w:highlight w:val="none"/>
          <w:lang w:val="en-US" w:eastAsia="zh-CN"/>
        </w:rPr>
        <w:t>定标委员会组长随机抽取本次定标使用哪套号码球；</w:t>
      </w:r>
    </w:p>
    <w:p w14:paraId="3CC6E69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kern w:val="2"/>
          <w:sz w:val="21"/>
          <w:szCs w:val="21"/>
          <w:lang w:val="en-US" w:eastAsia="zh-CN" w:bidi="ar-SA"/>
        </w:rPr>
        <w:t>(3)</w:t>
      </w:r>
      <w:r>
        <w:rPr>
          <w:rFonts w:hint="eastAsia" w:asciiTheme="minorEastAsia" w:hAnsiTheme="minorEastAsia" w:eastAsiaTheme="minorEastAsia" w:cstheme="minorEastAsia"/>
          <w:bCs/>
          <w:color w:val="auto"/>
          <w:szCs w:val="21"/>
          <w:highlight w:val="none"/>
          <w:lang w:val="en-US" w:eastAsia="zh-CN"/>
        </w:rPr>
        <w:t>中标候选人的法定代表人或其授权委托代理人按照会议签到顺序依次检查抽球箱及号码球是否存在异常；</w:t>
      </w:r>
    </w:p>
    <w:p w14:paraId="4CC3E80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kern w:val="2"/>
          <w:sz w:val="21"/>
          <w:szCs w:val="21"/>
          <w:lang w:val="en-US" w:eastAsia="zh-CN" w:bidi="ar-SA"/>
        </w:rPr>
        <w:t>(4)</w:t>
      </w:r>
      <w:r>
        <w:rPr>
          <w:rFonts w:hint="eastAsia" w:asciiTheme="minorEastAsia" w:hAnsiTheme="minorEastAsia" w:eastAsiaTheme="minorEastAsia" w:cstheme="minorEastAsia"/>
          <w:bCs/>
          <w:color w:val="auto"/>
          <w:szCs w:val="21"/>
          <w:highlight w:val="none"/>
          <w:lang w:val="en-US" w:eastAsia="zh-CN"/>
        </w:rPr>
        <w:t>中标候选人代表按照会议签到顺序依次抽取代表各自的号码球(未派代表参加会议的中标候选人可委托定标委员会成员代替抽取号码球)；</w:t>
      </w:r>
    </w:p>
    <w:p w14:paraId="346A4AA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kern w:val="2"/>
          <w:sz w:val="21"/>
          <w:szCs w:val="21"/>
          <w:lang w:val="en-US" w:eastAsia="zh-CN" w:bidi="ar-SA"/>
        </w:rPr>
        <w:t>(5)</w:t>
      </w:r>
      <w:r>
        <w:rPr>
          <w:rFonts w:hint="eastAsia" w:asciiTheme="minorEastAsia" w:hAnsiTheme="minorEastAsia" w:eastAsiaTheme="minorEastAsia" w:cstheme="minorEastAsia"/>
          <w:bCs/>
          <w:color w:val="auto"/>
          <w:szCs w:val="21"/>
          <w:highlight w:val="none"/>
          <w:lang w:val="en-US" w:eastAsia="zh-CN"/>
        </w:rPr>
        <w:t>招标人授权的定标委员会代表随机选取1个号码球，被抽到号码球所代表的中标候选人即为中标人；</w:t>
      </w:r>
    </w:p>
    <w:p w14:paraId="5ACAAAB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招标人授权的定标委员会代表将中标候选人对应的代码球和抽取结果进行记录，并由招标人授权的定标委员会和监督部门进行签字确认。</w:t>
      </w:r>
    </w:p>
    <w:p w14:paraId="0BEDD9B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定标程序将全程进行视频记录及相关部门全程见证并存档备查。</w:t>
      </w:r>
    </w:p>
    <w:p w14:paraId="05453E1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定标地点为新乡市公共资源交易中心，定标会议具体时间及地点以中标候选人公示为准。招标人在收到评标报告后10日内完成定标工作，招标人对定标过程进行音、视频记录，并存档备查。定标会议应在新乡市公共资源交易中心按流程进行，不能按时完成定标工作的，应当通过公共资源交易平台发布延期原因和最终定标时间。</w:t>
      </w:r>
    </w:p>
    <w:p w14:paraId="4016382B">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7.定标报告</w:t>
      </w:r>
    </w:p>
    <w:p w14:paraId="62E5A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定标委员会按照招标文件中明确的定标原则、方法和程序，在中标候选人中确定中标人，并形成书面定标报告。</w:t>
      </w:r>
    </w:p>
    <w:p w14:paraId="616F0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定标报告包括项目基本情况、评标情况、中标候选人核查情况、定标时间、定标地点、定标委员会成员名单、定标原则、定标方法、择优因素、定标程序及定标结果等内容，定标报告由定标委员会全体成员签字。</w:t>
      </w:r>
    </w:p>
    <w:p w14:paraId="4AA5F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招标人在收到定标报告之日起3日内公示中标人，公示期不少于3日。中标公示应当载明定标时间、定标地点、定标方法、中标人名称、中标价格、质量、工期、资格条件、项目总监的资格信息；中标人的核查、考察、比较优势；核查未通过的中标候选人名单和原因，以及异议和投诉渠道等内容。</w:t>
      </w:r>
    </w:p>
    <w:p w14:paraId="3493C02D">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8.定标后结果处置</w:t>
      </w:r>
    </w:p>
    <w:p w14:paraId="62896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kern w:val="2"/>
          <w:sz w:val="21"/>
          <w:szCs w:val="21"/>
          <w:lang w:val="en-US" w:eastAsia="zh-CN" w:bidi="ar-SA"/>
        </w:rPr>
        <w:t>(1)</w:t>
      </w:r>
      <w:r>
        <w:rPr>
          <w:rFonts w:hint="eastAsia" w:asciiTheme="minorEastAsia" w:hAnsiTheme="minorEastAsia" w:eastAsiaTheme="minorEastAsia" w:cstheme="minorEastAsia"/>
          <w:bCs/>
          <w:color w:val="auto"/>
          <w:szCs w:val="21"/>
          <w:highlight w:val="none"/>
        </w:rPr>
        <w:t>招标人应当自确定中标人之日起15日内，将招标投标情况的书面报告(含定标报告)报具体负责该项目招标投标活动行政监督的交通运输主管部门备案。有异议及投诉处理情况和投标失信行为及处理建议的，也应当包括在书面报告中。</w:t>
      </w:r>
    </w:p>
    <w:p w14:paraId="36F288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kern w:val="2"/>
          <w:sz w:val="21"/>
          <w:szCs w:val="21"/>
          <w:lang w:val="en-US" w:eastAsia="zh-CN" w:bidi="ar-SA"/>
        </w:rPr>
        <w:t>(2)</w:t>
      </w:r>
      <w:r>
        <w:rPr>
          <w:rFonts w:hint="eastAsia" w:asciiTheme="minorEastAsia" w:hAnsiTheme="minorEastAsia" w:eastAsiaTheme="minorEastAsia" w:cstheme="minorEastAsia"/>
          <w:bCs/>
          <w:color w:val="auto"/>
          <w:szCs w:val="21"/>
          <w:highlight w:val="none"/>
        </w:rPr>
        <w:t>招标人应及时向中标人发出中标通知书，同时将中标结果通知所有未中标的投标人，自中标通知书发出之日起30日内，按照招标文件和中标人的投标文件签订书面合同。招标人和中标人不得再行订立背离合同实质性内容的其他协议。</w:t>
      </w:r>
    </w:p>
    <w:p w14:paraId="1E051E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kern w:val="2"/>
          <w:sz w:val="21"/>
          <w:szCs w:val="21"/>
          <w:lang w:val="en-US" w:eastAsia="zh-CN" w:bidi="ar-SA"/>
        </w:rPr>
        <w:t>(3)</w:t>
      </w:r>
      <w:r>
        <w:rPr>
          <w:rFonts w:hint="eastAsia" w:asciiTheme="minorEastAsia" w:hAnsiTheme="minorEastAsia" w:eastAsiaTheme="minorEastAsia" w:cstheme="minorEastAsia"/>
          <w:bCs/>
          <w:color w:val="auto"/>
          <w:szCs w:val="21"/>
          <w:highlight w:val="none"/>
        </w:rPr>
        <w:t>对中标人放弃中标、不可抗力不能履行合同、不按照招标文件要求缴纳履约保证金、不符合投标或中标条件或被查实存在影响中标结果的违法行为等情形，招标人可以在已入围的中标候选人中重新选取确定中标人，或者重新组织招标。</w:t>
      </w:r>
    </w:p>
    <w:p w14:paraId="4CC292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对中标人以非正当理由放弃中标或被依法依规取消中标的，招标人应当移交具体负责该项目招标投标活动行政监督的交通运输主管部门依法规进行处理</w:t>
      </w:r>
      <w:r>
        <w:rPr>
          <w:rFonts w:hint="eastAsia" w:asciiTheme="minorEastAsia" w:hAnsiTheme="minorEastAsia" w:eastAsiaTheme="minorEastAsia" w:cstheme="minorEastAsia"/>
          <w:bCs/>
          <w:color w:val="auto"/>
          <w:szCs w:val="21"/>
          <w:highlight w:val="none"/>
          <w:lang w:eastAsia="zh-CN"/>
        </w:rPr>
        <w:t>。</w:t>
      </w:r>
    </w:p>
    <w:p w14:paraId="0531DFB1">
      <w:pP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br w:type="page"/>
      </w:r>
    </w:p>
    <w:p w14:paraId="2034D017">
      <w:pPr>
        <w:pStyle w:val="8"/>
        <w:rPr>
          <w:rFonts w:hint="eastAsia" w:ascii="宋体" w:hAnsi="宋体" w:eastAsia="宋体" w:cs="宋体"/>
          <w:sz w:val="36"/>
          <w:szCs w:val="36"/>
          <w:highlight w:val="none"/>
        </w:rPr>
      </w:pPr>
    </w:p>
    <w:p w14:paraId="65EA6932">
      <w:pPr>
        <w:pStyle w:val="3"/>
        <w:spacing w:before="0" w:after="0" w:line="360" w:lineRule="auto"/>
        <w:jc w:val="center"/>
        <w:rPr>
          <w:rFonts w:hint="eastAsia" w:ascii="宋体" w:hAnsi="宋体" w:eastAsia="宋体" w:cs="宋体"/>
          <w:bCs w:val="0"/>
          <w:sz w:val="36"/>
          <w:highlight w:val="none"/>
        </w:rPr>
      </w:pPr>
      <w:bookmarkStart w:id="128" w:name="_Toc21256"/>
      <w:bookmarkStart w:id="129" w:name="_Toc533409761"/>
      <w:bookmarkStart w:id="130" w:name="_Toc519325349"/>
      <w:r>
        <w:rPr>
          <w:rFonts w:hint="eastAsia" w:ascii="宋体" w:hAnsi="宋体" w:eastAsia="宋体" w:cs="宋体"/>
          <w:bCs w:val="0"/>
          <w:sz w:val="36"/>
          <w:highlight w:val="none"/>
        </w:rPr>
        <w:t>第</w:t>
      </w:r>
      <w:r>
        <w:rPr>
          <w:rFonts w:hint="eastAsia" w:ascii="宋体" w:hAnsi="宋体" w:eastAsia="宋体" w:cs="宋体"/>
          <w:bCs w:val="0"/>
          <w:sz w:val="36"/>
          <w:highlight w:val="none"/>
          <w:lang w:eastAsia="zh-CN"/>
        </w:rPr>
        <w:t>五</w:t>
      </w:r>
      <w:r>
        <w:rPr>
          <w:rFonts w:hint="eastAsia" w:ascii="宋体" w:hAnsi="宋体" w:eastAsia="宋体" w:cs="宋体"/>
          <w:bCs w:val="0"/>
          <w:sz w:val="36"/>
          <w:highlight w:val="none"/>
        </w:rPr>
        <w:t>章合同条款及格式</w:t>
      </w:r>
      <w:bookmarkEnd w:id="128"/>
      <w:bookmarkEnd w:id="129"/>
      <w:bookmarkEnd w:id="130"/>
    </w:p>
    <w:p w14:paraId="5954BDA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32"/>
          <w:highlight w:val="none"/>
        </w:rPr>
      </w:pPr>
      <w:r>
        <w:rPr>
          <w:rFonts w:hint="eastAsia" w:ascii="宋体" w:hAnsi="宋体" w:eastAsia="宋体" w:cs="宋体"/>
          <w:szCs w:val="21"/>
          <w:highlight w:val="none"/>
        </w:rPr>
        <w:br w:type="page"/>
      </w:r>
      <w:bookmarkStart w:id="131" w:name="_Toc533409762"/>
      <w:bookmarkStart w:id="132" w:name="_Toc519325350"/>
      <w:bookmarkStart w:id="133" w:name="_Toc226887367"/>
      <w:bookmarkStart w:id="134" w:name="_Toc226887652"/>
      <w:bookmarkStart w:id="135" w:name="_Toc222740148"/>
      <w:bookmarkStart w:id="136" w:name="_Toc493143917"/>
      <w:r>
        <w:rPr>
          <w:rFonts w:hint="eastAsia" w:ascii="宋体" w:hAnsi="宋体" w:eastAsia="宋体" w:cs="宋体"/>
          <w:highlight w:val="none"/>
        </w:rPr>
        <w:t>第一节通用合同条款</w:t>
      </w:r>
      <w:bookmarkEnd w:id="131"/>
      <w:bookmarkEnd w:id="132"/>
    </w:p>
    <w:p w14:paraId="0B2A5D5B">
      <w:pPr>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2"/>
        <w:rPr>
          <w:rFonts w:hint="eastAsia" w:ascii="宋体" w:hAnsi="宋体" w:eastAsia="宋体" w:cs="宋体"/>
          <w:b/>
          <w:sz w:val="30"/>
          <w:szCs w:val="30"/>
          <w:highlight w:val="none"/>
        </w:rPr>
      </w:pPr>
      <w:bookmarkStart w:id="137" w:name="_Toc533409763"/>
      <w:r>
        <w:rPr>
          <w:rFonts w:hint="eastAsia" w:ascii="宋体" w:hAnsi="宋体" w:eastAsia="宋体" w:cs="宋体"/>
          <w:b/>
          <w:sz w:val="30"/>
          <w:szCs w:val="30"/>
          <w:highlight w:val="none"/>
        </w:rPr>
        <w:t>通用合同条款</w:t>
      </w:r>
      <w:bookmarkEnd w:id="137"/>
    </w:p>
    <w:p w14:paraId="043EEA95">
      <w:pPr>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2"/>
        <w:rPr>
          <w:rFonts w:hint="eastAsia" w:ascii="宋体" w:hAnsi="宋体" w:eastAsia="宋体" w:cs="宋体"/>
          <w:b/>
          <w:bCs/>
          <w:szCs w:val="21"/>
          <w:highlight w:val="none"/>
          <w:lang w:eastAsia="zh-CN"/>
        </w:rPr>
      </w:pPr>
      <w:bookmarkStart w:id="138" w:name="_Toc533409764"/>
      <w:r>
        <w:rPr>
          <w:rFonts w:hint="eastAsia" w:ascii="宋体" w:hAnsi="宋体" w:eastAsia="宋体" w:cs="宋体"/>
          <w:b/>
          <w:bCs/>
          <w:szCs w:val="21"/>
          <w:highlight w:val="none"/>
        </w:rPr>
        <w:t>1.一般约定</w:t>
      </w:r>
      <w:bookmarkEnd w:id="138"/>
    </w:p>
    <w:p w14:paraId="6B5ACB1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1.1词语定义</w:t>
      </w:r>
    </w:p>
    <w:p w14:paraId="29C8074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通用合同条款、专用合同条款中的下列词语应具有本款所赋予的含义。</w:t>
      </w:r>
    </w:p>
    <w:p w14:paraId="03FBF05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1.1.1合同</w:t>
      </w:r>
    </w:p>
    <w:p w14:paraId="7B48F0A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1.1.1.1合同文件（或称合同）：指合同协议书、中标通知书、投标函和投标函附录、专用合同条款、通用合同条款、委托人要求、监理报酬清单、监理大纲，以及其他构成合同组成部分的文件。</w:t>
      </w:r>
    </w:p>
    <w:p w14:paraId="6C5DE22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1.1.1.2合同协议书：指委托人和监理人共同签署的合同协议书。</w:t>
      </w:r>
    </w:p>
    <w:p w14:paraId="0707B7F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1.1.1.3中标通知书：指委托人通知监理人中标的函件。</w:t>
      </w:r>
    </w:p>
    <w:p w14:paraId="3B54EF8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1.1.1.4投标函：指由监理人填写并签署的，名为“投标函”的函件。</w:t>
      </w:r>
    </w:p>
    <w:p w14:paraId="3CD1843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1.1.1.5投标函附录：指由监理人填写并签署的、附在投标函后，名为“投标函附录”的函件。</w:t>
      </w:r>
    </w:p>
    <w:p w14:paraId="2332892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1.1.1.6委托人要求：指合同文件中名为“委托人要求”的文件。</w:t>
      </w:r>
    </w:p>
    <w:p w14:paraId="36CDCE9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1.1.1.7监理大纲：指监理人在投标文件中的监理大纲。</w:t>
      </w:r>
    </w:p>
    <w:p w14:paraId="02E6F86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1.1.1.8监理报酬清单：指监理人投标文件中的监理报酬清单。</w:t>
      </w:r>
    </w:p>
    <w:p w14:paraId="741EC58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1.1.1.9其他合同文件：指经合同双方当事人确认构成合同文件的其他文件。</w:t>
      </w:r>
    </w:p>
    <w:p w14:paraId="449C81C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1.1.2合同当事人和人员</w:t>
      </w:r>
    </w:p>
    <w:p w14:paraId="676CB7D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1.1.2.1合同当事人：指委托人和（或）监理人。</w:t>
      </w:r>
    </w:p>
    <w:p w14:paraId="3EF7280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1.1.2.2委托人：指与监理人签订合同协议书的当事人，及其合法继承人。</w:t>
      </w:r>
    </w:p>
    <w:p w14:paraId="3EDA639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1.1.2.3监理人：指与委托人签订合同协议书的当事人，及其合法继承人。</w:t>
      </w:r>
    </w:p>
    <w:p w14:paraId="4AD7B92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1.1.2.4委托人代表：指由委托人任命，并在授权范围和期限内代表委托人行使权利和履行义务的全权负责人。</w:t>
      </w:r>
    </w:p>
    <w:p w14:paraId="2BCCD88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1.1.2.5总监理工程师：指由监理人任命，代表监理人行使权利和履行义务的全权负责人。</w:t>
      </w:r>
    </w:p>
    <w:p w14:paraId="759A5E2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1.1.2.6承包人：指在本工程监理范围内，与委托人签订勘察、设计、施工承包合同的当事人。</w:t>
      </w:r>
    </w:p>
    <w:p w14:paraId="28D5E71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1.1.3工程和监理</w:t>
      </w:r>
    </w:p>
    <w:p w14:paraId="444D3F6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1.1.3.1工程：指永久工程和（或）临时工程。</w:t>
      </w:r>
    </w:p>
    <w:p w14:paraId="185771A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1.1.3.2监理服务：指监理人接受委托人的委托，依照法律、规范标准和监理合同等，对建设工程勘察、设计或施工等阶段进行质量控制、进度控制、投资控制、合同管理、信息管理、组织协调和安全监理、环保监理的服务活动。</w:t>
      </w:r>
    </w:p>
    <w:p w14:paraId="7054724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1.1.3.3监理资料：是委托人按合同约定向监理人提供的，用于完成监理范围与内容所需要的资料。</w:t>
      </w:r>
    </w:p>
    <w:p w14:paraId="34829A5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1.1.3.4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14:paraId="75FC245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1.1.4日期</w:t>
      </w:r>
    </w:p>
    <w:p w14:paraId="6DAC4AE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1.1.4.1开始监理通知：指委托人按第6.1款通知监理人开始监理的函件。</w:t>
      </w:r>
    </w:p>
    <w:p w14:paraId="726B22F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1.1.4.2开始监理日期：指委托人按第6.1款发出的开始监理通知中写明的开始监理日期。</w:t>
      </w:r>
    </w:p>
    <w:p w14:paraId="491B34B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1.1.4.3监理服务期限：指监理人在投标函中承诺的完成合同监理服务所需的期限，包括按第6.2款约定所做的调整。</w:t>
      </w:r>
    </w:p>
    <w:p w14:paraId="5A74CB4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1.1.4.4完成监理日期：指第1.1.4.3目约定监理服务期限届满时的日期。</w:t>
      </w:r>
    </w:p>
    <w:p w14:paraId="273F85B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1.1.4.5基准日：指投标截止时间前28天的日期。</w:t>
      </w:r>
    </w:p>
    <w:p w14:paraId="2592240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1.1.4.6天：除特别指明外，指日历天。合同中按天计算时间的，开始当天不计入，从次日开始计算。期限最后一天的截止时间为当天24:00。</w:t>
      </w:r>
    </w:p>
    <w:p w14:paraId="43AAEDD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1.1.5合同价格和费用</w:t>
      </w:r>
    </w:p>
    <w:p w14:paraId="74CE313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1.1.5.1签约合同价：指签订合同时合同协议书中写明的监理报酬总金额。</w:t>
      </w:r>
    </w:p>
    <w:p w14:paraId="5377133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1.1.5.2合同价格：指监理人按合同约定完成了全部监理工作后，委托人应付给监理人的金额，包括在履行合同过程中按合同约定进行的变更和调整。</w:t>
      </w:r>
    </w:p>
    <w:p w14:paraId="0A3B094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1.1.5.3费用：指为履行合同所发生的或将要发生的所有合理开支，包括管理费和应分摊的其他费用，但不包括利润。</w:t>
      </w:r>
    </w:p>
    <w:p w14:paraId="1940707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1.1.6其他</w:t>
      </w:r>
    </w:p>
    <w:p w14:paraId="127089E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1.1.6.1书面形式：指合同文件、信件和数据电文（包括电报、电传、传真、电子数据交换和电子邮件）等可以有形地表现所载内容的形式。</w:t>
      </w:r>
    </w:p>
    <w:p w14:paraId="731E2BE3">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1.2</w:t>
      </w:r>
      <w:r>
        <w:rPr>
          <w:rFonts w:hint="eastAsia" w:ascii="宋体" w:hAnsi="宋体" w:eastAsia="宋体" w:cs="宋体"/>
          <w:szCs w:val="21"/>
          <w:highlight w:val="none"/>
        </w:rPr>
        <w:t>语言文字</w:t>
      </w:r>
    </w:p>
    <w:p w14:paraId="0D63954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合同使用的语言文字为中文。专用术语使用外文的，应附有中文注释。</w:t>
      </w:r>
    </w:p>
    <w:p w14:paraId="7BA1263D">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1.3</w:t>
      </w:r>
      <w:r>
        <w:rPr>
          <w:rFonts w:hint="eastAsia" w:ascii="宋体" w:hAnsi="宋体" w:eastAsia="宋体" w:cs="宋体"/>
          <w:szCs w:val="21"/>
          <w:highlight w:val="none"/>
        </w:rPr>
        <w:t>适用法律</w:t>
      </w:r>
    </w:p>
    <w:p w14:paraId="1D16332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适用于合同的法律包括中华人民共和国法律、行政法规、部门规章，以及工程所在地的地方法规、自治条例、单行条例和地方政府规章。</w:t>
      </w:r>
    </w:p>
    <w:p w14:paraId="1851802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本合同适用的其他规范性文件，可在专用合同条款中约定。</w:t>
      </w:r>
    </w:p>
    <w:p w14:paraId="01F50B93">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1.4</w:t>
      </w:r>
      <w:r>
        <w:rPr>
          <w:rFonts w:hint="eastAsia" w:ascii="宋体" w:hAnsi="宋体" w:eastAsia="宋体" w:cs="宋体"/>
          <w:szCs w:val="21"/>
          <w:highlight w:val="none"/>
        </w:rPr>
        <w:t>合同文件的优先顺序</w:t>
      </w:r>
    </w:p>
    <w:p w14:paraId="005E732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组成合同的各项文件应互相解释，互为说明。除专用合同条款另有约定外，解释合同文件的优先顺序如下：</w:t>
      </w:r>
    </w:p>
    <w:p w14:paraId="1FEAAA2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（1）合同协议书；</w:t>
      </w:r>
    </w:p>
    <w:p w14:paraId="40FFA18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（2）中标通知书；</w:t>
      </w:r>
    </w:p>
    <w:p w14:paraId="7367A79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（3）投标函及投标函附录；</w:t>
      </w:r>
    </w:p>
    <w:p w14:paraId="6F2FB92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（4）专用合同条款；</w:t>
      </w:r>
    </w:p>
    <w:p w14:paraId="3C80946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（5）通用合同条款；</w:t>
      </w:r>
    </w:p>
    <w:p w14:paraId="3061F2F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（6）委托人要求；</w:t>
      </w:r>
    </w:p>
    <w:p w14:paraId="1E43084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（7）监理报酬清单；</w:t>
      </w:r>
    </w:p>
    <w:p w14:paraId="4AD3548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（8）监理大纲；</w:t>
      </w:r>
    </w:p>
    <w:p w14:paraId="446B8B1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（9）其他合同文件。</w:t>
      </w:r>
    </w:p>
    <w:p w14:paraId="4937E495">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1.5</w:t>
      </w:r>
      <w:r>
        <w:rPr>
          <w:rFonts w:hint="eastAsia" w:ascii="宋体" w:hAnsi="宋体" w:eastAsia="宋体" w:cs="宋体"/>
          <w:szCs w:val="21"/>
          <w:highlight w:val="none"/>
        </w:rPr>
        <w:t>合同协议书</w:t>
      </w:r>
    </w:p>
    <w:p w14:paraId="3C34096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监理人按中标通知书规定的时间与委托人签订合同协议书。除法律另有规定或合同另有约定外，委托人和监理人的法定代表人或其委托代理人在合同协议书上签字并盖单位章后，合同生效。</w:t>
      </w:r>
    </w:p>
    <w:p w14:paraId="7A8722E9">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1.6</w:t>
      </w:r>
      <w:r>
        <w:rPr>
          <w:rFonts w:hint="eastAsia" w:ascii="宋体" w:hAnsi="宋体" w:eastAsia="宋体" w:cs="宋体"/>
          <w:szCs w:val="21"/>
          <w:highlight w:val="none"/>
        </w:rPr>
        <w:t>文件的提供和照管</w:t>
      </w:r>
    </w:p>
    <w:p w14:paraId="4059FCF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1.6.1监理文件的提供</w:t>
      </w:r>
    </w:p>
    <w:p w14:paraId="73A4EC4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除专用合同条款另有约定外，监理人应在合理的期限内按照合同约定的数量向委托人提供监理文件。合同约定监理文件应经委托人批复的，委托人应当在合同约定的期限内批复或提出修改意见。</w:t>
      </w:r>
    </w:p>
    <w:p w14:paraId="228B33A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1.6.2委托人提供的文件</w:t>
      </w:r>
    </w:p>
    <w:p w14:paraId="2702633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按专用合同条款约定由委托人提供的文件，包括规范标准、承包合同、勘察文件、设计文件等，委托人应按约定的数量和期限交给监理人。由于委托人未按时提供文件造成监理服务期限延误的，按第6.2款约定执行。</w:t>
      </w:r>
    </w:p>
    <w:p w14:paraId="2BD1105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1.6.3文件错误的通知</w:t>
      </w:r>
    </w:p>
    <w:p w14:paraId="73FC2A9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任何一方当事人发现文件中存在的明显错误或疏忽，均应及时通知对方当事人，并应立即采取适当的措施防止损失扩大。</w:t>
      </w:r>
    </w:p>
    <w:p w14:paraId="268D3A9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1.6.4文件的照管</w:t>
      </w:r>
    </w:p>
    <w:p w14:paraId="59FF89C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监理人应在现场保留一份合同文件、监理文件、委托人要求中的所列文件以及其他根据合同收发的往来信函，以备委托人和行政管理部门查阅使用。</w:t>
      </w:r>
    </w:p>
    <w:p w14:paraId="5FBC4532">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1.7</w:t>
      </w:r>
      <w:r>
        <w:rPr>
          <w:rFonts w:hint="eastAsia" w:ascii="宋体" w:hAnsi="宋体" w:eastAsia="宋体" w:cs="宋体"/>
          <w:szCs w:val="21"/>
          <w:highlight w:val="none"/>
        </w:rPr>
        <w:t>联络</w:t>
      </w:r>
    </w:p>
    <w:p w14:paraId="14F94C0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1.7.1与合同有关的通知、批准、证明、证书、指示、要求、请求、同意、意见、确定和决定等，均应采用书面形式。</w:t>
      </w:r>
    </w:p>
    <w:p w14:paraId="11AB678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1.7.2上述通知、批准、证明、证书、指示、要求、请求、同意、意见、确定和决定等来往函件，均应在合同约定的期限内送达指定的地点和指定的接收人，并办理签收手续。</w:t>
      </w:r>
    </w:p>
    <w:p w14:paraId="3D86293B">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1.8</w:t>
      </w:r>
      <w:r>
        <w:rPr>
          <w:rFonts w:hint="eastAsia" w:ascii="宋体" w:hAnsi="宋体" w:eastAsia="宋体" w:cs="宋体"/>
          <w:szCs w:val="21"/>
          <w:highlight w:val="none"/>
        </w:rPr>
        <w:t>转让</w:t>
      </w:r>
    </w:p>
    <w:p w14:paraId="7C04DD6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除专用合同条款另有约定外，未经对方当事人同意，一方当事人不得将合同权利全部或部分转让给第三人，也不得全部或部分转移合同义务。</w:t>
      </w:r>
    </w:p>
    <w:p w14:paraId="702E0DCD">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1.9</w:t>
      </w:r>
      <w:r>
        <w:rPr>
          <w:rFonts w:hint="eastAsia" w:ascii="宋体" w:hAnsi="宋体" w:eastAsia="宋体" w:cs="宋体"/>
          <w:szCs w:val="21"/>
          <w:highlight w:val="none"/>
        </w:rPr>
        <w:t>严禁贿赂</w:t>
      </w:r>
    </w:p>
    <w:p w14:paraId="00D1408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合同双方当事人不得以贿赂或变相贿赂的方式，谋取不当利益或损害对方权益。因贿赂造成对方当事人损失的，行为人应当赔偿损失，并承担相应的法律责任。</w:t>
      </w:r>
    </w:p>
    <w:p w14:paraId="2E0AB537">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1.10</w:t>
      </w:r>
      <w:r>
        <w:rPr>
          <w:rFonts w:hint="eastAsia" w:ascii="宋体" w:hAnsi="宋体" w:eastAsia="宋体" w:cs="宋体"/>
          <w:szCs w:val="21"/>
          <w:highlight w:val="none"/>
        </w:rPr>
        <w:t>知识产权</w:t>
      </w:r>
    </w:p>
    <w:p w14:paraId="2CD49D5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1.10.1除专用合同条款另有约定外，监理人完成的监理工作成果，除署名权以外的著作权和其他知识产权均归委托人享有。</w:t>
      </w:r>
    </w:p>
    <w:p w14:paraId="61E46BA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1.10.2监理人从事监理活动时不得侵犯他人的知识产权。因侵犯专利权或其他知识产权所引起的责任，由监理人自行承担。因委托人提供的监理资料导致侵权的，由委托人承担责任。</w:t>
      </w:r>
    </w:p>
    <w:p w14:paraId="5A115A9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1.10.3监理人在投标文件中采用专利技术、专有技术的，相应的使用费视为已包含在投标报价之中。</w:t>
      </w:r>
    </w:p>
    <w:p w14:paraId="29A6D42D">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1.11</w:t>
      </w:r>
      <w:r>
        <w:rPr>
          <w:rFonts w:hint="eastAsia" w:ascii="宋体" w:hAnsi="宋体" w:eastAsia="宋体" w:cs="宋体"/>
          <w:szCs w:val="21"/>
          <w:highlight w:val="none"/>
        </w:rPr>
        <w:t>文件及信息的保密</w:t>
      </w:r>
    </w:p>
    <w:p w14:paraId="1F19604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未经对方同意，任何一方当事人不得将有关文件、技术秘密、需要保密的资料和信息泄露给他人或公开发表与引用。</w:t>
      </w:r>
    </w:p>
    <w:p w14:paraId="20CFB156">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1.12</w:t>
      </w:r>
      <w:r>
        <w:rPr>
          <w:rFonts w:hint="eastAsia" w:ascii="宋体" w:hAnsi="宋体" w:eastAsia="宋体" w:cs="宋体"/>
          <w:szCs w:val="21"/>
          <w:highlight w:val="none"/>
        </w:rPr>
        <w:t>委托人要求</w:t>
      </w:r>
    </w:p>
    <w:p w14:paraId="36887C7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1.12.1监理人应认真阅读、复核委托人要求，发现错误的，应及时书面通知委托人。无论是否存在错误，委托人均有权修改委托人要求，并在修改后3天内通知监理人。除专用合同条款另有约定外，由此导致监理人费用增加和（或）周期延误的，委托人应当相应地增加费用和（或）延长周期。</w:t>
      </w:r>
    </w:p>
    <w:p w14:paraId="02B40A6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1.12.2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14:paraId="5AD0B1E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1.12.3委托人要求采用国外规范和标准进行监理时，应由委托人负责提供该规范和标准的外国文本和中文译本，提供的时间、份数和其他要求在专用合同条款中约定。</w:t>
      </w:r>
    </w:p>
    <w:p w14:paraId="6D548CAA">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rPr>
      </w:pPr>
      <w:bookmarkStart w:id="139" w:name="_Toc533409765"/>
      <w:r>
        <w:rPr>
          <w:rFonts w:hint="eastAsia" w:ascii="宋体" w:hAnsi="宋体" w:eastAsia="宋体" w:cs="宋体"/>
          <w:b/>
          <w:bCs/>
          <w:sz w:val="22"/>
          <w:szCs w:val="21"/>
          <w:highlight w:val="none"/>
        </w:rPr>
        <w:t>2.委托人义务</w:t>
      </w:r>
      <w:bookmarkEnd w:id="139"/>
    </w:p>
    <w:p w14:paraId="3858FC5B">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2.1</w:t>
      </w:r>
      <w:r>
        <w:rPr>
          <w:rFonts w:hint="eastAsia" w:ascii="宋体" w:hAnsi="宋体" w:eastAsia="宋体" w:cs="宋体"/>
          <w:szCs w:val="21"/>
          <w:highlight w:val="none"/>
        </w:rPr>
        <w:t>遵守法律</w:t>
      </w:r>
    </w:p>
    <w:p w14:paraId="6FB2DF2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委托人在履行合同过程中应遵守法律，并保证监理人免于承担因委托人违反法律而引起的任何责任。</w:t>
      </w:r>
    </w:p>
    <w:p w14:paraId="4CD5F181">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2.2</w:t>
      </w:r>
      <w:r>
        <w:rPr>
          <w:rFonts w:hint="eastAsia" w:ascii="宋体" w:hAnsi="宋体" w:eastAsia="宋体" w:cs="宋体"/>
          <w:szCs w:val="21"/>
          <w:highlight w:val="none"/>
        </w:rPr>
        <w:t>发出开始监理通知</w:t>
      </w:r>
    </w:p>
    <w:p w14:paraId="4E2CF24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委托人应按第6.1款的约定向监理人发出开始监理通知。</w:t>
      </w:r>
    </w:p>
    <w:p w14:paraId="3185B0E6">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2.3</w:t>
      </w:r>
      <w:r>
        <w:rPr>
          <w:rFonts w:hint="eastAsia" w:ascii="宋体" w:hAnsi="宋体" w:eastAsia="宋体" w:cs="宋体"/>
          <w:szCs w:val="21"/>
          <w:highlight w:val="none"/>
        </w:rPr>
        <w:t>提供设备、设施</w:t>
      </w:r>
    </w:p>
    <w:p w14:paraId="78D3697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除专用合同条款另有约定外，委托人应为监理人的现场人员，在监理期间提供办公房间、办公桌椅、互联网接口、冷暖设施、生活设施、进出现场交通服务和其他便利条件。</w:t>
      </w:r>
    </w:p>
    <w:p w14:paraId="554825B0">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2.4</w:t>
      </w:r>
      <w:r>
        <w:rPr>
          <w:rFonts w:hint="eastAsia" w:ascii="宋体" w:hAnsi="宋体" w:eastAsia="宋体" w:cs="宋体"/>
          <w:szCs w:val="21"/>
          <w:highlight w:val="none"/>
        </w:rPr>
        <w:t>办理证件和批件</w:t>
      </w:r>
    </w:p>
    <w:p w14:paraId="39A0925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法律规定和（或）合同约定由委托人负责办理的工程建设项目必须履行的各类审批、核准或备案手续，委托人应当按时办理，监理人应给予必要的协助。</w:t>
      </w:r>
    </w:p>
    <w:p w14:paraId="71BDC80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法律规定和（或）合同约定由监理人负责办理的监理所需的证件和批件，委托人应给予必要的协助。</w:t>
      </w:r>
    </w:p>
    <w:p w14:paraId="1D252618">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2.5</w:t>
      </w:r>
      <w:r>
        <w:rPr>
          <w:rFonts w:hint="eastAsia" w:ascii="宋体" w:hAnsi="宋体" w:eastAsia="宋体" w:cs="宋体"/>
          <w:szCs w:val="21"/>
          <w:highlight w:val="none"/>
        </w:rPr>
        <w:t>支付合同价款</w:t>
      </w:r>
    </w:p>
    <w:p w14:paraId="248E2C5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委托人应按合同约定向监理人及时支付合同价款。</w:t>
      </w:r>
    </w:p>
    <w:p w14:paraId="3AE74AE9">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2.6</w:t>
      </w:r>
      <w:r>
        <w:rPr>
          <w:rFonts w:hint="eastAsia" w:ascii="宋体" w:hAnsi="宋体" w:eastAsia="宋体" w:cs="宋体"/>
          <w:szCs w:val="21"/>
          <w:highlight w:val="none"/>
        </w:rPr>
        <w:t>提供监理资料</w:t>
      </w:r>
    </w:p>
    <w:p w14:paraId="43FCBF1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委托人应按第1.6.2项的约定向监理人提供监理资料。</w:t>
      </w:r>
    </w:p>
    <w:p w14:paraId="2FA30420">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2.7</w:t>
      </w:r>
      <w:r>
        <w:rPr>
          <w:rFonts w:hint="eastAsia" w:ascii="宋体" w:hAnsi="宋体" w:eastAsia="宋体" w:cs="宋体"/>
          <w:szCs w:val="21"/>
          <w:highlight w:val="none"/>
        </w:rPr>
        <w:t>其他义务</w:t>
      </w:r>
    </w:p>
    <w:p w14:paraId="18A0271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委托人应履行合同约定的其他义务。</w:t>
      </w:r>
    </w:p>
    <w:p w14:paraId="05B779A8">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rPr>
      </w:pPr>
      <w:bookmarkStart w:id="140" w:name="_Toc533409766"/>
      <w:r>
        <w:rPr>
          <w:rFonts w:hint="eastAsia" w:ascii="宋体" w:hAnsi="宋体" w:eastAsia="宋体" w:cs="宋体"/>
          <w:b/>
          <w:bCs/>
          <w:sz w:val="22"/>
          <w:szCs w:val="21"/>
          <w:highlight w:val="none"/>
        </w:rPr>
        <w:t>3.委托人管理</w:t>
      </w:r>
      <w:bookmarkEnd w:id="140"/>
    </w:p>
    <w:p w14:paraId="7A087B5A">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3.1</w:t>
      </w:r>
      <w:r>
        <w:rPr>
          <w:rFonts w:hint="eastAsia" w:ascii="宋体" w:hAnsi="宋体" w:eastAsia="宋体" w:cs="宋体"/>
          <w:szCs w:val="21"/>
          <w:highlight w:val="none"/>
        </w:rPr>
        <w:t>委托人代表</w:t>
      </w:r>
    </w:p>
    <w:p w14:paraId="3829E9E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3.1.1除专用合同条款另有约定外，委托人应在合同签订后14天内，将委托人代表的姓名、职务、联系方式、授权范围和授权期限书面通知监理人，由委托人代表在其授权范围和授权期限内，代表委托人行使权利、履行义务和处理合同履行中的具体事宜。委托人代表在授权范围内的行为由委托人承担法律责任。</w:t>
      </w:r>
    </w:p>
    <w:p w14:paraId="49DD61E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3.1.2委托人代表违反法律法规、违背职业道德守则或者不按合同约定履行职责及义务，导致合同无法继续正常履行的，监理人有权通知委托人更换委托人代表。委托人收到通知后7天内，应当核实完毕并将处理结果通知监理人。</w:t>
      </w:r>
    </w:p>
    <w:p w14:paraId="783D47A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3.1.3委托人更换委托人代表的，应提前14天将更换人员的姓名、职务、联系方式、授权范围和授权期限书面通知监理人。委托人代表超过2天不能履行职责的，应委派代表代行其职责，并通知监理人。</w:t>
      </w:r>
    </w:p>
    <w:p w14:paraId="33986B68">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3.2</w:t>
      </w:r>
      <w:r>
        <w:rPr>
          <w:rFonts w:hint="eastAsia" w:ascii="宋体" w:hAnsi="宋体" w:eastAsia="宋体" w:cs="宋体"/>
          <w:szCs w:val="21"/>
          <w:highlight w:val="none"/>
        </w:rPr>
        <w:t>委托人的指示</w:t>
      </w:r>
    </w:p>
    <w:p w14:paraId="0970A36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3.2.1委托人应按合同约定向监理人发出指示，委托人的指示应盖有委托人单位章，并由委托人代表签字确认。</w:t>
      </w:r>
    </w:p>
    <w:p w14:paraId="032728D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3.2.2监理人收到委托人作出的指示后应遵照执行。指示构成变更的，应按第8条执行。</w:t>
      </w:r>
    </w:p>
    <w:p w14:paraId="27B9334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3.2.3在紧急情况下，委托人代表或其授权人员可以当场签发临时书面指示，监理人应遵照执行。委托人代表应在临时书面指示发出后24小时内发出书面确认函，逾期未发出书面确认函的，该临时书面指示应被视为委托人的正式指示。</w:t>
      </w:r>
    </w:p>
    <w:p w14:paraId="66B611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3.2.4由于委托人未能按合同约定发出指示、指示延误或指示错误而导致监理人费用增加和（或）周期延误的，委托人应承担由此增加的费用和（或）周期延误。</w:t>
      </w:r>
    </w:p>
    <w:p w14:paraId="74539B10">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3.3</w:t>
      </w:r>
      <w:r>
        <w:rPr>
          <w:rFonts w:hint="eastAsia" w:ascii="宋体" w:hAnsi="宋体" w:eastAsia="宋体" w:cs="宋体"/>
          <w:szCs w:val="21"/>
          <w:highlight w:val="none"/>
        </w:rPr>
        <w:t>决定或答复</w:t>
      </w:r>
    </w:p>
    <w:p w14:paraId="718A732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3.3.1委托人在法律允许的范围内有权对监理人的监理工作和（或）监理文件作出处理决定，监理人应按照委托人的决定执行，涉及监理服务期限或监理报酬等问题按第8条的约定处理。</w:t>
      </w:r>
    </w:p>
    <w:p w14:paraId="2A37E57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3.3.2委托人应在专用合同条款约定的时间之内，对监理人书面提出的事项作出书面答复；逾期没有作出答复的，视为已获得委托人的批准。</w:t>
      </w:r>
    </w:p>
    <w:p w14:paraId="4D16B9BB">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rPr>
      </w:pPr>
      <w:bookmarkStart w:id="141" w:name="_Toc533409767"/>
      <w:r>
        <w:rPr>
          <w:rFonts w:hint="eastAsia" w:ascii="宋体" w:hAnsi="宋体" w:eastAsia="宋体" w:cs="宋体"/>
          <w:b/>
          <w:bCs/>
          <w:sz w:val="22"/>
          <w:szCs w:val="21"/>
          <w:highlight w:val="none"/>
        </w:rPr>
        <w:t>4.监理人义务</w:t>
      </w:r>
      <w:bookmarkEnd w:id="141"/>
    </w:p>
    <w:p w14:paraId="6BC8153F">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4.1</w:t>
      </w:r>
      <w:r>
        <w:rPr>
          <w:rFonts w:hint="eastAsia" w:ascii="宋体" w:hAnsi="宋体" w:eastAsia="宋体" w:cs="宋体"/>
          <w:szCs w:val="21"/>
          <w:highlight w:val="none"/>
        </w:rPr>
        <w:t>监理人的一般义务</w:t>
      </w:r>
    </w:p>
    <w:p w14:paraId="7AE0633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4.1.1遵守法律</w:t>
      </w:r>
    </w:p>
    <w:p w14:paraId="6EB4834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监理人在履行合同过程中应遵守法律，并保证委托人免于承担因监理人违反法律而引起的任何责任。</w:t>
      </w:r>
    </w:p>
    <w:p w14:paraId="6A11CEF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4.1.2依法纳税</w:t>
      </w:r>
    </w:p>
    <w:p w14:paraId="519A1C8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监理人应按有关法律规定纳税，应缴纳的税金（含增值税）包括在合同价格之中。</w:t>
      </w:r>
    </w:p>
    <w:p w14:paraId="0D7A756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4.1.3完成全部监理工作</w:t>
      </w:r>
    </w:p>
    <w:p w14:paraId="0083EF1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监理人应按合同约定以及委托人要求，完成合同约定的全部工作，并对工作中的任何缺陷进行整改，使其满足合同约定的目的。</w:t>
      </w:r>
    </w:p>
    <w:p w14:paraId="6E4755F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4.1.4其他义务</w:t>
      </w:r>
    </w:p>
    <w:p w14:paraId="7586D01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监理人应履行合同约定的其他义务。</w:t>
      </w:r>
    </w:p>
    <w:p w14:paraId="03B2A715">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4.2</w:t>
      </w:r>
      <w:r>
        <w:rPr>
          <w:rFonts w:hint="eastAsia" w:ascii="宋体" w:hAnsi="宋体" w:eastAsia="宋体" w:cs="宋体"/>
          <w:szCs w:val="21"/>
          <w:highlight w:val="none"/>
        </w:rPr>
        <w:t>履约保证金</w:t>
      </w:r>
    </w:p>
    <w:p w14:paraId="4905A07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除专用合同条款另有约定外，履约保证金自合同生效之日起生效，在委托人签发竣工验收证书之日起28天后失效。如果监理人不履行合同约定的义务或其履行不符合合同的约定，委托人有权扣划相应金额的履约保证金。</w:t>
      </w:r>
    </w:p>
    <w:p w14:paraId="29B9E7BB">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4.3</w:t>
      </w:r>
      <w:r>
        <w:rPr>
          <w:rFonts w:hint="eastAsia" w:ascii="宋体" w:hAnsi="宋体" w:eastAsia="宋体" w:cs="宋体"/>
          <w:szCs w:val="21"/>
          <w:highlight w:val="none"/>
        </w:rPr>
        <w:t>联合体</w:t>
      </w:r>
    </w:p>
    <w:p w14:paraId="589E27F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4.3.1联合体各方应共同与委托人签订合同。联合体各方应为履行合同承担连带责任。</w:t>
      </w:r>
    </w:p>
    <w:p w14:paraId="590557C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4.3.2联合体协议经委托人确认后作为合同附件。在履行合同过程中，未经委托人同意，不得修改联合体协议。</w:t>
      </w:r>
    </w:p>
    <w:p w14:paraId="65DF79F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4.3.3联合体牵头人负责与委托人联系，并接受指示，负责组织联合体各成员全面履行合同。</w:t>
      </w:r>
    </w:p>
    <w:p w14:paraId="241C00BA">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4.4</w:t>
      </w:r>
      <w:r>
        <w:rPr>
          <w:rFonts w:hint="eastAsia" w:ascii="宋体" w:hAnsi="宋体" w:eastAsia="宋体" w:cs="宋体"/>
          <w:szCs w:val="21"/>
          <w:highlight w:val="none"/>
        </w:rPr>
        <w:t>总监理工程师</w:t>
      </w:r>
    </w:p>
    <w:p w14:paraId="6CF1E12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4.4.1监理人应按合同协议书的约定指派总监理工程师，并在约定的期限内到职。监理人更换总监理工程师应事先征得委托人同意，并应在更换14天前将拟更换的总监理工程师的姓名和详细资料提交委托人。总监理工程师2天内不能履行职责的，应事先征得委托人同意，并委派代表代行其职责。</w:t>
      </w:r>
    </w:p>
    <w:p w14:paraId="4EED1D9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4.4.2总监理工程师应按合同约定以及委托人要求，负责组织合同工作的实施。在情况紧急且无法与委托人取得联系时，可采取保证工程和人员生命财产安全的紧急措施，并在采取措施后24小时内向委托人提交书面报告。</w:t>
      </w:r>
    </w:p>
    <w:p w14:paraId="670C70E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4.4.3监理人为履行合同发出的一切函件均应盖有监理人单位章或由监理人授权的项目机构章，并由监理人的总监理工程师签字确认。</w:t>
      </w:r>
    </w:p>
    <w:p w14:paraId="5CCF1F9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4.4.4按照专用合同条款约定，总监理工程师可以授权其下属人员履行其某项职责，但事先应将这些人员的姓名和授权范围书面通知委托人和承包人。</w:t>
      </w:r>
    </w:p>
    <w:p w14:paraId="6858C1FC">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4.5</w:t>
      </w:r>
      <w:r>
        <w:rPr>
          <w:rFonts w:hint="eastAsia" w:ascii="宋体" w:hAnsi="宋体" w:eastAsia="宋体" w:cs="宋体"/>
          <w:szCs w:val="21"/>
          <w:highlight w:val="none"/>
        </w:rPr>
        <w:t>监理人员的管理</w:t>
      </w:r>
    </w:p>
    <w:p w14:paraId="23029F4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4.5.1监理人应在接到开始监理通知之日起7天内，向委托人提交监理项目机构以及人员安排的报告，其内容应包括项目机构设置、主要监理人员和其他人员的名单及资格条件。主要监理人员应相对稳定，更换主要监理人员的，应取得委托人的同意，并向委托人提交继任人员的资格、管理经验等资料。总监理工程师的更换，应按照本章第4.4.1项规定执行。</w:t>
      </w:r>
    </w:p>
    <w:p w14:paraId="374FAF1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4.5.2除专用合同条款另有约定外，主要监理人员包括总监理工程师、专业监理工程师等；其他人员包括各专业的监理员、资料员等。</w:t>
      </w:r>
    </w:p>
    <w:p w14:paraId="087ACA5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4.5.3监理人应保证其主要监理人员在合同期限内的任何时候，都能按时参加委托人组织的工作会议。</w:t>
      </w:r>
    </w:p>
    <w:p w14:paraId="76ABDD6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4.5.4国家规定应当持证上岗的工作人员均应持有相应的资格证明，委托人有权随时检查。委托人认为有必要时，可以进行现场考核。</w:t>
      </w:r>
    </w:p>
    <w:p w14:paraId="544B9AC0">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4.6</w:t>
      </w:r>
      <w:r>
        <w:rPr>
          <w:rFonts w:hint="eastAsia" w:ascii="宋体" w:hAnsi="宋体" w:eastAsia="宋体" w:cs="宋体"/>
          <w:szCs w:val="21"/>
          <w:highlight w:val="none"/>
        </w:rPr>
        <w:t>撤换总监理工程师和其他人员</w:t>
      </w:r>
    </w:p>
    <w:p w14:paraId="4EBCDC5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监理人应对其总监理工程师和其他人员进行有效管理。委托人要求撤换不能胜任本职工作、行为不端或玩忽职守的总监理工程师和其他人员的，监理人应予以撤换。</w:t>
      </w:r>
    </w:p>
    <w:p w14:paraId="5FFECB95">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4.7</w:t>
      </w:r>
      <w:r>
        <w:rPr>
          <w:rFonts w:hint="eastAsia" w:ascii="宋体" w:hAnsi="宋体" w:eastAsia="宋体" w:cs="宋体"/>
          <w:szCs w:val="21"/>
          <w:highlight w:val="none"/>
        </w:rPr>
        <w:t>保障人员的合法权益</w:t>
      </w:r>
    </w:p>
    <w:p w14:paraId="15583BB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4.7.1监理人应与其雇用的人员签订劳动合同，并按时发放工资。</w:t>
      </w:r>
    </w:p>
    <w:p w14:paraId="0D01A7E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4.7.2监理人应按劳动法的规定安排工作时间，保证其雇用人员享有休息和休假的权利。因监理需要占用休假日或延长工作时间的，应不超过法律规定的限度，并按法律规定给予补休或付酬。</w:t>
      </w:r>
    </w:p>
    <w:p w14:paraId="0B2EF90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4.7.3监理人应按有关法律规定和合同约定，为其雇用人员办理保险。</w:t>
      </w:r>
    </w:p>
    <w:p w14:paraId="141EC930">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4.8</w:t>
      </w:r>
      <w:r>
        <w:rPr>
          <w:rFonts w:hint="eastAsia" w:ascii="宋体" w:hAnsi="宋体" w:eastAsia="宋体" w:cs="宋体"/>
          <w:szCs w:val="21"/>
          <w:highlight w:val="none"/>
        </w:rPr>
        <w:t>合同价款应专款专用</w:t>
      </w:r>
    </w:p>
    <w:p w14:paraId="6983000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委托人按合同约定支付给监理人的各项价款，应专用于合同监理工作。</w:t>
      </w:r>
    </w:p>
    <w:p w14:paraId="49F57332">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rPr>
      </w:pPr>
      <w:bookmarkStart w:id="142" w:name="_Toc533409768"/>
      <w:r>
        <w:rPr>
          <w:rFonts w:hint="eastAsia" w:ascii="宋体" w:hAnsi="宋体" w:eastAsia="宋体" w:cs="宋体"/>
          <w:b/>
          <w:bCs/>
          <w:sz w:val="22"/>
          <w:szCs w:val="21"/>
          <w:highlight w:val="none"/>
        </w:rPr>
        <w:t>5.监理要求</w:t>
      </w:r>
      <w:bookmarkEnd w:id="142"/>
    </w:p>
    <w:p w14:paraId="4BBF6A73">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5.1</w:t>
      </w:r>
      <w:r>
        <w:rPr>
          <w:rFonts w:hint="eastAsia" w:ascii="宋体" w:hAnsi="宋体" w:eastAsia="宋体" w:cs="宋体"/>
          <w:szCs w:val="21"/>
          <w:highlight w:val="none"/>
        </w:rPr>
        <w:t>监理范围</w:t>
      </w:r>
    </w:p>
    <w:p w14:paraId="3A8BBA9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5.1.1本合同的监理范围包括工程范围、阶段范围和工作范围，具体监理范围应当根据三者之间的关联内容进行确定。</w:t>
      </w:r>
    </w:p>
    <w:p w14:paraId="1B32DC3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5.1.2工程范围指所监理工程的建设内容，具体范围在专用合同条款中约定。</w:t>
      </w:r>
    </w:p>
    <w:p w14:paraId="7284870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5.1.3阶段范围指工程建设程序中的勘察阶段、设计阶段、施工阶段、缺陷责任期及保修阶段中的一个或者多个阶段，具体范围在专用合同条款中约定。</w:t>
      </w:r>
    </w:p>
    <w:p w14:paraId="67006A4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5.1.4工作范围指监理工作中的质量控制、进度控制、投资控制、合同管理、信息管理、组织协调和安全监理、环保监理中的一项或者多项工作，具体范围在专用合同条款中约定。</w:t>
      </w:r>
    </w:p>
    <w:p w14:paraId="592A9201">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5.2</w:t>
      </w:r>
      <w:r>
        <w:rPr>
          <w:rFonts w:hint="eastAsia" w:ascii="宋体" w:hAnsi="宋体" w:eastAsia="宋体" w:cs="宋体"/>
          <w:szCs w:val="21"/>
          <w:highlight w:val="none"/>
        </w:rPr>
        <w:t>监理依据</w:t>
      </w:r>
    </w:p>
    <w:p w14:paraId="60DF916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除专用合同条款另有约定外，本工程的监理依据如下：</w:t>
      </w:r>
    </w:p>
    <w:p w14:paraId="0CFCE0F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（1）适用的法律、行政法规及部门规章；</w:t>
      </w:r>
    </w:p>
    <w:p w14:paraId="72B8747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（2）与工程有关的规范、标准、规程；</w:t>
      </w:r>
    </w:p>
    <w:p w14:paraId="4F542EC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（3）工程勘察文件、设计文件及其他文件；</w:t>
      </w:r>
    </w:p>
    <w:p w14:paraId="2D8FAEB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（4）本工程监理的委托合同及补充合同；</w:t>
      </w:r>
    </w:p>
    <w:p w14:paraId="46D42E0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（5）委托人签订的勘察、设计和施工承包合同；</w:t>
      </w:r>
    </w:p>
    <w:p w14:paraId="25A2A8C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（6）合同履行中与监理服务有关的来往函件；</w:t>
      </w:r>
    </w:p>
    <w:p w14:paraId="15A5C8F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（7）其他监理依据。</w:t>
      </w:r>
    </w:p>
    <w:p w14:paraId="0A33FFE0">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5.3</w:t>
      </w:r>
      <w:r>
        <w:rPr>
          <w:rFonts w:hint="eastAsia" w:ascii="宋体" w:hAnsi="宋体" w:eastAsia="宋体" w:cs="宋体"/>
          <w:szCs w:val="21"/>
          <w:highlight w:val="none"/>
        </w:rPr>
        <w:t>监理内容</w:t>
      </w:r>
    </w:p>
    <w:p w14:paraId="7EF39D8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除专用合同条款另有约定外，监理工作内容包括：</w:t>
      </w:r>
    </w:p>
    <w:p w14:paraId="7B56329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（1）收到工程设计文件后编制监理规划，并在第一次工地会议7天前报委托人。根据有关规定和监理工作需要，编制监理实施细则；</w:t>
      </w:r>
    </w:p>
    <w:p w14:paraId="12F1642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（2）熟悉工程设计文件，并参加由委托人主持的图纸会审和设计交底会议；</w:t>
      </w:r>
    </w:p>
    <w:p w14:paraId="01B5DA5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（3）参加由委托人主持的第一次工地会议；主持监理例会并根据工程需要主持或参加专题会议；</w:t>
      </w:r>
    </w:p>
    <w:p w14:paraId="64E91FF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（4）审查施工承包人提交的施工组织设计，重点审查其中的质量安全技术措施、专项施工方案与工程建设强制性标准的符合性；</w:t>
      </w:r>
    </w:p>
    <w:p w14:paraId="0F83D15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（5）检查施工承包人工程质量、安全生产管理制度及组织机构和人员资格；</w:t>
      </w:r>
    </w:p>
    <w:p w14:paraId="6239883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（6）检查施工承包人专职安全生产管理人员的配备情况；</w:t>
      </w:r>
    </w:p>
    <w:p w14:paraId="147E6D3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（7）审查施工承包人提交的施工进度计划，核查承包人对施工进度计划的调整；</w:t>
      </w:r>
    </w:p>
    <w:p w14:paraId="16B8B73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（8）检查施工承包人的试验室；</w:t>
      </w:r>
    </w:p>
    <w:p w14:paraId="2649952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（9）审核施工分包人资质条件；</w:t>
      </w:r>
    </w:p>
    <w:p w14:paraId="21B5B12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（10）查验施工承包人的施工测量放线成果；</w:t>
      </w:r>
    </w:p>
    <w:p w14:paraId="4EA86B3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（11）审查工程开工条件，对条件具备的签发开工令；</w:t>
      </w:r>
    </w:p>
    <w:p w14:paraId="20C96D6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（12）审查施工承包人报送的工程材料、构配件、设备质量证明文件的有效性和符合性，并按规定对用于工程的材料采取平行检验或见证取样方式进行抽检；</w:t>
      </w:r>
    </w:p>
    <w:p w14:paraId="72D779D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（13）审核施工承包人提交的工程款支付申请，签发或出具工程款支付证书，并报委托人审核、批准；</w:t>
      </w:r>
    </w:p>
    <w:p w14:paraId="3207243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（14）在巡视、旁站和检验过程中，发现工程质量、施工安全存在事故隐患的，要求施工承包人整改并报委托人；</w:t>
      </w:r>
    </w:p>
    <w:p w14:paraId="58EBCDC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（15）经委托人同意，签发工程暂停令和复工令；</w:t>
      </w:r>
    </w:p>
    <w:p w14:paraId="3457BF4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（16）审查施工承包人提交的采用新材料、新工艺、新技术、新设备的论证材料及相关验收标准；</w:t>
      </w:r>
    </w:p>
    <w:p w14:paraId="442B9DC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（17）验收隐蔽工程、分部分项工程；</w:t>
      </w:r>
    </w:p>
    <w:p w14:paraId="3E3585C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（18）审查施工承包人提交的工程变更申请，协调处理施工进度调整、费用索赔、合同争议等事项；</w:t>
      </w:r>
    </w:p>
    <w:p w14:paraId="7AD8C0A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（19）审查施工承包人提交的竣工验收申请，编写工程质量评估报告；</w:t>
      </w:r>
    </w:p>
    <w:p w14:paraId="086231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（20）参加工程竣工验收，签署竣工验收意见；</w:t>
      </w:r>
    </w:p>
    <w:p w14:paraId="2B95861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（21）审查施工承包人提交的竣工结算申请并报委托人；</w:t>
      </w:r>
    </w:p>
    <w:p w14:paraId="433872A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（22）编制、整理工程监理归档文件并报委托人。</w:t>
      </w:r>
    </w:p>
    <w:p w14:paraId="5F50F037">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5.4</w:t>
      </w:r>
      <w:r>
        <w:rPr>
          <w:rFonts w:hint="eastAsia" w:ascii="宋体" w:hAnsi="宋体" w:eastAsia="宋体" w:cs="宋体"/>
          <w:szCs w:val="21"/>
          <w:highlight w:val="none"/>
        </w:rPr>
        <w:t>监理文件要求</w:t>
      </w:r>
    </w:p>
    <w:p w14:paraId="4E9FC49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5.4.1监理文件的编制应符合法律、规范标准的强制性规定和委托人要求，相关的监理依据应当完整准确，文件内容和相应数据应当真实可靠。</w:t>
      </w:r>
    </w:p>
    <w:p w14:paraId="1C15802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5.4.2监理文件的深度应满足本阶段相应监理工作的规定要求，满足委托人的下步工作需要，并应符合国家和行业现行规定。</w:t>
      </w:r>
    </w:p>
    <w:p w14:paraId="4690A87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5.4.3本工程监理文件的具体类别、编制要求、编制内容和提交时间等，在专用合同条款中约定。</w:t>
      </w:r>
    </w:p>
    <w:p w14:paraId="2EE8E6CD">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rPr>
      </w:pPr>
      <w:bookmarkStart w:id="143" w:name="_Toc533409769"/>
      <w:r>
        <w:rPr>
          <w:rFonts w:hint="eastAsia" w:ascii="宋体" w:hAnsi="宋体" w:eastAsia="宋体" w:cs="宋体"/>
          <w:b/>
          <w:bCs/>
          <w:sz w:val="22"/>
          <w:szCs w:val="21"/>
          <w:highlight w:val="none"/>
        </w:rPr>
        <w:t>6.开始监理和完成监理</w:t>
      </w:r>
      <w:bookmarkEnd w:id="143"/>
    </w:p>
    <w:p w14:paraId="2F6B2644">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6.1</w:t>
      </w:r>
      <w:r>
        <w:rPr>
          <w:rFonts w:hint="eastAsia" w:ascii="宋体" w:hAnsi="宋体" w:eastAsia="宋体" w:cs="宋体"/>
          <w:szCs w:val="21"/>
          <w:highlight w:val="none"/>
        </w:rPr>
        <w:t>开始监理</w:t>
      </w:r>
    </w:p>
    <w:p w14:paraId="3147E1D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6.1.1符合专用合同条款约定的开始监理条件的，委托人应提前7天向监理人发出开始监理通知。监理服务期限自开始监理通知中载明的开始监理日期起计算。</w:t>
      </w:r>
    </w:p>
    <w:p w14:paraId="306F5FE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6.1.2除专用合同条款另有约定外，因委托人原因造成合同签订之日起90天内未能发出开始监理通知的，监理人有权提出价格调整要求，或者解除合同。委托人应当承担由此增加的费用和（或）周期延误。</w:t>
      </w:r>
    </w:p>
    <w:p w14:paraId="7918A72A">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6.2</w:t>
      </w:r>
      <w:r>
        <w:rPr>
          <w:rFonts w:hint="eastAsia" w:ascii="宋体" w:hAnsi="宋体" w:eastAsia="宋体" w:cs="宋体"/>
          <w:szCs w:val="21"/>
          <w:highlight w:val="none"/>
        </w:rPr>
        <w:t>监理周期延误</w:t>
      </w:r>
    </w:p>
    <w:p w14:paraId="51DD4B2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在履行合同过程中，由于下列原因造成监理服务期限延误且属于非监理人责任的，委托人应当延长监理服务期限并增加监理报酬，具体方法在专用合同条款中约定。</w:t>
      </w:r>
    </w:p>
    <w:p w14:paraId="0317923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（1）合同变更；</w:t>
      </w:r>
    </w:p>
    <w:p w14:paraId="3187E36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（2）因委托人原因导致的监理工作暂停；</w:t>
      </w:r>
    </w:p>
    <w:p w14:paraId="781FA2B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（3）未按合同约定及时支付监理报酬；</w:t>
      </w:r>
    </w:p>
    <w:p w14:paraId="78BDC78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（4）未及时履行合同约定的相关义务；</w:t>
      </w:r>
    </w:p>
    <w:p w14:paraId="7B06C36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（5）由于承包人延误、行政管理造成的监理服务期延误；</w:t>
      </w:r>
    </w:p>
    <w:p w14:paraId="6B3D3EE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（6）造成监理服务期限延误的其他原因。</w:t>
      </w:r>
    </w:p>
    <w:p w14:paraId="15E5C205">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6.3</w:t>
      </w:r>
      <w:r>
        <w:rPr>
          <w:rFonts w:hint="eastAsia" w:ascii="宋体" w:hAnsi="宋体" w:eastAsia="宋体" w:cs="宋体"/>
          <w:szCs w:val="21"/>
          <w:highlight w:val="none"/>
        </w:rPr>
        <w:t>完成监理</w:t>
      </w:r>
    </w:p>
    <w:p w14:paraId="2AC5F4C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6.3.1监理人应当根据法律、规范标准、合同约定和委托人要求实施和完成监理，并编制和移交监理文件。</w:t>
      </w:r>
    </w:p>
    <w:p w14:paraId="7DA40F6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6.3.2缺陷修复监理指缺陷责任期间，监理人对承包人修复质量缺陷进行的监理。缺陷修复监理的责任由监理人负责。</w:t>
      </w:r>
    </w:p>
    <w:p w14:paraId="449E8C2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6.3.3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14:paraId="0202E3D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6.3.4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和U盘分别贮存。</w:t>
      </w:r>
    </w:p>
    <w:p w14:paraId="17C0A450">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44" w:name="_Toc533409770"/>
      <w:r>
        <w:rPr>
          <w:rFonts w:hint="eastAsia" w:ascii="宋体" w:hAnsi="宋体" w:eastAsia="宋体" w:cs="宋体"/>
          <w:b/>
          <w:bCs/>
          <w:sz w:val="22"/>
          <w:szCs w:val="21"/>
          <w:highlight w:val="none"/>
        </w:rPr>
        <w:t>7.监理责任与保险</w:t>
      </w:r>
      <w:bookmarkEnd w:id="144"/>
    </w:p>
    <w:p w14:paraId="08B17F80">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7.1</w:t>
      </w:r>
      <w:r>
        <w:rPr>
          <w:rFonts w:hint="eastAsia" w:ascii="宋体" w:hAnsi="宋体" w:eastAsia="宋体" w:cs="宋体"/>
          <w:szCs w:val="21"/>
          <w:highlight w:val="none"/>
        </w:rPr>
        <w:t>监理责任主体</w:t>
      </w:r>
    </w:p>
    <w:p w14:paraId="2A09376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7.1.1监理人应运用一切合理的专业技术、知识技能和项目经验，按照职业道德准则和行业公认标准尽其全部职责，勤勉、谨慎、公正地履行其在本合同项下的责任和义务。</w:t>
      </w:r>
    </w:p>
    <w:p w14:paraId="6377C99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7.1.2监理责任为监理单位项目负责人终身责任制。总监理工程师应当按照法律法规、有关技术标准、设计文件和工程承包合同进行监理，对施工质量承担监理责任。</w:t>
      </w:r>
    </w:p>
    <w:p w14:paraId="691FB8F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7.1.3总监理工程师应当按照有关规定在办理工程质量监督手续前签署工程质量终身责任承诺书，连同法定代表人出具的授权书，报工程质量监督机构备案。</w:t>
      </w:r>
    </w:p>
    <w:p w14:paraId="2B65AAC9">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7.2</w:t>
      </w:r>
      <w:r>
        <w:rPr>
          <w:rFonts w:hint="eastAsia" w:ascii="宋体" w:hAnsi="宋体" w:eastAsia="宋体" w:cs="宋体"/>
          <w:szCs w:val="21"/>
          <w:highlight w:val="none"/>
        </w:rPr>
        <w:t>监理责任保险</w:t>
      </w:r>
    </w:p>
    <w:p w14:paraId="2041746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除专用合同条款另有约定外，监理人应根据工程情况对监理责任进行保险，并在合同履行期间保持足额、有效。</w:t>
      </w:r>
    </w:p>
    <w:p w14:paraId="7EFD2632">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45" w:name="_Toc533409771"/>
      <w:r>
        <w:rPr>
          <w:rFonts w:hint="eastAsia" w:ascii="宋体" w:hAnsi="宋体" w:eastAsia="宋体" w:cs="宋体"/>
          <w:b/>
          <w:bCs/>
          <w:sz w:val="22"/>
          <w:szCs w:val="21"/>
          <w:highlight w:val="none"/>
        </w:rPr>
        <w:t>8.合同变更</w:t>
      </w:r>
      <w:bookmarkEnd w:id="145"/>
    </w:p>
    <w:p w14:paraId="57FD79B1">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8.1</w:t>
      </w:r>
      <w:r>
        <w:rPr>
          <w:rFonts w:hint="eastAsia" w:ascii="宋体" w:hAnsi="宋体" w:eastAsia="宋体" w:cs="宋体"/>
          <w:szCs w:val="21"/>
          <w:highlight w:val="none"/>
        </w:rPr>
        <w:t>变更情形</w:t>
      </w:r>
    </w:p>
    <w:p w14:paraId="47C93B7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8.1.1合同履行中发生下述情形时，合同一方均可向对方提出变更请求，经双方协商一致后进行变更，监理服务期限和监理报酬的调整方法在专用合同条款中约定。</w:t>
      </w:r>
    </w:p>
    <w:p w14:paraId="3C70BB8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（1）监理范围发生变化；</w:t>
      </w:r>
    </w:p>
    <w:p w14:paraId="6107249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（2）除不可抗力外，非监理人的原因引起的周期延误；</w:t>
      </w:r>
    </w:p>
    <w:p w14:paraId="3C1F6D7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（3）非监理人的原因，对工程同一部分重复进行监理；</w:t>
      </w:r>
    </w:p>
    <w:p w14:paraId="4ED5E71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（4）非监理人的原因，对工程暂停监理及恢复监理。</w:t>
      </w:r>
    </w:p>
    <w:p w14:paraId="361768F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8.1.2基准日后，因颁布新的或修订原有法律、法规、规范和标准等引发合同变更情形的，按照上述约定进行调整。</w:t>
      </w:r>
    </w:p>
    <w:p w14:paraId="1D098C68">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8.2</w:t>
      </w:r>
      <w:r>
        <w:rPr>
          <w:rFonts w:hint="eastAsia" w:ascii="宋体" w:hAnsi="宋体" w:eastAsia="宋体" w:cs="宋体"/>
          <w:szCs w:val="21"/>
          <w:highlight w:val="none"/>
        </w:rPr>
        <w:t>合理化建议</w:t>
      </w:r>
    </w:p>
    <w:p w14:paraId="5EEF9DD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8.2.1合同履行中，监理人可对委托人要求提出合理化建议。合理化建议应以书面形式提交委托人，被委托人采纳并构成变更的，执行第8.1款约定。</w:t>
      </w:r>
    </w:p>
    <w:p w14:paraId="0A60E5C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8.2.2监理人提出的合理化建议降低了工程投资、缩短了施工期限或者提高了工程经济效益的，委托人应按专用合同条款中的约定给予奖励。</w:t>
      </w:r>
    </w:p>
    <w:p w14:paraId="1D863DF3">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46" w:name="_Toc533409772"/>
      <w:r>
        <w:rPr>
          <w:rFonts w:hint="eastAsia" w:ascii="宋体" w:hAnsi="宋体" w:eastAsia="宋体" w:cs="宋体"/>
          <w:b/>
          <w:bCs/>
          <w:sz w:val="22"/>
          <w:szCs w:val="21"/>
          <w:highlight w:val="none"/>
        </w:rPr>
        <w:t>9.合同价格与支付</w:t>
      </w:r>
      <w:bookmarkEnd w:id="146"/>
    </w:p>
    <w:p w14:paraId="21C5A2B7">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9.1</w:t>
      </w:r>
      <w:r>
        <w:rPr>
          <w:rFonts w:hint="eastAsia" w:ascii="宋体" w:hAnsi="宋体" w:eastAsia="宋体" w:cs="宋体"/>
          <w:szCs w:val="21"/>
          <w:highlight w:val="none"/>
        </w:rPr>
        <w:t>合同价格</w:t>
      </w:r>
    </w:p>
    <w:p w14:paraId="06D894B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9.1.1本合同的价款确定方式、调整方式和风险范围划分，在专用合同条款中约定。</w:t>
      </w:r>
    </w:p>
    <w:p w14:paraId="004E1EF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9.1.2除专用合同条款另有约定外，合同价格应当包括收集资料、踏勘现场、制订纲要、实施监理、编制监理文件等全部费用和国家规定的增值税税金。</w:t>
      </w:r>
    </w:p>
    <w:p w14:paraId="62BA4C5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9.1.3委托人要求监理人进行外出考察、试验检测、专项咨询或专家评审时，相应费用不含在合同价格之中，由委托人另行支付。</w:t>
      </w:r>
    </w:p>
    <w:p w14:paraId="46743831">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9.2</w:t>
      </w:r>
      <w:r>
        <w:rPr>
          <w:rFonts w:hint="eastAsia" w:ascii="宋体" w:hAnsi="宋体" w:eastAsia="宋体" w:cs="宋体"/>
          <w:szCs w:val="21"/>
          <w:highlight w:val="none"/>
        </w:rPr>
        <w:t>预付款</w:t>
      </w:r>
    </w:p>
    <w:p w14:paraId="0ACB819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9.2.1预付款应专用于本工程的监理。预付款的额度、支付方式及抵扣方式在专用合同条款中约定。</w:t>
      </w:r>
    </w:p>
    <w:p w14:paraId="2BC24B9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9.2.2委托人应在收到预付款支付申请后28天内，将预付款支付给监理人；监理人应当提供等额的增值税发票。</w:t>
      </w:r>
    </w:p>
    <w:p w14:paraId="4AF6D8C6">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9.3</w:t>
      </w:r>
      <w:r>
        <w:rPr>
          <w:rFonts w:hint="eastAsia" w:ascii="宋体" w:hAnsi="宋体" w:eastAsia="宋体" w:cs="宋体"/>
          <w:szCs w:val="21"/>
          <w:highlight w:val="none"/>
        </w:rPr>
        <w:t>中期支付</w:t>
      </w:r>
    </w:p>
    <w:p w14:paraId="31E3960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9.3.1监理人应按委托人批准或专用合同条款约定的格式及份数，向委托人提交中期支付申请，并附相应的支持性证明文件。</w:t>
      </w:r>
    </w:p>
    <w:p w14:paraId="21BC3CB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9.3.2委托人应在收到中期支付申请后的28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14:paraId="0394FCE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9.3.3中期支付涉及政府投资资金的，按照国库集中支付等国家相关规定和专用合同条款的约定执行。</w:t>
      </w:r>
    </w:p>
    <w:p w14:paraId="68EE94EB">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9.4</w:t>
      </w:r>
      <w:r>
        <w:rPr>
          <w:rFonts w:hint="eastAsia" w:ascii="宋体" w:hAnsi="宋体" w:eastAsia="宋体" w:cs="宋体"/>
          <w:szCs w:val="21"/>
          <w:highlight w:val="none"/>
        </w:rPr>
        <w:t>费用结算</w:t>
      </w:r>
    </w:p>
    <w:p w14:paraId="1C65608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9.4.1合同工作完成后，监理人可按专用合同条款约定的份数和期限，向委托人提交监理费用结算申请，并提供相关证明材料。</w:t>
      </w:r>
    </w:p>
    <w:p w14:paraId="39FE085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9.4.2委托人应在收到费用结算申请后的28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14:paraId="3BFDBDF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9.4.3委托人对费用结算申请内容有异议的，有权要求监理人进行修正和提供补充资料，由监理人重新提交。监理人对此有异议的，按第12条的约定执行。</w:t>
      </w:r>
    </w:p>
    <w:p w14:paraId="4E3AD96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9.4.4最终结清付款涉及政府投资资金的，按第9.3.3项的约定执行。</w:t>
      </w:r>
    </w:p>
    <w:p w14:paraId="70B8838F">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47" w:name="_Toc533409773"/>
      <w:r>
        <w:rPr>
          <w:rFonts w:hint="eastAsia" w:ascii="宋体" w:hAnsi="宋体" w:eastAsia="宋体" w:cs="宋体"/>
          <w:b/>
          <w:bCs/>
          <w:sz w:val="22"/>
          <w:szCs w:val="21"/>
          <w:highlight w:val="none"/>
        </w:rPr>
        <w:t>10.不可抗力</w:t>
      </w:r>
      <w:bookmarkEnd w:id="147"/>
    </w:p>
    <w:p w14:paraId="324FB415">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10.1</w:t>
      </w:r>
      <w:r>
        <w:rPr>
          <w:rFonts w:hint="eastAsia" w:ascii="宋体" w:hAnsi="宋体" w:eastAsia="宋体" w:cs="宋体"/>
          <w:szCs w:val="21"/>
          <w:highlight w:val="none"/>
        </w:rPr>
        <w:t>不可抗力的确认</w:t>
      </w:r>
    </w:p>
    <w:p w14:paraId="396295D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10.1.1不可抗力是指监理人和委托人在订立合同时不可预见，在履行合同过程中不可避免发生并不能克服的自然灾害和社会性突发事件，如地震、海啸、瘟疫、水灾、骚乱、暴动、战争和专用合同条款约定的其他情形。</w:t>
      </w:r>
    </w:p>
    <w:p w14:paraId="5E19C0F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10.1.2不可抗力发生后，委托人和监理人应及时认真统计所造成的损失，收集不可抗力造成损失的证据。合同双方对是否属于不可抗力或其损失的意见不一致的，由合同双方协商确定。</w:t>
      </w:r>
    </w:p>
    <w:p w14:paraId="7CF614FA">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10.2</w:t>
      </w:r>
      <w:r>
        <w:rPr>
          <w:rFonts w:hint="eastAsia" w:ascii="宋体" w:hAnsi="宋体" w:eastAsia="宋体" w:cs="宋体"/>
          <w:szCs w:val="21"/>
          <w:highlight w:val="none"/>
        </w:rPr>
        <w:t>不可抗力的通知</w:t>
      </w:r>
    </w:p>
    <w:p w14:paraId="1C153CF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10.2.1合同一方当事人遇到不可抗力事件，使其履行合同义务受到阻碍时，应立即通知合同另一方当事人，书面说明不可抗力和受阻碍的详细情况，并提供必要的证明。</w:t>
      </w:r>
    </w:p>
    <w:p w14:paraId="1095038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10.2.2如不可抗力持续发生，合同一方当事人应及时向合同另一方当事人提交中间报告，说明不可抗力和履行合同受阻的情况，并于不可抗力事件结束后28天内提交最终报告及有关资料。</w:t>
      </w:r>
    </w:p>
    <w:p w14:paraId="2956BDA8">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10.3</w:t>
      </w:r>
      <w:r>
        <w:rPr>
          <w:rFonts w:hint="eastAsia" w:ascii="宋体" w:hAnsi="宋体" w:eastAsia="宋体" w:cs="宋体"/>
          <w:szCs w:val="21"/>
          <w:highlight w:val="none"/>
        </w:rPr>
        <w:t>不可抗力后果及其处理</w:t>
      </w:r>
    </w:p>
    <w:p w14:paraId="7E840CA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10.3.1不可抗力引起的后果及其损失，应由合同当事人依据法律规定各自承担。不可抗力发生前已完成的监理工作，应当按照合同约定进行支付。</w:t>
      </w:r>
    </w:p>
    <w:p w14:paraId="4F2AE85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10.3.2不可抗力发生后，合同当事人应当采取有效措施避免损失进一步扩大，如未采取有效措施致使损失扩大的，应当自行承担扩大部分的损失。</w:t>
      </w:r>
    </w:p>
    <w:p w14:paraId="7D7882F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10.3.3因一方当事人迟延履行合同义务，致使迟延履行期间遭遇不可抗力的，应由该当事人承担全部损失。</w:t>
      </w:r>
    </w:p>
    <w:p w14:paraId="170D9DDD">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48" w:name="_Toc533409774"/>
      <w:r>
        <w:rPr>
          <w:rFonts w:hint="eastAsia" w:ascii="宋体" w:hAnsi="宋体" w:eastAsia="宋体" w:cs="宋体"/>
          <w:b/>
          <w:bCs/>
          <w:sz w:val="22"/>
          <w:szCs w:val="21"/>
          <w:highlight w:val="none"/>
        </w:rPr>
        <w:t>11.违约</w:t>
      </w:r>
      <w:bookmarkEnd w:id="148"/>
    </w:p>
    <w:p w14:paraId="42302ABC">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11.1</w:t>
      </w:r>
      <w:r>
        <w:rPr>
          <w:rFonts w:hint="eastAsia" w:ascii="宋体" w:hAnsi="宋体" w:eastAsia="宋体" w:cs="宋体"/>
          <w:szCs w:val="21"/>
          <w:highlight w:val="none"/>
        </w:rPr>
        <w:t>监理人违约</w:t>
      </w:r>
    </w:p>
    <w:p w14:paraId="2E95949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11.1.1合同履行中发生下列情况之一的，属监理人违约：</w:t>
      </w:r>
    </w:p>
    <w:p w14:paraId="0FE5942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（1）监理文件不符合规范标准以及合同约定；</w:t>
      </w:r>
    </w:p>
    <w:p w14:paraId="6B8FD6D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（2）监理人转让监理工作；</w:t>
      </w:r>
    </w:p>
    <w:p w14:paraId="3251BE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（3）监理人未按合同约定实施监理并造成工程损失；</w:t>
      </w:r>
    </w:p>
    <w:p w14:paraId="048CBBD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（4）监理人无法履行或停止履行合同；</w:t>
      </w:r>
    </w:p>
    <w:p w14:paraId="3D20AF6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（5）监理人不履行合同约定的其他义务。</w:t>
      </w:r>
    </w:p>
    <w:p w14:paraId="17C3129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11.1.2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14:paraId="4103BBD9">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11.2</w:t>
      </w:r>
      <w:r>
        <w:rPr>
          <w:rFonts w:hint="eastAsia" w:ascii="宋体" w:hAnsi="宋体" w:eastAsia="宋体" w:cs="宋体"/>
          <w:szCs w:val="21"/>
          <w:highlight w:val="none"/>
        </w:rPr>
        <w:t>委托人违约</w:t>
      </w:r>
    </w:p>
    <w:p w14:paraId="45D1C80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11.2.1合同履行中发生下列情况之一的，属委托人违约：</w:t>
      </w:r>
    </w:p>
    <w:p w14:paraId="5177369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（1）委托人未按合同约定支付监理报酬；</w:t>
      </w:r>
    </w:p>
    <w:p w14:paraId="32592EC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（2）委托人原因造成监理停止；</w:t>
      </w:r>
    </w:p>
    <w:p w14:paraId="16F685A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（3）委托人无法履行或停止履行合同；</w:t>
      </w:r>
    </w:p>
    <w:p w14:paraId="5F66368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（4）委托人不履行合同约定的其他义务。</w:t>
      </w:r>
    </w:p>
    <w:p w14:paraId="2EF1EB3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11.2.2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14:paraId="29BB7928">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11.3</w:t>
      </w:r>
      <w:r>
        <w:rPr>
          <w:rFonts w:hint="eastAsia" w:ascii="宋体" w:hAnsi="宋体" w:eastAsia="宋体" w:cs="宋体"/>
          <w:szCs w:val="21"/>
          <w:highlight w:val="none"/>
        </w:rPr>
        <w:t>第三人造成的违约</w:t>
      </w:r>
    </w:p>
    <w:p w14:paraId="64EAF67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在履行合同过程中，一方当事人因第三人的原因造成违约的，应当向对方当事人承担违约责任。一方当事人和第三人之间的纠纷，依照法律规定或者按照约定解决。</w:t>
      </w:r>
    </w:p>
    <w:p w14:paraId="29246B07">
      <w:pPr>
        <w:pageBreakBefore w:val="0"/>
        <w:widowControl w:val="0"/>
        <w:kinsoku/>
        <w:wordWrap/>
        <w:overflowPunct/>
        <w:topLinePunct w:val="0"/>
        <w:autoSpaceDE/>
        <w:autoSpaceDN/>
        <w:bidi w:val="0"/>
        <w:adjustRightInd/>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49" w:name="_Toc533409775"/>
      <w:r>
        <w:rPr>
          <w:rFonts w:hint="eastAsia" w:ascii="宋体" w:hAnsi="宋体" w:eastAsia="宋体" w:cs="宋体"/>
          <w:b/>
          <w:bCs/>
          <w:sz w:val="22"/>
          <w:szCs w:val="21"/>
          <w:highlight w:val="none"/>
        </w:rPr>
        <w:t>12.争议的解决</w:t>
      </w:r>
      <w:bookmarkEnd w:id="149"/>
    </w:p>
    <w:p w14:paraId="7016E7F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委托人和监理人在履行合同中发生争议的，可以友好协商解决。合同当事人友好协商解决不成的，可在专用合同条款中约定下列一种方式解决：</w:t>
      </w:r>
    </w:p>
    <w:p w14:paraId="4F85B8F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（1）向约定的仲裁委员会申请仲裁；</w:t>
      </w:r>
    </w:p>
    <w:p w14:paraId="3DC2ACF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4"/>
          <w:highlight w:val="none"/>
        </w:rPr>
      </w:pPr>
      <w:r>
        <w:rPr>
          <w:rFonts w:hint="eastAsia" w:ascii="宋体" w:hAnsi="宋体" w:eastAsia="宋体" w:cs="宋体"/>
          <w:szCs w:val="21"/>
          <w:highlight w:val="none"/>
        </w:rPr>
        <w:t>（2）向有管辖权的人民法院提起诉讼。</w:t>
      </w:r>
    </w:p>
    <w:p w14:paraId="62B63E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p>
    <w:p w14:paraId="3400EA8B">
      <w:pPr>
        <w:pStyle w:val="4"/>
        <w:pageBreakBefore w:val="0"/>
        <w:widowControl w:val="0"/>
        <w:kinsoku/>
        <w:wordWrap/>
        <w:overflowPunct/>
        <w:topLinePunct w:val="0"/>
        <w:autoSpaceDE/>
        <w:autoSpaceDN/>
        <w:bidi w:val="0"/>
        <w:adjustRightInd/>
        <w:snapToGrid/>
        <w:spacing w:before="0" w:after="0" w:line="360" w:lineRule="auto"/>
        <w:ind w:firstLine="640" w:firstLineChars="200"/>
        <w:jc w:val="center"/>
        <w:textAlignment w:val="auto"/>
        <w:rPr>
          <w:rFonts w:hint="eastAsia" w:ascii="宋体" w:hAnsi="宋体" w:eastAsia="宋体" w:cs="宋体"/>
          <w:b w:val="0"/>
          <w:szCs w:val="32"/>
          <w:highlight w:val="none"/>
        </w:rPr>
      </w:pPr>
      <w:r>
        <w:rPr>
          <w:rFonts w:hint="eastAsia" w:ascii="宋体" w:hAnsi="宋体" w:eastAsia="宋体" w:cs="宋体"/>
          <w:b w:val="0"/>
          <w:szCs w:val="32"/>
          <w:highlight w:val="none"/>
        </w:rPr>
        <w:br w:type="page"/>
      </w:r>
      <w:bookmarkStart w:id="150" w:name="_Toc533409776"/>
      <w:bookmarkStart w:id="151" w:name="_Toc519325351"/>
      <w:r>
        <w:rPr>
          <w:rFonts w:hint="eastAsia" w:ascii="宋体" w:hAnsi="宋体" w:eastAsia="宋体" w:cs="宋体"/>
          <w:highlight w:val="none"/>
        </w:rPr>
        <w:t>第二节专用合同条款</w:t>
      </w:r>
      <w:bookmarkEnd w:id="150"/>
      <w:bookmarkEnd w:id="151"/>
    </w:p>
    <w:p w14:paraId="21C0C504">
      <w:pPr>
        <w:pageBreakBefore w:val="0"/>
        <w:widowControl w:val="0"/>
        <w:kinsoku/>
        <w:wordWrap/>
        <w:overflowPunct/>
        <w:topLinePunct w:val="0"/>
        <w:bidi w:val="0"/>
        <w:snapToGrid/>
        <w:spacing w:line="360" w:lineRule="auto"/>
        <w:ind w:firstLine="562" w:firstLineChars="200"/>
        <w:jc w:val="center"/>
        <w:textAlignment w:val="auto"/>
        <w:outlineLvl w:val="2"/>
        <w:rPr>
          <w:rFonts w:hint="eastAsia" w:ascii="宋体" w:hAnsi="宋体" w:eastAsia="宋体" w:cs="宋体"/>
          <w:b/>
          <w:bCs/>
          <w:sz w:val="28"/>
          <w:highlight w:val="none"/>
        </w:rPr>
      </w:pPr>
      <w:bookmarkStart w:id="152" w:name="_Toc533409777"/>
      <w:r>
        <w:rPr>
          <w:rFonts w:hint="eastAsia" w:ascii="宋体" w:hAnsi="宋体" w:eastAsia="宋体" w:cs="宋体"/>
          <w:b/>
          <w:bCs/>
          <w:sz w:val="28"/>
          <w:highlight w:val="none"/>
        </w:rPr>
        <w:t>A.公路工程专用合同条款</w:t>
      </w:r>
      <w:bookmarkEnd w:id="152"/>
    </w:p>
    <w:p w14:paraId="577AE688">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53" w:name="_Toc533409778"/>
      <w:r>
        <w:rPr>
          <w:rFonts w:hint="eastAsia" w:ascii="宋体" w:hAnsi="宋体" w:eastAsia="宋体" w:cs="宋体"/>
          <w:b/>
          <w:bCs/>
          <w:sz w:val="22"/>
          <w:szCs w:val="21"/>
          <w:highlight w:val="none"/>
        </w:rPr>
        <w:t>1.一般约定</w:t>
      </w:r>
      <w:bookmarkEnd w:id="153"/>
    </w:p>
    <w:p w14:paraId="266F371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1.1词语定义</w:t>
      </w:r>
    </w:p>
    <w:p w14:paraId="63189F2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1.1.1合同</w:t>
      </w:r>
    </w:p>
    <w:p w14:paraId="62C9EE5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第1.1.1.1目细化为：</w:t>
      </w:r>
    </w:p>
    <w:p w14:paraId="45973AE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合同文件（或称合同）：指合同协议书及各种合同附件、中标通知书、投标函、项目专用合同条款、公路工程专用合同条款、通用合同条款、委托人要求、监理服务费用清单、监理人有关人员和试验检测设备投入的承诺，以及其他构成合同组成部分的文件。</w:t>
      </w:r>
    </w:p>
    <w:p w14:paraId="4F0CF55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第1.1.1.5目不适用。</w:t>
      </w:r>
    </w:p>
    <w:p w14:paraId="2ED73C8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第1.1.1.8目细化为：</w:t>
      </w:r>
    </w:p>
    <w:p w14:paraId="2CFBE53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监理服务费用清单：指监理人投标文件中的监理服务费用清单。</w:t>
      </w:r>
    </w:p>
    <w:p w14:paraId="2F335E7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1.1.2合同当事人和人员</w:t>
      </w:r>
    </w:p>
    <w:p w14:paraId="521C679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本项补充第1.1.2.7目至第1.1.2.9目：</w:t>
      </w:r>
    </w:p>
    <w:p w14:paraId="480D720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1.1.2.7监理机构：指由监理人在项目现场设立的履行监理职责的组织，包括总监理工程师办公室（简称总监办）及驻地监理工程师办公室（简称驻地办）。</w:t>
      </w:r>
    </w:p>
    <w:p w14:paraId="537FEAC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1.1.2.8行政管理部门：指交通运输主管部门或对本工程依法享有行政监督权限的其他政府部门。</w:t>
      </w:r>
    </w:p>
    <w:p w14:paraId="7782D36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1.1.2.9第三方：指除委托人、监理人之外，与本工程建设有关的其他当事人（包括承包人）。</w:t>
      </w:r>
    </w:p>
    <w:p w14:paraId="4A03072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1.1.3工程和监理</w:t>
      </w:r>
    </w:p>
    <w:p w14:paraId="7C228D7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第1.1.3.1目细化为：</w:t>
      </w:r>
    </w:p>
    <w:p w14:paraId="6C0F499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工程：指为完成项目所实施的一项或若干项永久或临时工程（包括向委托人提供的物资和设备），具体情况在项目专用合同条款中指明。</w:t>
      </w:r>
    </w:p>
    <w:p w14:paraId="4B6FA67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第1.1.3.2目细化为：</w:t>
      </w:r>
    </w:p>
    <w:p w14:paraId="7890C96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服务：指监理人接受委托人的委托，依照法律、规范标准和监理合同等，对公路工程施工准备、施工、验收与缺陷责任期等阶段进行质量控制、进度控制、投资控制、合同管理、信息管理、组织协调和安全监理、环保监理的服务活动。</w:t>
      </w:r>
    </w:p>
    <w:p w14:paraId="48499F79">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1.4</w:t>
      </w:r>
      <w:r>
        <w:rPr>
          <w:rFonts w:hint="eastAsia" w:ascii="宋体" w:hAnsi="宋体" w:eastAsia="宋体" w:cs="宋体"/>
          <w:szCs w:val="21"/>
          <w:highlight w:val="none"/>
        </w:rPr>
        <w:t>合同文件的优先顺序</w:t>
      </w:r>
    </w:p>
    <w:p w14:paraId="7D2CBCA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w:t>
      </w:r>
    </w:p>
    <w:p w14:paraId="4EDD1D2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组成合同的各项文件应互相解释，互为说明。除项目专用合同条款另有约定外，解释合同文件的优先顺序如下：</w:t>
      </w:r>
    </w:p>
    <w:p w14:paraId="2364ACF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（1）合同协议书及各种合同附件；</w:t>
      </w:r>
    </w:p>
    <w:p w14:paraId="3AE7B3A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（2）中标通知书；</w:t>
      </w:r>
    </w:p>
    <w:p w14:paraId="3BA8510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（3）投标函；</w:t>
      </w:r>
    </w:p>
    <w:p w14:paraId="213F98E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（4）项目专用合同条款；</w:t>
      </w:r>
    </w:p>
    <w:p w14:paraId="1723946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（5）公路工程专用合同条款；</w:t>
      </w:r>
    </w:p>
    <w:p w14:paraId="5640806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（6）通用合同条款；</w:t>
      </w:r>
    </w:p>
    <w:p w14:paraId="22C455F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（7）委托人要求；</w:t>
      </w:r>
    </w:p>
    <w:p w14:paraId="7F6C886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（8）监理服务费用清单；</w:t>
      </w:r>
    </w:p>
    <w:p w14:paraId="642584B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（9）监理人有关人员、试验检测设备投入的承诺；</w:t>
      </w:r>
    </w:p>
    <w:p w14:paraId="5B45221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（10）其他合同文件。</w:t>
      </w:r>
    </w:p>
    <w:p w14:paraId="39D4549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合同当事人针对各类合同文件所作出的补充和修改亦属于合同文件的组成部分，属于同一类内容的文件，应以最新签署的为准。</w:t>
      </w:r>
    </w:p>
    <w:p w14:paraId="16879EC3">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1.6</w:t>
      </w:r>
      <w:r>
        <w:rPr>
          <w:rFonts w:hint="eastAsia" w:ascii="宋体" w:hAnsi="宋体" w:eastAsia="宋体" w:cs="宋体"/>
          <w:szCs w:val="21"/>
          <w:highlight w:val="none"/>
        </w:rPr>
        <w:t>文件的提供和照管</w:t>
      </w:r>
    </w:p>
    <w:p w14:paraId="39CA605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1.6.1监理文件的提供</w:t>
      </w:r>
    </w:p>
    <w:p w14:paraId="4E5A626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本项细化为：</w:t>
      </w:r>
    </w:p>
    <w:p w14:paraId="1BBCA2E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监理人应在合理的期限内按照国家、公路行业现行标准、规范、规定，《公路工程施工监理规范》及施工承包合同约定向委托人提供监理文件。合同约定监理文件应经委托人批复的，委托人应当在合同约定的期限内批复或提出修改意见。</w:t>
      </w:r>
    </w:p>
    <w:p w14:paraId="2D23DE2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1.6.2委托人提供的文件</w:t>
      </w:r>
    </w:p>
    <w:p w14:paraId="62A4C97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本项细化为：</w:t>
      </w:r>
    </w:p>
    <w:p w14:paraId="381CBA4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除项目专用合同条款另有约定外，委托人应在监理合同生效且取得相关文件、资料后7天内，向监理人免费提供下述文件、资料：</w:t>
      </w:r>
    </w:p>
    <w:p w14:paraId="0ED9AA8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（1）委托人与承包人签订的施工承包合同1份。</w:t>
      </w:r>
    </w:p>
    <w:p w14:paraId="75A2FEE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（2）委托人与承包人共同确认的已标价的工程量清单及其说明1份。</w:t>
      </w:r>
    </w:p>
    <w:p w14:paraId="6D61288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（3）合同图纸和相关的标准图纸及说明1套。</w:t>
      </w:r>
    </w:p>
    <w:p w14:paraId="3FB4224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（4）合同指定使用的技术规范、检验评定标准、操作规程1套。</w:t>
      </w:r>
    </w:p>
    <w:p w14:paraId="35DD332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（5）其他相关资料。</w:t>
      </w:r>
    </w:p>
    <w:p w14:paraId="55D7283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由于委托人未按时提供文件造成监理服务期限延误的，按第6.2款约定执行。</w:t>
      </w:r>
    </w:p>
    <w:p w14:paraId="02B6E615">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1.8</w:t>
      </w:r>
      <w:r>
        <w:rPr>
          <w:rFonts w:hint="eastAsia" w:ascii="宋体" w:hAnsi="宋体" w:eastAsia="宋体" w:cs="宋体"/>
          <w:szCs w:val="21"/>
          <w:highlight w:val="none"/>
        </w:rPr>
        <w:t>转让和分包</w:t>
      </w:r>
    </w:p>
    <w:p w14:paraId="578212A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w:t>
      </w:r>
    </w:p>
    <w:p w14:paraId="6B233DF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1.8.1除项目专用合同条款另有约定外，未经对方当事人同意，一方当事人不得将合同权利全部或部分转让给第三人，也不得全部或部分转移合同义务。</w:t>
      </w:r>
    </w:p>
    <w:p w14:paraId="2D42321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1.8.2监理人不得将监理服务的任何部分分包。监理人因监理服务的需要，聘用专业技术人员和辅助工作人员不属于分包。</w:t>
      </w:r>
    </w:p>
    <w:p w14:paraId="4910B73F">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1.10</w:t>
      </w:r>
      <w:r>
        <w:rPr>
          <w:rFonts w:hint="eastAsia" w:ascii="宋体" w:hAnsi="宋体" w:eastAsia="宋体" w:cs="宋体"/>
          <w:szCs w:val="21"/>
          <w:highlight w:val="none"/>
        </w:rPr>
        <w:t>知识产权</w:t>
      </w:r>
    </w:p>
    <w:p w14:paraId="33ED61D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本款补充第1.10.4项：</w:t>
      </w:r>
    </w:p>
    <w:p w14:paraId="3C4ABC7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1.10.4除项目专用合同条款另有约定外，监理人有权出版与本项目或本工程监理服务有关的资料。但未经委托人同意，上述出版物中不得涉及委托人的专利、专有技术以及经济情报。</w:t>
      </w:r>
    </w:p>
    <w:p w14:paraId="6AD7DF2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本条补充第1.13款：</w:t>
      </w:r>
    </w:p>
    <w:p w14:paraId="6EB16790">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1.13</w:t>
      </w:r>
      <w:r>
        <w:rPr>
          <w:rFonts w:hint="eastAsia" w:ascii="宋体" w:hAnsi="宋体" w:eastAsia="宋体" w:cs="宋体"/>
          <w:szCs w:val="21"/>
          <w:highlight w:val="none"/>
        </w:rPr>
        <w:t>避免利益冲突</w:t>
      </w:r>
    </w:p>
    <w:p w14:paraId="7B21611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未经委托人书面同意，监理人不得获取本监理合同约定以外的与本工程有关的任何利益，不得参与与本监理合同约定的委托人利益相冲突的任何活动。</w:t>
      </w:r>
    </w:p>
    <w:p w14:paraId="4393CD49">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rPr>
      </w:pPr>
      <w:bookmarkStart w:id="154" w:name="_Toc533409779"/>
      <w:r>
        <w:rPr>
          <w:rFonts w:hint="eastAsia" w:ascii="宋体" w:hAnsi="宋体" w:eastAsia="宋体" w:cs="宋体"/>
          <w:b/>
          <w:bCs/>
          <w:sz w:val="22"/>
          <w:szCs w:val="21"/>
          <w:highlight w:val="none"/>
        </w:rPr>
        <w:t>2.委托人义务</w:t>
      </w:r>
      <w:bookmarkEnd w:id="154"/>
    </w:p>
    <w:p w14:paraId="72E5D1D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本条补充第2.7款至第2.10款：</w:t>
      </w:r>
    </w:p>
    <w:p w14:paraId="74EC0809">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2.7</w:t>
      </w:r>
      <w:r>
        <w:rPr>
          <w:rFonts w:hint="eastAsia" w:ascii="宋体" w:hAnsi="宋体" w:eastAsia="宋体" w:cs="宋体"/>
          <w:szCs w:val="21"/>
          <w:highlight w:val="none"/>
        </w:rPr>
        <w:t>协助</w:t>
      </w:r>
    </w:p>
    <w:p w14:paraId="022B3A8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委托人在工程所在地向监理人提供进驻现场的相关条件，解决非监理人原因而发生意外事件时，监理工作人员的撤场和相关事宜；并避免监理人根据监理合同提供监理服务而导致的第三方收费（不含税金）。</w:t>
      </w:r>
    </w:p>
    <w:p w14:paraId="353492DC">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2.8</w:t>
      </w:r>
      <w:r>
        <w:rPr>
          <w:rFonts w:hint="eastAsia" w:ascii="宋体" w:hAnsi="宋体" w:eastAsia="宋体" w:cs="宋体"/>
          <w:szCs w:val="21"/>
          <w:highlight w:val="none"/>
        </w:rPr>
        <w:t>授权通知</w:t>
      </w:r>
    </w:p>
    <w:p w14:paraId="2F21439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委托人必须将履行监理服务的监理人及委托人授予监理人的权力，及时用书面形式通知第三方。</w:t>
      </w:r>
    </w:p>
    <w:p w14:paraId="33FA6A00">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2.9</w:t>
      </w:r>
      <w:r>
        <w:rPr>
          <w:rFonts w:hint="eastAsia" w:ascii="宋体" w:hAnsi="宋体" w:eastAsia="宋体" w:cs="宋体"/>
          <w:szCs w:val="21"/>
          <w:highlight w:val="none"/>
        </w:rPr>
        <w:t>委托人指令的下达</w:t>
      </w:r>
    </w:p>
    <w:p w14:paraId="341EEA7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委托人在本合同约定的服务范围内对承包人的任何意见或要求，应通过监理人向承包人提出。</w:t>
      </w:r>
    </w:p>
    <w:p w14:paraId="152DB5CD">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2.10</w:t>
      </w:r>
      <w:r>
        <w:rPr>
          <w:rFonts w:hint="eastAsia" w:ascii="宋体" w:hAnsi="宋体" w:eastAsia="宋体" w:cs="宋体"/>
          <w:szCs w:val="21"/>
          <w:highlight w:val="none"/>
        </w:rPr>
        <w:t>保障</w:t>
      </w:r>
    </w:p>
    <w:p w14:paraId="36DBB76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在监理人不违反有关法律、法规的前提下，委托人应保障监理人免受因履行本监理合同而引起的外界索赔或干扰。</w:t>
      </w:r>
    </w:p>
    <w:p w14:paraId="33720CD2">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55" w:name="_Toc533409780"/>
      <w:r>
        <w:rPr>
          <w:rFonts w:hint="eastAsia" w:ascii="宋体" w:hAnsi="宋体" w:eastAsia="宋体" w:cs="宋体"/>
          <w:b/>
          <w:bCs/>
          <w:sz w:val="22"/>
          <w:szCs w:val="21"/>
          <w:highlight w:val="none"/>
        </w:rPr>
        <w:t>3.委托人管理</w:t>
      </w:r>
      <w:bookmarkEnd w:id="155"/>
    </w:p>
    <w:p w14:paraId="33FA8ADE">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3.3</w:t>
      </w:r>
      <w:r>
        <w:rPr>
          <w:rFonts w:hint="eastAsia" w:ascii="宋体" w:hAnsi="宋体" w:eastAsia="宋体" w:cs="宋体"/>
          <w:szCs w:val="21"/>
          <w:highlight w:val="none"/>
        </w:rPr>
        <w:t>决定或答复</w:t>
      </w:r>
    </w:p>
    <w:p w14:paraId="20F10E2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第3.3.2项细化为：</w:t>
      </w:r>
    </w:p>
    <w:p w14:paraId="2DBAB87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对监理人关于本工程的工期、质量、投资、合约和安全等问题提出的请示应及时作出书面答复。除项目专用合同条款另有约定外，对上述请示给予书面答复的期限，自收到书面请示之日起最长不超过7天，重大问题不得超过28天。逾期没有作出答复的，视为已获得委托人的批准。</w:t>
      </w:r>
    </w:p>
    <w:p w14:paraId="06767E6A">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rPr>
      </w:pPr>
      <w:bookmarkStart w:id="156" w:name="_Toc533409781"/>
      <w:r>
        <w:rPr>
          <w:rFonts w:hint="eastAsia" w:ascii="宋体" w:hAnsi="宋体" w:eastAsia="宋体" w:cs="宋体"/>
          <w:b/>
          <w:bCs/>
          <w:sz w:val="22"/>
          <w:szCs w:val="21"/>
          <w:highlight w:val="none"/>
        </w:rPr>
        <w:t>4.监理人义务</w:t>
      </w:r>
      <w:bookmarkEnd w:id="156"/>
    </w:p>
    <w:p w14:paraId="1FD9488A">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4.2</w:t>
      </w:r>
      <w:r>
        <w:rPr>
          <w:rFonts w:hint="eastAsia" w:ascii="宋体" w:hAnsi="宋体" w:eastAsia="宋体" w:cs="宋体"/>
          <w:szCs w:val="21"/>
          <w:highlight w:val="none"/>
        </w:rPr>
        <w:t>履约保证金</w:t>
      </w:r>
    </w:p>
    <w:p w14:paraId="0EA908E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w:t>
      </w:r>
    </w:p>
    <w:p w14:paraId="606E67A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4.2.1履约保证金自合同生效之日起生效。在签发合同工程交工证书后，监理人应按委托人要求的格式，以项目专用合同条款规定的额度向委托人提交缺陷责任期保函。委托人在收到监理人提交的缺陷责任期保函后7天内向监理人返还履约保证金。在签发工程缺陷责任终止证书后14天内，委托人向监理人返还缺陷责任期保函。</w:t>
      </w:r>
    </w:p>
    <w:p w14:paraId="09D450E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4.2.2如果监理人不履行合同约定的义务或其履行不符合合同的约定，委托人有权扣划相应金额的履约保证金或缺陷责任期保函，但不影响监理人根据监理合同应当得到的其他款项的支付。</w:t>
      </w:r>
    </w:p>
    <w:p w14:paraId="260760DF">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4.3</w:t>
      </w:r>
      <w:r>
        <w:rPr>
          <w:rFonts w:hint="eastAsia" w:ascii="宋体" w:hAnsi="宋体" w:eastAsia="宋体" w:cs="宋体"/>
          <w:szCs w:val="21"/>
          <w:highlight w:val="none"/>
        </w:rPr>
        <w:t>联合体</w:t>
      </w:r>
    </w:p>
    <w:p w14:paraId="4E80C4A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第4.3.3项细化为：</w:t>
      </w:r>
    </w:p>
    <w:p w14:paraId="545E8DB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联合体牵头人负责与委托人联系并接受指示，负责组织联合体各成员全面履行合同。委托人就本合同工程向联合体牵头人发布的任何指令、指示、通知等均对联合体其他成员具有同等效力。</w:t>
      </w:r>
    </w:p>
    <w:p w14:paraId="3B25894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补充第4.3.4项：</w:t>
      </w:r>
    </w:p>
    <w:p w14:paraId="2512AF6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4.3.4未经委托人同意，联合体的组成、结构与业务分工均不得变动。</w:t>
      </w:r>
    </w:p>
    <w:p w14:paraId="56D79FD5">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4.4</w:t>
      </w:r>
      <w:r>
        <w:rPr>
          <w:rFonts w:hint="eastAsia" w:ascii="宋体" w:hAnsi="宋体" w:eastAsia="宋体" w:cs="宋体"/>
          <w:szCs w:val="21"/>
          <w:highlight w:val="none"/>
        </w:rPr>
        <w:t>总监理工程师</w:t>
      </w:r>
    </w:p>
    <w:p w14:paraId="457E716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第4.4.1项细化为：</w:t>
      </w:r>
    </w:p>
    <w:p w14:paraId="02E1DA0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应按合同协议书的约定指派总监理工程师，并在约定的期限内到职。监理人更换总监理工程师应事先征得委托人同意，并应在更换14天前将拟更换的总监理工程师的姓名和详细资料提交委托人，拟更换的总监理工程师资历应不低于原总监理工程师。总监理工程师2天内不能履行职责的，应事先征得委托人同意，并委派代表代行其职责。</w:t>
      </w:r>
    </w:p>
    <w:p w14:paraId="0940AE1B">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4.5</w:t>
      </w:r>
      <w:r>
        <w:rPr>
          <w:rFonts w:hint="eastAsia" w:ascii="宋体" w:hAnsi="宋体" w:eastAsia="宋体" w:cs="宋体"/>
          <w:szCs w:val="21"/>
          <w:highlight w:val="none"/>
        </w:rPr>
        <w:t>监理人员的管理</w:t>
      </w:r>
    </w:p>
    <w:p w14:paraId="1705BBB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第4.5.1项、第4.5.2项细化为：</w:t>
      </w:r>
    </w:p>
    <w:p w14:paraId="2420D7A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4.5.1监理人应在接到开始监理通知之日起7天内，向委托人提交监理项目机构以及人员安排的报告，其内容应包括项目机构设置、主要监理人员和其他人员的名单及资格条件。主要监理人员应常驻现场并相对稳定。更换主要监理人员的，应取得委托人的同意，并向委托人提交继任人员的资格、管理经验等资料，继任人员的资历应不低于原监理人员。总监理工程师的更换，应按照本章第4.4.1项规定执行。</w:t>
      </w:r>
    </w:p>
    <w:p w14:paraId="3E67E59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4.5.2除项目专用合同条款另有约定外，主要监理人员包括总监理工程师、驻地监理工程师、专业监理工程师等；其他人员包括各专业的监理员、试验员、资料员等。</w:t>
      </w:r>
    </w:p>
    <w:p w14:paraId="601C7D3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本条补充第4.9款：</w:t>
      </w:r>
    </w:p>
    <w:p w14:paraId="6538070A">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4.9</w:t>
      </w:r>
      <w:r>
        <w:rPr>
          <w:rFonts w:hint="eastAsia" w:ascii="宋体" w:hAnsi="宋体" w:eastAsia="宋体" w:cs="宋体"/>
          <w:szCs w:val="21"/>
          <w:highlight w:val="none"/>
        </w:rPr>
        <w:t>党建工作要求</w:t>
      </w:r>
    </w:p>
    <w:p w14:paraId="4826325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对于政府投资的国家高速公路项目，或监理人为国有控股或参股企业的，监理人应按规定在项目现场设立基层党组织。不满足上述情形的，监理人应创造条件使党员能够参加党组织生活并接受相应管理。</w:t>
      </w:r>
    </w:p>
    <w:p w14:paraId="20B82F0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监理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3045A99A">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57" w:name="_Toc533409782"/>
      <w:r>
        <w:rPr>
          <w:rFonts w:hint="eastAsia" w:ascii="宋体" w:hAnsi="宋体" w:eastAsia="宋体" w:cs="宋体"/>
          <w:b/>
          <w:bCs/>
          <w:sz w:val="22"/>
          <w:szCs w:val="21"/>
          <w:highlight w:val="none"/>
        </w:rPr>
        <w:t>5.监理要求</w:t>
      </w:r>
      <w:bookmarkEnd w:id="157"/>
    </w:p>
    <w:p w14:paraId="21416955">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5.1</w:t>
      </w:r>
      <w:r>
        <w:rPr>
          <w:rFonts w:hint="eastAsia" w:ascii="宋体" w:hAnsi="宋体" w:eastAsia="宋体" w:cs="宋体"/>
          <w:szCs w:val="21"/>
          <w:highlight w:val="none"/>
        </w:rPr>
        <w:t>监理范围</w:t>
      </w:r>
    </w:p>
    <w:p w14:paraId="32BEB74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第5.1.3项细化为：</w:t>
      </w:r>
    </w:p>
    <w:p w14:paraId="111F1EA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阶段范围指公路工程建设程序中的施工准备阶段、施工阶段、验收与缺陷责任期阶段中的一个或者多个阶段，具体范围在项目专用合同条款中约定。</w:t>
      </w:r>
    </w:p>
    <w:p w14:paraId="3AB1DC13">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5.2</w:t>
      </w:r>
      <w:r>
        <w:rPr>
          <w:rFonts w:hint="eastAsia" w:ascii="宋体" w:hAnsi="宋体" w:eastAsia="宋体" w:cs="宋体"/>
          <w:szCs w:val="21"/>
          <w:highlight w:val="none"/>
        </w:rPr>
        <w:t>监理依据</w:t>
      </w:r>
    </w:p>
    <w:p w14:paraId="0DFC393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w:t>
      </w:r>
    </w:p>
    <w:p w14:paraId="3E99F9D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除项目专用合同条款另有约定外，本工程的监理依据如下：</w:t>
      </w:r>
    </w:p>
    <w:p w14:paraId="074BC06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（1）适用的法律、行政法规及部门规章；</w:t>
      </w:r>
    </w:p>
    <w:p w14:paraId="5DE9333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（2）与工程有关的规范、标准、规程；</w:t>
      </w:r>
    </w:p>
    <w:p w14:paraId="480B4D9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（3）工程前期有关文件；</w:t>
      </w:r>
    </w:p>
    <w:p w14:paraId="51708A8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（4）工程勘察文件、设计文件及其他文件；</w:t>
      </w:r>
    </w:p>
    <w:p w14:paraId="073A3D0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（5）本工程监理的委托合同及补充合同；</w:t>
      </w:r>
    </w:p>
    <w:p w14:paraId="23DF20D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（6）委托人签订的施工承包合同；</w:t>
      </w:r>
    </w:p>
    <w:p w14:paraId="3638119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（7）合同履行中与监理服务有关的来往函件；</w:t>
      </w:r>
    </w:p>
    <w:p w14:paraId="0053BBC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（8）其他监理依据。</w:t>
      </w:r>
    </w:p>
    <w:p w14:paraId="1BFE1EDF">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5.3</w:t>
      </w:r>
      <w:r>
        <w:rPr>
          <w:rFonts w:hint="eastAsia" w:ascii="宋体" w:hAnsi="宋体" w:eastAsia="宋体" w:cs="宋体"/>
          <w:szCs w:val="21"/>
          <w:highlight w:val="none"/>
        </w:rPr>
        <w:t>监理内容</w:t>
      </w:r>
    </w:p>
    <w:p w14:paraId="611EC03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w:t>
      </w:r>
    </w:p>
    <w:p w14:paraId="527CDEC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应按照《公路工程施工监理规范》及相关法律、法规开展监理服务。委托人须依据《公路工程施工监理规范》要求对监理机构的设置方式进行选择，并在项目专用合同条款中予以约定。各阶段监理服务包括但不限于以下内容，委托人可根据工程实际情况在项目专用合同条款中对其进行调整。</w:t>
      </w:r>
    </w:p>
    <w:p w14:paraId="5BB06DC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5.3.1在工程同时设置总监办和驻地办时，总监办的监理服务内容为：</w:t>
      </w:r>
    </w:p>
    <w:p w14:paraId="1DD2F63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（1）总监办工地试验室按监理合同要求配备常规的试验检测设备，并须达到项目专用合同条款中约定的检查项目及频率要求；</w:t>
      </w:r>
    </w:p>
    <w:p w14:paraId="0498B1E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（2）熟悉合同文件，调查施工环境条件；</w:t>
      </w:r>
    </w:p>
    <w:p w14:paraId="66A7ED7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（3）在合同约定的期限内主持编制监理计划；</w:t>
      </w:r>
    </w:p>
    <w:p w14:paraId="61DB451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（4）审批各驻地办主持编制的监理细则；</w:t>
      </w:r>
    </w:p>
    <w:p w14:paraId="50C0F7C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（5）参加设计交底；</w:t>
      </w:r>
    </w:p>
    <w:p w14:paraId="7B85B3E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（6）在合同约定的期限内审批承包人提交的施工组织设计（含安全技术措施、应急救援抢险方案、专项施工方案及施工环境保护措施）；</w:t>
      </w:r>
    </w:p>
    <w:p w14:paraId="412F725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（7）审批承包人提交的总体进度计划，核批承包人对总体进度计划的调整计划；</w:t>
      </w:r>
    </w:p>
    <w:p w14:paraId="2E29CCF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（8）签发开工预付款支付证书；</w:t>
      </w:r>
    </w:p>
    <w:p w14:paraId="7342096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（9）审批承包人提交的分项、分部、单位工程划分；</w:t>
      </w:r>
    </w:p>
    <w:p w14:paraId="116D380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（10）检查承包人的质量、安全和环保等保证体系，审核工地试验室，抽查控制桩点复测、测定地面线和工程划分及驻地办工作；</w:t>
      </w:r>
    </w:p>
    <w:p w14:paraId="1EE30CB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（11）主持召开监理交底会；</w:t>
      </w:r>
    </w:p>
    <w:p w14:paraId="13D1B4A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（12）主持召开第一次工地会议；</w:t>
      </w:r>
    </w:p>
    <w:p w14:paraId="1B8A423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（13）签发合同工程开工令；</w:t>
      </w:r>
    </w:p>
    <w:p w14:paraId="4372C2F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（14）审批重要工程材料及混合料配合比；</w:t>
      </w:r>
    </w:p>
    <w:p w14:paraId="3FCA33B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（15）审核工程中期支付申请，签发中期支付证书；</w:t>
      </w:r>
    </w:p>
    <w:p w14:paraId="2EF61E2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（16）签发单位工程或合同工程的暂停令和复工令；</w:t>
      </w:r>
    </w:p>
    <w:p w14:paraId="4CB439A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（17）受理合同其他事项的有关事宜，按合同约定审核、评估和处理工程变更、工程延期、费用索赔、价格调整、保险、违约、争端等合同事项；</w:t>
      </w:r>
    </w:p>
    <w:p w14:paraId="7811BE7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（18）组织编写监理月报；</w:t>
      </w:r>
    </w:p>
    <w:p w14:paraId="57DA328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（19）根据工程需要主持召开专题工地会议；</w:t>
      </w:r>
    </w:p>
    <w:p w14:paraId="0BEE401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（20）对发生的质量缺陷、质量隐患和质量事故进行调查、处理或督促承包人按规定报告有关部门；</w:t>
      </w:r>
    </w:p>
    <w:p w14:paraId="46E81AE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（21）协助委托人审查交工验收申请，评定工程质量；</w:t>
      </w:r>
    </w:p>
    <w:p w14:paraId="6712932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（22）参加委托人组织的合同工程交工验收；</w:t>
      </w:r>
    </w:p>
    <w:p w14:paraId="62685B5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（23）编写监理工作报告，并提交委托人；</w:t>
      </w:r>
    </w:p>
    <w:p w14:paraId="3AD2A6D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（24）签认交工结账证书；</w:t>
      </w:r>
    </w:p>
    <w:p w14:paraId="542FBAB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（25）组织编制工程监理竣工文件，并督促承包人按合同约定编制和整理竣工资料；</w:t>
      </w:r>
    </w:p>
    <w:p w14:paraId="2C4687A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（26）在合同工程的缺陷责任期内，检查承包人剩余工程的实施；巡视检查已完工程，指示承包人修复发生的工程缺陷，调查、确认缺陷责任及修复费用；</w:t>
      </w:r>
    </w:p>
    <w:p w14:paraId="6EF5648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（27）缺陷责任期结束，经检查符合条件时，签发合同工程缺陷责任终止证书；</w:t>
      </w:r>
    </w:p>
    <w:p w14:paraId="5CA399D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（28）签认最后支付证书；</w:t>
      </w:r>
    </w:p>
    <w:p w14:paraId="619FCE9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（29）参加工程竣工验收；</w:t>
      </w:r>
    </w:p>
    <w:p w14:paraId="73D594F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（30）按照项目专用合同条款约定提供其他工程管理咨询服务。</w:t>
      </w:r>
    </w:p>
    <w:p w14:paraId="04C6BDC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5.3.2在工程同时设置总监办和驻地办时，驻地办的监理服务内容为：</w:t>
      </w:r>
    </w:p>
    <w:p w14:paraId="2341802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（1）按项目专用合同条款的约定建立（或不建立）工地试验室，如需驻地办建立工地试验室，应配备现场抽查常用的试验检测设备，并在项目专用合同条款中明确检查项目和频率的要求；</w:t>
      </w:r>
    </w:p>
    <w:p w14:paraId="055AB90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（2）熟悉合同文件，调查施工环境条件；</w:t>
      </w:r>
    </w:p>
    <w:p w14:paraId="157DB64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（3）在总监办的安排下，参与编制监理计划，提供本驻地办相关资料；</w:t>
      </w:r>
    </w:p>
    <w:p w14:paraId="1BC325B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（4）根据监理计划在相应工程开工前主持编制监理细则；</w:t>
      </w:r>
    </w:p>
    <w:p w14:paraId="1779514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（5）参加设计交底；</w:t>
      </w:r>
    </w:p>
    <w:p w14:paraId="0C04983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（6）按规定程序初审本驻地监理标段承包人提交的施工组织设计（含安全技术措施、应急救援抢险方案、专项施工方案及施工环境保护措施）；</w:t>
      </w:r>
    </w:p>
    <w:p w14:paraId="50ED96D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（7）初审本驻地监理标段承包人提交的总体进度计划以及施工中进行的调整计划；</w:t>
      </w:r>
    </w:p>
    <w:p w14:paraId="184785C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（8）对承包人提交的原始基准点、基准线和基准高程的复测结果进行平行复测，审核后予以批复；</w:t>
      </w:r>
    </w:p>
    <w:p w14:paraId="3DAE9F5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（9）验收承包人测定的地面线；</w:t>
      </w:r>
    </w:p>
    <w:p w14:paraId="2D8AE16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（10）确认承包人提交的场地占用计划；</w:t>
      </w:r>
    </w:p>
    <w:p w14:paraId="68B9446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（11）核算承包人对工程量清单的复核结果；</w:t>
      </w:r>
    </w:p>
    <w:p w14:paraId="16A1189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（12）按合同约定对工程分包计划和协议进行审查，审查分包合同中是否明确了承包人与分包人各自在安全生产方面的责任；</w:t>
      </w:r>
    </w:p>
    <w:p w14:paraId="289D133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（13）审批施工测量放线；</w:t>
      </w:r>
    </w:p>
    <w:p w14:paraId="7333555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（14）审批一般工程原材料和混合料配合比；</w:t>
      </w:r>
    </w:p>
    <w:p w14:paraId="39CE158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（15）审查施工组织及人员配备；</w:t>
      </w:r>
    </w:p>
    <w:p w14:paraId="47331D2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（16）审查承包人进场的施工机械设备；</w:t>
      </w:r>
    </w:p>
    <w:p w14:paraId="5F1D402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（17）审查承包人提交的分项、分部工程的施工方案及主要工艺；</w:t>
      </w:r>
    </w:p>
    <w:p w14:paraId="2433B92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（18）审批承包人月进度计划，检查和监督进度计划的实施；</w:t>
      </w:r>
    </w:p>
    <w:p w14:paraId="71F196C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（19）审批分项（部）工程的开工申请，签发分项、分部工程暂停令和复工令；</w:t>
      </w:r>
    </w:p>
    <w:p w14:paraId="64B9EFA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（20）验收构配件或设备；</w:t>
      </w:r>
    </w:p>
    <w:p w14:paraId="4CEF072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（21）按有关规定和要求对工程进行巡视、旁站和抽检，并做好记录；</w:t>
      </w:r>
    </w:p>
    <w:p w14:paraId="31EC1BF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（22）对关键工序进行签认；</w:t>
      </w:r>
    </w:p>
    <w:p w14:paraId="63B40A3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（23）对发生的质量缺陷、质量隐患和质量事故进行调查、处理或对不属于监理人权限处理的质量事故督促承包人按规定报告有关部门；</w:t>
      </w:r>
    </w:p>
    <w:p w14:paraId="24A2E9D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（24）对交工的单位、分部、分项工程进行检验和质量等级评定并签发《中间交工证书》；</w:t>
      </w:r>
    </w:p>
    <w:p w14:paraId="2692705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（25）对已完工程按合同约定的方法进行计量；</w:t>
      </w:r>
    </w:p>
    <w:p w14:paraId="55D78E3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（26）按有关规定及时对已完分部工程、单位工程及合同工程进行质量评定；</w:t>
      </w:r>
    </w:p>
    <w:p w14:paraId="62CA8D3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（27）编写本驻地监理标段的监理月报；</w:t>
      </w:r>
    </w:p>
    <w:p w14:paraId="38984EF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（28）主持召开工地会议和根据工程需要主持召开专题工地会议；</w:t>
      </w:r>
    </w:p>
    <w:p w14:paraId="1D7F7FA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（29）编制标段监理竣工文件；</w:t>
      </w:r>
    </w:p>
    <w:p w14:paraId="4747057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（30）编写本驻地监理标段的监理工作报告；</w:t>
      </w:r>
    </w:p>
    <w:p w14:paraId="1D21253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（31）参加本驻地监理标段合同工程的交工验收；</w:t>
      </w:r>
    </w:p>
    <w:p w14:paraId="18B7B69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（32）初审交工结账证书；</w:t>
      </w:r>
    </w:p>
    <w:p w14:paraId="1F38F40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（33）按照项目专用合同条款约定提供其他工程管理咨询服务。</w:t>
      </w:r>
    </w:p>
    <w:p w14:paraId="11479EE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5.3.3在工程只设置总监办一级监理机构时，其监理服务内容为：</w:t>
      </w:r>
    </w:p>
    <w:p w14:paraId="68E63CC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（1）按监理合同要求建立总监办工地试验室，配备常规的试验检测设备，并须达到项目专用合同条款中约定的检查项目及频率要求；</w:t>
      </w:r>
    </w:p>
    <w:p w14:paraId="7E4C8BC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（2）熟悉合同文件，调查施工环境条件；</w:t>
      </w:r>
    </w:p>
    <w:p w14:paraId="71DA69E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（3）在合同约定的期限内编制监理计划，根据监理计划在相应工程开工前编制监理细则；</w:t>
      </w:r>
    </w:p>
    <w:p w14:paraId="0AD01F5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（4）在合同约定的期限内审批承包人提交的施工组织设计（含安全技术措施、应急救援抢险方案、专项施工方案及施工环境保护措施）；</w:t>
      </w:r>
    </w:p>
    <w:p w14:paraId="5EF675B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（5）参加设计交底；</w:t>
      </w:r>
    </w:p>
    <w:p w14:paraId="61DC876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（6）审批承包人提交的总体进度计划，核批承包人对总体进度计划的调整计划；</w:t>
      </w:r>
    </w:p>
    <w:p w14:paraId="295316C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（7）检查承包人工程质量、施工安全和施工环境保护等保证体系；</w:t>
      </w:r>
    </w:p>
    <w:p w14:paraId="61999AF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（8）审核承包人的工地试验室；</w:t>
      </w:r>
    </w:p>
    <w:p w14:paraId="666FA7E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（9）对承包人提交的原始基准点、基准线和基准高程的复测结果进行平行复测，审核后予以批复；</w:t>
      </w:r>
    </w:p>
    <w:p w14:paraId="41CD9A0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（10）验收承包人测定的地面线；</w:t>
      </w:r>
    </w:p>
    <w:p w14:paraId="3B4F035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（11）审批承包人提交的分项、分部、单位工程划分；</w:t>
      </w:r>
    </w:p>
    <w:p w14:paraId="168A5F4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（12）确认承包人提交的场地占用计划；</w:t>
      </w:r>
    </w:p>
    <w:p w14:paraId="07183D6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（13）核算承包人对工程量清单的复核结果；</w:t>
      </w:r>
    </w:p>
    <w:p w14:paraId="06F1F8B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（14）签发开工预付款支付证书；</w:t>
      </w:r>
    </w:p>
    <w:p w14:paraId="1996457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（15）主持召开监理交底会；</w:t>
      </w:r>
    </w:p>
    <w:p w14:paraId="277C2FA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（16）主持召开第一次工地会议；</w:t>
      </w:r>
    </w:p>
    <w:p w14:paraId="705F5E3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（17）签发合同工程开工令；</w:t>
      </w:r>
    </w:p>
    <w:p w14:paraId="37765CA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（18）按合同约定对工程分包计划和协议进行审查，并审查分包合同中是否明确了承包人与分包单位各自在安全生产方面的责任；</w:t>
      </w:r>
    </w:p>
    <w:p w14:paraId="188F1EC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（19）审批施工测量放线；</w:t>
      </w:r>
    </w:p>
    <w:p w14:paraId="708F67D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（20）审批工程原材料及混合料配合比；</w:t>
      </w:r>
    </w:p>
    <w:p w14:paraId="2673A48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（21）审查施工组织及人员配备；</w:t>
      </w:r>
    </w:p>
    <w:p w14:paraId="41B48DA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（22）审查承包人进场的施工机械设备；</w:t>
      </w:r>
    </w:p>
    <w:p w14:paraId="15F2E40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（23）审查承包人提交的分项、分部工程的施工方案及主要工艺；</w:t>
      </w:r>
    </w:p>
    <w:p w14:paraId="0698A61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（24）审批承包人月进度计划，检查和监督进度计划的实施；</w:t>
      </w:r>
    </w:p>
    <w:p w14:paraId="4CC8BB2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（25）审批分项（分部）工程的开工申请；</w:t>
      </w:r>
    </w:p>
    <w:p w14:paraId="6D6ECC7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（26）验收构配件或设备；</w:t>
      </w:r>
    </w:p>
    <w:p w14:paraId="2DCF3B4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（27）按有关规定和要求对工程进行巡视、旁站和抽检，并做好记录；</w:t>
      </w:r>
    </w:p>
    <w:p w14:paraId="4B86861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（28）对关键工序进行签认；</w:t>
      </w:r>
    </w:p>
    <w:p w14:paraId="7E798BB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（29）对发生的质量缺陷、质量隐患和质量事故进行调查、处理或对不属于监理人权限处理的质量事故督促承包人按规定报告有关部门；</w:t>
      </w:r>
    </w:p>
    <w:p w14:paraId="34BD202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（30）签发单位或合同工程及分部（分项）工程的暂停令和复工令；</w:t>
      </w:r>
    </w:p>
    <w:p w14:paraId="3AEAD99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（31）对交工的单位、分部、分项工程进行检验和质量等级评定并签发《中间交工证书》；</w:t>
      </w:r>
    </w:p>
    <w:p w14:paraId="592E3FD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（32）对已完工程按合同约定的方法进行计量；</w:t>
      </w:r>
    </w:p>
    <w:p w14:paraId="06E5530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（33）审核工程中期支付申请，签发中期支付证书；</w:t>
      </w:r>
    </w:p>
    <w:p w14:paraId="0755D28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（34）按有关规定及时对已完分部工程、单位工程及合同工程进行质量评定；</w:t>
      </w:r>
    </w:p>
    <w:p w14:paraId="21CA66C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（35）受理合同其他事项的有关事宜，按合同约定审核、评估和处理工程变更、延期、费用索赔、价格调整、保险、违约、争端等合同事项；</w:t>
      </w:r>
    </w:p>
    <w:p w14:paraId="44A2F42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（36）组织编写监理月报；</w:t>
      </w:r>
    </w:p>
    <w:p w14:paraId="7E4A1D2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（37）主持召开工地例会或根据工程需要主持召开专题工地会议；</w:t>
      </w:r>
    </w:p>
    <w:p w14:paraId="7785F7A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（38）协助委托人审查交工验收申请，评定工程质量；</w:t>
      </w:r>
    </w:p>
    <w:p w14:paraId="3D31B25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（39）参加委托人组织的合同工程交工验收；</w:t>
      </w:r>
    </w:p>
    <w:p w14:paraId="77FFB4D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（40）编写监理工作报告，并提交委托人；</w:t>
      </w:r>
    </w:p>
    <w:p w14:paraId="15A0A22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（41）签认交工结账证书；</w:t>
      </w:r>
    </w:p>
    <w:p w14:paraId="0A2A888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（42）组织编制工程监理竣工文件，并督促承包人按合同约定编制和整理竣工资料；</w:t>
      </w:r>
    </w:p>
    <w:p w14:paraId="31B4D0D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（43）在合同工程的缺陷责任期内，检查承包人剩余工程的实施；巡视检查已完工程，指示承包人修复发生的工程缺陷，调查、确认缺陷责任及修复费用；</w:t>
      </w:r>
    </w:p>
    <w:p w14:paraId="008F96D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（44）缺陷责任期结束，经检查符合条件时，签发合同工程缺陷责任终止证书；</w:t>
      </w:r>
    </w:p>
    <w:p w14:paraId="7316B2F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（45）签认最后支付证书；</w:t>
      </w:r>
    </w:p>
    <w:p w14:paraId="15552E7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（46）参加工程竣工验收；</w:t>
      </w:r>
    </w:p>
    <w:p w14:paraId="490365F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（47）按照项目专用合同条款约定提供其他工程管理咨询服务。</w:t>
      </w:r>
    </w:p>
    <w:p w14:paraId="5229AE48">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5.4</w:t>
      </w:r>
      <w:r>
        <w:rPr>
          <w:rFonts w:hint="eastAsia" w:ascii="宋体" w:hAnsi="宋体" w:eastAsia="宋体" w:cs="宋体"/>
          <w:szCs w:val="21"/>
          <w:highlight w:val="none"/>
        </w:rPr>
        <w:t>监理文件要求</w:t>
      </w:r>
    </w:p>
    <w:p w14:paraId="553E40B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第5.4.3项细化为：</w:t>
      </w:r>
    </w:p>
    <w:p w14:paraId="67411BF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除项目专用合同条款另有约定外，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公路工程施工监理规范》的规定。</w:t>
      </w:r>
    </w:p>
    <w:p w14:paraId="2068B96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本条补充第5.5款至第5.7款：</w:t>
      </w:r>
    </w:p>
    <w:p w14:paraId="3C73CCAC">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5.5</w:t>
      </w:r>
      <w:r>
        <w:rPr>
          <w:rFonts w:hint="eastAsia" w:ascii="宋体" w:hAnsi="宋体" w:eastAsia="宋体" w:cs="宋体"/>
          <w:szCs w:val="21"/>
          <w:highlight w:val="none"/>
        </w:rPr>
        <w:t>监理服务形式</w:t>
      </w:r>
    </w:p>
    <w:p w14:paraId="404E415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监理人应根据工程规模、难易程度、合同工期安排、现场条件等因素设置现场监理的组织机构并满足合同要求。委托人对监理人的机构设置要求在项目专用合同条款中约定。</w:t>
      </w:r>
    </w:p>
    <w:p w14:paraId="6EA8B51F">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5.6</w:t>
      </w:r>
      <w:r>
        <w:rPr>
          <w:rFonts w:hint="eastAsia" w:ascii="宋体" w:hAnsi="宋体" w:eastAsia="宋体" w:cs="宋体"/>
          <w:szCs w:val="21"/>
          <w:highlight w:val="none"/>
        </w:rPr>
        <w:t>监理服务目标</w:t>
      </w:r>
    </w:p>
    <w:p w14:paraId="316B4FC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5.6.1监理服务履约目标：除项目专用合同条款另有约定外，监理人提供的监理服务，应当符合国家有关法律、法规和标准规范，满足合同约定的服务内容和质量等要求。</w:t>
      </w:r>
    </w:p>
    <w:p w14:paraId="4C8BA0C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5.6.2对承包人履约管理的服务目标：在项目专用合同条款中约定。</w:t>
      </w:r>
    </w:p>
    <w:p w14:paraId="1DFBACC3">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5.7</w:t>
      </w:r>
      <w:r>
        <w:rPr>
          <w:rFonts w:hint="eastAsia" w:ascii="宋体" w:hAnsi="宋体" w:eastAsia="宋体" w:cs="宋体"/>
          <w:szCs w:val="21"/>
          <w:highlight w:val="none"/>
        </w:rPr>
        <w:t>委托人对监理人的授权</w:t>
      </w:r>
    </w:p>
    <w:p w14:paraId="0E6CA0E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5.7.1监理人根据监理合同提供监理服务时，在委托人授权权限范围内开展工作。授权权限在项目专用合同条款中约定。</w:t>
      </w:r>
    </w:p>
    <w:p w14:paraId="7B04E7B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5.7.2如果监理人在监理服务过程中行使的权力或所需的授权，来自于委托人和第三方签订的工程合同文件，该合同文件应成为本监理合同的组成部分，两者之间如出现矛盾，则应编制补充说明文件一并列入监理合同。监理人应：</w:t>
      </w:r>
    </w:p>
    <w:p w14:paraId="6034FA1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（1）根据监理合同文件和工程合同文件提供监理服务；</w:t>
      </w:r>
    </w:p>
    <w:p w14:paraId="60F15C9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（2）根据职责范围，在委托人和第三方之间独立公正地行使上述合同文件赋予的权力；</w:t>
      </w:r>
    </w:p>
    <w:p w14:paraId="7BC20E5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（3）根据上述合同文件的授权，对相应的工程和合同事宜进行变更，但未经委托人的书面批准，不得变更工程合同文件中约定的工程标准和第三方的责任与义务。</w:t>
      </w:r>
    </w:p>
    <w:p w14:paraId="3FC8C9D3">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rPr>
      </w:pPr>
      <w:bookmarkStart w:id="158" w:name="_Toc533409783"/>
      <w:r>
        <w:rPr>
          <w:rFonts w:hint="eastAsia" w:ascii="宋体" w:hAnsi="宋体" w:eastAsia="宋体" w:cs="宋体"/>
          <w:b/>
          <w:bCs/>
          <w:sz w:val="22"/>
          <w:szCs w:val="21"/>
          <w:highlight w:val="none"/>
        </w:rPr>
        <w:t>6.开始监理和完成监理</w:t>
      </w:r>
      <w:bookmarkEnd w:id="158"/>
    </w:p>
    <w:p w14:paraId="7FE2182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6.1开始监理</w:t>
      </w:r>
    </w:p>
    <w:p w14:paraId="3B2043B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第6.1.1项细化为：</w:t>
      </w:r>
    </w:p>
    <w:p w14:paraId="137F26D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符合项目专用合同条款约定的开始监理条件的，委托人应提前7天向监理人发出开始监理通知。监理服务期限自开始监理通知中载明的开始监理日期及监理人首批人员实际进场日期起算，以时间在后者为准。</w:t>
      </w:r>
    </w:p>
    <w:p w14:paraId="5045ECC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监理人应按照监理合同约定的时间和有关期限履行和完成监理服务，根据本项目工程的进展情况和委托人批准的人员进场计划，安排监理人员及时进场。</w:t>
      </w:r>
    </w:p>
    <w:p w14:paraId="7653327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本条补充第6.4款：</w:t>
      </w:r>
    </w:p>
    <w:p w14:paraId="223DAA5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6.4监理工作的暂停与监理合同的解除</w:t>
      </w:r>
    </w:p>
    <w:p w14:paraId="11E0686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6.4.1出现根据本监理合同的约定不应由监理人负责的情况，且该情况已使监理人不能继续履行全部或部分监理服务时，监理人应立即书面通知委托人，并视情况采取相应措施：</w:t>
      </w:r>
    </w:p>
    <w:p w14:paraId="16154EA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（1）不得不暂停或减缓某些监理服务时，则上述服务的完成期限应予以延长，因此增加的监理服务工作量或延长的服务期限，委托人应按合同条款约定进行调整。</w:t>
      </w:r>
    </w:p>
    <w:p w14:paraId="6163452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全部监理服务已无法继续履行时，监理人在书面通知委托人28天之后，有权单方面解除本监理合同，因此增加的监理服务工作量所涉及费用，委托人应按合同条款约定进行调整，同时应及时向监理人返还全部或剩余部分的履约保证金。</w:t>
      </w:r>
    </w:p>
    <w:p w14:paraId="11A08A2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（3）因不可抗力致使本监理合同不能履行或只能部分履行时，应按照本合同第10条规定的程序暂停监理服务或解除监理合同。</w:t>
      </w:r>
    </w:p>
    <w:p w14:paraId="761A894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6.4.2委托人要求监理人全部或部分暂停监理服务或解除本监理合同时，必须在56天之前发出书面通知。监理人在接到通知后，应立即安排停止全部或部分监理服务并将相关费用开支减至最小。因此增加的监理服务工作量所涉及的费用，委托人应按合同条款约定进行调整，同时及时向监理人返还全部或剩余部分的履约保证金。</w:t>
      </w:r>
    </w:p>
    <w:p w14:paraId="4D329E5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6.4.3监理人无正当的理由，未根据监理合同的约定履行全部或部分监理服务，委托人可书面要求监理人予以解释。若监理人在28天内未能根据本监理合同给予合理的答复，委托人可在进一步发出书面通知14天后，单方面解除本监理合同，并视情况对监理人的全部或部分履约保证金不予退还。</w:t>
      </w:r>
    </w:p>
    <w:p w14:paraId="132166A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6.4.4委托人拖延支付监理服务费用，并已超过合同条款约定支付期限后28天，或根据本合同第6.4.1项（1）目或第6.4.2项的约定，暂停监理服务已超过6个月，监理人可书面要求委托人予以解释。若委托人在28天内未能根据本监理合同给予合理的答复，监理人可在进一步发出书面通知14天后，单方面解除本监理合同或自行暂停全部或部分监理服务。因此增加的监理服务工作量所涉及的费用，委托人应按合同条款约定进行调整，同时应及时向监理人返还全部或剩余部分的履约保证金。</w:t>
      </w:r>
    </w:p>
    <w:p w14:paraId="1132FF0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6.4.5监理合同的解除，不得损害或影响双方根据本监理合同应有的义务、责任、权利和利益。</w:t>
      </w:r>
    </w:p>
    <w:p w14:paraId="306F65F0">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59" w:name="_Toc533409784"/>
      <w:r>
        <w:rPr>
          <w:rFonts w:hint="eastAsia" w:ascii="宋体" w:hAnsi="宋体" w:eastAsia="宋体" w:cs="宋体"/>
          <w:b/>
          <w:bCs/>
          <w:sz w:val="22"/>
          <w:szCs w:val="21"/>
          <w:highlight w:val="none"/>
        </w:rPr>
        <w:t>7.监理责任与保险</w:t>
      </w:r>
      <w:bookmarkEnd w:id="159"/>
    </w:p>
    <w:p w14:paraId="708280F3">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7.1</w:t>
      </w:r>
      <w:r>
        <w:rPr>
          <w:rFonts w:hint="eastAsia" w:ascii="宋体" w:hAnsi="宋体" w:eastAsia="宋体" w:cs="宋体"/>
          <w:szCs w:val="21"/>
          <w:highlight w:val="none"/>
        </w:rPr>
        <w:t>监理责任主体</w:t>
      </w:r>
    </w:p>
    <w:p w14:paraId="13F06F0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第7.1.2项、第7.1.3项细化为：</w:t>
      </w:r>
    </w:p>
    <w:p w14:paraId="368F8D9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7.1.2监理人应当建立健全工程质量保证体系，制定质量管理制度，强化工程质量管理措施，完善工程质量目标保障机制。</w:t>
      </w:r>
    </w:p>
    <w:p w14:paraId="17F71FA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本工程施行质量责任终身制。监理人应当书面明确相应的总监理工程师和质量负责人。监理人的相关人员按照国家法律法规和有关规定在工程合理使用年限内承担相应的质量责任。</w:t>
      </w:r>
    </w:p>
    <w:p w14:paraId="1937104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7.1.3监理人对施工质量负监理责任，应当按合同约定设立现场监理机构，按规定程序和标准进行工程质量检查、检测和验收，对发现的质量问题及时督促整改，不得降低工程质量标准。</w:t>
      </w:r>
    </w:p>
    <w:p w14:paraId="3CD020A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本工程交工验收前，监理人应当根据有关标准和规范要求对工程质量进行检查验证，编制工程质量评定或者评估报告，并提交委托人。</w:t>
      </w:r>
    </w:p>
    <w:p w14:paraId="52A0261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本款补充第7.1.4项：</w:t>
      </w:r>
    </w:p>
    <w:p w14:paraId="1E3C7C0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7.1.4监理人应当按照合同约定设立工地临时试验室，严格按照工程技术标准、检测规范和规程，在核定的试验检测参数范围内开展试验检测活动。</w:t>
      </w:r>
    </w:p>
    <w:p w14:paraId="222AE24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监理人应当对其设立的工地临时试验室所出具的试验检测数据和报告的真实性、客观性、准确性负责。</w:t>
      </w:r>
    </w:p>
    <w:p w14:paraId="580C854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本条补充第7.3款：</w:t>
      </w:r>
    </w:p>
    <w:p w14:paraId="35CA8423">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7.3</w:t>
      </w:r>
      <w:r>
        <w:rPr>
          <w:rFonts w:hint="eastAsia" w:ascii="宋体" w:hAnsi="宋体" w:eastAsia="宋体" w:cs="宋体"/>
          <w:szCs w:val="21"/>
          <w:highlight w:val="none"/>
        </w:rPr>
        <w:t>人员和设备保险</w:t>
      </w:r>
    </w:p>
    <w:p w14:paraId="3261B64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监理人应在监理服务期内，自费办理派驻到工程所在地人员的人身和自备财产的有关保险，保险时间应随服务时间的延长而顺延，并在出险后自行办理索赔。如果监理人不办理上述保险，则应对有关风险及后果自负其责。</w:t>
      </w:r>
    </w:p>
    <w:p w14:paraId="4D3020DB">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60" w:name="_Toc533409785"/>
      <w:r>
        <w:rPr>
          <w:rFonts w:hint="eastAsia" w:ascii="宋体" w:hAnsi="宋体" w:eastAsia="宋体" w:cs="宋体"/>
          <w:b/>
          <w:bCs/>
          <w:sz w:val="22"/>
          <w:szCs w:val="21"/>
          <w:highlight w:val="none"/>
        </w:rPr>
        <w:t>8.合同变更</w:t>
      </w:r>
      <w:bookmarkEnd w:id="160"/>
    </w:p>
    <w:p w14:paraId="77E80E8C">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8.1</w:t>
      </w:r>
      <w:r>
        <w:rPr>
          <w:rFonts w:hint="eastAsia" w:ascii="宋体" w:hAnsi="宋体" w:eastAsia="宋体" w:cs="宋体"/>
          <w:szCs w:val="21"/>
          <w:highlight w:val="none"/>
        </w:rPr>
        <w:t>变更情形</w:t>
      </w:r>
    </w:p>
    <w:p w14:paraId="544230E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第8.1.1项细化为：</w:t>
      </w:r>
    </w:p>
    <w:p w14:paraId="551C9F0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合同履行中发生下述情形时，合同一方均可向对方提出变更请求，经双方协商一致后进行变更，监理服务期限和监理报酬的调整方法在项目专用合同条款中约定。</w:t>
      </w:r>
    </w:p>
    <w:p w14:paraId="5D39A8F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（1）监理范围发生变化；</w:t>
      </w:r>
    </w:p>
    <w:p w14:paraId="13668D3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（2）除不可抗力外，非监理人的原因引起的周期延误；</w:t>
      </w:r>
    </w:p>
    <w:p w14:paraId="5844148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（3）非监理人的原因，对工程同一部分重复进行监理；</w:t>
      </w:r>
    </w:p>
    <w:p w14:paraId="4CD2039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（4）非监理人的原因，对工程暂停监理及恢复监理；</w:t>
      </w:r>
    </w:p>
    <w:p w14:paraId="3C06F09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（5）监理服务的形式与内容发生变化；</w:t>
      </w:r>
    </w:p>
    <w:p w14:paraId="078EF72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（6）因委托人或第三方的责任，阻碍或延误了监理人履行监理服务；</w:t>
      </w:r>
    </w:p>
    <w:p w14:paraId="3933974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（7）委托人提出高于监理合同约定的服务目标，监理人为完成此目标导致投入增加。</w:t>
      </w:r>
    </w:p>
    <w:p w14:paraId="38333E5E">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61" w:name="_Toc533409786"/>
      <w:r>
        <w:rPr>
          <w:rFonts w:hint="eastAsia" w:ascii="宋体" w:hAnsi="宋体" w:eastAsia="宋体" w:cs="宋体"/>
          <w:b/>
          <w:bCs/>
          <w:sz w:val="22"/>
          <w:szCs w:val="21"/>
          <w:highlight w:val="none"/>
        </w:rPr>
        <w:t>9.合同价格与支付</w:t>
      </w:r>
      <w:bookmarkEnd w:id="161"/>
    </w:p>
    <w:p w14:paraId="00641CE7">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9.1</w:t>
      </w:r>
      <w:r>
        <w:rPr>
          <w:rFonts w:hint="eastAsia" w:ascii="宋体" w:hAnsi="宋体" w:eastAsia="宋体" w:cs="宋体"/>
          <w:szCs w:val="21"/>
          <w:highlight w:val="none"/>
        </w:rPr>
        <w:t>合同价格</w:t>
      </w:r>
    </w:p>
    <w:p w14:paraId="1B5656F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第9.1.1项细化为：</w:t>
      </w:r>
    </w:p>
    <w:p w14:paraId="18ADE37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本合同的报价方式在项目专用合同条款中约定。合同价格是监理人按照合同约定完成施工准备阶段、施工阶段、验收与缺陷责任期阶段监理服务所需的全部费用，应按投标文件格式中报价清单的内容和格式填报。</w:t>
      </w:r>
    </w:p>
    <w:p w14:paraId="2B7735C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监理服务费用包括以下组成部分：</w:t>
      </w:r>
    </w:p>
    <w:p w14:paraId="2E93366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（1）监理人员服务费；</w:t>
      </w:r>
    </w:p>
    <w:p w14:paraId="1CF551F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（2）监理办公设施费；</w:t>
      </w:r>
    </w:p>
    <w:p w14:paraId="0D5BB57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（3）监理交通设施费；</w:t>
      </w:r>
    </w:p>
    <w:p w14:paraId="5BF74B7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（4）监理试验设施费；</w:t>
      </w:r>
    </w:p>
    <w:p w14:paraId="552BD06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（5）监理生活设施费；</w:t>
      </w:r>
    </w:p>
    <w:p w14:paraId="3ADEAF2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（6）利润。</w:t>
      </w:r>
    </w:p>
    <w:p w14:paraId="608C783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除利润外，以上各项费用应分别按施工期（涵盖施工准备阶段和施工阶段）和缺陷责任期两个阶段填报，其中监理人员服务费应填报各级监理人员的人月单价及为完成监理服务所需要的总人月数量。各类监理人员的人月单价应包括监理人员履行监理服务时由于施工工艺的连续性导致不可避免的加班费用，在上述情况发生时，委托人将不考虑另行支付监理人员的加班费用。</w:t>
      </w:r>
    </w:p>
    <w:p w14:paraId="3F99B4E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监理人因完成本项目施工监理服务需计取的企业管理费及需缴纳的一切税费均由监理人承担，并包含在所报的各项监理服务费用之内，委托人不单独支付。</w:t>
      </w:r>
    </w:p>
    <w:p w14:paraId="452F9C5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除本合同第8条约定的变更情形和项目专用合同条款约定的其他情形外，本监理合同的监理服务费用在合同实施期间一律不予调整。</w:t>
      </w:r>
    </w:p>
    <w:p w14:paraId="76EC21B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除项目专用合同条款另有约定外，因工程提前完成导致监理服务期限缩短，且在监理人已履行本合同规定义务的情况下，委托人不能以监理人提前完成监理为由而减少监理报酬。</w:t>
      </w:r>
    </w:p>
    <w:p w14:paraId="7DD5EB2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9.2预付款</w:t>
      </w:r>
    </w:p>
    <w:p w14:paraId="09993F3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本款细化为：为使监理服务能够及时开展，委托人应在监理合同签订后7天内按监理服务费总额的10%向监理人支付预付款，项目专用合同条款另有约定的除外。</w:t>
      </w:r>
    </w:p>
    <w:p w14:paraId="2810E12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预付款在施工阶段监理服务费支付的累计金额达到签约合同价的30%时开始抵扣，全部预付款应在施工阶段监理服务费累计支付到签约合同价的80%时扣完。</w:t>
      </w:r>
    </w:p>
    <w:p w14:paraId="49FBFD5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预付款应专用于本工程的监理。监理人无须向委托人提交预付款保函，但监理人提交的履约保证金对预付款的正常使用承担保证责任。</w:t>
      </w:r>
    </w:p>
    <w:p w14:paraId="11BF06EB">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9.3</w:t>
      </w:r>
      <w:r>
        <w:rPr>
          <w:rFonts w:hint="eastAsia" w:ascii="宋体" w:hAnsi="宋体" w:eastAsia="宋体" w:cs="宋体"/>
          <w:szCs w:val="21"/>
          <w:highlight w:val="none"/>
        </w:rPr>
        <w:t>中期支付</w:t>
      </w:r>
    </w:p>
    <w:p w14:paraId="7230E16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w:t>
      </w:r>
    </w:p>
    <w:p w14:paraId="5F885BF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9.3.1监理人应在各月末向委托人提交由总监理工程师签署的按委托人批准格式填写的监理服务费付款申请单一式三份，该付款申请单包括以下栏目，监理人应逐项填写清楚：</w:t>
      </w:r>
    </w:p>
    <w:p w14:paraId="1234EB9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（1）本月应向监理人支付的（结算的）监理服务费用；</w:t>
      </w:r>
    </w:p>
    <w:p w14:paraId="62F0248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（2）本月应支付的监理服务变更费用；</w:t>
      </w:r>
    </w:p>
    <w:p w14:paraId="62A1978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（3）本月应支付的预付款；</w:t>
      </w:r>
    </w:p>
    <w:p w14:paraId="57AE8AC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（4）根据合同规定，本月应结算的其他款项；</w:t>
      </w:r>
    </w:p>
    <w:p w14:paraId="3C268EF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（5）本月应扣回的预付款；</w:t>
      </w:r>
    </w:p>
    <w:p w14:paraId="094C7C9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（6）根据合同规定，本月应扣除的其他款项。</w:t>
      </w:r>
    </w:p>
    <w:p w14:paraId="3CD881C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9.3.2委托人将在收到监理人提交的监理服务费付款申请单后28天内进行核实并予以支付。除项目专用合同条款另有约定外，支付原则如下：</w:t>
      </w:r>
    </w:p>
    <w:p w14:paraId="531C71E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施工期间的监理人员服务费根据各级监理人员的人月单价及本月实际完成的监理服务时间计算并支付（各岗位监理人员的人月数以监理人记录并经委托人签字确认的监理人员出勤情况为依据）。本项目各月累计支付的监理人员服务费总额不得超过监理人在监理服务费报价清单中填报的施工期监理人员服务费合计金额，超过部分委托人将不再予以支付。</w:t>
      </w:r>
      <w:r>
        <w:rPr>
          <w:rFonts w:hint="eastAsia" w:ascii="宋体" w:hAnsi="宋体" w:eastAsia="宋体" w:cs="宋体"/>
          <w:szCs w:val="21"/>
          <w:highlight w:val="none"/>
          <w:vertAlign w:val="superscript"/>
        </w:rPr>
        <w:t>①</w:t>
      </w:r>
    </w:p>
    <w:p w14:paraId="444FFF0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施工期间的监理办公设施费、交通设施费、试验设施费及生活设施费由监理人包干使用，上述四项设施费的报价总额按月度等额支付给监理人。监理人必须保证实际投入本项目的办公设施、交通设施、试验设施及生活设施能满足本招标文件的要求和实际工作的需要，且不低于监理人投标文件中所列设施，否则委托人将根据本合同第11.1.2项的规定从其报价总额中扣除违约赔偿金。</w:t>
      </w:r>
    </w:p>
    <w:p w14:paraId="5D1B915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（3）缺陷责任期内的监理人员服务费、监理办公设施费、交通设施费、试验设施费及生活设施费将在本项目的缺陷责任期开始后，分四次等额支付给监理人。</w:t>
      </w:r>
    </w:p>
    <w:p w14:paraId="182800B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（4）监理服务变更费用经双方协商确认后，在监理服务所对应工作期限内按月平均支付或按双方所签订补充协议约定的支付方式进行支付。</w:t>
      </w:r>
    </w:p>
    <w:p w14:paraId="266ECB8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（5）根据合同条款第8.2.2项约定对监理人的奖励，委托人应于对监理人的当期支付费用中一次性支付；</w:t>
      </w:r>
    </w:p>
    <w:p w14:paraId="4574504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根据合同条款第11.1款确定的监理人对委托人的违约赔偿金，由委托人从对监理人的当期监理服务费计量支付报表中予以核减；当期监理服务费不足以抵扣违约赔偿金时，则从后续监理服务费计量支付报表或履约保证金中扣回；</w:t>
      </w:r>
    </w:p>
    <w:p w14:paraId="4CB5E0C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（7）根据通用合同条款第11.2款确定的委托人对监理人的赔偿金，应由委托人与监理人协商确定后在对监理人当期支付费用中一次性支付。</w:t>
      </w:r>
    </w:p>
    <w:p w14:paraId="0F46EF4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9.3.3委托人在收到监理人提交的书面支付申请且监理人提交了合格的增值税专用发票后，应按上述条款约定的支付期限内支付监理服务费用。委托人未能在前述时间内完成审批或不予答复的，视为委托人同意中期支付申请。委托人未按期支付到期应付的款项，应承担违约责任，并支付逾期付款违约金，逾期付款的违约金以到期应付而未付的款项，按照银行同期贷款利率加手续费计算相应的利息，时间自未付款项的应付之日起算。</w:t>
      </w:r>
    </w:p>
    <w:p w14:paraId="28D945B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9.3.4委托人对监理人要求支付的款项中的任何部分有异议的，应在收到监理人提交的书面支付申请7天内发出书面通知说明理由，但不得借此延误对监理人其他应得款项的支付。</w:t>
      </w:r>
    </w:p>
    <w:p w14:paraId="11F361F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9.3.5中期支付涉及政府投资资金的，按照国库集中支付等国家相关规定和项目专用合同条款的约定执行。</w:t>
      </w:r>
    </w:p>
    <w:p w14:paraId="2C44E4C9">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9.4</w:t>
      </w:r>
      <w:r>
        <w:rPr>
          <w:rFonts w:hint="eastAsia" w:ascii="宋体" w:hAnsi="宋体" w:eastAsia="宋体" w:cs="宋体"/>
          <w:szCs w:val="21"/>
          <w:highlight w:val="none"/>
        </w:rPr>
        <w:t>费用结算</w:t>
      </w:r>
    </w:p>
    <w:p w14:paraId="6EDF2A7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w:t>
      </w:r>
    </w:p>
    <w:p w14:paraId="57A3CF0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9.4.1在施工阶段监理服务工作结束后7天内，监理人应将至交工证书申请之日前实际发生的监理服务费用，扣减预付款和监理人赔偿金后余额的支付申请上报至委托人，委托人应在收到该支付申请后7天内予以审批，在批复后14天内向监理人支付费用。监理人在提交支付申请的同时，应按合同条款第4.2.1项的约定向委托人提交缺陷责任期保函，委托人在收到监理人提交的缺陷责任期保函后7天内向监理人返还履约保证金。</w:t>
      </w:r>
    </w:p>
    <w:p w14:paraId="52CF888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9.4.2在签发工程缺陷责任终止证书后7天内，监理人应将工程缺陷责任期内未结清的监理服务费用和其他应由委托人向监理人支付的剩余款项，扣减其他应由委托人从监理人扣回款项的支付申请上报至委托人，委托人应在收到该支付申请后7天内予以审批，在批复后14天内向监理人支付费用，同时委托人向监理人返还缺陷责任期保函。</w:t>
      </w:r>
    </w:p>
    <w:p w14:paraId="0837B0C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9.4.3委托人在收到监理人提交的书面支付申请且监理人提交了合格的增值税专用发票后，应按上述条款约定的支付期限内支付监理服务费用。委托人未能在前述时间内完成审批或不予答复的，视为委托人同意费用结算申请。委托人未按期支付到期应付的款项，应承担违约责任，并支付逾期付款违约金，逾期付款的违约金以到期应付而未付的款项，按照银行同期贷款利率加手续费计算相应的利息，时间自未付款项的应付之日起算。</w:t>
      </w:r>
    </w:p>
    <w:p w14:paraId="04D3125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9.4.4委托人对费用结算申请内容有异议的，有权要求监理人进行修正和提供补充资料，由监理人重新提交。监理人对此有异议的，按第12条的约定执行。</w:t>
      </w:r>
    </w:p>
    <w:p w14:paraId="469DC07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9.4.5最终结清付款涉及政府投资资金的，按第9.3.5项的约定执行。</w:t>
      </w:r>
    </w:p>
    <w:p w14:paraId="0034122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本条补充第9.5款、第9.6款：</w:t>
      </w:r>
    </w:p>
    <w:p w14:paraId="725F347D">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9.5</w:t>
      </w:r>
      <w:r>
        <w:rPr>
          <w:rFonts w:hint="eastAsia" w:ascii="宋体" w:hAnsi="宋体" w:eastAsia="宋体" w:cs="宋体"/>
          <w:szCs w:val="21"/>
          <w:highlight w:val="none"/>
        </w:rPr>
        <w:t>暂列金额</w:t>
      </w:r>
    </w:p>
    <w:p w14:paraId="2B8A6B4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本合同的暂列金额在项目专用合同条款中约定。暂列金额应按委托人的书面指示全部或部分地使用，或根本不予动用。暂列金额主要用于支付监理服务的变更费用。</w:t>
      </w:r>
    </w:p>
    <w:p w14:paraId="233197DE">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9.6</w:t>
      </w:r>
      <w:r>
        <w:rPr>
          <w:rFonts w:hint="eastAsia" w:ascii="宋体" w:hAnsi="宋体" w:eastAsia="宋体" w:cs="宋体"/>
          <w:szCs w:val="21"/>
          <w:highlight w:val="none"/>
        </w:rPr>
        <w:t>货币</w:t>
      </w:r>
    </w:p>
    <w:p w14:paraId="5C9DD0F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除项目专用合同条款另有约定外，委托人采用人民币支付监理服务费用。涉及外币支付的，其货币种类、比例和汇率等事宜，在项目专用合同条款中约定。</w:t>
      </w:r>
    </w:p>
    <w:p w14:paraId="75BE0206">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62" w:name="_Toc533409787"/>
      <w:r>
        <w:rPr>
          <w:rFonts w:hint="eastAsia" w:ascii="宋体" w:hAnsi="宋体" w:eastAsia="宋体" w:cs="宋体"/>
          <w:b/>
          <w:bCs/>
          <w:sz w:val="22"/>
          <w:szCs w:val="21"/>
          <w:highlight w:val="none"/>
        </w:rPr>
        <w:t>11.违约</w:t>
      </w:r>
      <w:bookmarkEnd w:id="162"/>
    </w:p>
    <w:p w14:paraId="1352E31B">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11.1</w:t>
      </w:r>
      <w:r>
        <w:rPr>
          <w:rFonts w:hint="eastAsia" w:ascii="宋体" w:hAnsi="宋体" w:eastAsia="宋体" w:cs="宋体"/>
          <w:szCs w:val="21"/>
          <w:highlight w:val="none"/>
        </w:rPr>
        <w:t>监理人违约</w:t>
      </w:r>
    </w:p>
    <w:p w14:paraId="69B3C76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w:t>
      </w:r>
    </w:p>
    <w:p w14:paraId="134D6C8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11.1.1合同履行中发生下列情况之一的，属监理人违约：</w:t>
      </w:r>
    </w:p>
    <w:p w14:paraId="29F1245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（1）监理文件不符合规范标准以及合同约定；</w:t>
      </w:r>
    </w:p>
    <w:p w14:paraId="25CBD6D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（2）监理人转让或分包监理工作；</w:t>
      </w:r>
    </w:p>
    <w:p w14:paraId="7B83DA3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（3）监理人未按合同约定实施监理并造成工程损失；</w:t>
      </w:r>
    </w:p>
    <w:p w14:paraId="259E0C0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（4）监理人向承包人索贿、谋取私利，或与承包人串通损害委托人利益，给委托人造成损失；</w:t>
      </w:r>
    </w:p>
    <w:p w14:paraId="5997E80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（5）监理人未按《公路工程施工监理规范》的规定对主要工程或关键工序进行旁站、巡视或抽检；</w:t>
      </w:r>
    </w:p>
    <w:p w14:paraId="1E2C5B2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（6）监理人未能按照投标文件的承诺或合同文件的约定配备满足监理服务需求的人员或设备；</w:t>
      </w:r>
    </w:p>
    <w:p w14:paraId="2CFAB73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（7）监理人无法履行或停止履行合同；</w:t>
      </w:r>
    </w:p>
    <w:p w14:paraId="4EDD3D6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（8）监理人不履行合同约定的其他义务。</w:t>
      </w:r>
    </w:p>
    <w:p w14:paraId="0AC0517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11.1.2监理人发生违约情况时，委托人可向监理人发出整改通知，要求其在限定期限内纠正；逾期仍不纠正的，委托人有权解除合同并向监理人发出解除合同通知。发生第11.1.1项（2）目或（4）目情形时，委托人可直接发出解除合同通知。</w:t>
      </w:r>
    </w:p>
    <w:p w14:paraId="07A3279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应当承担由于违约所造成的费用增加、周期延误和委托人损失等。委托人有权向监理人课以项目专用合同条款中约定的违约金，并由委托人将其违约行为上报省级交通运输主管部门，作为不良记录纳入公路建设市场信用信息管理系统。</w:t>
      </w:r>
    </w:p>
    <w:p w14:paraId="3DA4630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11.1.3监理人对委托人损失的赔偿责任</w:t>
      </w:r>
    </w:p>
    <w:p w14:paraId="1AF0CFE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监理人违反监理合同的约定并造成委托人的经济损失，应向委托人赔偿，除项目专用合同条款另有约定外，赔偿金应按下式计算：</w:t>
      </w:r>
    </w:p>
    <w:p w14:paraId="44DAF2B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赔偿金=委托人直接经济损失所对应的监理费×监理人应承担责任的比例</w:t>
      </w:r>
    </w:p>
    <w:p w14:paraId="1AA8015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对由于第三方责任造成的任何经济损失，不承担责任。如果监理人与委托人或第三方对有关经济损失共负责任时，应按责任比例计算赔偿。监理人的上述责任赔偿，均应按照本合同条款第11.5款的约定办理。</w:t>
      </w:r>
    </w:p>
    <w:p w14:paraId="172C4D5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11.1.4监理人对委托人未授权的监理服务范围不承担监理责任。</w:t>
      </w:r>
    </w:p>
    <w:p w14:paraId="53BA813E">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11.2</w:t>
      </w:r>
      <w:r>
        <w:rPr>
          <w:rFonts w:hint="eastAsia" w:ascii="宋体" w:hAnsi="宋体" w:eastAsia="宋体" w:cs="宋体"/>
          <w:szCs w:val="21"/>
          <w:highlight w:val="none"/>
        </w:rPr>
        <w:t>委托人违约</w:t>
      </w:r>
    </w:p>
    <w:p w14:paraId="7A8B34B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本款细化为：</w:t>
      </w:r>
    </w:p>
    <w:p w14:paraId="3C2FC89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11.2.1合同履行中发生下列情况之一的，属委托人违约：</w:t>
      </w:r>
    </w:p>
    <w:p w14:paraId="5D55164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（1）委托人未按合同约定支付监理报酬；</w:t>
      </w:r>
    </w:p>
    <w:p w14:paraId="343E7A9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（2）委托人原因造成监理停止；</w:t>
      </w:r>
    </w:p>
    <w:p w14:paraId="459C6D0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（3）委托人无法履行或停止履行合同；</w:t>
      </w:r>
    </w:p>
    <w:p w14:paraId="1D5D667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（4）委托人无正当理由不按时返还履约保证金或缺陷责任期保函；</w:t>
      </w:r>
    </w:p>
    <w:p w14:paraId="5F5B4BB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（5）委托人不履行合同约定的其他义务。</w:t>
      </w:r>
    </w:p>
    <w:p w14:paraId="4D277CC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11.2.2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监理人有权向委托人课以项目专用合同条款中约定的违约金。</w:t>
      </w:r>
    </w:p>
    <w:p w14:paraId="3EAB3CF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11.2.3委托人对监理人损失的赔偿责任</w:t>
      </w:r>
    </w:p>
    <w:p w14:paraId="73109A1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委托人违反监理合同的约定并造成监理人的经济损失，除项目专用合同条款另有约定外，委托人应据实赔偿监理人的直接经济损失。</w:t>
      </w:r>
    </w:p>
    <w:p w14:paraId="7CF1A30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本条补充第11.4款、第11.5款：</w:t>
      </w:r>
    </w:p>
    <w:p w14:paraId="3AE2873E">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11.4</w:t>
      </w:r>
      <w:r>
        <w:rPr>
          <w:rFonts w:hint="eastAsia" w:ascii="宋体" w:hAnsi="宋体" w:eastAsia="宋体" w:cs="宋体"/>
          <w:szCs w:val="21"/>
          <w:highlight w:val="none"/>
        </w:rPr>
        <w:t>赔偿责任的期限</w:t>
      </w:r>
    </w:p>
    <w:p w14:paraId="2966FE1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委托人或监理人任何一方向另一方要求的赔偿，均应在赔偿事件发生后的28天之内以书面形式提出索赔。如果该事件具有持续性，则应在事件首次发生后7天之内提出索赔意向，并每隔7天提供一次该事件仍在持续发展的证明材料，直至该事件结束后28天之内提出正式的索赔文件。无论是委托人还是监理人，逾期未提出书面索赔意向书，均失去索赔权利。</w:t>
      </w:r>
    </w:p>
    <w:p w14:paraId="6725AC45">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11.5</w:t>
      </w:r>
      <w:r>
        <w:rPr>
          <w:rFonts w:hint="eastAsia" w:ascii="宋体" w:hAnsi="宋体" w:eastAsia="宋体" w:cs="宋体"/>
          <w:szCs w:val="21"/>
          <w:highlight w:val="none"/>
        </w:rPr>
        <w:t>赔偿的限额</w:t>
      </w:r>
    </w:p>
    <w:p w14:paraId="479694B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除项目专用合同条款另有约定外，合同一方当事人向对方当事人依据本合同条款第11.1款和第11.2款支付赔偿的最高限额为：</w:t>
      </w:r>
    </w:p>
    <w:p w14:paraId="5146B99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（1）监理人的累计赔偿限额为监理服务费总额的30%，当达到此限额时，委托人有权单方面终止监理合同，同时监理人的履约保证金不予退还。</w:t>
      </w:r>
    </w:p>
    <w:p w14:paraId="49FB381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（2）委托人赔偿监理人的直接经济损失的累计限额为监理服务费总额。</w:t>
      </w:r>
    </w:p>
    <w:p w14:paraId="02FC3D5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合同双方同意放弃超过上述限额的剩余赔偿要求，但本合同其他条款约定的补偿和由于任何一方故意违约而引起的索赔，不受该限额的限制。</w:t>
      </w:r>
    </w:p>
    <w:p w14:paraId="69849869">
      <w:pPr>
        <w:pageBreakBefore w:val="0"/>
        <w:widowControl w:val="0"/>
        <w:kinsoku/>
        <w:wordWrap/>
        <w:overflowPunct/>
        <w:topLinePunct w:val="0"/>
        <w:bidi w:val="0"/>
        <w:snapToGrid/>
        <w:spacing w:line="360" w:lineRule="auto"/>
        <w:ind w:firstLine="442" w:firstLineChars="200"/>
        <w:jc w:val="left"/>
        <w:textAlignment w:val="auto"/>
        <w:outlineLvl w:val="2"/>
        <w:rPr>
          <w:rFonts w:hint="eastAsia" w:ascii="宋体" w:hAnsi="宋体" w:eastAsia="宋体" w:cs="宋体"/>
          <w:b/>
          <w:bCs/>
          <w:sz w:val="22"/>
          <w:szCs w:val="21"/>
          <w:highlight w:val="none"/>
          <w:lang w:eastAsia="zh-CN"/>
        </w:rPr>
      </w:pPr>
      <w:bookmarkStart w:id="163" w:name="_Toc533409788"/>
      <w:r>
        <w:rPr>
          <w:rFonts w:hint="eastAsia" w:ascii="宋体" w:hAnsi="宋体" w:eastAsia="宋体" w:cs="宋体"/>
          <w:b/>
          <w:bCs/>
          <w:sz w:val="22"/>
          <w:szCs w:val="21"/>
          <w:highlight w:val="none"/>
        </w:rPr>
        <w:t>12.争议的解决</w:t>
      </w:r>
      <w:bookmarkEnd w:id="163"/>
    </w:p>
    <w:p w14:paraId="721F92B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本条补充：</w:t>
      </w:r>
    </w:p>
    <w:p w14:paraId="5875BC5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采用仲裁方式最终解决争议的项目，仲裁裁决是终局性的并对委托人和监理人双方均具有约束力。全部仲裁费用应由败诉方承担，或按仲裁委员会裁决的比例分担。</w:t>
      </w:r>
    </w:p>
    <w:p w14:paraId="1589A73F">
      <w:pPr>
        <w:pStyle w:val="8"/>
        <w:pageBreakBefore w:val="0"/>
        <w:widowControl w:val="0"/>
        <w:kinsoku/>
        <w:wordWrap/>
        <w:overflowPunct/>
        <w:topLinePunct w:val="0"/>
        <w:bidi w:val="0"/>
        <w:snapToGrid/>
        <w:spacing w:after="0" w:line="360" w:lineRule="auto"/>
        <w:ind w:firstLine="562" w:firstLineChars="20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B.项目专用合同条款</w:t>
      </w:r>
    </w:p>
    <w:p w14:paraId="47773ED3">
      <w:pPr>
        <w:pStyle w:val="20"/>
        <w:pageBreakBefore w:val="0"/>
        <w:widowControl w:val="0"/>
        <w:kinsoku/>
        <w:wordWrap/>
        <w:overflowPunct/>
        <w:topLinePunct w:val="0"/>
        <w:bidi w:val="0"/>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说明：</w:t>
      </w:r>
    </w:p>
    <w:p w14:paraId="27178CDE">
      <w:pPr>
        <w:pStyle w:val="20"/>
        <w:pageBreakBefore w:val="0"/>
        <w:widowControl w:val="0"/>
        <w:kinsoku/>
        <w:wordWrap/>
        <w:overflowPunct/>
        <w:topLinePunct w:val="0"/>
        <w:bidi w:val="0"/>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招标人在根据《公路工程标准施工监理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0DB3F9B">
      <w:pPr>
        <w:pStyle w:val="20"/>
        <w:pageBreakBefore w:val="0"/>
        <w:widowControl w:val="0"/>
        <w:kinsoku/>
        <w:wordWrap/>
        <w:overflowPunct/>
        <w:topLinePunct w:val="0"/>
        <w:bidi w:val="0"/>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2.项目专用合同条款的编号应与通用合同条款和公路工程专用合同条款一致。</w:t>
      </w:r>
    </w:p>
    <w:p w14:paraId="6AA78FA5">
      <w:pPr>
        <w:pStyle w:val="20"/>
        <w:pageBreakBefore w:val="0"/>
        <w:widowControl w:val="0"/>
        <w:kinsoku/>
        <w:wordWrap/>
        <w:overflowPunct/>
        <w:topLinePunct w:val="0"/>
        <w:bidi w:val="0"/>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3.项目专用合同条款可对下列内容进行补充和细化：</w:t>
      </w:r>
    </w:p>
    <w:p w14:paraId="4F52A5D6">
      <w:pPr>
        <w:pStyle w:val="20"/>
        <w:pageBreakBefore w:val="0"/>
        <w:widowControl w:val="0"/>
        <w:kinsoku/>
        <w:wordWrap/>
        <w:overflowPunct/>
        <w:topLinePunct w:val="0"/>
        <w:bidi w:val="0"/>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通用合同条款”中明确指出“专用合同条款”可对“通用合同条款”进行修改的内容(在“通用合同条款”中用“应按合同约定”“按专用合同条款约定”“除合同另有约定外”“除专用合同条款另有约定外”“在专用合同条款中约定”等多种文字形式表达)；</w:t>
      </w:r>
    </w:p>
    <w:p w14:paraId="5362A30C">
      <w:pPr>
        <w:pStyle w:val="20"/>
        <w:pageBreakBefore w:val="0"/>
        <w:widowControl w:val="0"/>
        <w:kinsoku/>
        <w:wordWrap/>
        <w:overflowPunct/>
        <w:topLinePunct w:val="0"/>
        <w:bidi w:val="0"/>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公路工程专用合同条款”中明确指出“项目专用合同条款”可对“公路工程专用合同条款”进行修改的内容(在“公路工程专用合同条款”中用“除项目专用合同条款另有约定外”“项目专用合同条款约定的”“项目专用合同条款约定的其他情形”等多种文字形式表达)。</w:t>
      </w:r>
    </w:p>
    <w:p w14:paraId="1FFA4E06">
      <w:pPr>
        <w:pageBreakBefore w:val="0"/>
        <w:widowControl w:val="0"/>
        <w:kinsoku/>
        <w:wordWrap/>
        <w:overflowPunct/>
        <w:topLinePunct w:val="0"/>
        <w:bidi w:val="0"/>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(3)其他需要补充、细化的内容。</w:t>
      </w:r>
    </w:p>
    <w:p w14:paraId="567A19CE">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szCs w:val="21"/>
          <w:highlight w:val="none"/>
          <w:lang w:eastAsia="zh-CN"/>
        </w:rPr>
      </w:pPr>
      <w:r>
        <w:rPr>
          <w:rFonts w:hint="eastAsia" w:ascii="宋体" w:hAnsi="宋体" w:eastAsia="宋体" w:cs="宋体"/>
          <w:b/>
          <w:bCs/>
          <w:szCs w:val="21"/>
          <w:highlight w:val="none"/>
        </w:rPr>
        <w:t>1.</w:t>
      </w:r>
      <w:r>
        <w:rPr>
          <w:rFonts w:hint="eastAsia" w:ascii="宋体" w:hAnsi="宋体" w:eastAsia="宋体" w:cs="宋体"/>
          <w:b/>
          <w:szCs w:val="21"/>
          <w:highlight w:val="none"/>
        </w:rPr>
        <w:t>一般约定</w:t>
      </w:r>
    </w:p>
    <w:p w14:paraId="1B1398F1">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w:t>
      </w:r>
      <w:r>
        <w:rPr>
          <w:rFonts w:hint="eastAsia" w:ascii="宋体" w:hAnsi="宋体" w:eastAsia="宋体" w:cs="宋体"/>
          <w:szCs w:val="21"/>
          <w:highlight w:val="none"/>
        </w:rPr>
        <w:t>词语定义</w:t>
      </w:r>
    </w:p>
    <w:p w14:paraId="6E66ED9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1.1.2.2委托人：</w:t>
      </w:r>
      <w:r>
        <w:rPr>
          <w:rFonts w:hint="eastAsia" w:ascii="宋体" w:hAnsi="宋体" w:eastAsia="宋体" w:cs="宋体"/>
          <w:szCs w:val="21"/>
          <w:highlight w:val="none"/>
          <w:u w:val="single"/>
        </w:rPr>
        <w:t>新乡市公路事业发展中心</w:t>
      </w:r>
      <w:r>
        <w:rPr>
          <w:rFonts w:hint="eastAsia" w:ascii="宋体" w:hAnsi="宋体" w:eastAsia="宋体" w:cs="宋体"/>
          <w:szCs w:val="21"/>
          <w:highlight w:val="none"/>
        </w:rPr>
        <w:t>。</w:t>
      </w:r>
    </w:p>
    <w:p w14:paraId="469BE13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1.1.3.1本次进行施工监理招标的项目为</w:t>
      </w:r>
      <w:r>
        <w:rPr>
          <w:rFonts w:hint="eastAsia" w:ascii="宋体" w:hAnsi="宋体" w:eastAsia="宋体" w:cs="宋体"/>
          <w:szCs w:val="21"/>
          <w:highlight w:val="none"/>
          <w:u w:val="single"/>
          <w:lang w:eastAsia="zh-CN"/>
        </w:rPr>
        <w:t>2025年新乡市干线公路第一批养护工程监理项目</w:t>
      </w:r>
      <w:r>
        <w:rPr>
          <w:rFonts w:hint="eastAsia" w:ascii="宋体" w:hAnsi="宋体" w:eastAsia="宋体" w:cs="宋体"/>
          <w:szCs w:val="21"/>
          <w:highlight w:val="none"/>
        </w:rPr>
        <w:t>公路工程。</w:t>
      </w:r>
    </w:p>
    <w:p w14:paraId="323EAEC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工程地点：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5776AFE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起迄桩号：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53AD14F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施工合同标段划分：</w:t>
      </w:r>
      <w:r>
        <w:rPr>
          <w:rFonts w:hint="eastAsia" w:ascii="宋体" w:hAnsi="宋体" w:eastAsia="宋体" w:cs="宋体"/>
          <w:szCs w:val="21"/>
          <w:highlight w:val="none"/>
          <w:u w:val="single"/>
        </w:rPr>
        <w:t xml:space="preserve"> 1个标段   </w:t>
      </w:r>
      <w:r>
        <w:rPr>
          <w:rFonts w:hint="eastAsia" w:ascii="宋体" w:hAnsi="宋体" w:eastAsia="宋体" w:cs="宋体"/>
          <w:szCs w:val="21"/>
          <w:highlight w:val="none"/>
        </w:rPr>
        <w:t xml:space="preserve"> ； </w:t>
      </w:r>
    </w:p>
    <w:p w14:paraId="6BA740C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监理合同标段划分：</w:t>
      </w:r>
      <w:r>
        <w:rPr>
          <w:rFonts w:hint="eastAsia" w:ascii="宋体" w:hAnsi="宋体" w:eastAsia="宋体" w:cs="宋体"/>
          <w:szCs w:val="21"/>
          <w:highlight w:val="none"/>
          <w:u w:val="single"/>
        </w:rPr>
        <w:t xml:space="preserve">  1个标段   </w:t>
      </w:r>
      <w:r>
        <w:rPr>
          <w:rFonts w:hint="eastAsia" w:ascii="宋体" w:hAnsi="宋体" w:eastAsia="宋体" w:cs="宋体"/>
          <w:szCs w:val="21"/>
          <w:highlight w:val="none"/>
        </w:rPr>
        <w:t xml:space="preserve"> ； </w:t>
      </w:r>
    </w:p>
    <w:p w14:paraId="77A8B14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工程概况：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EAED75E">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rPr>
      </w:pPr>
      <w:r>
        <w:rPr>
          <w:rFonts w:hint="eastAsia" w:ascii="宋体" w:hAnsi="宋体" w:eastAsia="宋体" w:cs="宋体"/>
          <w:b/>
          <w:bCs/>
          <w:szCs w:val="21"/>
          <w:highlight w:val="none"/>
        </w:rPr>
        <w:t xml:space="preserve">1.12 </w:t>
      </w:r>
      <w:r>
        <w:rPr>
          <w:rFonts w:hint="eastAsia" w:ascii="宋体" w:hAnsi="宋体" w:eastAsia="宋体" w:cs="宋体"/>
          <w:szCs w:val="21"/>
          <w:highlight w:val="none"/>
        </w:rPr>
        <w:t xml:space="preserve">委托人要求 </w:t>
      </w:r>
    </w:p>
    <w:p w14:paraId="6D5D6CC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1.12.3 委托人提供国外规范和标准的时间：/，提供数量：</w:t>
      </w:r>
      <w:r>
        <w:rPr>
          <w:rFonts w:hint="eastAsia" w:ascii="宋体" w:hAnsi="宋体" w:eastAsia="宋体" w:cs="宋体"/>
          <w:szCs w:val="21"/>
          <w:highlight w:val="none"/>
          <w:u w:val="single"/>
        </w:rPr>
        <w:t>/</w:t>
      </w:r>
      <w:r>
        <w:rPr>
          <w:rFonts w:hint="eastAsia" w:ascii="宋体" w:hAnsi="宋体" w:eastAsia="宋体" w:cs="宋体"/>
          <w:szCs w:val="21"/>
          <w:highlight w:val="none"/>
        </w:rPr>
        <w:t>，其他要求：</w:t>
      </w:r>
      <w:r>
        <w:rPr>
          <w:rFonts w:hint="eastAsia" w:ascii="宋体" w:hAnsi="宋体" w:eastAsia="宋体" w:cs="宋体"/>
          <w:szCs w:val="21"/>
          <w:highlight w:val="none"/>
          <w:u w:val="single"/>
        </w:rPr>
        <w:t>/</w:t>
      </w:r>
      <w:r>
        <w:rPr>
          <w:rFonts w:hint="eastAsia" w:ascii="宋体" w:hAnsi="宋体" w:eastAsia="宋体" w:cs="宋体"/>
          <w:szCs w:val="21"/>
          <w:highlight w:val="none"/>
        </w:rPr>
        <w:t>。</w:t>
      </w:r>
    </w:p>
    <w:p w14:paraId="3E78D9E6">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4.监理人义务</w:t>
      </w:r>
    </w:p>
    <w:p w14:paraId="5E67935C">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4.2</w:t>
      </w:r>
      <w:r>
        <w:rPr>
          <w:rFonts w:hint="eastAsia" w:ascii="宋体" w:hAnsi="宋体" w:eastAsia="宋体" w:cs="宋体"/>
          <w:szCs w:val="21"/>
          <w:highlight w:val="none"/>
        </w:rPr>
        <w:t>履约保证金</w:t>
      </w:r>
    </w:p>
    <w:p w14:paraId="5D1708B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4.2.1缺陷责任期保函金额：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1449F79A">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5.监理要求</w:t>
      </w:r>
    </w:p>
    <w:p w14:paraId="69573220">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5.1</w:t>
      </w:r>
      <w:r>
        <w:rPr>
          <w:rFonts w:hint="eastAsia" w:ascii="宋体" w:hAnsi="宋体" w:eastAsia="宋体" w:cs="宋体"/>
          <w:szCs w:val="21"/>
          <w:highlight w:val="none"/>
        </w:rPr>
        <w:t>监理范围</w:t>
      </w:r>
    </w:p>
    <w:p w14:paraId="33A178D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5.1.2工程范围包括：</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099D48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5.1.3阶段范围包括：</w:t>
      </w:r>
      <w:r>
        <w:rPr>
          <w:rFonts w:hint="eastAsia" w:ascii="宋体" w:hAnsi="宋体" w:eastAsia="宋体" w:cs="宋体"/>
          <w:szCs w:val="21"/>
          <w:highlight w:val="none"/>
          <w:u w:val="single"/>
        </w:rPr>
        <w:t>对工程进行质量监理、施工安全监理、施工环境保护监理、进度监理、费用监理、合同其他事项和文件资料管理等</w:t>
      </w:r>
      <w:r>
        <w:rPr>
          <w:rFonts w:hint="eastAsia" w:ascii="宋体" w:hAnsi="宋体" w:eastAsia="宋体" w:cs="宋体"/>
          <w:szCs w:val="21"/>
          <w:highlight w:val="none"/>
        </w:rPr>
        <w:t>。</w:t>
      </w:r>
    </w:p>
    <w:p w14:paraId="4F884268">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5.1.4工作范围包括：</w:t>
      </w:r>
      <w:r>
        <w:rPr>
          <w:rFonts w:hint="eastAsia" w:ascii="宋体" w:hAnsi="宋体" w:eastAsia="宋体" w:cs="宋体"/>
          <w:szCs w:val="21"/>
          <w:highlight w:val="none"/>
          <w:u w:val="single"/>
        </w:rPr>
        <w:t>监理人应当按照合同要求和发包人的授权范围进行下述监理服务</w:t>
      </w:r>
      <w:r>
        <w:rPr>
          <w:rFonts w:hint="eastAsia" w:ascii="宋体" w:hAnsi="宋体" w:eastAsia="宋体" w:cs="宋体"/>
          <w:szCs w:val="21"/>
          <w:highlight w:val="none"/>
        </w:rPr>
        <w:t>。</w:t>
      </w:r>
    </w:p>
    <w:p w14:paraId="6AD74E88">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5.3</w:t>
      </w:r>
      <w:r>
        <w:rPr>
          <w:rFonts w:hint="eastAsia" w:ascii="宋体" w:hAnsi="宋体" w:eastAsia="宋体" w:cs="宋体"/>
          <w:szCs w:val="21"/>
          <w:highlight w:val="none"/>
        </w:rPr>
        <w:t>监理内容</w:t>
      </w:r>
    </w:p>
    <w:p w14:paraId="122CF37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□工程同时设置总监理工程师办公室和驻地监理工程师办公室：总监理工程师办公室设立工地试验室，驻地监理工程师办公室不设立工地试验室，总监办工地试验室相应的检查项目和抽检频率：</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C94BDA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□工程同时设置总监理工程师办公室和驻地监理工程师办公室：总监理工程师办公室和驻地监理工程师办公室均设立工地试验室，总监办和驻地办工地试验室相应的检查项目和抽检频率：</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 </w:t>
      </w:r>
    </w:p>
    <w:p w14:paraId="267E676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sym w:font="Wingdings 2" w:char="0052"/>
      </w:r>
      <w:r>
        <w:rPr>
          <w:rFonts w:hint="eastAsia" w:ascii="宋体" w:hAnsi="宋体" w:eastAsia="宋体" w:cs="宋体"/>
          <w:szCs w:val="21"/>
          <w:highlight w:val="none"/>
        </w:rPr>
        <w:t>工程只设置总监理工程师办公室：总监理工程师办公室设立工地试验室，工地试验室相应的检查项目和抽检频率：</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 </w:t>
      </w:r>
    </w:p>
    <w:p w14:paraId="3680036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监理人自行设立工地试验室的，应具有相应的《公路水运试验检测机构等级证书》，否则，监理人应委托具有相应资格的第三方试验检测机构设立工地试验室。</w:t>
      </w:r>
    </w:p>
    <w:p w14:paraId="14B07EC4">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5.5</w:t>
      </w:r>
      <w:r>
        <w:rPr>
          <w:rFonts w:hint="eastAsia" w:ascii="宋体" w:hAnsi="宋体" w:eastAsia="宋体" w:cs="宋体"/>
          <w:szCs w:val="21"/>
          <w:highlight w:val="none"/>
        </w:rPr>
        <w:t>监理服务形式</w:t>
      </w:r>
    </w:p>
    <w:p w14:paraId="73D75AD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监理服务机构设置：</w:t>
      </w:r>
      <w:r>
        <w:rPr>
          <w:rFonts w:hint="eastAsia" w:ascii="宋体" w:hAnsi="宋体" w:eastAsia="宋体" w:cs="宋体"/>
          <w:szCs w:val="21"/>
          <w:highlight w:val="none"/>
          <w:u w:val="single"/>
        </w:rPr>
        <w:t>一级监理机构组建，设置1个总监理工程师办公室。</w:t>
      </w:r>
    </w:p>
    <w:p w14:paraId="3AFE45BB">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5.6</w:t>
      </w:r>
      <w:r>
        <w:rPr>
          <w:rFonts w:hint="eastAsia" w:ascii="宋体" w:hAnsi="宋体" w:eastAsia="宋体" w:cs="宋体"/>
          <w:szCs w:val="21"/>
          <w:highlight w:val="none"/>
        </w:rPr>
        <w:t>监理服务目标</w:t>
      </w:r>
    </w:p>
    <w:p w14:paraId="551B819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5.6.2对承包人履约管理的服务目标：</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 </w:t>
      </w:r>
    </w:p>
    <w:p w14:paraId="078898C4">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5.7</w:t>
      </w:r>
      <w:r>
        <w:rPr>
          <w:rFonts w:hint="eastAsia" w:ascii="宋体" w:hAnsi="宋体" w:eastAsia="宋体" w:cs="宋体"/>
          <w:szCs w:val="21"/>
          <w:highlight w:val="none"/>
        </w:rPr>
        <w:t>委托人对监理人的授权</w:t>
      </w:r>
    </w:p>
    <w:p w14:paraId="6A5ABB7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5.7.1委托人对监理人的授权权限：</w:t>
      </w:r>
      <w:r>
        <w:rPr>
          <w:rFonts w:hint="eastAsia" w:ascii="宋体" w:hAnsi="宋体" w:eastAsia="宋体" w:cs="宋体"/>
          <w:szCs w:val="21"/>
          <w:highlight w:val="none"/>
          <w:u w:val="single"/>
        </w:rPr>
        <w:t>根据监理合同文件和工程合同文件进行服务</w:t>
      </w:r>
      <w:r>
        <w:rPr>
          <w:rFonts w:hint="eastAsia" w:ascii="宋体" w:hAnsi="宋体" w:eastAsia="宋体" w:cs="宋体"/>
          <w:szCs w:val="21"/>
          <w:highlight w:val="none"/>
        </w:rPr>
        <w:t>。</w:t>
      </w:r>
    </w:p>
    <w:p w14:paraId="2D146D24">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6.开始监理和完成监理</w:t>
      </w:r>
    </w:p>
    <w:p w14:paraId="3D9C29BC">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6.1</w:t>
      </w:r>
      <w:r>
        <w:rPr>
          <w:rFonts w:hint="eastAsia" w:ascii="宋体" w:hAnsi="宋体" w:eastAsia="宋体" w:cs="宋体"/>
          <w:szCs w:val="21"/>
          <w:highlight w:val="none"/>
        </w:rPr>
        <w:t>开始监理</w:t>
      </w:r>
    </w:p>
    <w:p w14:paraId="2D402B4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6.1.1满足以下条件时，委托人应向监理人发出开始监理通知：（1）委托人与承包人签订的施工承包合同l份。</w:t>
      </w:r>
    </w:p>
    <w:p w14:paraId="0A4B679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(2）委托人与承包人共同确认的己标价的工程数量清单及其说明l份。</w:t>
      </w:r>
    </w:p>
    <w:p w14:paraId="4BA3917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(3）合同图纸和相关的标准图纸及说明l套。</w:t>
      </w:r>
    </w:p>
    <w:p w14:paraId="64FE15A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(4）合同指定使用的技术规范、检验评定标准、操作规程l套。</w:t>
      </w:r>
    </w:p>
    <w:p w14:paraId="762355A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(5）其他相关资料。</w:t>
      </w:r>
    </w:p>
    <w:p w14:paraId="719F86D0">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6.2</w:t>
      </w:r>
      <w:r>
        <w:rPr>
          <w:rFonts w:hint="eastAsia" w:ascii="宋体" w:hAnsi="宋体" w:eastAsia="宋体" w:cs="宋体"/>
          <w:szCs w:val="21"/>
          <w:highlight w:val="none"/>
        </w:rPr>
        <w:t>监理周期延误</w:t>
      </w:r>
    </w:p>
    <w:p w14:paraId="04F51D8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由于非监理人责任造成监理服务期限延误的，延长监理服务期限的计算方法：</w:t>
      </w:r>
      <w:r>
        <w:rPr>
          <w:rFonts w:hint="eastAsia" w:ascii="宋体" w:hAnsi="宋体" w:eastAsia="宋体" w:cs="宋体"/>
          <w:szCs w:val="21"/>
          <w:highlight w:val="none"/>
          <w:u w:val="single"/>
        </w:rPr>
        <w:t>/</w:t>
      </w:r>
      <w:r>
        <w:rPr>
          <w:rFonts w:hint="eastAsia" w:ascii="宋体" w:hAnsi="宋体" w:eastAsia="宋体" w:cs="宋体"/>
          <w:szCs w:val="21"/>
          <w:highlight w:val="none"/>
        </w:rPr>
        <w:t>；增加监理服务费用的计算方法：</w:t>
      </w:r>
      <w:r>
        <w:rPr>
          <w:rFonts w:hint="eastAsia" w:ascii="宋体" w:hAnsi="宋体" w:eastAsia="宋体" w:cs="宋体"/>
          <w:szCs w:val="21"/>
          <w:highlight w:val="none"/>
          <w:u w:val="single"/>
        </w:rPr>
        <w:t>/</w:t>
      </w:r>
      <w:r>
        <w:rPr>
          <w:rFonts w:hint="eastAsia" w:ascii="宋体" w:hAnsi="宋体" w:eastAsia="宋体" w:cs="宋体"/>
          <w:szCs w:val="21"/>
          <w:highlight w:val="none"/>
        </w:rPr>
        <w:t>。</w:t>
      </w:r>
    </w:p>
    <w:p w14:paraId="214C65E8">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8.合同变更</w:t>
      </w:r>
    </w:p>
    <w:p w14:paraId="6FEED472">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8.1</w:t>
      </w:r>
      <w:r>
        <w:rPr>
          <w:rFonts w:hint="eastAsia" w:ascii="宋体" w:hAnsi="宋体" w:eastAsia="宋体" w:cs="宋体"/>
          <w:szCs w:val="21"/>
          <w:highlight w:val="none"/>
        </w:rPr>
        <w:t>变更情形</w:t>
      </w:r>
    </w:p>
    <w:p w14:paraId="6BFC167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8.1.1合同变更时，监理服务期限的调整方法：</w:t>
      </w:r>
      <w:r>
        <w:rPr>
          <w:rFonts w:hint="eastAsia" w:ascii="宋体" w:hAnsi="宋体" w:eastAsia="宋体" w:cs="宋体"/>
          <w:szCs w:val="21"/>
          <w:highlight w:val="none"/>
          <w:u w:val="single"/>
        </w:rPr>
        <w:t>/</w:t>
      </w:r>
      <w:r>
        <w:rPr>
          <w:rFonts w:hint="eastAsia" w:ascii="宋体" w:hAnsi="宋体" w:eastAsia="宋体" w:cs="宋体"/>
          <w:szCs w:val="21"/>
          <w:highlight w:val="none"/>
        </w:rPr>
        <w:t>；监理服务费用的调整方法：</w:t>
      </w:r>
    </w:p>
    <w:p w14:paraId="223F4A0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（1）监理人员服务费=增加的服务工作日数=监理人员日平均单价(即人月单价/21.75)</w:t>
      </w:r>
    </w:p>
    <w:p w14:paraId="22E4992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（2）监理办公设施费、交通设施费（含燃料消耗等费用）、试验设施费及生活设施费将按照因增加监理服务而导致实际增加的设施数量及监理单位在报价清单中填报的相应价格进行支付。</w:t>
      </w:r>
    </w:p>
    <w:p w14:paraId="512B2A02">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8.2</w:t>
      </w:r>
      <w:r>
        <w:rPr>
          <w:rFonts w:hint="eastAsia" w:ascii="宋体" w:hAnsi="宋体" w:eastAsia="宋体" w:cs="宋体"/>
          <w:szCs w:val="21"/>
          <w:highlight w:val="none"/>
        </w:rPr>
        <w:t>合理化建议</w:t>
      </w:r>
    </w:p>
    <w:p w14:paraId="7328DA44">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8.2.2监理人提出的合理化建议降低了工程投资、缩短了施工期限或者提高了工程经济效益的，委托人给予监理人如下奖励：</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 </w:t>
      </w:r>
    </w:p>
    <w:p w14:paraId="256BB0F1">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9.合同价格与支付</w:t>
      </w:r>
    </w:p>
    <w:p w14:paraId="4D6764D9">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9.1</w:t>
      </w:r>
      <w:r>
        <w:rPr>
          <w:rFonts w:hint="eastAsia" w:ascii="宋体" w:hAnsi="宋体" w:eastAsia="宋体" w:cs="宋体"/>
          <w:szCs w:val="21"/>
          <w:highlight w:val="none"/>
        </w:rPr>
        <w:t>合同价格</w:t>
      </w:r>
    </w:p>
    <w:p w14:paraId="2B3DA867">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9.1.1本合同的报价方式：</w:t>
      </w:r>
      <w:r>
        <w:rPr>
          <w:rFonts w:hint="eastAsia" w:ascii="宋体" w:hAnsi="宋体" w:eastAsia="宋体" w:cs="宋体"/>
          <w:szCs w:val="21"/>
          <w:highlight w:val="none"/>
          <w:u w:val="single"/>
        </w:rPr>
        <w:t>总价</w:t>
      </w:r>
      <w:r>
        <w:rPr>
          <w:rFonts w:hint="eastAsia" w:ascii="宋体" w:hAnsi="宋体" w:eastAsia="宋体" w:cs="宋体"/>
          <w:szCs w:val="21"/>
          <w:highlight w:val="none"/>
        </w:rPr>
        <w:t>。</w:t>
      </w:r>
    </w:p>
    <w:p w14:paraId="3415FDB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在合同实施期间，由于人工、材料、设备等因素的市场价格变化导致本项目监理服务费用变化，合同价格的调整方式和风险范围划分：</w:t>
      </w:r>
      <w:r>
        <w:rPr>
          <w:rFonts w:hint="eastAsia" w:ascii="宋体" w:hAnsi="宋体" w:eastAsia="宋体" w:cs="宋体"/>
          <w:szCs w:val="21"/>
          <w:highlight w:val="none"/>
          <w:u w:val="single"/>
        </w:rPr>
        <w:t>对于监理合同执行期间劳务、材料等价格上涨对监理成本的影响，监理单位在编投标文件时即应考虑确定一个调价系数，并计入相关服务中，合同执行期不再调整，风险自负</w:t>
      </w:r>
      <w:r>
        <w:rPr>
          <w:rFonts w:hint="eastAsia" w:ascii="宋体" w:hAnsi="宋体" w:eastAsia="宋体" w:cs="宋体"/>
          <w:szCs w:val="21"/>
          <w:highlight w:val="none"/>
        </w:rPr>
        <w:t>。</w:t>
      </w:r>
    </w:p>
    <w:p w14:paraId="41EB6151">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9.3</w:t>
      </w:r>
      <w:r>
        <w:rPr>
          <w:rFonts w:hint="eastAsia" w:ascii="宋体" w:hAnsi="宋体" w:eastAsia="宋体" w:cs="宋体"/>
          <w:szCs w:val="21"/>
          <w:highlight w:val="none"/>
        </w:rPr>
        <w:t>中期支付</w:t>
      </w:r>
    </w:p>
    <w:p w14:paraId="2BC777E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9.3.5中期支付涉及政府投资资金的，支付规定如下：</w:t>
      </w:r>
      <w:r>
        <w:rPr>
          <w:rFonts w:hint="eastAsia" w:ascii="宋体" w:hAnsi="宋体" w:eastAsia="宋体" w:cs="宋体"/>
          <w:szCs w:val="21"/>
          <w:highlight w:val="none"/>
          <w:u w:val="single"/>
        </w:rPr>
        <w:t>结算遵守《建设工程监理与相关服务收费管理规定》，基准价根据《建设工程监理与相关服务收费标准》计算，浮动幅度依据合同协议书的约定，以监量范围内的施工通过审计的结算总价作为实际计费额。不考虑物价调整</w:t>
      </w:r>
      <w:r>
        <w:rPr>
          <w:rFonts w:hint="eastAsia" w:ascii="宋体" w:hAnsi="宋体" w:eastAsia="宋体" w:cs="宋体"/>
          <w:szCs w:val="21"/>
          <w:highlight w:val="none"/>
        </w:rPr>
        <w:t>。</w:t>
      </w:r>
    </w:p>
    <w:p w14:paraId="55B2F991">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11.违约</w:t>
      </w:r>
    </w:p>
    <w:p w14:paraId="20AB678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第11.1款细化为：</w:t>
      </w:r>
    </w:p>
    <w:p w14:paraId="7C4BB81F">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11.1</w:t>
      </w:r>
      <w:r>
        <w:rPr>
          <w:rFonts w:hint="eastAsia" w:ascii="宋体" w:hAnsi="宋体" w:eastAsia="宋体" w:cs="宋体"/>
          <w:szCs w:val="21"/>
          <w:highlight w:val="none"/>
        </w:rPr>
        <w:t>监理人违约</w:t>
      </w:r>
    </w:p>
    <w:p w14:paraId="7B2CAE2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11.1.2监理人发生违约情况时，委托人有权向监理人课以违约金，具体约定如下：</w:t>
      </w:r>
      <w:r>
        <w:rPr>
          <w:rFonts w:hint="eastAsia" w:ascii="宋体" w:hAnsi="宋体" w:eastAsia="宋体" w:cs="宋体"/>
          <w:szCs w:val="21"/>
          <w:highlight w:val="none"/>
          <w:u w:val="single"/>
        </w:rPr>
        <w:t>因监理人违约，发包人对监理人课以违约金额的计算方法：发包人直接经济损失所对应的监理费×监理人应承担责任的比例</w:t>
      </w:r>
      <w:r>
        <w:rPr>
          <w:rFonts w:hint="eastAsia" w:ascii="宋体" w:hAnsi="宋体" w:eastAsia="宋体" w:cs="宋体"/>
          <w:szCs w:val="21"/>
          <w:highlight w:val="none"/>
        </w:rPr>
        <w:t>。</w:t>
      </w:r>
    </w:p>
    <w:p w14:paraId="5F57B71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（1）如因监理人不履行合同或监理人违约造成发包人解除合同，发包人课以的违约金不影响发包人依法追索因监理人违约造成的损失或监理人对发包人的债务。</w:t>
      </w:r>
    </w:p>
    <w:p w14:paraId="21FBD65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监理人更换人员要同时推荐两名以上同等资质和经历的备选人员（附履历证明材料）供发包人选择，经发包人批准后方可更换。同时更换项目总监罚10万，更换其他人员罚5万。合同签订时进场的主要人员（总监理工程师或总监代表、驻地监理工程师、试验室主任、及各部门负责人）的资格证书原件交由发包人保管，直至工程交工验收。</w:t>
      </w:r>
    </w:p>
    <w:p w14:paraId="744DE99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由于现场监理不能胜任现场工作，导致不良后果发生，发包人有权对当事监理进行驱逐处理，同时对监理单位处违约金1-2万，并要求监理单位3天内补足被驱逐的监理岗位，补充的监理人员需经发包人审核通过。</w:t>
      </w:r>
    </w:p>
    <w:p w14:paraId="78DB09B9">
      <w:pPr>
        <w:pageBreakBefore w:val="0"/>
        <w:widowControl w:val="0"/>
        <w:kinsoku/>
        <w:wordWrap/>
        <w:overflowPunct/>
        <w:topLinePunct w:val="0"/>
        <w:bidi w:val="0"/>
        <w:snapToGrid/>
        <w:spacing w:line="360" w:lineRule="auto"/>
        <w:ind w:left="5"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（3）赔偿损失。中标人的违约行为造成招标人损失的，中标人应当负损害赔偿的责任。中标人赔偿的范围包括招标人所受的直接损失和间接损失。</w:t>
      </w:r>
    </w:p>
    <w:p w14:paraId="7FD61DEE">
      <w:pPr>
        <w:pageBreakBefore w:val="0"/>
        <w:widowControl w:val="0"/>
        <w:kinsoku/>
        <w:wordWrap/>
        <w:overflowPunct/>
        <w:topLinePunct w:val="0"/>
        <w:bidi w:val="0"/>
        <w:snapToGrid/>
        <w:spacing w:line="360" w:lineRule="auto"/>
        <w:ind w:left="5"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（4）项目总监、专业监理工程师、试验检测工程师等主要人员，未经批准擅自离开工地发现一次处违约金5000元；其他监理人员未经批准擅自离开工地发现一次处违约金1000元。</w:t>
      </w:r>
    </w:p>
    <w:p w14:paraId="7E23896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（5）监理人承诺的主要机械及试验、测量设备不能按时进场，每天每台罚1万元。</w:t>
      </w:r>
    </w:p>
    <w:p w14:paraId="62C5418F">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（6）监理人实验室签订合同一个月内通过质量监督部门验收，否则每延期一天处违约金1000元；</w:t>
      </w:r>
    </w:p>
    <w:p w14:paraId="7BB4834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（7）由于监理人未尽到监理职责，未及时发现施工单位存在施工质量和安全隐患等问题，在业主巡查或上级主管单位检查时发现或被媒体曝光的，视情节严重程度，对监理单位处违约金2-3万；</w:t>
      </w:r>
    </w:p>
    <w:p w14:paraId="22896002">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由于监理人未尽到监理职责，导致质量监督部门在验收时发现质量问题，对监理单位处违约金3-5万。</w:t>
      </w:r>
    </w:p>
    <w:p w14:paraId="518D611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（8）中标人不按照与招标人订立的合同履行义务，情节严重的，招标人向市交通主管部门建议今后三年内不得参与我市公路建设的投标资格并予以公告。</w:t>
      </w:r>
    </w:p>
    <w:p w14:paraId="2AEBD76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（9）监理人的违约，发包人将视情形上报有关交通行政主管单位，建议对违约监理人采取降低信用评价等级等行政处罚措施。</w:t>
      </w:r>
    </w:p>
    <w:p w14:paraId="000BC6EA">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szCs w:val="21"/>
          <w:highlight w:val="none"/>
          <w:lang w:eastAsia="zh-CN"/>
        </w:rPr>
      </w:pPr>
      <w:r>
        <w:rPr>
          <w:rFonts w:hint="eastAsia" w:ascii="宋体" w:hAnsi="宋体" w:eastAsia="宋体" w:cs="宋体"/>
          <w:b/>
          <w:bCs/>
          <w:szCs w:val="21"/>
          <w:highlight w:val="none"/>
        </w:rPr>
        <w:t>11.2</w:t>
      </w:r>
      <w:r>
        <w:rPr>
          <w:rFonts w:hint="eastAsia" w:ascii="宋体" w:hAnsi="宋体" w:eastAsia="宋体" w:cs="宋体"/>
          <w:szCs w:val="21"/>
          <w:highlight w:val="none"/>
        </w:rPr>
        <w:t>委托人违约</w:t>
      </w:r>
    </w:p>
    <w:p w14:paraId="445006F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11.2.2委托人发生违约情况时，监理人有权向委托人课以违约金，具体约定如下：</w:t>
      </w:r>
    </w:p>
    <w:p w14:paraId="64E0942E">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u w:val="single"/>
        </w:rPr>
        <w:t>11.2.2.1发包人在合同约定的期限内，未向监理人支付到期应付的款项。</w:t>
      </w:r>
    </w:p>
    <w:p w14:paraId="7408219C">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u w:val="single"/>
        </w:rPr>
        <w:t>11.2.2.2发包人未按合同约定履行其他应尽义务。</w:t>
      </w:r>
    </w:p>
    <w:p w14:paraId="602FD373">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u w:val="single"/>
        </w:rPr>
        <w:t>发包人违反上述约定应承担违约责任，并按相关合同条款约定承担相应的费用。</w:t>
      </w:r>
    </w:p>
    <w:p w14:paraId="18EED810">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u w:val="single"/>
        </w:rPr>
        <w:t>11.2.2.3发包人的赔偿责任</w:t>
      </w:r>
    </w:p>
    <w:p w14:paraId="66948A7A">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u w:val="single"/>
        </w:rPr>
        <w:t>发包人违反监理合同的约定并造成监理人的经济损失，应向监理人赔偿，除非专用条款另有约定，发包人应据实赔偿监理人的直接经济损失。</w:t>
      </w:r>
    </w:p>
    <w:p w14:paraId="1BFE409A">
      <w:pPr>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12.争议的解决</w:t>
      </w:r>
    </w:p>
    <w:p w14:paraId="693892B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争议的最终解决方式：</w:t>
      </w:r>
      <w:r>
        <w:rPr>
          <w:rFonts w:hint="eastAsia" w:ascii="宋体" w:hAnsi="宋体" w:eastAsia="宋体" w:cs="宋体"/>
          <w:szCs w:val="21"/>
          <w:highlight w:val="none"/>
          <w:u w:val="single"/>
        </w:rPr>
        <w:t>仲裁或诉讼</w:t>
      </w:r>
    </w:p>
    <w:p w14:paraId="29B5C67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如采用仲裁，仲裁机构名称：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仲裁委员会。</w:t>
      </w:r>
    </w:p>
    <w:p w14:paraId="29F3D285">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如采用诉讼，诉讼机构名称：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法院。</w:t>
      </w:r>
    </w:p>
    <w:p w14:paraId="5BA8B30B">
      <w:pPr>
        <w:spacing w:line="360" w:lineRule="auto"/>
        <w:ind w:firstLine="480" w:firstLineChars="200"/>
        <w:rPr>
          <w:rFonts w:hint="eastAsia" w:ascii="宋体" w:hAnsi="宋体" w:eastAsia="宋体" w:cs="宋体"/>
          <w:sz w:val="24"/>
          <w:highlight w:val="none"/>
        </w:rPr>
      </w:pPr>
    </w:p>
    <w:p w14:paraId="1410273F">
      <w:pPr>
        <w:spacing w:line="360" w:lineRule="auto"/>
        <w:ind w:firstLine="480" w:firstLineChars="200"/>
        <w:rPr>
          <w:rFonts w:hint="eastAsia" w:ascii="宋体" w:hAnsi="宋体" w:eastAsia="宋体" w:cs="宋体"/>
          <w:sz w:val="24"/>
          <w:highlight w:val="none"/>
        </w:rPr>
      </w:pPr>
    </w:p>
    <w:p w14:paraId="6BC35980">
      <w:pPr>
        <w:spacing w:line="360" w:lineRule="auto"/>
        <w:ind w:firstLine="480" w:firstLineChars="200"/>
        <w:rPr>
          <w:rFonts w:hint="eastAsia" w:ascii="宋体" w:hAnsi="宋体" w:eastAsia="宋体" w:cs="宋体"/>
          <w:sz w:val="24"/>
          <w:highlight w:val="none"/>
        </w:rPr>
      </w:pPr>
    </w:p>
    <w:p w14:paraId="5CFBE5AD">
      <w:pPr>
        <w:spacing w:line="360" w:lineRule="auto"/>
        <w:ind w:firstLine="480" w:firstLineChars="200"/>
        <w:rPr>
          <w:rFonts w:hint="eastAsia" w:ascii="宋体" w:hAnsi="宋体" w:eastAsia="宋体" w:cs="宋体"/>
          <w:sz w:val="24"/>
          <w:highlight w:val="none"/>
        </w:rPr>
      </w:pPr>
    </w:p>
    <w:p w14:paraId="36CA8D0A">
      <w:pPr>
        <w:spacing w:line="360" w:lineRule="auto"/>
        <w:ind w:firstLine="480" w:firstLineChars="200"/>
        <w:rPr>
          <w:rFonts w:hint="eastAsia" w:ascii="宋体" w:hAnsi="宋体" w:eastAsia="宋体" w:cs="宋体"/>
          <w:sz w:val="24"/>
          <w:highlight w:val="none"/>
        </w:rPr>
      </w:pPr>
    </w:p>
    <w:p w14:paraId="0DEB2779">
      <w:pPr>
        <w:spacing w:line="360" w:lineRule="auto"/>
        <w:ind w:firstLine="480" w:firstLineChars="200"/>
        <w:rPr>
          <w:rFonts w:hint="eastAsia" w:ascii="宋体" w:hAnsi="宋体" w:eastAsia="宋体" w:cs="宋体"/>
          <w:sz w:val="24"/>
          <w:highlight w:val="none"/>
        </w:rPr>
      </w:pPr>
    </w:p>
    <w:p w14:paraId="7437F375">
      <w:pPr>
        <w:spacing w:line="360" w:lineRule="auto"/>
        <w:ind w:firstLine="480" w:firstLineChars="200"/>
        <w:rPr>
          <w:rFonts w:hint="eastAsia" w:ascii="宋体" w:hAnsi="宋体" w:eastAsia="宋体" w:cs="宋体"/>
          <w:sz w:val="24"/>
          <w:highlight w:val="none"/>
        </w:rPr>
      </w:pPr>
    </w:p>
    <w:p w14:paraId="456D35F3">
      <w:pPr>
        <w:bidi w:val="0"/>
        <w:jc w:val="center"/>
        <w:rPr>
          <w:rFonts w:hint="eastAsia" w:ascii="宋体" w:hAnsi="宋体" w:eastAsia="宋体" w:cs="宋体"/>
          <w:highlight w:val="none"/>
        </w:rPr>
      </w:pPr>
      <w:bookmarkStart w:id="164" w:name="_Toc519325352"/>
      <w:r>
        <w:rPr>
          <w:rFonts w:hint="eastAsia" w:ascii="宋体" w:hAnsi="宋体" w:eastAsia="宋体" w:cs="宋体"/>
          <w:highlight w:val="none"/>
        </w:rPr>
        <w:br w:type="page"/>
      </w:r>
      <w:bookmarkStart w:id="165" w:name="_Toc533409789"/>
      <w:r>
        <w:rPr>
          <w:rFonts w:hint="eastAsia" w:ascii="宋体" w:hAnsi="宋体" w:eastAsia="宋体" w:cs="宋体"/>
          <w:b/>
          <w:bCs/>
          <w:sz w:val="28"/>
          <w:szCs w:val="28"/>
          <w:highlight w:val="none"/>
        </w:rPr>
        <w:t>第三节 合同附件格式</w:t>
      </w:r>
      <w:bookmarkEnd w:id="164"/>
      <w:bookmarkEnd w:id="165"/>
    </w:p>
    <w:p w14:paraId="3ABF56F8">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附件一合同协议书</w:t>
      </w:r>
    </w:p>
    <w:p w14:paraId="0E60085E">
      <w:pPr>
        <w:spacing w:line="360" w:lineRule="auto"/>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合同协议书</w:t>
      </w:r>
    </w:p>
    <w:p w14:paraId="0977107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（委托人名称，以下简称“委托人”）</w:t>
      </w:r>
      <w:r>
        <w:rPr>
          <w:rFonts w:hint="eastAsia" w:ascii="宋体" w:hAnsi="宋体" w:eastAsia="宋体" w:cs="宋体"/>
          <w:szCs w:val="21"/>
          <w:highlight w:val="none"/>
        </w:rPr>
        <w:t>为实施</w:t>
      </w:r>
      <w:r>
        <w:rPr>
          <w:rFonts w:hint="eastAsia" w:ascii="宋体" w:hAnsi="宋体" w:eastAsia="宋体" w:cs="宋体"/>
          <w:szCs w:val="21"/>
          <w:highlight w:val="none"/>
          <w:u w:val="single"/>
        </w:rPr>
        <w:t>（项目名称）</w:t>
      </w:r>
      <w:r>
        <w:rPr>
          <w:rFonts w:hint="eastAsia" w:ascii="宋体" w:hAnsi="宋体" w:eastAsia="宋体" w:cs="宋体"/>
          <w:szCs w:val="21"/>
          <w:highlight w:val="none"/>
        </w:rPr>
        <w:t>，已接受</w:t>
      </w:r>
      <w:r>
        <w:rPr>
          <w:rFonts w:hint="eastAsia" w:ascii="宋体" w:hAnsi="宋体" w:eastAsia="宋体" w:cs="宋体"/>
          <w:szCs w:val="21"/>
          <w:highlight w:val="none"/>
          <w:u w:val="single"/>
        </w:rPr>
        <w:t>（监理人名称</w:t>
      </w:r>
      <w:r>
        <w:rPr>
          <w:rFonts w:hint="eastAsia" w:ascii="宋体" w:hAnsi="宋体" w:eastAsia="宋体" w:cs="宋体"/>
          <w:szCs w:val="21"/>
          <w:highlight w:val="none"/>
        </w:rPr>
        <w:t>，以下简称“监理人”）对该项目</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标段施工监理的投标。委托人和监理人共同达成如下协议。 </w:t>
      </w:r>
    </w:p>
    <w:p w14:paraId="77CF11DC">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1. 第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标段由K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至K</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，长约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km，公路等级为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，设计速度为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路面，有</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立交</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处；特大桥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座，计长</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m；大中桥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座，计长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m；隧道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座，计长</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m以及其他构造物工程等。</w:t>
      </w:r>
    </w:p>
    <w:p w14:paraId="65694326">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2.下列文件应视为构成合同文件的组成部分：</w:t>
      </w:r>
    </w:p>
    <w:p w14:paraId="6C736B70">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（1）本合同协议书及各种合同附件；</w:t>
      </w:r>
    </w:p>
    <w:p w14:paraId="3CDB990A">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（2）中标通知书；</w:t>
      </w:r>
    </w:p>
    <w:p w14:paraId="10C6B439">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（3）投标函；</w:t>
      </w:r>
    </w:p>
    <w:p w14:paraId="123F2CBF">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（4）项目专用合同条款；</w:t>
      </w:r>
    </w:p>
    <w:p w14:paraId="7E56A551">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（5）公路工程专用合同条款；</w:t>
      </w:r>
    </w:p>
    <w:p w14:paraId="75BAF50C">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（6）通用合同条款；</w:t>
      </w:r>
    </w:p>
    <w:p w14:paraId="7885A7E9">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（7）委托人要求；</w:t>
      </w:r>
    </w:p>
    <w:p w14:paraId="3F5EF09B">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（8）监理服务费用清单；</w:t>
      </w:r>
    </w:p>
    <w:p w14:paraId="168EC749">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（9）监理人有关人员、试验检测设备投入的承诺；</w:t>
      </w:r>
    </w:p>
    <w:p w14:paraId="59F94568">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（10）其他合同文件。</w:t>
      </w:r>
    </w:p>
    <w:p w14:paraId="16134A15">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上述合同文件互相补充和解释。如果合同文件之间存在矛盾或不一致之处，以上述文件的排列顺序在先者为准。</w:t>
      </w:r>
    </w:p>
    <w:p w14:paraId="0C88D9EA">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3.签约合同价：人民币（大写）________元（¥________）。</w:t>
      </w:r>
    </w:p>
    <w:p w14:paraId="462648A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其中：施工阶段（包括施工准备阶段）________元；</w:t>
      </w:r>
    </w:p>
    <w:p w14:paraId="21376896">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缺陷责任期阶段________元。</w:t>
      </w:r>
    </w:p>
    <w:p w14:paraId="12554AB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4.总监理工程师：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 </w:t>
      </w:r>
    </w:p>
    <w:p w14:paraId="0396D54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5.监理工作质量符合的标准和要求：</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；安全目标：</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 </w:t>
      </w:r>
    </w:p>
    <w:p w14:paraId="69EDE0D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6.监理人承诺按合同约定承担工程的施工监理。 </w:t>
      </w:r>
    </w:p>
    <w:p w14:paraId="1111F9C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7.委托人承诺按合同约定的条件、时间和方式向监理人支付合同价款。 </w:t>
      </w:r>
    </w:p>
    <w:p w14:paraId="634624B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8.监理人计划开始监理日期：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，实际日期按照合同条款中约定的开始监理日期为准。监理服务期限：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，其中：施工阶段（含施工准备阶段）监理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日历天，缺陷责任期阶段监理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日历天。 </w:t>
      </w:r>
    </w:p>
    <w:p w14:paraId="05B9FA5B">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9.本协议书在双方法定代表人或其委托代理人签署并加盖单位章后生效。全部工程完工后经交工验收合格、缺陷责任期满签发缺陷责任终止证书后失效。</w:t>
      </w:r>
    </w:p>
    <w:p w14:paraId="1DD15736">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10.本协议书正本二份、副本____份，合同双方各执正本一份，副本____份，当正本与副本的内容不一致时，以正本为准。</w:t>
      </w:r>
    </w:p>
    <w:p w14:paraId="1E4C23A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11.合同未尽事宜，双方另行签订补充协议。补充协议是合同的组成部分。</w:t>
      </w:r>
    </w:p>
    <w:p w14:paraId="4AAB82A4">
      <w:pPr>
        <w:bidi w:val="0"/>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r>
        <w:rPr>
          <w:rFonts w:hint="eastAsia" w:ascii="宋体" w:hAnsi="宋体" w:eastAsia="宋体" w:cs="宋体"/>
          <w:bCs/>
          <w:sz w:val="21"/>
          <w:szCs w:val="21"/>
          <w:highlight w:val="none"/>
          <w:u w:val="single"/>
        </w:rPr>
        <w:t xml:space="preserve">  12.本合同为中小企业预留合同。</w:t>
      </w:r>
    </w:p>
    <w:p w14:paraId="71F0A15A">
      <w:pPr>
        <w:spacing w:line="360" w:lineRule="auto"/>
        <w:rPr>
          <w:rFonts w:hint="eastAsia" w:ascii="宋体" w:hAnsi="宋体" w:eastAsia="宋体" w:cs="宋体"/>
          <w:szCs w:val="21"/>
          <w:highlight w:val="none"/>
        </w:rPr>
      </w:pPr>
    </w:p>
    <w:p w14:paraId="70E4C36A">
      <w:pPr>
        <w:spacing w:line="360" w:lineRule="auto"/>
        <w:rPr>
          <w:rFonts w:hint="eastAsia" w:ascii="宋体" w:hAnsi="宋体" w:eastAsia="宋体" w:cs="宋体"/>
          <w:szCs w:val="21"/>
          <w:highlight w:val="none"/>
        </w:rPr>
      </w:pPr>
    </w:p>
    <w:p w14:paraId="4FD052E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委托人：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          监理人：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（盖单位章） </w:t>
      </w:r>
    </w:p>
    <w:p w14:paraId="65C90E7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 法定代表人或其委托代理人：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（签字） </w:t>
      </w:r>
    </w:p>
    <w:p w14:paraId="5DB40F1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年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                        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1A5349D9">
      <w:pPr>
        <w:spacing w:line="360" w:lineRule="auto"/>
        <w:ind w:firstLine="480" w:firstLineChars="200"/>
        <w:rPr>
          <w:rFonts w:hint="eastAsia" w:ascii="宋体" w:hAnsi="宋体" w:eastAsia="宋体" w:cs="宋体"/>
          <w:sz w:val="24"/>
          <w:highlight w:val="none"/>
        </w:rPr>
      </w:pPr>
    </w:p>
    <w:p w14:paraId="7CFFDF6D">
      <w:pPr>
        <w:spacing w:line="360" w:lineRule="auto"/>
        <w:ind w:firstLine="480" w:firstLineChars="200"/>
        <w:rPr>
          <w:rFonts w:hint="eastAsia" w:ascii="宋体" w:hAnsi="宋体" w:eastAsia="宋体" w:cs="宋体"/>
          <w:sz w:val="24"/>
          <w:highlight w:val="none"/>
        </w:rPr>
      </w:pPr>
    </w:p>
    <w:p w14:paraId="65CA367C">
      <w:pPr>
        <w:spacing w:line="360" w:lineRule="auto"/>
        <w:ind w:firstLine="480" w:firstLineChars="200"/>
        <w:rPr>
          <w:rFonts w:hint="eastAsia" w:ascii="宋体" w:hAnsi="宋体" w:eastAsia="宋体" w:cs="宋体"/>
          <w:sz w:val="24"/>
          <w:highlight w:val="none"/>
        </w:rPr>
      </w:pPr>
    </w:p>
    <w:p w14:paraId="26D42D2E">
      <w:pPr>
        <w:spacing w:line="360" w:lineRule="auto"/>
        <w:ind w:firstLine="480" w:firstLineChars="200"/>
        <w:rPr>
          <w:rFonts w:hint="eastAsia" w:ascii="宋体" w:hAnsi="宋体" w:eastAsia="宋体" w:cs="宋体"/>
          <w:sz w:val="24"/>
          <w:highlight w:val="none"/>
        </w:rPr>
      </w:pPr>
    </w:p>
    <w:p w14:paraId="0BE9A6E7">
      <w:pPr>
        <w:spacing w:line="360" w:lineRule="auto"/>
        <w:ind w:firstLine="480" w:firstLineChars="200"/>
        <w:rPr>
          <w:rFonts w:hint="eastAsia" w:ascii="宋体" w:hAnsi="宋体" w:eastAsia="宋体" w:cs="宋体"/>
          <w:sz w:val="24"/>
          <w:highlight w:val="none"/>
        </w:rPr>
      </w:pPr>
    </w:p>
    <w:p w14:paraId="55161FFF">
      <w:pPr>
        <w:spacing w:line="360" w:lineRule="auto"/>
        <w:ind w:firstLine="480" w:firstLineChars="200"/>
        <w:rPr>
          <w:rFonts w:hint="eastAsia" w:ascii="宋体" w:hAnsi="宋体" w:eastAsia="宋体" w:cs="宋体"/>
          <w:sz w:val="24"/>
          <w:highlight w:val="none"/>
        </w:rPr>
      </w:pPr>
    </w:p>
    <w:p w14:paraId="464692C2">
      <w:pPr>
        <w:spacing w:line="360" w:lineRule="auto"/>
        <w:ind w:firstLine="480" w:firstLineChars="200"/>
        <w:rPr>
          <w:rFonts w:hint="eastAsia" w:ascii="宋体" w:hAnsi="宋体" w:eastAsia="宋体" w:cs="宋体"/>
          <w:sz w:val="24"/>
          <w:highlight w:val="none"/>
        </w:rPr>
      </w:pPr>
    </w:p>
    <w:p w14:paraId="1FDC3998">
      <w:pPr>
        <w:spacing w:line="360" w:lineRule="auto"/>
        <w:ind w:firstLine="480" w:firstLineChars="200"/>
        <w:rPr>
          <w:rFonts w:hint="eastAsia" w:ascii="宋体" w:hAnsi="宋体" w:eastAsia="宋体" w:cs="宋体"/>
          <w:sz w:val="24"/>
          <w:highlight w:val="none"/>
        </w:rPr>
      </w:pPr>
    </w:p>
    <w:p w14:paraId="41EC5566">
      <w:pPr>
        <w:spacing w:line="360" w:lineRule="auto"/>
        <w:ind w:firstLine="480" w:firstLineChars="200"/>
        <w:rPr>
          <w:rFonts w:hint="eastAsia" w:ascii="宋体" w:hAnsi="宋体" w:eastAsia="宋体" w:cs="宋体"/>
          <w:sz w:val="24"/>
          <w:highlight w:val="none"/>
        </w:rPr>
      </w:pPr>
    </w:p>
    <w:p w14:paraId="0D034468">
      <w:pPr>
        <w:spacing w:line="360" w:lineRule="auto"/>
        <w:ind w:firstLine="480" w:firstLineChars="200"/>
        <w:rPr>
          <w:rFonts w:hint="eastAsia" w:ascii="宋体" w:hAnsi="宋体" w:eastAsia="宋体" w:cs="宋体"/>
          <w:sz w:val="24"/>
          <w:highlight w:val="none"/>
        </w:rPr>
      </w:pPr>
    </w:p>
    <w:p w14:paraId="6412B1DA">
      <w:pPr>
        <w:spacing w:line="360" w:lineRule="auto"/>
        <w:ind w:firstLine="480" w:firstLineChars="200"/>
        <w:rPr>
          <w:rFonts w:hint="eastAsia" w:ascii="宋体" w:hAnsi="宋体" w:eastAsia="宋体" w:cs="宋体"/>
          <w:sz w:val="24"/>
          <w:highlight w:val="none"/>
        </w:rPr>
      </w:pPr>
    </w:p>
    <w:p w14:paraId="4EEB6BCA">
      <w:pPr>
        <w:spacing w:line="360" w:lineRule="auto"/>
        <w:ind w:firstLine="480" w:firstLineChars="200"/>
        <w:rPr>
          <w:rFonts w:hint="eastAsia" w:ascii="宋体" w:hAnsi="宋体" w:eastAsia="宋体" w:cs="宋体"/>
          <w:sz w:val="24"/>
          <w:highlight w:val="none"/>
        </w:rPr>
      </w:pPr>
    </w:p>
    <w:bookmarkEnd w:id="133"/>
    <w:bookmarkEnd w:id="134"/>
    <w:bookmarkEnd w:id="135"/>
    <w:bookmarkEnd w:id="136"/>
    <w:p w14:paraId="1D20C7BF">
      <w:pPr>
        <w:spacing w:line="360" w:lineRule="auto"/>
        <w:ind w:firstLine="420" w:firstLineChars="200"/>
        <w:rPr>
          <w:rFonts w:hint="eastAsia" w:ascii="宋体" w:hAnsi="宋体" w:eastAsia="宋体" w:cs="宋体"/>
          <w:szCs w:val="21"/>
          <w:highlight w:val="none"/>
        </w:rPr>
      </w:pPr>
    </w:p>
    <w:p w14:paraId="4591C7B4">
      <w:pPr>
        <w:spacing w:line="360" w:lineRule="auto"/>
        <w:ind w:firstLine="420" w:firstLineChars="200"/>
        <w:rPr>
          <w:rFonts w:hint="eastAsia" w:ascii="宋体" w:hAnsi="宋体" w:eastAsia="宋体" w:cs="宋体"/>
          <w:szCs w:val="21"/>
          <w:highlight w:val="none"/>
        </w:rPr>
      </w:pPr>
    </w:p>
    <w:p w14:paraId="61357F0E">
      <w:pPr>
        <w:spacing w:line="360" w:lineRule="auto"/>
        <w:ind w:firstLine="420" w:firstLineChars="200"/>
        <w:rPr>
          <w:rFonts w:hint="eastAsia" w:ascii="宋体" w:hAnsi="宋体" w:eastAsia="宋体" w:cs="宋体"/>
          <w:szCs w:val="21"/>
          <w:highlight w:val="none"/>
        </w:rPr>
      </w:pPr>
    </w:p>
    <w:p w14:paraId="26F05CC8">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附件二 廉政合同</w:t>
      </w:r>
    </w:p>
    <w:p w14:paraId="206599FF">
      <w:pPr>
        <w:spacing w:line="360" w:lineRule="auto"/>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廉政合同</w:t>
      </w:r>
    </w:p>
    <w:p w14:paraId="24B39597">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szCs w:val="21"/>
          <w:highlight w:val="none"/>
          <w:u w:val="single"/>
        </w:rPr>
        <w:t>（项目名称）</w:t>
      </w:r>
      <w:r>
        <w:rPr>
          <w:rFonts w:hint="eastAsia" w:ascii="宋体" w:hAnsi="宋体" w:eastAsia="宋体" w:cs="宋体"/>
          <w:szCs w:val="21"/>
          <w:highlight w:val="none"/>
        </w:rPr>
        <w:t>的项目法人</w:t>
      </w:r>
      <w:r>
        <w:rPr>
          <w:rFonts w:hint="eastAsia" w:ascii="宋体" w:hAnsi="宋体" w:eastAsia="宋体" w:cs="宋体"/>
          <w:szCs w:val="21"/>
          <w:highlight w:val="none"/>
          <w:u w:val="single"/>
        </w:rPr>
        <w:t>（项目法人名称</w:t>
      </w:r>
      <w:r>
        <w:rPr>
          <w:rFonts w:hint="eastAsia" w:ascii="宋体" w:hAnsi="宋体" w:eastAsia="宋体" w:cs="宋体"/>
          <w:szCs w:val="21"/>
          <w:highlight w:val="none"/>
        </w:rPr>
        <w:t xml:space="preserve">，以下简称“委托人”）与该项目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标段的施工监理单位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（施工监理单位名称，以下简称“监理人”），特订立如下合同。</w:t>
      </w:r>
    </w:p>
    <w:p w14:paraId="5BBE11E5">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1.委托人和监理人双方的权利和义务</w:t>
      </w:r>
    </w:p>
    <w:p w14:paraId="48C856FF">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（1）严格遵守党的政策规定和国家有关法律法规及交通运输部的有关规定。</w:t>
      </w:r>
    </w:p>
    <w:p w14:paraId="30ED7D2D">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（2）严格执行</w:t>
      </w:r>
      <w:r>
        <w:rPr>
          <w:rFonts w:hint="eastAsia" w:ascii="宋体" w:hAnsi="宋体" w:eastAsia="宋体" w:cs="宋体"/>
          <w:szCs w:val="21"/>
          <w:highlight w:val="none"/>
          <w:u w:val="single"/>
        </w:rPr>
        <w:t>（项目名称）</w:t>
      </w:r>
      <w:r>
        <w:rPr>
          <w:rFonts w:hint="eastAsia" w:ascii="宋体" w:hAnsi="宋体" w:eastAsia="宋体" w:cs="宋体"/>
          <w:szCs w:val="21"/>
          <w:highlight w:val="none"/>
        </w:rPr>
        <w:t>标段施工监理合同文件，自觉按合同办事。</w:t>
      </w:r>
    </w:p>
    <w:p w14:paraId="43622884">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（3）双方的业务活动坚持公开、公正、诚信、透明的原则（法律认定的商业秘密和合同文件另有规定除外），不得损害国家和集体利益，不得违反工程建设管理规章制度。</w:t>
      </w:r>
    </w:p>
    <w:p w14:paraId="5F28C158">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（4）建立健全廉政制度，开展廉政教育，设立廉政告示牌，公布举报电话，监督并认真查处违法违纪行为。</w:t>
      </w:r>
    </w:p>
    <w:p w14:paraId="5ADAF2E3">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（5）发现对方在业务活动中有违反廉政规定的行为，有及时提醒对方纠正的权利和义务。</w:t>
      </w:r>
    </w:p>
    <w:p w14:paraId="584918C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（6）发现对方严重违反本合同义务条款的行为，有向其上级有关部门举报、建议给予处理并要求告知处理结果的权利。</w:t>
      </w:r>
    </w:p>
    <w:p w14:paraId="44891488">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2.委托人的义务</w:t>
      </w:r>
    </w:p>
    <w:p w14:paraId="5D8C6254">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（1）委托人及其工作人员不得索要或接受监理人的礼金、有价证券和贵重物品，不得让监理人报销任何应由委托人或委托人工作人员个人支付的费用等。</w:t>
      </w:r>
    </w:p>
    <w:p w14:paraId="77A0D65E">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（2）委托人工作人员不得参加监理人安排的超标准宴请和娱乐活动；不得接受监理人提供的通信工具、交通工具和高档办公用品等。</w:t>
      </w:r>
    </w:p>
    <w:p w14:paraId="204B154A">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（3）委托人及其工作人员不得要求或者接受监理人为其住房装修、婚丧嫁娶活动、配偶子女的工作安排以及出国出境、旅游等提供方便等。</w:t>
      </w:r>
    </w:p>
    <w:p w14:paraId="19EBF743">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（4）委托人工作人员及其配偶、子女不得从事与委托人工程有关的材料设备供应、工程分包、劳务等经济活动等。</w:t>
      </w:r>
    </w:p>
    <w:p w14:paraId="613BF1D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（5）委托人及其工作人员不得以任何理由向监理人推荐分包单位或推销材料，不得要求监理人购买合同规定外的材料和设备。</w:t>
      </w:r>
    </w:p>
    <w:p w14:paraId="114DFEC9">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（6）委托人工作人员要秉公办事，不准营私舞弊，不准利用职权从事各种个人有偿中介活动和安排个人施工监理队伍。</w:t>
      </w:r>
    </w:p>
    <w:p w14:paraId="6FC6B1A1">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3.监理人的义务</w:t>
      </w:r>
    </w:p>
    <w:p w14:paraId="0FC6F69C">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（1）监理人不得以任何理由向委托人及其工作人员行贿或馈赠礼金、有价证券、贵重礼品。</w:t>
      </w:r>
    </w:p>
    <w:p w14:paraId="3BB22E5D">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（2）监理人不得以任何名义为委托人及其工作人员报销应由委托人单位或个人支付的任何费用。</w:t>
      </w:r>
    </w:p>
    <w:p w14:paraId="1D6E5352">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（3）监理人不得以任何理由安排委托人工作人员参加超标准宴请及娱乐活动。</w:t>
      </w:r>
    </w:p>
    <w:p w14:paraId="1A1D6FAE">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（4）监理人不得为委托人单位和个人购置或提供通信工具、交通工具和高档办公用品等。</w:t>
      </w:r>
    </w:p>
    <w:p w14:paraId="37EDEEA2">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4.违约责任</w:t>
      </w:r>
    </w:p>
    <w:p w14:paraId="2EA0DE81">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（1）委托人及其工作人员违反本合同第1、2条，按管理权限，依据有关规定给予党纪、政纪或组织处理；涉嫌犯罪的，移交司法机关追究刑事责任；给监理人单位造成经济损失的，应予以赔偿。</w:t>
      </w:r>
    </w:p>
    <w:p w14:paraId="0F9453DC">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监理人及其工作人员违反本合同第1、3条，按管理权限，依据有关规定给予党纪、政纪或组织处理；给委托人单位造成经济损失的，应予以赔偿；情节严重的，委托人建议交通运输主管部门给予监理人一至三年内不得进入其主管的公路建设市场的处罚。</w:t>
      </w:r>
    </w:p>
    <w:p w14:paraId="768CDA6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双方约定：本合同由双方或双方上级单位的纪检监察部门负责监督执行。由委托人或委托人上级单位的纪检监察部门约请监理人或监理人上级单位纪检监察部门对本合同执行情况进行检查，提出在本合同规定范围内的裁定意见。</w:t>
      </w:r>
    </w:p>
    <w:p w14:paraId="6DF4C9A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6.本合同有效期为委托人和监理人签署之日起至该工程项目竣工验收后止。</w:t>
      </w:r>
    </w:p>
    <w:p w14:paraId="15F437E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7.本合同作为</w:t>
      </w:r>
      <w:r>
        <w:rPr>
          <w:rFonts w:hint="eastAsia" w:ascii="宋体" w:hAnsi="宋体" w:eastAsia="宋体" w:cs="宋体"/>
          <w:szCs w:val="21"/>
          <w:highlight w:val="none"/>
          <w:u w:val="single"/>
        </w:rPr>
        <w:t>（项目名称）</w:t>
      </w:r>
      <w:r>
        <w:rPr>
          <w:rFonts w:hint="eastAsia" w:ascii="宋体" w:hAnsi="宋体" w:eastAsia="宋体" w:cs="宋体"/>
          <w:szCs w:val="21"/>
          <w:highlight w:val="none"/>
        </w:rPr>
        <w:t>标段施工监理合同的附件，与工程施工监理合同具有同等的法律效力，经合同双方签署后立即生效。</w:t>
      </w:r>
    </w:p>
    <w:p w14:paraId="7C575D7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8.本合同一式四份，由委托人和监理人各执一份，送交委托人和监理人的监督单位各一份。</w:t>
      </w:r>
    </w:p>
    <w:p w14:paraId="419296B7">
      <w:pPr>
        <w:spacing w:line="360" w:lineRule="auto"/>
        <w:rPr>
          <w:rFonts w:hint="eastAsia" w:ascii="宋体" w:hAnsi="宋体" w:eastAsia="宋体" w:cs="宋体"/>
          <w:szCs w:val="21"/>
          <w:highlight w:val="none"/>
        </w:rPr>
      </w:pPr>
    </w:p>
    <w:p w14:paraId="3BAB9475">
      <w:pPr>
        <w:spacing w:line="360" w:lineRule="auto"/>
        <w:rPr>
          <w:rFonts w:hint="eastAsia" w:ascii="宋体" w:hAnsi="宋体" w:eastAsia="宋体" w:cs="宋体"/>
          <w:szCs w:val="21"/>
          <w:highlight w:val="none"/>
        </w:rPr>
      </w:pPr>
    </w:p>
    <w:p w14:paraId="5ADE5EE8">
      <w:pPr>
        <w:spacing w:line="360" w:lineRule="auto"/>
        <w:rPr>
          <w:rFonts w:hint="eastAsia" w:ascii="宋体" w:hAnsi="宋体" w:eastAsia="宋体" w:cs="宋体"/>
          <w:szCs w:val="21"/>
          <w:highlight w:val="none"/>
        </w:rPr>
      </w:pPr>
    </w:p>
    <w:p w14:paraId="454C0EE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委托人：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           监理人：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（盖单位章）</w:t>
      </w:r>
    </w:p>
    <w:p w14:paraId="4837DA9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 法定代表人或其委托代理人：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3C5A5FC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年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                          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3E02BA4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委托人监督单位：</w:t>
      </w:r>
      <w:r>
        <w:rPr>
          <w:rFonts w:hint="eastAsia" w:ascii="宋体" w:hAnsi="宋体" w:eastAsia="宋体" w:cs="宋体"/>
          <w:szCs w:val="21"/>
          <w:highlight w:val="none"/>
          <w:u w:val="single"/>
        </w:rPr>
        <w:t>（全称）（盖单位章）</w:t>
      </w:r>
      <w:r>
        <w:rPr>
          <w:rFonts w:hint="eastAsia" w:ascii="宋体" w:hAnsi="宋体" w:eastAsia="宋体" w:cs="宋体"/>
          <w:szCs w:val="21"/>
          <w:highlight w:val="none"/>
        </w:rPr>
        <w:t xml:space="preserve"> 监理人监督单位：</w:t>
      </w:r>
      <w:r>
        <w:rPr>
          <w:rFonts w:hint="eastAsia" w:ascii="宋体" w:hAnsi="宋体" w:eastAsia="宋体" w:cs="宋体"/>
          <w:szCs w:val="21"/>
          <w:highlight w:val="none"/>
          <w:u w:val="single"/>
        </w:rPr>
        <w:t>（全称） （盖单位章）</w:t>
      </w:r>
    </w:p>
    <w:p w14:paraId="09DF14F2">
      <w:pPr>
        <w:spacing w:line="360" w:lineRule="auto"/>
        <w:ind w:firstLine="480" w:firstLineChars="200"/>
        <w:rPr>
          <w:rFonts w:hint="eastAsia" w:ascii="宋体" w:hAnsi="宋体" w:eastAsia="宋体" w:cs="宋体"/>
          <w:sz w:val="24"/>
          <w:highlight w:val="none"/>
        </w:rPr>
      </w:pPr>
    </w:p>
    <w:p w14:paraId="0AB8F404">
      <w:pPr>
        <w:spacing w:line="360" w:lineRule="auto"/>
        <w:rPr>
          <w:rFonts w:hint="eastAsia" w:ascii="宋体" w:hAnsi="宋体" w:eastAsia="宋体" w:cs="宋体"/>
          <w:sz w:val="24"/>
          <w:highlight w:val="none"/>
        </w:rPr>
      </w:pPr>
    </w:p>
    <w:p w14:paraId="1912F896">
      <w:pPr>
        <w:spacing w:line="360" w:lineRule="auto"/>
        <w:ind w:firstLine="480" w:firstLineChars="200"/>
        <w:rPr>
          <w:rFonts w:hint="eastAsia" w:ascii="宋体" w:hAnsi="宋体" w:eastAsia="宋体" w:cs="宋体"/>
          <w:sz w:val="24"/>
          <w:highlight w:val="none"/>
        </w:rPr>
      </w:pPr>
    </w:p>
    <w:p w14:paraId="13A340E1">
      <w:pPr>
        <w:spacing w:line="360" w:lineRule="auto"/>
        <w:ind w:firstLine="420" w:firstLineChars="200"/>
        <w:jc w:val="center"/>
        <w:outlineLvl w:val="1"/>
        <w:rPr>
          <w:rFonts w:hint="eastAsia" w:ascii="宋体" w:hAnsi="宋体" w:eastAsia="宋体" w:cs="宋体"/>
          <w:b/>
          <w:sz w:val="24"/>
          <w:highlight w:val="none"/>
        </w:rPr>
      </w:pPr>
      <w:r>
        <w:rPr>
          <w:rFonts w:hint="eastAsia" w:ascii="宋体" w:hAnsi="宋体" w:eastAsia="宋体" w:cs="宋体"/>
          <w:szCs w:val="21"/>
          <w:highlight w:val="none"/>
        </w:rPr>
        <w:br w:type="page"/>
      </w:r>
      <w:r>
        <w:rPr>
          <w:rFonts w:hint="eastAsia" w:ascii="宋体" w:hAnsi="宋体" w:eastAsia="宋体" w:cs="宋体"/>
          <w:b/>
          <w:sz w:val="24"/>
          <w:highlight w:val="none"/>
        </w:rPr>
        <w:t>附件三 监理标段其他监理人员最低要求</w:t>
      </w:r>
    </w:p>
    <w:tbl>
      <w:tblPr>
        <w:tblStyle w:val="1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1276"/>
        <w:gridCol w:w="6333"/>
      </w:tblGrid>
      <w:tr w14:paraId="4EC8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111" w:type="dxa"/>
            <w:noWrap w:val="0"/>
            <w:vAlign w:val="center"/>
          </w:tcPr>
          <w:p w14:paraId="0763CDAB">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人员</w:t>
            </w:r>
          </w:p>
        </w:tc>
        <w:tc>
          <w:tcPr>
            <w:tcW w:w="1276" w:type="dxa"/>
            <w:noWrap w:val="0"/>
            <w:vAlign w:val="center"/>
          </w:tcPr>
          <w:p w14:paraId="3C3F235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6333" w:type="dxa"/>
            <w:noWrap w:val="0"/>
            <w:vAlign w:val="center"/>
          </w:tcPr>
          <w:p w14:paraId="6CDEC07D">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资格要求</w:t>
            </w:r>
          </w:p>
        </w:tc>
      </w:tr>
      <w:tr w14:paraId="42F1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111" w:type="dxa"/>
            <w:noWrap w:val="0"/>
            <w:vAlign w:val="center"/>
          </w:tcPr>
          <w:p w14:paraId="1878FBB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监理工程师</w:t>
            </w:r>
          </w:p>
        </w:tc>
        <w:tc>
          <w:tcPr>
            <w:tcW w:w="1276" w:type="dxa"/>
            <w:noWrap w:val="0"/>
            <w:vAlign w:val="center"/>
          </w:tcPr>
          <w:p w14:paraId="03CB1A7B">
            <w:pPr>
              <w:spacing w:line="360" w:lineRule="auto"/>
              <w:jc w:val="center"/>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1</w:t>
            </w:r>
          </w:p>
        </w:tc>
        <w:tc>
          <w:tcPr>
            <w:tcW w:w="6333" w:type="dxa"/>
            <w:noWrap w:val="0"/>
            <w:vAlign w:val="center"/>
          </w:tcPr>
          <w:p w14:paraId="3608AD8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注册专业监理工程师</w:t>
            </w:r>
          </w:p>
        </w:tc>
      </w:tr>
      <w:tr w14:paraId="035D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111" w:type="dxa"/>
            <w:noWrap w:val="0"/>
            <w:vAlign w:val="center"/>
          </w:tcPr>
          <w:p w14:paraId="7CE33A4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监理员</w:t>
            </w:r>
          </w:p>
        </w:tc>
        <w:tc>
          <w:tcPr>
            <w:tcW w:w="1276" w:type="dxa"/>
            <w:noWrap w:val="0"/>
            <w:vAlign w:val="center"/>
          </w:tcPr>
          <w:p w14:paraId="00538710">
            <w:pPr>
              <w:spacing w:line="360" w:lineRule="auto"/>
              <w:jc w:val="center"/>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1</w:t>
            </w:r>
          </w:p>
        </w:tc>
        <w:tc>
          <w:tcPr>
            <w:tcW w:w="6333" w:type="dxa"/>
            <w:noWrap w:val="0"/>
            <w:vAlign w:val="center"/>
          </w:tcPr>
          <w:p w14:paraId="3F3486F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具有省、市级人民政府颁发的相关专业中级技术职称</w:t>
            </w:r>
          </w:p>
        </w:tc>
      </w:tr>
      <w:tr w14:paraId="1E7F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111" w:type="dxa"/>
            <w:noWrap w:val="0"/>
            <w:vAlign w:val="center"/>
          </w:tcPr>
          <w:p w14:paraId="4310D8C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试验员</w:t>
            </w:r>
          </w:p>
        </w:tc>
        <w:tc>
          <w:tcPr>
            <w:tcW w:w="1276" w:type="dxa"/>
            <w:noWrap w:val="0"/>
            <w:vAlign w:val="center"/>
          </w:tcPr>
          <w:p w14:paraId="3715CA8B">
            <w:pPr>
              <w:spacing w:line="360" w:lineRule="auto"/>
              <w:jc w:val="center"/>
              <w:rPr>
                <w:rFonts w:hint="eastAsia" w:ascii="宋体" w:hAnsi="宋体" w:eastAsia="宋体" w:cs="宋体"/>
                <w:bCs/>
                <w:sz w:val="24"/>
                <w:highlight w:val="none"/>
                <w:lang w:eastAsia="zh-CN"/>
              </w:rPr>
            </w:pPr>
            <w:r>
              <w:rPr>
                <w:rFonts w:hint="eastAsia" w:ascii="宋体" w:hAnsi="宋体" w:eastAsia="宋体" w:cs="宋体"/>
                <w:bCs/>
                <w:szCs w:val="21"/>
                <w:highlight w:val="none"/>
                <w:lang w:val="en-US" w:eastAsia="zh-CN"/>
              </w:rPr>
              <w:t>1</w:t>
            </w:r>
          </w:p>
        </w:tc>
        <w:tc>
          <w:tcPr>
            <w:tcW w:w="6333" w:type="dxa"/>
            <w:noWrap w:val="0"/>
            <w:vAlign w:val="center"/>
          </w:tcPr>
          <w:p w14:paraId="34AD733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具有省、市级人民政府颁发的相关专业初级及以上专业技术职称和相应公路水运助理试验检测工程师资格证书。</w:t>
            </w:r>
          </w:p>
        </w:tc>
      </w:tr>
    </w:tbl>
    <w:p w14:paraId="04177A1A">
      <w:pPr>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注：上述人员不附在投标文件中，具体人选由招标人和中标人在合同谈判阶段确定，且经招标人审批后作为派驻本标段的主要人员。如招标人拟派驻的人员数量和资格条件不满足本表要求，招标人有权取消其中标资格。</w:t>
      </w:r>
    </w:p>
    <w:p w14:paraId="431652B3">
      <w:pPr>
        <w:spacing w:line="360" w:lineRule="auto"/>
        <w:ind w:firstLine="482" w:firstLineChars="200"/>
        <w:rPr>
          <w:rFonts w:hint="eastAsia" w:ascii="宋体" w:hAnsi="宋体" w:eastAsia="宋体" w:cs="宋体"/>
          <w:b/>
          <w:sz w:val="24"/>
          <w:highlight w:val="none"/>
        </w:rPr>
      </w:pPr>
    </w:p>
    <w:p w14:paraId="5F162E03">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附件四 主要试验检测设备最低要求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425"/>
        <w:gridCol w:w="2425"/>
        <w:gridCol w:w="2425"/>
      </w:tblGrid>
      <w:tr w14:paraId="186B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425" w:type="dxa"/>
            <w:noWrap w:val="0"/>
            <w:vAlign w:val="center"/>
          </w:tcPr>
          <w:p w14:paraId="0D0B3B27">
            <w:pPr>
              <w:jc w:val="center"/>
              <w:rPr>
                <w:rFonts w:hint="eastAsia" w:ascii="宋体" w:hAnsi="宋体" w:eastAsia="宋体" w:cs="宋体"/>
                <w:highlight w:val="none"/>
              </w:rPr>
            </w:pPr>
            <w:r>
              <w:rPr>
                <w:rFonts w:hint="eastAsia" w:ascii="宋体" w:hAnsi="宋体" w:eastAsia="宋体" w:cs="宋体"/>
                <w:highlight w:val="none"/>
              </w:rPr>
              <w:t>设备名称</w:t>
            </w:r>
          </w:p>
        </w:tc>
        <w:tc>
          <w:tcPr>
            <w:tcW w:w="2425" w:type="dxa"/>
            <w:noWrap w:val="0"/>
            <w:vAlign w:val="center"/>
          </w:tcPr>
          <w:p w14:paraId="46FAF294">
            <w:pPr>
              <w:jc w:val="center"/>
              <w:rPr>
                <w:rFonts w:hint="eastAsia" w:ascii="宋体" w:hAnsi="宋体" w:eastAsia="宋体" w:cs="宋体"/>
                <w:highlight w:val="none"/>
              </w:rPr>
            </w:pPr>
            <w:r>
              <w:rPr>
                <w:rFonts w:hint="eastAsia" w:ascii="宋体" w:hAnsi="宋体" w:eastAsia="宋体" w:cs="宋体"/>
                <w:highlight w:val="none"/>
              </w:rPr>
              <w:t>规格、功率及容量</w:t>
            </w:r>
          </w:p>
        </w:tc>
        <w:tc>
          <w:tcPr>
            <w:tcW w:w="2425" w:type="dxa"/>
            <w:noWrap w:val="0"/>
            <w:vAlign w:val="center"/>
          </w:tcPr>
          <w:p w14:paraId="5ECAB36A">
            <w:pPr>
              <w:jc w:val="center"/>
              <w:rPr>
                <w:rFonts w:hint="eastAsia" w:ascii="宋体" w:hAnsi="宋体" w:eastAsia="宋体" w:cs="宋体"/>
                <w:highlight w:val="none"/>
              </w:rPr>
            </w:pPr>
            <w:r>
              <w:rPr>
                <w:rFonts w:hint="eastAsia" w:ascii="宋体" w:hAnsi="宋体" w:eastAsia="宋体" w:cs="宋体"/>
                <w:highlight w:val="none"/>
              </w:rPr>
              <w:t>单位</w:t>
            </w:r>
          </w:p>
        </w:tc>
        <w:tc>
          <w:tcPr>
            <w:tcW w:w="2425" w:type="dxa"/>
            <w:noWrap w:val="0"/>
            <w:vAlign w:val="center"/>
          </w:tcPr>
          <w:p w14:paraId="7F36B607">
            <w:pPr>
              <w:jc w:val="center"/>
              <w:rPr>
                <w:rFonts w:hint="eastAsia" w:ascii="宋体" w:hAnsi="宋体" w:eastAsia="宋体" w:cs="宋体"/>
                <w:highlight w:val="none"/>
              </w:rPr>
            </w:pPr>
            <w:r>
              <w:rPr>
                <w:rFonts w:hint="eastAsia" w:ascii="宋体" w:hAnsi="宋体" w:eastAsia="宋体" w:cs="宋体"/>
                <w:highlight w:val="none"/>
              </w:rPr>
              <w:t>最低数量要求</w:t>
            </w:r>
          </w:p>
        </w:tc>
      </w:tr>
      <w:tr w14:paraId="26F9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425" w:type="dxa"/>
            <w:noWrap w:val="0"/>
            <w:vAlign w:val="top"/>
          </w:tcPr>
          <w:p w14:paraId="2BF6E2D0">
            <w:pPr>
              <w:pStyle w:val="10"/>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2425" w:type="dxa"/>
            <w:noWrap w:val="0"/>
            <w:vAlign w:val="top"/>
          </w:tcPr>
          <w:p w14:paraId="07635647">
            <w:pPr>
              <w:pStyle w:val="10"/>
              <w:rPr>
                <w:rFonts w:hint="eastAsia" w:ascii="宋体" w:hAnsi="宋体" w:eastAsia="宋体" w:cs="宋体"/>
                <w:highlight w:val="none"/>
                <w:lang w:val="en-US" w:eastAsia="zh-CN"/>
              </w:rPr>
            </w:pPr>
          </w:p>
        </w:tc>
        <w:tc>
          <w:tcPr>
            <w:tcW w:w="2425" w:type="dxa"/>
            <w:noWrap w:val="0"/>
            <w:vAlign w:val="top"/>
          </w:tcPr>
          <w:p w14:paraId="41C2BBD7">
            <w:pPr>
              <w:pStyle w:val="10"/>
              <w:rPr>
                <w:rFonts w:hint="eastAsia" w:ascii="宋体" w:hAnsi="宋体" w:eastAsia="宋体" w:cs="宋体"/>
                <w:highlight w:val="none"/>
                <w:lang w:val="en-US" w:eastAsia="zh-CN"/>
              </w:rPr>
            </w:pPr>
          </w:p>
        </w:tc>
        <w:tc>
          <w:tcPr>
            <w:tcW w:w="2425" w:type="dxa"/>
            <w:noWrap w:val="0"/>
            <w:vAlign w:val="top"/>
          </w:tcPr>
          <w:p w14:paraId="74C9842F">
            <w:pPr>
              <w:pStyle w:val="10"/>
              <w:rPr>
                <w:rFonts w:hint="eastAsia" w:ascii="宋体" w:hAnsi="宋体" w:eastAsia="宋体" w:cs="宋体"/>
                <w:highlight w:val="none"/>
                <w:lang w:val="en-US" w:eastAsia="zh-CN"/>
              </w:rPr>
            </w:pPr>
          </w:p>
        </w:tc>
      </w:tr>
      <w:tr w14:paraId="0DC8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425" w:type="dxa"/>
            <w:noWrap w:val="0"/>
            <w:vAlign w:val="top"/>
          </w:tcPr>
          <w:p w14:paraId="70748096">
            <w:pPr>
              <w:pStyle w:val="10"/>
              <w:rPr>
                <w:rFonts w:hint="eastAsia" w:ascii="宋体" w:hAnsi="宋体" w:eastAsia="宋体" w:cs="宋体"/>
                <w:highlight w:val="none"/>
                <w:lang w:val="en-US" w:eastAsia="zh-CN"/>
              </w:rPr>
            </w:pPr>
          </w:p>
        </w:tc>
        <w:tc>
          <w:tcPr>
            <w:tcW w:w="2425" w:type="dxa"/>
            <w:noWrap w:val="0"/>
            <w:vAlign w:val="top"/>
          </w:tcPr>
          <w:p w14:paraId="37A9AC5A">
            <w:pPr>
              <w:pStyle w:val="10"/>
              <w:rPr>
                <w:rFonts w:hint="eastAsia" w:ascii="宋体" w:hAnsi="宋体" w:eastAsia="宋体" w:cs="宋体"/>
                <w:highlight w:val="none"/>
                <w:lang w:val="en-US" w:eastAsia="zh-CN"/>
              </w:rPr>
            </w:pPr>
          </w:p>
        </w:tc>
        <w:tc>
          <w:tcPr>
            <w:tcW w:w="2425" w:type="dxa"/>
            <w:noWrap w:val="0"/>
            <w:vAlign w:val="top"/>
          </w:tcPr>
          <w:p w14:paraId="1798189B">
            <w:pPr>
              <w:pStyle w:val="10"/>
              <w:rPr>
                <w:rFonts w:hint="eastAsia" w:ascii="宋体" w:hAnsi="宋体" w:eastAsia="宋体" w:cs="宋体"/>
                <w:highlight w:val="none"/>
                <w:lang w:val="en-US" w:eastAsia="zh-CN"/>
              </w:rPr>
            </w:pPr>
          </w:p>
        </w:tc>
        <w:tc>
          <w:tcPr>
            <w:tcW w:w="2425" w:type="dxa"/>
            <w:noWrap w:val="0"/>
            <w:vAlign w:val="top"/>
          </w:tcPr>
          <w:p w14:paraId="565B98D4">
            <w:pPr>
              <w:pStyle w:val="10"/>
              <w:rPr>
                <w:rFonts w:hint="eastAsia" w:ascii="宋体" w:hAnsi="宋体" w:eastAsia="宋体" w:cs="宋体"/>
                <w:highlight w:val="none"/>
                <w:lang w:val="en-US" w:eastAsia="zh-CN"/>
              </w:rPr>
            </w:pPr>
          </w:p>
        </w:tc>
      </w:tr>
      <w:tr w14:paraId="6162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425" w:type="dxa"/>
            <w:noWrap w:val="0"/>
            <w:vAlign w:val="top"/>
          </w:tcPr>
          <w:p w14:paraId="2FF8C499">
            <w:pPr>
              <w:pStyle w:val="10"/>
              <w:rPr>
                <w:rFonts w:hint="eastAsia" w:ascii="宋体" w:hAnsi="宋体" w:eastAsia="宋体" w:cs="宋体"/>
                <w:highlight w:val="none"/>
                <w:lang w:val="en-US" w:eastAsia="zh-CN"/>
              </w:rPr>
            </w:pPr>
          </w:p>
        </w:tc>
        <w:tc>
          <w:tcPr>
            <w:tcW w:w="2425" w:type="dxa"/>
            <w:noWrap w:val="0"/>
            <w:vAlign w:val="top"/>
          </w:tcPr>
          <w:p w14:paraId="7BFAB219">
            <w:pPr>
              <w:pStyle w:val="10"/>
              <w:rPr>
                <w:rFonts w:hint="eastAsia" w:ascii="宋体" w:hAnsi="宋体" w:eastAsia="宋体" w:cs="宋体"/>
                <w:highlight w:val="none"/>
                <w:lang w:val="en-US" w:eastAsia="zh-CN"/>
              </w:rPr>
            </w:pPr>
          </w:p>
        </w:tc>
        <w:tc>
          <w:tcPr>
            <w:tcW w:w="2425" w:type="dxa"/>
            <w:noWrap w:val="0"/>
            <w:vAlign w:val="top"/>
          </w:tcPr>
          <w:p w14:paraId="0487A6E7">
            <w:pPr>
              <w:pStyle w:val="10"/>
              <w:rPr>
                <w:rFonts w:hint="eastAsia" w:ascii="宋体" w:hAnsi="宋体" w:eastAsia="宋体" w:cs="宋体"/>
                <w:highlight w:val="none"/>
                <w:lang w:val="en-US" w:eastAsia="zh-CN"/>
              </w:rPr>
            </w:pPr>
          </w:p>
        </w:tc>
        <w:tc>
          <w:tcPr>
            <w:tcW w:w="2425" w:type="dxa"/>
            <w:noWrap w:val="0"/>
            <w:vAlign w:val="top"/>
          </w:tcPr>
          <w:p w14:paraId="523DFB30">
            <w:pPr>
              <w:pStyle w:val="10"/>
              <w:rPr>
                <w:rFonts w:hint="eastAsia" w:ascii="宋体" w:hAnsi="宋体" w:eastAsia="宋体" w:cs="宋体"/>
                <w:highlight w:val="none"/>
                <w:lang w:val="en-US" w:eastAsia="zh-CN"/>
              </w:rPr>
            </w:pPr>
          </w:p>
        </w:tc>
      </w:tr>
      <w:tr w14:paraId="38D2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425" w:type="dxa"/>
            <w:noWrap w:val="0"/>
            <w:vAlign w:val="top"/>
          </w:tcPr>
          <w:p w14:paraId="54C0C36D">
            <w:pPr>
              <w:pStyle w:val="10"/>
              <w:rPr>
                <w:rFonts w:hint="eastAsia" w:ascii="宋体" w:hAnsi="宋体" w:eastAsia="宋体" w:cs="宋体"/>
                <w:highlight w:val="none"/>
                <w:lang w:val="en-US" w:eastAsia="zh-CN"/>
              </w:rPr>
            </w:pPr>
          </w:p>
        </w:tc>
        <w:tc>
          <w:tcPr>
            <w:tcW w:w="2425" w:type="dxa"/>
            <w:noWrap w:val="0"/>
            <w:vAlign w:val="top"/>
          </w:tcPr>
          <w:p w14:paraId="77F5832F">
            <w:pPr>
              <w:pStyle w:val="10"/>
              <w:rPr>
                <w:rFonts w:hint="eastAsia" w:ascii="宋体" w:hAnsi="宋体" w:eastAsia="宋体" w:cs="宋体"/>
                <w:highlight w:val="none"/>
                <w:lang w:val="en-US" w:eastAsia="zh-CN"/>
              </w:rPr>
            </w:pPr>
          </w:p>
        </w:tc>
        <w:tc>
          <w:tcPr>
            <w:tcW w:w="2425" w:type="dxa"/>
            <w:noWrap w:val="0"/>
            <w:vAlign w:val="top"/>
          </w:tcPr>
          <w:p w14:paraId="0727B6CB">
            <w:pPr>
              <w:pStyle w:val="10"/>
              <w:rPr>
                <w:rFonts w:hint="eastAsia" w:ascii="宋体" w:hAnsi="宋体" w:eastAsia="宋体" w:cs="宋体"/>
                <w:highlight w:val="none"/>
                <w:lang w:val="en-US" w:eastAsia="zh-CN"/>
              </w:rPr>
            </w:pPr>
          </w:p>
        </w:tc>
        <w:tc>
          <w:tcPr>
            <w:tcW w:w="2425" w:type="dxa"/>
            <w:noWrap w:val="0"/>
            <w:vAlign w:val="top"/>
          </w:tcPr>
          <w:p w14:paraId="0E9DBCB7">
            <w:pPr>
              <w:pStyle w:val="10"/>
              <w:rPr>
                <w:rFonts w:hint="eastAsia" w:ascii="宋体" w:hAnsi="宋体" w:eastAsia="宋体" w:cs="宋体"/>
                <w:highlight w:val="none"/>
                <w:lang w:val="en-US" w:eastAsia="zh-CN"/>
              </w:rPr>
            </w:pPr>
          </w:p>
        </w:tc>
      </w:tr>
      <w:tr w14:paraId="2F81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425" w:type="dxa"/>
            <w:noWrap w:val="0"/>
            <w:vAlign w:val="top"/>
          </w:tcPr>
          <w:p w14:paraId="0C6AF4C5">
            <w:pPr>
              <w:pStyle w:val="10"/>
              <w:rPr>
                <w:rFonts w:hint="eastAsia" w:ascii="宋体" w:hAnsi="宋体" w:eastAsia="宋体" w:cs="宋体"/>
                <w:highlight w:val="none"/>
                <w:lang w:val="en-US" w:eastAsia="zh-CN"/>
              </w:rPr>
            </w:pPr>
          </w:p>
        </w:tc>
        <w:tc>
          <w:tcPr>
            <w:tcW w:w="2425" w:type="dxa"/>
            <w:noWrap w:val="0"/>
            <w:vAlign w:val="top"/>
          </w:tcPr>
          <w:p w14:paraId="293AEFEA">
            <w:pPr>
              <w:pStyle w:val="10"/>
              <w:rPr>
                <w:rFonts w:hint="eastAsia" w:ascii="宋体" w:hAnsi="宋体" w:eastAsia="宋体" w:cs="宋体"/>
                <w:highlight w:val="none"/>
                <w:lang w:val="en-US" w:eastAsia="zh-CN"/>
              </w:rPr>
            </w:pPr>
          </w:p>
        </w:tc>
        <w:tc>
          <w:tcPr>
            <w:tcW w:w="2425" w:type="dxa"/>
            <w:noWrap w:val="0"/>
            <w:vAlign w:val="top"/>
          </w:tcPr>
          <w:p w14:paraId="291576A1">
            <w:pPr>
              <w:pStyle w:val="10"/>
              <w:rPr>
                <w:rFonts w:hint="eastAsia" w:ascii="宋体" w:hAnsi="宋体" w:eastAsia="宋体" w:cs="宋体"/>
                <w:highlight w:val="none"/>
                <w:lang w:val="en-US" w:eastAsia="zh-CN"/>
              </w:rPr>
            </w:pPr>
          </w:p>
        </w:tc>
        <w:tc>
          <w:tcPr>
            <w:tcW w:w="2425" w:type="dxa"/>
            <w:noWrap w:val="0"/>
            <w:vAlign w:val="top"/>
          </w:tcPr>
          <w:p w14:paraId="44C55ACB">
            <w:pPr>
              <w:pStyle w:val="10"/>
              <w:rPr>
                <w:rFonts w:hint="eastAsia" w:ascii="宋体" w:hAnsi="宋体" w:eastAsia="宋体" w:cs="宋体"/>
                <w:highlight w:val="none"/>
                <w:lang w:val="en-US" w:eastAsia="zh-CN"/>
              </w:rPr>
            </w:pPr>
          </w:p>
        </w:tc>
      </w:tr>
      <w:tr w14:paraId="23C5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425" w:type="dxa"/>
            <w:noWrap w:val="0"/>
            <w:vAlign w:val="top"/>
          </w:tcPr>
          <w:p w14:paraId="295003E3">
            <w:pPr>
              <w:pStyle w:val="10"/>
              <w:rPr>
                <w:rFonts w:hint="eastAsia" w:ascii="宋体" w:hAnsi="宋体" w:eastAsia="宋体" w:cs="宋体"/>
                <w:highlight w:val="none"/>
                <w:lang w:val="en-US" w:eastAsia="zh-CN"/>
              </w:rPr>
            </w:pPr>
          </w:p>
        </w:tc>
        <w:tc>
          <w:tcPr>
            <w:tcW w:w="2425" w:type="dxa"/>
            <w:noWrap w:val="0"/>
            <w:vAlign w:val="top"/>
          </w:tcPr>
          <w:p w14:paraId="7C1991AE">
            <w:pPr>
              <w:pStyle w:val="10"/>
              <w:rPr>
                <w:rFonts w:hint="eastAsia" w:ascii="宋体" w:hAnsi="宋体" w:eastAsia="宋体" w:cs="宋体"/>
                <w:highlight w:val="none"/>
                <w:lang w:val="en-US" w:eastAsia="zh-CN"/>
              </w:rPr>
            </w:pPr>
          </w:p>
        </w:tc>
        <w:tc>
          <w:tcPr>
            <w:tcW w:w="2425" w:type="dxa"/>
            <w:noWrap w:val="0"/>
            <w:vAlign w:val="top"/>
          </w:tcPr>
          <w:p w14:paraId="28B3D3D6">
            <w:pPr>
              <w:pStyle w:val="10"/>
              <w:rPr>
                <w:rFonts w:hint="eastAsia" w:ascii="宋体" w:hAnsi="宋体" w:eastAsia="宋体" w:cs="宋体"/>
                <w:highlight w:val="none"/>
                <w:lang w:val="en-US" w:eastAsia="zh-CN"/>
              </w:rPr>
            </w:pPr>
          </w:p>
        </w:tc>
        <w:tc>
          <w:tcPr>
            <w:tcW w:w="2425" w:type="dxa"/>
            <w:noWrap w:val="0"/>
            <w:vAlign w:val="top"/>
          </w:tcPr>
          <w:p w14:paraId="6539BAEA">
            <w:pPr>
              <w:pStyle w:val="10"/>
              <w:rPr>
                <w:rFonts w:hint="eastAsia" w:ascii="宋体" w:hAnsi="宋体" w:eastAsia="宋体" w:cs="宋体"/>
                <w:highlight w:val="none"/>
                <w:lang w:val="en-US" w:eastAsia="zh-CN"/>
              </w:rPr>
            </w:pPr>
          </w:p>
        </w:tc>
      </w:tr>
      <w:tr w14:paraId="0D59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2425" w:type="dxa"/>
            <w:noWrap w:val="0"/>
            <w:vAlign w:val="top"/>
          </w:tcPr>
          <w:p w14:paraId="7604172D">
            <w:pPr>
              <w:pStyle w:val="10"/>
              <w:rPr>
                <w:rFonts w:hint="eastAsia" w:ascii="宋体" w:hAnsi="宋体" w:eastAsia="宋体" w:cs="宋体"/>
                <w:highlight w:val="none"/>
                <w:lang w:val="en-US" w:eastAsia="zh-CN"/>
              </w:rPr>
            </w:pPr>
          </w:p>
        </w:tc>
        <w:tc>
          <w:tcPr>
            <w:tcW w:w="2425" w:type="dxa"/>
            <w:noWrap w:val="0"/>
            <w:vAlign w:val="top"/>
          </w:tcPr>
          <w:p w14:paraId="7D587CD8">
            <w:pPr>
              <w:pStyle w:val="10"/>
              <w:rPr>
                <w:rFonts w:hint="eastAsia" w:ascii="宋体" w:hAnsi="宋体" w:eastAsia="宋体" w:cs="宋体"/>
                <w:highlight w:val="none"/>
                <w:lang w:val="en-US" w:eastAsia="zh-CN"/>
              </w:rPr>
            </w:pPr>
          </w:p>
        </w:tc>
        <w:tc>
          <w:tcPr>
            <w:tcW w:w="2425" w:type="dxa"/>
            <w:noWrap w:val="0"/>
            <w:vAlign w:val="top"/>
          </w:tcPr>
          <w:p w14:paraId="6614BE45">
            <w:pPr>
              <w:pStyle w:val="10"/>
              <w:rPr>
                <w:rFonts w:hint="eastAsia" w:ascii="宋体" w:hAnsi="宋体" w:eastAsia="宋体" w:cs="宋体"/>
                <w:highlight w:val="none"/>
                <w:lang w:val="en-US" w:eastAsia="zh-CN"/>
              </w:rPr>
            </w:pPr>
          </w:p>
        </w:tc>
        <w:tc>
          <w:tcPr>
            <w:tcW w:w="2425" w:type="dxa"/>
            <w:noWrap w:val="0"/>
            <w:vAlign w:val="top"/>
          </w:tcPr>
          <w:p w14:paraId="54D171B8">
            <w:pPr>
              <w:pStyle w:val="10"/>
              <w:rPr>
                <w:rFonts w:hint="eastAsia" w:ascii="宋体" w:hAnsi="宋体" w:eastAsia="宋体" w:cs="宋体"/>
                <w:highlight w:val="none"/>
                <w:lang w:val="en-US" w:eastAsia="zh-CN"/>
              </w:rPr>
            </w:pPr>
          </w:p>
        </w:tc>
      </w:tr>
    </w:tbl>
    <w:p w14:paraId="521476AA">
      <w:pPr>
        <w:pStyle w:val="10"/>
        <w:rPr>
          <w:rFonts w:hint="eastAsia" w:ascii="宋体" w:hAnsi="宋体" w:eastAsia="宋体" w:cs="宋体"/>
          <w:highlight w:val="none"/>
        </w:rPr>
      </w:pPr>
    </w:p>
    <w:p w14:paraId="43489454">
      <w:pPr>
        <w:spacing w:line="360" w:lineRule="auto"/>
        <w:ind w:firstLine="482" w:firstLineChars="200"/>
        <w:rPr>
          <w:rFonts w:hint="eastAsia" w:ascii="宋体" w:hAnsi="宋体" w:eastAsia="宋体" w:cs="宋体"/>
          <w:b/>
          <w:sz w:val="24"/>
          <w:highlight w:val="none"/>
        </w:rPr>
      </w:pPr>
    </w:p>
    <w:p w14:paraId="16634D5F">
      <w:pPr>
        <w:spacing w:line="360" w:lineRule="auto"/>
        <w:ind w:firstLine="482" w:firstLineChars="200"/>
        <w:rPr>
          <w:rFonts w:hint="eastAsia" w:ascii="宋体" w:hAnsi="宋体" w:eastAsia="宋体" w:cs="宋体"/>
          <w:b/>
          <w:sz w:val="24"/>
          <w:highlight w:val="none"/>
        </w:rPr>
      </w:pPr>
    </w:p>
    <w:p w14:paraId="1EFFFC7A">
      <w:pPr>
        <w:spacing w:line="360" w:lineRule="auto"/>
        <w:ind w:firstLine="482" w:firstLineChars="200"/>
        <w:rPr>
          <w:rFonts w:hint="eastAsia" w:ascii="宋体" w:hAnsi="宋体" w:eastAsia="宋体" w:cs="宋体"/>
          <w:b/>
          <w:sz w:val="24"/>
          <w:highlight w:val="none"/>
        </w:rPr>
      </w:pPr>
    </w:p>
    <w:p w14:paraId="5FEFCCDF">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附件五 履约保证金格式</w:t>
      </w:r>
    </w:p>
    <w:p w14:paraId="6CED2C4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如采用银行保函，格式如下。</w:t>
      </w:r>
    </w:p>
    <w:p w14:paraId="09E637CE">
      <w:pPr>
        <w:spacing w:line="360" w:lineRule="auto"/>
        <w:ind w:firstLine="562" w:firstLineChars="200"/>
        <w:jc w:val="center"/>
        <w:rPr>
          <w:rFonts w:hint="eastAsia" w:ascii="宋体" w:hAnsi="宋体" w:eastAsia="宋体" w:cs="宋体"/>
          <w:b/>
          <w:sz w:val="24"/>
          <w:highlight w:val="none"/>
        </w:rPr>
      </w:pPr>
      <w:r>
        <w:rPr>
          <w:rFonts w:hint="eastAsia" w:ascii="宋体" w:hAnsi="宋体" w:eastAsia="宋体" w:cs="宋体"/>
          <w:b/>
          <w:sz w:val="28"/>
          <w:szCs w:val="28"/>
          <w:highlight w:val="none"/>
        </w:rPr>
        <w:t>履约保证金</w:t>
      </w:r>
    </w:p>
    <w:p w14:paraId="3BC863CC">
      <w:pPr>
        <w:spacing w:line="360" w:lineRule="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（委托人名称）   </w:t>
      </w:r>
      <w:r>
        <w:rPr>
          <w:rFonts w:hint="eastAsia" w:ascii="宋体" w:hAnsi="宋体" w:eastAsia="宋体" w:cs="宋体"/>
          <w:szCs w:val="21"/>
          <w:highlight w:val="none"/>
        </w:rPr>
        <w:t xml:space="preserve">： </w:t>
      </w:r>
    </w:p>
    <w:p w14:paraId="4045C5D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鉴于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（委托人名称，以下简称“委托人”）接受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（监理人名称）（以下称“监理人”）于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日参加 （项目名称）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标段施工监理的投标。我方愿意无条件地、不可撤销地就监理人履行与你方订立的合同，向你方提供担保。 </w:t>
      </w:r>
    </w:p>
    <w:p w14:paraId="0E2B622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 担保金额人民币（大写）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元（¥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3C4A3B3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 担保有效期自委托人与监理人签订的合同生效之日起至委托人签发交工验收证书且监理人按照合同约定提交缺陷责任期保函之日止。</w:t>
      </w:r>
    </w:p>
    <w:p w14:paraId="764B8A7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3. 在本担保有效期内，因监理人违反合同约定的义务给你方造成经济损失时，我方在收到你方以书面形式提出的在担保金额内的赔偿要求后，在7天内无条件支付，无须你方出具证明或陈述理由。 </w:t>
      </w:r>
    </w:p>
    <w:p w14:paraId="59B0658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4. 委托人和监理人按合同条款变更合同时，我方承担本担保规定的义务不变。 </w:t>
      </w:r>
    </w:p>
    <w:p w14:paraId="2D2E6347">
      <w:pPr>
        <w:spacing w:line="360" w:lineRule="auto"/>
        <w:ind w:firstLine="420" w:firstLineChars="200"/>
        <w:rPr>
          <w:rFonts w:hint="eastAsia" w:ascii="宋体" w:hAnsi="宋体" w:eastAsia="宋体" w:cs="宋体"/>
          <w:szCs w:val="21"/>
          <w:highlight w:val="none"/>
        </w:rPr>
      </w:pPr>
    </w:p>
    <w:p w14:paraId="580598A4">
      <w:pPr>
        <w:spacing w:line="360" w:lineRule="auto"/>
        <w:ind w:firstLine="420" w:firstLineChars="200"/>
        <w:rPr>
          <w:rFonts w:hint="eastAsia" w:ascii="宋体" w:hAnsi="宋体" w:eastAsia="宋体" w:cs="宋体"/>
          <w:szCs w:val="21"/>
          <w:highlight w:val="none"/>
        </w:rPr>
      </w:pPr>
    </w:p>
    <w:p w14:paraId="4340A938">
      <w:pPr>
        <w:spacing w:line="360" w:lineRule="auto"/>
        <w:ind w:firstLine="2730" w:firstLineChars="1300"/>
        <w:rPr>
          <w:rFonts w:hint="eastAsia" w:ascii="宋体" w:hAnsi="宋体" w:eastAsia="宋体" w:cs="宋体"/>
          <w:szCs w:val="21"/>
          <w:highlight w:val="none"/>
        </w:rPr>
      </w:pPr>
      <w:r>
        <w:rPr>
          <w:rFonts w:hint="eastAsia" w:ascii="宋体" w:hAnsi="宋体" w:eastAsia="宋体" w:cs="宋体"/>
          <w:szCs w:val="21"/>
          <w:highlight w:val="none"/>
        </w:rPr>
        <w:t xml:space="preserve">担 保 人：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（盖单位章） </w:t>
      </w:r>
    </w:p>
    <w:p w14:paraId="675A4D47">
      <w:pPr>
        <w:spacing w:line="360" w:lineRule="auto"/>
        <w:ind w:firstLine="2730" w:firstLineChars="1300"/>
        <w:rPr>
          <w:rFonts w:hint="eastAsia" w:ascii="宋体" w:hAnsi="宋体" w:eastAsia="宋体" w:cs="宋体"/>
          <w:szCs w:val="21"/>
          <w:highlight w:val="none"/>
        </w:rPr>
      </w:pPr>
      <w:r>
        <w:rPr>
          <w:rFonts w:hint="eastAsia" w:ascii="宋体" w:hAnsi="宋体" w:eastAsia="宋体" w:cs="宋体"/>
          <w:szCs w:val="21"/>
          <w:highlight w:val="none"/>
        </w:rPr>
        <w:t xml:space="preserve">法定代表人或其委托代理人：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（签字） </w:t>
      </w:r>
    </w:p>
    <w:p w14:paraId="75822C87">
      <w:pPr>
        <w:spacing w:line="360" w:lineRule="auto"/>
        <w:ind w:firstLine="2730" w:firstLineChars="1300"/>
        <w:rPr>
          <w:rFonts w:hint="eastAsia" w:ascii="宋体" w:hAnsi="宋体" w:eastAsia="宋体" w:cs="宋体"/>
          <w:szCs w:val="21"/>
          <w:highlight w:val="none"/>
          <w:u w:val="single"/>
        </w:rPr>
      </w:pPr>
      <w:r>
        <w:rPr>
          <w:rFonts w:hint="eastAsia" w:ascii="宋体" w:hAnsi="宋体" w:eastAsia="宋体" w:cs="宋体"/>
          <w:szCs w:val="21"/>
          <w:highlight w:val="none"/>
        </w:rPr>
        <w:t>地 址：</w:t>
      </w:r>
    </w:p>
    <w:p w14:paraId="30E041B0">
      <w:pPr>
        <w:spacing w:line="360" w:lineRule="auto"/>
        <w:ind w:firstLine="2730" w:firstLineChars="1300"/>
        <w:rPr>
          <w:rFonts w:hint="eastAsia" w:ascii="宋体" w:hAnsi="宋体" w:eastAsia="宋体" w:cs="宋体"/>
          <w:szCs w:val="21"/>
          <w:highlight w:val="none"/>
          <w:u w:val="single"/>
        </w:rPr>
      </w:pPr>
      <w:r>
        <w:rPr>
          <w:rFonts w:hint="eastAsia" w:ascii="宋体" w:hAnsi="宋体" w:eastAsia="宋体" w:cs="宋体"/>
          <w:szCs w:val="21"/>
          <w:highlight w:val="none"/>
        </w:rPr>
        <w:t xml:space="preserve">邮政编码： </w:t>
      </w:r>
      <w:r>
        <w:rPr>
          <w:rFonts w:hint="eastAsia" w:ascii="宋体" w:hAnsi="宋体" w:eastAsia="宋体" w:cs="宋体"/>
          <w:szCs w:val="21"/>
          <w:highlight w:val="none"/>
          <w:u w:val="single"/>
        </w:rPr>
        <w:t xml:space="preserve">  </w:t>
      </w:r>
    </w:p>
    <w:p w14:paraId="3ABA2B28">
      <w:pPr>
        <w:spacing w:line="360" w:lineRule="auto"/>
        <w:ind w:firstLine="2730" w:firstLineChars="1300"/>
        <w:rPr>
          <w:rFonts w:hint="eastAsia" w:ascii="宋体" w:hAnsi="宋体" w:eastAsia="宋体" w:cs="宋体"/>
          <w:szCs w:val="21"/>
          <w:highlight w:val="none"/>
        </w:rPr>
      </w:pPr>
      <w:r>
        <w:rPr>
          <w:rFonts w:hint="eastAsia" w:ascii="宋体" w:hAnsi="宋体" w:eastAsia="宋体" w:cs="宋体"/>
          <w:szCs w:val="21"/>
          <w:highlight w:val="none"/>
        </w:rPr>
        <w:t xml:space="preserve">电 话： </w:t>
      </w:r>
    </w:p>
    <w:p w14:paraId="2538E270">
      <w:pPr>
        <w:spacing w:line="360" w:lineRule="auto"/>
        <w:ind w:firstLine="2730" w:firstLineChars="1300"/>
        <w:rPr>
          <w:rFonts w:hint="eastAsia" w:ascii="宋体" w:hAnsi="宋体" w:eastAsia="宋体" w:cs="宋体"/>
          <w:szCs w:val="21"/>
          <w:highlight w:val="none"/>
        </w:rPr>
      </w:pPr>
      <w:r>
        <w:rPr>
          <w:rFonts w:hint="eastAsia" w:ascii="宋体" w:hAnsi="宋体" w:eastAsia="宋体" w:cs="宋体"/>
          <w:szCs w:val="21"/>
          <w:highlight w:val="none"/>
        </w:rPr>
        <w:t xml:space="preserve">传 真： </w:t>
      </w:r>
    </w:p>
    <w:p w14:paraId="19102A99">
      <w:pPr>
        <w:spacing w:line="360" w:lineRule="auto"/>
        <w:ind w:firstLine="4410" w:firstLineChars="2100"/>
        <w:rPr>
          <w:rFonts w:hint="eastAsia" w:ascii="宋体" w:hAnsi="宋体" w:eastAsia="宋体" w:cs="宋体"/>
          <w:szCs w:val="21"/>
          <w:highlight w:val="none"/>
        </w:rPr>
      </w:pPr>
      <w:r>
        <w:rPr>
          <w:rFonts w:hint="eastAsia" w:ascii="宋体" w:hAnsi="宋体" w:eastAsia="宋体" w:cs="宋体"/>
          <w:szCs w:val="21"/>
          <w:highlight w:val="none"/>
        </w:rPr>
        <w:t xml:space="preserve">年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CB7F412">
      <w:pPr>
        <w:spacing w:line="360" w:lineRule="auto"/>
        <w:ind w:firstLine="420" w:firstLineChars="200"/>
        <w:rPr>
          <w:rFonts w:hint="eastAsia" w:ascii="宋体" w:hAnsi="宋体" w:eastAsia="宋体" w:cs="宋体"/>
          <w:szCs w:val="21"/>
          <w:highlight w:val="none"/>
        </w:rPr>
      </w:pPr>
    </w:p>
    <w:p w14:paraId="34DCA769">
      <w:pPr>
        <w:rPr>
          <w:rFonts w:hint="eastAsia" w:ascii="宋体" w:hAnsi="宋体" w:eastAsia="宋体" w:cs="宋体"/>
          <w:sz w:val="36"/>
          <w:szCs w:val="36"/>
          <w:highlight w:val="none"/>
        </w:rPr>
      </w:pPr>
    </w:p>
    <w:p w14:paraId="7CD5700E">
      <w:pPr>
        <w:rPr>
          <w:rFonts w:hint="eastAsia" w:ascii="宋体" w:hAnsi="宋体" w:eastAsia="宋体" w:cs="宋体"/>
          <w:sz w:val="36"/>
          <w:szCs w:val="36"/>
          <w:highlight w:val="none"/>
        </w:rPr>
      </w:pPr>
    </w:p>
    <w:p w14:paraId="0A3642CD">
      <w:pPr>
        <w:adjustRightInd w:val="0"/>
        <w:snapToGrid w:val="0"/>
        <w:spacing w:line="360" w:lineRule="auto"/>
        <w:rPr>
          <w:rFonts w:hint="eastAsia" w:ascii="宋体" w:hAnsi="宋体" w:eastAsia="宋体" w:cs="宋体"/>
          <w:b/>
          <w:bCs/>
          <w:sz w:val="24"/>
          <w:highlight w:val="none"/>
        </w:rPr>
      </w:pPr>
    </w:p>
    <w:p w14:paraId="347BF851">
      <w:pPr>
        <w:adjustRightInd w:val="0"/>
        <w:snapToGrid w:val="0"/>
        <w:spacing w:line="360" w:lineRule="auto"/>
        <w:rPr>
          <w:rFonts w:hint="eastAsia" w:ascii="宋体" w:hAnsi="宋体" w:eastAsia="宋体" w:cs="宋体"/>
          <w:b/>
          <w:bCs/>
          <w:sz w:val="24"/>
          <w:highlight w:val="none"/>
        </w:rPr>
      </w:pPr>
    </w:p>
    <w:p w14:paraId="75230B2C">
      <w:pPr>
        <w:adjustRightInd w:val="0"/>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附件六：中小企业声明函</w:t>
      </w:r>
    </w:p>
    <w:p w14:paraId="2CC4A2DB">
      <w:pPr>
        <w:adjustRightInd w:val="0"/>
        <w:snapToGrid w:val="0"/>
        <w:spacing w:after="120" w:afterLines="50" w:line="343" w:lineRule="auto"/>
        <w:rPr>
          <w:rFonts w:hint="eastAsia" w:ascii="宋体" w:hAnsi="宋体" w:eastAsia="宋体" w:cs="宋体"/>
          <w:b/>
          <w:bCs/>
          <w:sz w:val="18"/>
          <w:szCs w:val="18"/>
          <w:highlight w:val="none"/>
        </w:rPr>
      </w:pPr>
    </w:p>
    <w:p w14:paraId="351DDB87">
      <w:pPr>
        <w:adjustRightInd w:val="0"/>
        <w:snapToGrid w:val="0"/>
        <w:spacing w:after="120" w:afterLines="50" w:line="343" w:lineRule="auto"/>
        <w:jc w:val="center"/>
        <w:rPr>
          <w:rFonts w:hint="eastAsia" w:ascii="宋体" w:hAnsi="宋体" w:eastAsia="宋体" w:cs="宋体"/>
          <w:b/>
          <w:bCs/>
          <w:sz w:val="30"/>
          <w:szCs w:val="30"/>
          <w:highlight w:val="none"/>
          <w:u w:val="single"/>
        </w:rPr>
      </w:pPr>
      <w:r>
        <w:rPr>
          <w:rFonts w:hint="eastAsia" w:ascii="宋体" w:hAnsi="宋体" w:eastAsia="宋体" w:cs="宋体"/>
          <w:b/>
          <w:bCs/>
          <w:sz w:val="30"/>
          <w:szCs w:val="30"/>
          <w:highlight w:val="none"/>
        </w:rPr>
        <w:t>中小企业声明函（工程、服务）</w:t>
      </w:r>
    </w:p>
    <w:p w14:paraId="2E25973A">
      <w:pPr>
        <w:spacing w:line="360" w:lineRule="auto"/>
        <w:ind w:firstLine="420" w:firstLineChars="200"/>
        <w:rPr>
          <w:rFonts w:hint="eastAsia" w:ascii="宋体" w:hAnsi="宋体" w:eastAsia="宋体" w:cs="宋体"/>
          <w:b w:val="0"/>
          <w:bCs w:val="0"/>
          <w:highlight w:val="none"/>
        </w:rPr>
      </w:pPr>
      <w:r>
        <w:rPr>
          <w:rFonts w:hint="eastAsia" w:ascii="宋体" w:hAnsi="宋体" w:eastAsia="宋体" w:cs="宋体"/>
          <w:b w:val="0"/>
          <w:bCs w:val="0"/>
          <w:highlight w:val="none"/>
        </w:rPr>
        <w:t>本公司（联合体）郑重声明，根据《政府采购促进中小企业发展管理办法》（财库【2020】46号）的规定，本公司（联合体）参加</w:t>
      </w:r>
      <w:r>
        <w:rPr>
          <w:rFonts w:hint="eastAsia" w:ascii="宋体" w:hAnsi="宋体" w:eastAsia="宋体" w:cs="宋体"/>
          <w:b w:val="0"/>
          <w:bCs w:val="0"/>
          <w:highlight w:val="none"/>
          <w:u w:val="single"/>
          <w:lang w:val="en-US" w:eastAsia="zh-CN"/>
        </w:rPr>
        <w:t xml:space="preserve">     </w:t>
      </w:r>
      <w:r>
        <w:rPr>
          <w:rFonts w:hint="eastAsia" w:ascii="宋体" w:hAnsi="宋体" w:eastAsia="宋体" w:cs="宋体"/>
          <w:b w:val="0"/>
          <w:bCs w:val="0"/>
          <w:highlight w:val="none"/>
          <w:u w:val="single"/>
        </w:rPr>
        <w:t>（单位名称）</w:t>
      </w:r>
      <w:r>
        <w:rPr>
          <w:rFonts w:hint="eastAsia" w:ascii="宋体" w:hAnsi="宋体" w:eastAsia="宋体" w:cs="宋体"/>
          <w:b w:val="0"/>
          <w:bCs w:val="0"/>
          <w:highlight w:val="none"/>
        </w:rPr>
        <w:t>的</w:t>
      </w:r>
      <w:r>
        <w:rPr>
          <w:rFonts w:hint="eastAsia" w:ascii="宋体" w:hAnsi="宋体" w:eastAsia="宋体" w:cs="宋体"/>
          <w:b w:val="0"/>
          <w:bCs w:val="0"/>
          <w:highlight w:val="none"/>
          <w:u w:val="single"/>
          <w:lang w:val="en-US" w:eastAsia="zh-CN"/>
        </w:rPr>
        <w:t xml:space="preserve">    </w:t>
      </w:r>
      <w:r>
        <w:rPr>
          <w:rFonts w:hint="eastAsia" w:ascii="宋体" w:hAnsi="宋体" w:eastAsia="宋体" w:cs="宋体"/>
          <w:b w:val="0"/>
          <w:bCs w:val="0"/>
          <w:highlight w:val="none"/>
          <w:u w:val="single"/>
        </w:rPr>
        <w:t>（项目名称）</w:t>
      </w:r>
      <w:r>
        <w:rPr>
          <w:rFonts w:hint="eastAsia" w:ascii="宋体" w:hAnsi="宋体" w:eastAsia="宋体" w:cs="宋体"/>
          <w:b w:val="0"/>
          <w:bCs w:val="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262C89">
      <w:pPr>
        <w:spacing w:line="360" w:lineRule="auto"/>
        <w:ind w:firstLine="420" w:firstLineChars="200"/>
        <w:rPr>
          <w:rFonts w:hint="eastAsia" w:ascii="宋体" w:hAnsi="宋体" w:eastAsia="宋体" w:cs="宋体"/>
          <w:b w:val="0"/>
          <w:bCs w:val="0"/>
          <w:highlight w:val="none"/>
        </w:rPr>
      </w:pPr>
      <w:r>
        <w:rPr>
          <w:rFonts w:hint="eastAsia" w:ascii="宋体" w:hAnsi="宋体" w:eastAsia="宋体" w:cs="宋体"/>
          <w:b w:val="0"/>
          <w:bCs w:val="0"/>
          <w:highlight w:val="none"/>
        </w:rPr>
        <w:t>1.</w:t>
      </w:r>
      <w:r>
        <w:rPr>
          <w:rFonts w:hint="eastAsia" w:ascii="宋体" w:hAnsi="宋体" w:eastAsia="宋体" w:cs="宋体"/>
          <w:b w:val="0"/>
          <w:bCs w:val="0"/>
          <w:highlight w:val="none"/>
          <w:u w:val="single"/>
          <w:lang w:val="en-US" w:eastAsia="zh-CN"/>
        </w:rPr>
        <w:t xml:space="preserve">    </w:t>
      </w:r>
      <w:r>
        <w:rPr>
          <w:rFonts w:hint="eastAsia" w:ascii="宋体" w:hAnsi="宋体" w:eastAsia="宋体" w:cs="宋体"/>
          <w:b w:val="0"/>
          <w:bCs w:val="0"/>
          <w:highlight w:val="none"/>
          <w:u w:val="single"/>
        </w:rPr>
        <w:t>（标的名称）</w:t>
      </w:r>
      <w:r>
        <w:rPr>
          <w:rFonts w:hint="eastAsia" w:ascii="宋体" w:hAnsi="宋体" w:eastAsia="宋体" w:cs="宋体"/>
          <w:b w:val="0"/>
          <w:bCs w:val="0"/>
          <w:highlight w:val="none"/>
        </w:rPr>
        <w:t>，属于</w:t>
      </w:r>
      <w:r>
        <w:rPr>
          <w:rFonts w:hint="eastAsia" w:ascii="宋体" w:hAnsi="宋体" w:eastAsia="宋体" w:cs="宋体"/>
          <w:b w:val="0"/>
          <w:bCs w:val="0"/>
          <w:highlight w:val="none"/>
          <w:u w:val="single"/>
          <w:lang w:val="en-US" w:eastAsia="zh-CN"/>
        </w:rPr>
        <w:t xml:space="preserve">     </w:t>
      </w:r>
      <w:r>
        <w:rPr>
          <w:rFonts w:hint="eastAsia" w:ascii="宋体" w:hAnsi="宋体" w:eastAsia="宋体" w:cs="宋体"/>
          <w:b w:val="0"/>
          <w:bCs w:val="0"/>
          <w:highlight w:val="none"/>
          <w:u w:val="single"/>
        </w:rPr>
        <w:t>（采购文件中明确的所属行业）</w:t>
      </w:r>
      <w:r>
        <w:rPr>
          <w:rFonts w:hint="eastAsia" w:ascii="宋体" w:hAnsi="宋体" w:eastAsia="宋体" w:cs="宋体"/>
          <w:b w:val="0"/>
          <w:bCs w:val="0"/>
          <w:highlight w:val="none"/>
        </w:rPr>
        <w:t>；承建（承接）企业为</w:t>
      </w:r>
      <w:r>
        <w:rPr>
          <w:rFonts w:hint="eastAsia" w:ascii="宋体" w:hAnsi="宋体" w:eastAsia="宋体" w:cs="宋体"/>
          <w:b w:val="0"/>
          <w:bCs w:val="0"/>
          <w:highlight w:val="none"/>
          <w:u w:val="single"/>
          <w:lang w:val="en-US" w:eastAsia="zh-CN"/>
        </w:rPr>
        <w:t xml:space="preserve">   </w:t>
      </w:r>
      <w:r>
        <w:rPr>
          <w:rFonts w:hint="eastAsia" w:ascii="宋体" w:hAnsi="宋体" w:eastAsia="宋体" w:cs="宋体"/>
          <w:b w:val="0"/>
          <w:bCs w:val="0"/>
          <w:highlight w:val="none"/>
          <w:u w:val="single"/>
        </w:rPr>
        <w:t>（企业名称）</w:t>
      </w:r>
      <w:r>
        <w:rPr>
          <w:rFonts w:hint="eastAsia" w:ascii="宋体" w:hAnsi="宋体" w:eastAsia="宋体" w:cs="宋体"/>
          <w:b w:val="0"/>
          <w:bCs w:val="0"/>
          <w:highlight w:val="none"/>
        </w:rPr>
        <w:t>，从业人员</w:t>
      </w:r>
      <w:r>
        <w:rPr>
          <w:rFonts w:hint="eastAsia" w:ascii="宋体" w:hAnsi="宋体" w:eastAsia="宋体" w:cs="宋体"/>
          <w:b w:val="0"/>
          <w:bCs w:val="0"/>
          <w:highlight w:val="none"/>
          <w:u w:val="single"/>
        </w:rPr>
        <w:t xml:space="preserve">   </w:t>
      </w:r>
      <w:r>
        <w:rPr>
          <w:rFonts w:hint="eastAsia" w:ascii="宋体" w:hAnsi="宋体" w:eastAsia="宋体" w:cs="宋体"/>
          <w:b w:val="0"/>
          <w:bCs w:val="0"/>
          <w:highlight w:val="none"/>
        </w:rPr>
        <w:t>人，营业收入为</w:t>
      </w:r>
      <w:r>
        <w:rPr>
          <w:rFonts w:hint="eastAsia" w:ascii="宋体" w:hAnsi="宋体" w:eastAsia="宋体" w:cs="宋体"/>
          <w:b w:val="0"/>
          <w:bCs w:val="0"/>
          <w:highlight w:val="none"/>
          <w:u w:val="single"/>
        </w:rPr>
        <w:t xml:space="preserve">   </w:t>
      </w:r>
      <w:r>
        <w:rPr>
          <w:rFonts w:hint="eastAsia" w:ascii="宋体" w:hAnsi="宋体" w:eastAsia="宋体" w:cs="宋体"/>
          <w:b w:val="0"/>
          <w:bCs w:val="0"/>
          <w:highlight w:val="none"/>
        </w:rPr>
        <w:t>万元，资产总额为</w:t>
      </w:r>
      <w:r>
        <w:rPr>
          <w:rFonts w:hint="eastAsia" w:ascii="宋体" w:hAnsi="宋体" w:eastAsia="宋体" w:cs="宋体"/>
          <w:b w:val="0"/>
          <w:bCs w:val="0"/>
          <w:highlight w:val="none"/>
          <w:u w:val="single"/>
        </w:rPr>
        <w:t xml:space="preserve">   </w:t>
      </w:r>
      <w:r>
        <w:rPr>
          <w:rFonts w:hint="eastAsia" w:ascii="宋体" w:hAnsi="宋体" w:eastAsia="宋体" w:cs="宋体"/>
          <w:b w:val="0"/>
          <w:bCs w:val="0"/>
          <w:highlight w:val="none"/>
        </w:rPr>
        <w:t>万元</w:t>
      </w:r>
      <w:r>
        <w:rPr>
          <w:rFonts w:hint="eastAsia" w:ascii="宋体" w:hAnsi="宋体" w:eastAsia="宋体" w:cs="宋体"/>
          <w:b w:val="0"/>
          <w:bCs w:val="0"/>
          <w:highlight w:val="none"/>
          <w:vertAlign w:val="superscript"/>
        </w:rPr>
        <w:t>1</w:t>
      </w:r>
      <w:r>
        <w:rPr>
          <w:rFonts w:hint="eastAsia" w:ascii="宋体" w:hAnsi="宋体" w:eastAsia="宋体" w:cs="宋体"/>
          <w:b w:val="0"/>
          <w:bCs w:val="0"/>
          <w:highlight w:val="none"/>
        </w:rPr>
        <w:t>，属于</w:t>
      </w:r>
      <w:r>
        <w:rPr>
          <w:rFonts w:hint="eastAsia" w:ascii="宋体" w:hAnsi="宋体" w:eastAsia="宋体" w:cs="宋体"/>
          <w:b w:val="0"/>
          <w:bCs w:val="0"/>
          <w:highlight w:val="none"/>
          <w:u w:val="single"/>
        </w:rPr>
        <w:t>（中型企业、小型企业、微型企业）</w:t>
      </w:r>
      <w:r>
        <w:rPr>
          <w:rFonts w:hint="eastAsia" w:ascii="宋体" w:hAnsi="宋体" w:eastAsia="宋体" w:cs="宋体"/>
          <w:b w:val="0"/>
          <w:bCs w:val="0"/>
          <w:highlight w:val="none"/>
        </w:rPr>
        <w:t>；</w:t>
      </w:r>
    </w:p>
    <w:p w14:paraId="7301EA44">
      <w:pPr>
        <w:spacing w:line="360" w:lineRule="auto"/>
        <w:ind w:firstLine="420" w:firstLineChars="200"/>
        <w:rPr>
          <w:rFonts w:hint="eastAsia" w:ascii="宋体" w:hAnsi="宋体" w:eastAsia="宋体" w:cs="宋体"/>
          <w:b w:val="0"/>
          <w:bCs w:val="0"/>
          <w:highlight w:val="none"/>
        </w:rPr>
      </w:pPr>
      <w:r>
        <w:rPr>
          <w:rFonts w:hint="eastAsia" w:ascii="宋体" w:hAnsi="宋体" w:eastAsia="宋体" w:cs="宋体"/>
          <w:b w:val="0"/>
          <w:bCs w:val="0"/>
          <w:highlight w:val="none"/>
        </w:rPr>
        <w:t>2.</w:t>
      </w:r>
      <w:r>
        <w:rPr>
          <w:rFonts w:hint="eastAsia" w:ascii="宋体" w:hAnsi="宋体" w:eastAsia="宋体" w:cs="宋体"/>
          <w:b w:val="0"/>
          <w:bCs w:val="0"/>
          <w:highlight w:val="none"/>
          <w:u w:val="single"/>
          <w:lang w:val="en-US" w:eastAsia="zh-CN"/>
        </w:rPr>
        <w:t xml:space="preserve">    </w:t>
      </w:r>
      <w:r>
        <w:rPr>
          <w:rFonts w:hint="eastAsia" w:ascii="宋体" w:hAnsi="宋体" w:eastAsia="宋体" w:cs="宋体"/>
          <w:b w:val="0"/>
          <w:bCs w:val="0"/>
          <w:highlight w:val="none"/>
          <w:u w:val="single"/>
        </w:rPr>
        <w:t>（标的名称）</w:t>
      </w:r>
      <w:r>
        <w:rPr>
          <w:rFonts w:hint="eastAsia" w:ascii="宋体" w:hAnsi="宋体" w:eastAsia="宋体" w:cs="宋体"/>
          <w:b w:val="0"/>
          <w:bCs w:val="0"/>
          <w:highlight w:val="none"/>
        </w:rPr>
        <w:t>，属于</w:t>
      </w:r>
      <w:r>
        <w:rPr>
          <w:rFonts w:hint="eastAsia" w:ascii="宋体" w:hAnsi="宋体" w:eastAsia="宋体" w:cs="宋体"/>
          <w:b w:val="0"/>
          <w:bCs w:val="0"/>
          <w:highlight w:val="none"/>
          <w:u w:val="single"/>
          <w:lang w:val="en-US" w:eastAsia="zh-CN"/>
        </w:rPr>
        <w:t xml:space="preserve">     </w:t>
      </w:r>
      <w:r>
        <w:rPr>
          <w:rFonts w:hint="eastAsia" w:ascii="宋体" w:hAnsi="宋体" w:eastAsia="宋体" w:cs="宋体"/>
          <w:b w:val="0"/>
          <w:bCs w:val="0"/>
          <w:highlight w:val="none"/>
          <w:u w:val="single"/>
        </w:rPr>
        <w:t>（采购文件中明确的所属行业）</w:t>
      </w:r>
      <w:r>
        <w:rPr>
          <w:rFonts w:hint="eastAsia" w:ascii="宋体" w:hAnsi="宋体" w:eastAsia="宋体" w:cs="宋体"/>
          <w:b w:val="0"/>
          <w:bCs w:val="0"/>
          <w:highlight w:val="none"/>
        </w:rPr>
        <w:t>；承建（承接）企业为</w:t>
      </w:r>
      <w:r>
        <w:rPr>
          <w:rFonts w:hint="eastAsia" w:ascii="宋体" w:hAnsi="宋体" w:eastAsia="宋体" w:cs="宋体"/>
          <w:b w:val="0"/>
          <w:bCs w:val="0"/>
          <w:highlight w:val="none"/>
          <w:u w:val="single"/>
          <w:lang w:val="en-US" w:eastAsia="zh-CN"/>
        </w:rPr>
        <w:t xml:space="preserve">   </w:t>
      </w:r>
      <w:r>
        <w:rPr>
          <w:rFonts w:hint="eastAsia" w:ascii="宋体" w:hAnsi="宋体" w:eastAsia="宋体" w:cs="宋体"/>
          <w:b w:val="0"/>
          <w:bCs w:val="0"/>
          <w:highlight w:val="none"/>
          <w:u w:val="single"/>
        </w:rPr>
        <w:t>（企业名称）</w:t>
      </w:r>
      <w:r>
        <w:rPr>
          <w:rFonts w:hint="eastAsia" w:ascii="宋体" w:hAnsi="宋体" w:eastAsia="宋体" w:cs="宋体"/>
          <w:b w:val="0"/>
          <w:bCs w:val="0"/>
          <w:highlight w:val="none"/>
        </w:rPr>
        <w:t>，从业人员</w:t>
      </w:r>
      <w:r>
        <w:rPr>
          <w:rFonts w:hint="eastAsia" w:ascii="宋体" w:hAnsi="宋体" w:eastAsia="宋体" w:cs="宋体"/>
          <w:b w:val="0"/>
          <w:bCs w:val="0"/>
          <w:highlight w:val="none"/>
          <w:u w:val="single"/>
        </w:rPr>
        <w:t xml:space="preserve">   </w:t>
      </w:r>
      <w:r>
        <w:rPr>
          <w:rFonts w:hint="eastAsia" w:ascii="宋体" w:hAnsi="宋体" w:eastAsia="宋体" w:cs="宋体"/>
          <w:b w:val="0"/>
          <w:bCs w:val="0"/>
          <w:highlight w:val="none"/>
        </w:rPr>
        <w:t>人，营业收入为</w:t>
      </w:r>
      <w:r>
        <w:rPr>
          <w:rFonts w:hint="eastAsia" w:ascii="宋体" w:hAnsi="宋体" w:eastAsia="宋体" w:cs="宋体"/>
          <w:b w:val="0"/>
          <w:bCs w:val="0"/>
          <w:highlight w:val="none"/>
          <w:u w:val="single"/>
        </w:rPr>
        <w:t xml:space="preserve">   </w:t>
      </w:r>
      <w:r>
        <w:rPr>
          <w:rFonts w:hint="eastAsia" w:ascii="宋体" w:hAnsi="宋体" w:eastAsia="宋体" w:cs="宋体"/>
          <w:b w:val="0"/>
          <w:bCs w:val="0"/>
          <w:highlight w:val="none"/>
        </w:rPr>
        <w:t>万元，资产总额为</w:t>
      </w:r>
      <w:r>
        <w:rPr>
          <w:rFonts w:hint="eastAsia" w:ascii="宋体" w:hAnsi="宋体" w:eastAsia="宋体" w:cs="宋体"/>
          <w:b w:val="0"/>
          <w:bCs w:val="0"/>
          <w:highlight w:val="none"/>
          <w:u w:val="single"/>
        </w:rPr>
        <w:t xml:space="preserve">   </w:t>
      </w:r>
      <w:r>
        <w:rPr>
          <w:rFonts w:hint="eastAsia" w:ascii="宋体" w:hAnsi="宋体" w:eastAsia="宋体" w:cs="宋体"/>
          <w:b w:val="0"/>
          <w:bCs w:val="0"/>
          <w:highlight w:val="none"/>
        </w:rPr>
        <w:t>万元，属于</w:t>
      </w:r>
      <w:r>
        <w:rPr>
          <w:rFonts w:hint="eastAsia" w:ascii="宋体" w:hAnsi="宋体" w:eastAsia="宋体" w:cs="宋体"/>
          <w:b w:val="0"/>
          <w:bCs w:val="0"/>
          <w:highlight w:val="none"/>
          <w:u w:val="single"/>
        </w:rPr>
        <w:t>（中型企业、小型企业、微型企业）</w:t>
      </w:r>
      <w:r>
        <w:rPr>
          <w:rFonts w:hint="eastAsia" w:ascii="宋体" w:hAnsi="宋体" w:eastAsia="宋体" w:cs="宋体"/>
          <w:b w:val="0"/>
          <w:bCs w:val="0"/>
          <w:highlight w:val="none"/>
        </w:rPr>
        <w:t>；</w:t>
      </w:r>
    </w:p>
    <w:p w14:paraId="7AA96A30">
      <w:pPr>
        <w:spacing w:line="360" w:lineRule="auto"/>
        <w:ind w:firstLine="420" w:firstLineChars="200"/>
        <w:rPr>
          <w:rFonts w:hint="eastAsia" w:ascii="宋体" w:hAnsi="宋体" w:eastAsia="宋体" w:cs="宋体"/>
          <w:b w:val="0"/>
          <w:bCs w:val="0"/>
          <w:highlight w:val="none"/>
        </w:rPr>
      </w:pPr>
      <w:r>
        <w:rPr>
          <w:rFonts w:hint="eastAsia" w:ascii="宋体" w:hAnsi="宋体" w:eastAsia="宋体" w:cs="宋体"/>
          <w:b w:val="0"/>
          <w:bCs w:val="0"/>
          <w:highlight w:val="none"/>
        </w:rPr>
        <w:t>……</w:t>
      </w:r>
    </w:p>
    <w:p w14:paraId="246099D3">
      <w:pPr>
        <w:spacing w:line="360" w:lineRule="auto"/>
        <w:ind w:firstLine="420" w:firstLineChars="200"/>
        <w:rPr>
          <w:rFonts w:hint="eastAsia" w:ascii="宋体" w:hAnsi="宋体" w:eastAsia="宋体" w:cs="宋体"/>
          <w:b w:val="0"/>
          <w:bCs w:val="0"/>
          <w:highlight w:val="none"/>
        </w:rPr>
      </w:pPr>
      <w:r>
        <w:rPr>
          <w:rFonts w:hint="eastAsia" w:ascii="宋体" w:hAnsi="宋体" w:eastAsia="宋体" w:cs="宋体"/>
          <w:b w:val="0"/>
          <w:bCs w:val="0"/>
          <w:highlight w:val="none"/>
        </w:rPr>
        <w:t>以上企业，不属于大企业的分支机构，不存在控股股东为大企业的情形，也不存在与大企业的负责人为同一人的情形。</w:t>
      </w:r>
    </w:p>
    <w:p w14:paraId="7103031B">
      <w:pPr>
        <w:spacing w:line="360" w:lineRule="auto"/>
        <w:ind w:firstLine="420" w:firstLineChars="200"/>
        <w:rPr>
          <w:rFonts w:hint="eastAsia" w:ascii="宋体" w:hAnsi="宋体" w:eastAsia="宋体" w:cs="宋体"/>
          <w:b w:val="0"/>
          <w:bCs w:val="0"/>
          <w:highlight w:val="none"/>
        </w:rPr>
      </w:pPr>
      <w:r>
        <w:rPr>
          <w:rFonts w:hint="eastAsia" w:ascii="宋体" w:hAnsi="宋体" w:eastAsia="宋体" w:cs="宋体"/>
          <w:b w:val="0"/>
          <w:bCs w:val="0"/>
          <w:highlight w:val="none"/>
        </w:rPr>
        <w:t>本企业对上述声明内容的真实性负责。如有虚假，将依法承担相应责任。</w:t>
      </w:r>
    </w:p>
    <w:p w14:paraId="1B808566">
      <w:pPr>
        <w:spacing w:line="360" w:lineRule="auto"/>
        <w:ind w:firstLine="420" w:firstLineChars="200"/>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                                          </w:t>
      </w:r>
    </w:p>
    <w:p w14:paraId="7BA5A6BF">
      <w:pPr>
        <w:spacing w:line="360" w:lineRule="auto"/>
        <w:ind w:firstLine="420" w:firstLineChars="200"/>
        <w:jc w:val="left"/>
        <w:rPr>
          <w:rFonts w:hint="eastAsia" w:ascii="宋体" w:hAnsi="宋体" w:eastAsia="宋体" w:cs="宋体"/>
          <w:b w:val="0"/>
          <w:bCs w:val="0"/>
          <w:highlight w:val="none"/>
          <w:u w:val="single"/>
        </w:rPr>
      </w:pPr>
      <w:r>
        <w:rPr>
          <w:rFonts w:hint="eastAsia" w:ascii="宋体" w:hAnsi="宋体" w:eastAsia="宋体" w:cs="宋体"/>
          <w:b w:val="0"/>
          <w:bCs w:val="0"/>
          <w:highlight w:val="none"/>
        </w:rPr>
        <w:t xml:space="preserve">                                          企业名称（盖章）：</w:t>
      </w:r>
      <w:r>
        <w:rPr>
          <w:rFonts w:hint="eastAsia" w:ascii="宋体" w:hAnsi="宋体" w:eastAsia="宋体" w:cs="宋体"/>
          <w:b w:val="0"/>
          <w:bCs w:val="0"/>
          <w:highlight w:val="none"/>
          <w:u w:val="single"/>
        </w:rPr>
        <w:t xml:space="preserve">   </w:t>
      </w:r>
      <w:r>
        <w:rPr>
          <w:rFonts w:hint="eastAsia" w:ascii="宋体" w:hAnsi="宋体" w:eastAsia="宋体" w:cs="宋体"/>
          <w:b w:val="0"/>
          <w:bCs w:val="0"/>
          <w:highlight w:val="none"/>
          <w:u w:val="single"/>
          <w:lang w:val="en-US" w:eastAsia="zh-CN"/>
        </w:rPr>
        <w:t xml:space="preserve">     </w:t>
      </w:r>
      <w:r>
        <w:rPr>
          <w:rFonts w:hint="eastAsia" w:ascii="宋体" w:hAnsi="宋体" w:eastAsia="宋体" w:cs="宋体"/>
          <w:b w:val="0"/>
          <w:bCs w:val="0"/>
          <w:highlight w:val="none"/>
          <w:u w:val="single"/>
        </w:rPr>
        <w:t xml:space="preserve">   </w:t>
      </w:r>
    </w:p>
    <w:p w14:paraId="645D8920">
      <w:pPr>
        <w:spacing w:line="360" w:lineRule="auto"/>
        <w:ind w:firstLine="420" w:firstLineChars="200"/>
        <w:jc w:val="left"/>
        <w:rPr>
          <w:rFonts w:hint="eastAsia" w:ascii="宋体" w:hAnsi="宋体" w:eastAsia="宋体" w:cs="宋体"/>
          <w:b w:val="0"/>
          <w:bCs w:val="0"/>
          <w:highlight w:val="none"/>
        </w:rPr>
      </w:pPr>
      <w:r>
        <w:rPr>
          <w:rFonts w:hint="eastAsia" w:ascii="宋体" w:hAnsi="宋体" w:eastAsia="宋体" w:cs="宋体"/>
          <w:b w:val="0"/>
          <w:bCs w:val="0"/>
          <w:highlight w:val="none"/>
        </w:rPr>
        <w:t xml:space="preserve">                                          日期：</w:t>
      </w:r>
    </w:p>
    <w:p w14:paraId="45B84EF6">
      <w:pPr>
        <w:bidi w:val="0"/>
        <w:rPr>
          <w:rFonts w:hint="eastAsia" w:ascii="宋体" w:hAnsi="宋体" w:eastAsia="宋体" w:cs="宋体"/>
          <w:highlight w:val="none"/>
        </w:rPr>
      </w:pPr>
    </w:p>
    <w:p w14:paraId="0BD3FC29">
      <w:pPr>
        <w:rPr>
          <w:rFonts w:hint="eastAsia" w:ascii="宋体" w:hAnsi="宋体" w:eastAsia="宋体" w:cs="宋体"/>
          <w:b/>
          <w:bCs/>
          <w:szCs w:val="21"/>
          <w:highlight w:val="none"/>
        </w:rPr>
      </w:pPr>
    </w:p>
    <w:p w14:paraId="2FD9E9C6">
      <w:pPr>
        <w:bidi w:val="0"/>
        <w:rPr>
          <w:rFonts w:hint="eastAsia" w:ascii="宋体" w:hAnsi="宋体" w:eastAsia="宋体" w:cs="宋体"/>
          <w:highlight w:val="none"/>
        </w:rPr>
      </w:pPr>
    </w:p>
    <w:p w14:paraId="17D115B7">
      <w:pPr>
        <w:rPr>
          <w:rFonts w:hint="eastAsia" w:ascii="宋体" w:hAnsi="宋体" w:eastAsia="宋体" w:cs="宋体"/>
          <w:b/>
          <w:bCs/>
          <w:szCs w:val="21"/>
          <w:highlight w:val="none"/>
        </w:rPr>
      </w:pPr>
    </w:p>
    <w:p w14:paraId="30376FB3">
      <w:pPr>
        <w:rPr>
          <w:rFonts w:hint="eastAsia" w:ascii="宋体" w:hAnsi="宋体" w:eastAsia="宋体" w:cs="宋体"/>
          <w:b/>
          <w:bCs/>
          <w:szCs w:val="21"/>
          <w:highlight w:val="none"/>
          <w:vertAlign w:val="superscript"/>
        </w:rPr>
      </w:pPr>
    </w:p>
    <w:p w14:paraId="79BF7F6E">
      <w:pPr>
        <w:rPr>
          <w:rFonts w:hint="eastAsia" w:ascii="宋体" w:hAnsi="宋体" w:eastAsia="宋体" w:cs="宋体"/>
          <w:b/>
          <w:bCs/>
          <w:szCs w:val="21"/>
          <w:highlight w:val="none"/>
          <w:vertAlign w:val="superscript"/>
        </w:rPr>
      </w:pPr>
    </w:p>
    <w:p w14:paraId="4B020DF9">
      <w:pPr>
        <w:rPr>
          <w:rFonts w:hint="eastAsia" w:ascii="宋体" w:hAnsi="宋体" w:eastAsia="宋体" w:cs="宋体"/>
          <w:b/>
          <w:bCs/>
          <w:szCs w:val="21"/>
          <w:highlight w:val="none"/>
          <w:vertAlign w:val="superscript"/>
        </w:rPr>
      </w:pPr>
    </w:p>
    <w:p w14:paraId="6FAE6F46">
      <w:pPr>
        <w:rPr>
          <w:rFonts w:hint="eastAsia" w:ascii="宋体" w:hAnsi="宋体" w:eastAsia="宋体" w:cs="宋体"/>
          <w:b/>
          <w:bCs/>
          <w:szCs w:val="21"/>
          <w:highlight w:val="none"/>
          <w:vertAlign w:val="superscript"/>
        </w:rPr>
      </w:pPr>
    </w:p>
    <w:p w14:paraId="5BD692C3">
      <w:pPr>
        <w:rPr>
          <w:rFonts w:hint="eastAsia" w:ascii="宋体" w:hAnsi="宋体" w:eastAsia="宋体" w:cs="宋体"/>
          <w:b/>
          <w:bCs/>
          <w:szCs w:val="21"/>
          <w:highlight w:val="none"/>
          <w:vertAlign w:val="superscript"/>
        </w:rPr>
      </w:pPr>
    </w:p>
    <w:p w14:paraId="1457EA34">
      <w:pPr>
        <w:rPr>
          <w:rFonts w:hint="eastAsia" w:ascii="宋体" w:hAnsi="宋体" w:eastAsia="宋体" w:cs="宋体"/>
          <w:b/>
          <w:bCs/>
          <w:szCs w:val="21"/>
          <w:highlight w:val="none"/>
          <w:vertAlign w:val="superscript"/>
        </w:rPr>
      </w:pPr>
    </w:p>
    <w:p w14:paraId="7072DE14">
      <w:pPr>
        <w:rPr>
          <w:rFonts w:hint="eastAsia" w:ascii="宋体" w:hAnsi="宋体" w:eastAsia="宋体" w:cs="宋体"/>
          <w:b/>
          <w:bCs/>
          <w:highlight w:val="none"/>
        </w:rPr>
      </w:pPr>
      <w:r>
        <w:rPr>
          <w:rFonts w:hint="eastAsia" w:ascii="宋体" w:hAnsi="宋体" w:eastAsia="宋体" w:cs="宋体"/>
          <w:b/>
          <w:bCs/>
          <w:szCs w:val="21"/>
          <w:highlight w:val="none"/>
          <w:vertAlign w:val="superscript"/>
        </w:rPr>
        <w:t>1</w:t>
      </w:r>
      <w:r>
        <w:rPr>
          <w:rFonts w:hint="eastAsia" w:ascii="宋体" w:hAnsi="宋体" w:eastAsia="宋体" w:cs="宋体"/>
          <w:b/>
          <w:bCs/>
          <w:szCs w:val="21"/>
          <w:highlight w:val="none"/>
        </w:rPr>
        <w:t>从业人员、营业收入、资产总额填报上一年度数据，无上一年度数据的新成立企业可不填报。</w:t>
      </w:r>
    </w:p>
    <w:p w14:paraId="143E66F3">
      <w:pPr>
        <w:adjustRightInd w:val="0"/>
        <w:snapToGrid w:val="0"/>
        <w:spacing w:line="360" w:lineRule="auto"/>
        <w:rPr>
          <w:rFonts w:hint="eastAsia" w:ascii="宋体" w:hAnsi="宋体" w:eastAsia="宋体" w:cs="宋体"/>
          <w:b/>
          <w:bCs/>
          <w:szCs w:val="21"/>
          <w:highlight w:val="none"/>
        </w:rPr>
      </w:pPr>
      <w:r>
        <w:rPr>
          <w:rFonts w:hint="eastAsia" w:ascii="宋体" w:hAnsi="宋体" w:eastAsia="宋体" w:cs="宋体"/>
          <w:b/>
          <w:bCs/>
          <w:sz w:val="24"/>
          <w:highlight w:val="none"/>
        </w:rPr>
        <w:t>附件七：无在建项目承诺书</w:t>
      </w:r>
    </w:p>
    <w:p w14:paraId="52B91F61">
      <w:pPr>
        <w:bidi w:val="0"/>
        <w:rPr>
          <w:rFonts w:hint="eastAsia" w:ascii="宋体" w:hAnsi="宋体" w:eastAsia="宋体" w:cs="宋体"/>
          <w:highlight w:val="none"/>
        </w:rPr>
      </w:pPr>
    </w:p>
    <w:p w14:paraId="3866BA49">
      <w:pPr>
        <w:adjustRightInd w:val="0"/>
        <w:snapToGrid w:val="0"/>
        <w:spacing w:after="120" w:afterLines="50" w:line="343"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r>
        <w:rPr>
          <w:rFonts w:hint="eastAsia" w:ascii="宋体" w:hAnsi="宋体" w:eastAsia="宋体" w:cs="宋体"/>
          <w:b/>
          <w:bCs/>
          <w:sz w:val="30"/>
          <w:szCs w:val="30"/>
          <w:highlight w:val="none"/>
        </w:rPr>
        <w:t>无在建项目承诺书</w:t>
      </w:r>
    </w:p>
    <w:p w14:paraId="756E61FE">
      <w:pPr>
        <w:spacing w:line="360" w:lineRule="auto"/>
        <w:rPr>
          <w:rFonts w:hint="eastAsia" w:ascii="宋体" w:hAnsi="宋体" w:eastAsia="宋体" w:cs="宋体"/>
          <w:b/>
          <w:bCs/>
          <w:highlight w:val="none"/>
          <w:u w:val="single"/>
        </w:rPr>
      </w:pPr>
      <w:r>
        <w:rPr>
          <w:rFonts w:hint="eastAsia" w:ascii="宋体" w:hAnsi="宋体" w:eastAsia="宋体" w:cs="宋体"/>
          <w:b/>
          <w:bCs/>
          <w:highlight w:val="none"/>
        </w:rPr>
        <w:t>致：</w:t>
      </w:r>
      <w:r>
        <w:rPr>
          <w:rFonts w:hint="eastAsia" w:ascii="宋体" w:hAnsi="宋体" w:eastAsia="宋体" w:cs="宋体"/>
          <w:b/>
          <w:bCs/>
          <w:highlight w:val="none"/>
          <w:u w:val="single"/>
        </w:rPr>
        <w:t>（招标人名称）</w:t>
      </w:r>
    </w:p>
    <w:p w14:paraId="4D8C89F3">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我</w:t>
      </w:r>
      <w:r>
        <w:rPr>
          <w:rFonts w:hint="eastAsia" w:ascii="宋体" w:hAnsi="宋体" w:eastAsia="宋体" w:cs="宋体"/>
          <w:b/>
          <w:bCs/>
          <w:highlight w:val="none"/>
          <w:u w:val="single"/>
        </w:rPr>
        <w:t>（姓名）</w:t>
      </w:r>
      <w:r>
        <w:rPr>
          <w:rFonts w:hint="eastAsia" w:ascii="宋体" w:hAnsi="宋体" w:eastAsia="宋体" w:cs="宋体"/>
          <w:b/>
          <w:bCs/>
          <w:highlight w:val="none"/>
        </w:rPr>
        <w:t>系</w:t>
      </w:r>
      <w:r>
        <w:rPr>
          <w:rFonts w:hint="eastAsia" w:ascii="宋体" w:hAnsi="宋体" w:eastAsia="宋体" w:cs="宋体"/>
          <w:b/>
          <w:bCs/>
          <w:highlight w:val="none"/>
          <w:u w:val="single"/>
        </w:rPr>
        <w:t>（投标人名称）</w:t>
      </w:r>
      <w:r>
        <w:rPr>
          <w:rFonts w:hint="eastAsia" w:ascii="宋体" w:hAnsi="宋体" w:eastAsia="宋体" w:cs="宋体"/>
          <w:b/>
          <w:bCs/>
          <w:highlight w:val="none"/>
        </w:rPr>
        <w:t>的法定代表人，在此郑重承诺：拟派往</w:t>
      </w:r>
      <w:r>
        <w:rPr>
          <w:rFonts w:hint="eastAsia" w:ascii="宋体" w:hAnsi="宋体" w:eastAsia="宋体" w:cs="宋体"/>
          <w:b/>
          <w:bCs/>
          <w:highlight w:val="none"/>
          <w:u w:val="single"/>
        </w:rPr>
        <w:t>（项目名称）</w:t>
      </w:r>
      <w:r>
        <w:rPr>
          <w:rFonts w:hint="eastAsia" w:ascii="宋体" w:hAnsi="宋体" w:eastAsia="宋体" w:cs="宋体"/>
          <w:b/>
          <w:bCs/>
          <w:highlight w:val="none"/>
        </w:rPr>
        <w:t>担任</w:t>
      </w:r>
      <w:r>
        <w:rPr>
          <w:rFonts w:hint="eastAsia" w:ascii="宋体" w:hAnsi="宋体" w:eastAsia="宋体" w:cs="宋体"/>
          <w:b/>
          <w:bCs/>
          <w:highlight w:val="none"/>
          <w:u w:val="single"/>
        </w:rPr>
        <w:t>（拟在本项目任职职位）</w:t>
      </w:r>
      <w:r>
        <w:rPr>
          <w:rFonts w:hint="eastAsia" w:ascii="宋体" w:hAnsi="宋体" w:eastAsia="宋体" w:cs="宋体"/>
          <w:b/>
          <w:bCs/>
          <w:highlight w:val="none"/>
        </w:rPr>
        <w:t>的</w:t>
      </w:r>
      <w:r>
        <w:rPr>
          <w:rFonts w:hint="eastAsia" w:ascii="宋体" w:hAnsi="宋体" w:eastAsia="宋体" w:cs="宋体"/>
          <w:b/>
          <w:bCs/>
          <w:highlight w:val="none"/>
          <w:u w:val="single"/>
        </w:rPr>
        <w:t>（姓名，证书编号：    ）、（拟在本项目任职职位）</w:t>
      </w:r>
      <w:r>
        <w:rPr>
          <w:rFonts w:hint="eastAsia" w:ascii="宋体" w:hAnsi="宋体" w:eastAsia="宋体" w:cs="宋体"/>
          <w:b/>
          <w:bCs/>
          <w:highlight w:val="none"/>
        </w:rPr>
        <w:t>的</w:t>
      </w:r>
      <w:r>
        <w:rPr>
          <w:rFonts w:hint="eastAsia" w:ascii="宋体" w:hAnsi="宋体" w:eastAsia="宋体" w:cs="宋体"/>
          <w:b/>
          <w:bCs/>
          <w:highlight w:val="none"/>
          <w:u w:val="single"/>
        </w:rPr>
        <w:t>（姓名，证书编号：    ）（拟在本项目任职职位）</w:t>
      </w:r>
      <w:r>
        <w:rPr>
          <w:rFonts w:hint="eastAsia" w:ascii="宋体" w:hAnsi="宋体" w:eastAsia="宋体" w:cs="宋体"/>
          <w:b/>
          <w:bCs/>
          <w:highlight w:val="none"/>
        </w:rPr>
        <w:t>的</w:t>
      </w:r>
      <w:r>
        <w:rPr>
          <w:rFonts w:hint="eastAsia" w:ascii="宋体" w:hAnsi="宋体" w:eastAsia="宋体" w:cs="宋体"/>
          <w:b/>
          <w:bCs/>
          <w:highlight w:val="none"/>
          <w:u w:val="single"/>
        </w:rPr>
        <w:t>（姓名，证书编号：    ）</w:t>
      </w:r>
      <w:r>
        <w:rPr>
          <w:rFonts w:hint="eastAsia" w:ascii="宋体" w:hAnsi="宋体" w:eastAsia="宋体" w:cs="宋体"/>
          <w:b/>
          <w:bCs/>
          <w:highlight w:val="none"/>
        </w:rPr>
        <w:t>目前未在任何在建项目上担任任何职务，同时接受若以上人员经查询有合同期内的在建、在岗项目，直接取消中标资格，且不接受任何场外附件说明。</w:t>
      </w:r>
    </w:p>
    <w:p w14:paraId="5B6DAA1B">
      <w:pPr>
        <w:spacing w:line="360" w:lineRule="auto"/>
        <w:rPr>
          <w:rFonts w:hint="eastAsia" w:ascii="宋体" w:hAnsi="宋体" w:eastAsia="宋体" w:cs="宋体"/>
          <w:b/>
          <w:bCs/>
          <w:highlight w:val="none"/>
        </w:rPr>
      </w:pPr>
    </w:p>
    <w:p w14:paraId="2FC4434E">
      <w:pPr>
        <w:spacing w:line="360" w:lineRule="auto"/>
        <w:rPr>
          <w:rFonts w:hint="eastAsia" w:ascii="宋体" w:hAnsi="宋体" w:eastAsia="宋体" w:cs="宋体"/>
          <w:b/>
          <w:bCs/>
          <w:highlight w:val="none"/>
        </w:rPr>
      </w:pPr>
    </w:p>
    <w:p w14:paraId="21E53A2E">
      <w:pPr>
        <w:spacing w:line="360" w:lineRule="auto"/>
        <w:rPr>
          <w:rFonts w:hint="eastAsia" w:ascii="宋体" w:hAnsi="宋体" w:eastAsia="宋体" w:cs="宋体"/>
          <w:b/>
          <w:bCs/>
          <w:highlight w:val="none"/>
        </w:rPr>
      </w:pPr>
      <w:r>
        <w:rPr>
          <w:rFonts w:hint="eastAsia" w:ascii="宋体" w:hAnsi="宋体" w:eastAsia="宋体" w:cs="宋体"/>
          <w:b/>
          <w:bCs/>
          <w:highlight w:val="none"/>
        </w:rPr>
        <w:t xml:space="preserve">                                               承诺人：</w:t>
      </w:r>
      <w:r>
        <w:rPr>
          <w:rFonts w:hint="eastAsia" w:ascii="宋体" w:hAnsi="宋体" w:eastAsia="宋体" w:cs="宋体"/>
          <w:b/>
          <w:bCs/>
          <w:highlight w:val="none"/>
          <w:u w:val="single"/>
        </w:rPr>
        <w:t xml:space="preserve">     （单位全称）（盖章）</w:t>
      </w:r>
    </w:p>
    <w:p w14:paraId="6BBC8936">
      <w:pPr>
        <w:spacing w:line="360" w:lineRule="auto"/>
        <w:rPr>
          <w:rFonts w:hint="eastAsia" w:ascii="宋体" w:hAnsi="宋体" w:eastAsia="宋体" w:cs="宋体"/>
          <w:b/>
          <w:bCs/>
          <w:highlight w:val="none"/>
        </w:rPr>
      </w:pPr>
      <w:r>
        <w:rPr>
          <w:rFonts w:hint="eastAsia" w:ascii="宋体" w:hAnsi="宋体" w:eastAsia="宋体" w:cs="宋体"/>
          <w:b/>
          <w:bCs/>
          <w:highlight w:val="none"/>
        </w:rPr>
        <w:t xml:space="preserve">                                               法定代表人：</w:t>
      </w:r>
      <w:r>
        <w:rPr>
          <w:rFonts w:hint="eastAsia" w:ascii="宋体" w:hAnsi="宋体" w:eastAsia="宋体" w:cs="宋体"/>
          <w:b/>
          <w:bCs/>
          <w:highlight w:val="none"/>
          <w:u w:val="single"/>
        </w:rPr>
        <w:t xml:space="preserve"> </w:t>
      </w:r>
      <w:r>
        <w:rPr>
          <w:rFonts w:hint="eastAsia" w:ascii="宋体" w:hAnsi="宋体" w:eastAsia="宋体" w:cs="宋体"/>
          <w:b/>
          <w:bCs/>
          <w:highlight w:val="none"/>
        </w:rPr>
        <w:t xml:space="preserve">      </w:t>
      </w:r>
    </w:p>
    <w:p w14:paraId="0B7AB421">
      <w:pPr>
        <w:rPr>
          <w:rFonts w:hint="eastAsia" w:ascii="宋体" w:hAnsi="宋体" w:eastAsia="宋体" w:cs="宋体"/>
          <w:b/>
          <w:bCs/>
          <w:highlight w:val="none"/>
        </w:rPr>
      </w:pPr>
    </w:p>
    <w:p w14:paraId="3C244209">
      <w:pPr>
        <w:rPr>
          <w:rFonts w:hint="eastAsia" w:ascii="宋体" w:hAnsi="宋体" w:eastAsia="宋体" w:cs="宋体"/>
          <w:b/>
          <w:bCs/>
          <w:highlight w:val="none"/>
        </w:rPr>
      </w:pPr>
    </w:p>
    <w:p w14:paraId="2A5D9256">
      <w:pPr>
        <w:rPr>
          <w:rFonts w:hint="eastAsia" w:ascii="宋体" w:hAnsi="宋体" w:eastAsia="宋体" w:cs="宋体"/>
          <w:b/>
          <w:bCs/>
          <w:highlight w:val="none"/>
        </w:rPr>
      </w:pPr>
    </w:p>
    <w:p w14:paraId="41C99B75">
      <w:pPr>
        <w:rPr>
          <w:rFonts w:hint="eastAsia" w:ascii="宋体" w:hAnsi="宋体" w:eastAsia="宋体" w:cs="宋体"/>
          <w:highlight w:val="none"/>
        </w:rPr>
      </w:pPr>
    </w:p>
    <w:p w14:paraId="6569EEFC">
      <w:pPr>
        <w:rPr>
          <w:rFonts w:hint="eastAsia" w:ascii="宋体" w:hAnsi="宋体" w:eastAsia="宋体" w:cs="宋体"/>
          <w:sz w:val="36"/>
          <w:szCs w:val="36"/>
          <w:highlight w:val="none"/>
        </w:rPr>
      </w:pPr>
    </w:p>
    <w:p w14:paraId="30A7371B">
      <w:pPr>
        <w:rPr>
          <w:rFonts w:hint="eastAsia" w:ascii="宋体" w:hAnsi="宋体" w:eastAsia="宋体" w:cs="宋体"/>
          <w:sz w:val="36"/>
          <w:szCs w:val="36"/>
          <w:highlight w:val="none"/>
        </w:rPr>
      </w:pPr>
    </w:p>
    <w:p w14:paraId="3AA9A5FE">
      <w:pPr>
        <w:rPr>
          <w:rFonts w:hint="eastAsia" w:ascii="宋体" w:hAnsi="宋体" w:eastAsia="宋体" w:cs="宋体"/>
          <w:sz w:val="36"/>
          <w:szCs w:val="36"/>
          <w:highlight w:val="none"/>
        </w:rPr>
      </w:pPr>
    </w:p>
    <w:p w14:paraId="68E61887">
      <w:pPr>
        <w:rPr>
          <w:rFonts w:hint="eastAsia" w:ascii="宋体" w:hAnsi="宋体" w:eastAsia="宋体" w:cs="宋体"/>
          <w:sz w:val="36"/>
          <w:szCs w:val="36"/>
          <w:highlight w:val="none"/>
        </w:rPr>
      </w:pPr>
    </w:p>
    <w:p w14:paraId="0D263367">
      <w:pPr>
        <w:rPr>
          <w:rFonts w:hint="eastAsia" w:ascii="宋体" w:hAnsi="宋体" w:eastAsia="宋体" w:cs="宋体"/>
          <w:sz w:val="36"/>
          <w:szCs w:val="36"/>
          <w:highlight w:val="none"/>
        </w:rPr>
      </w:pPr>
    </w:p>
    <w:p w14:paraId="4B02EDCA">
      <w:pPr>
        <w:rPr>
          <w:rFonts w:hint="eastAsia" w:ascii="宋体" w:hAnsi="宋体" w:eastAsia="宋体" w:cs="宋体"/>
          <w:sz w:val="36"/>
          <w:szCs w:val="36"/>
          <w:highlight w:val="none"/>
        </w:rPr>
      </w:pPr>
    </w:p>
    <w:p w14:paraId="42782453">
      <w:pPr>
        <w:bidi w:val="0"/>
        <w:rPr>
          <w:rFonts w:hint="eastAsia" w:ascii="宋体" w:hAnsi="宋体" w:eastAsia="宋体" w:cs="宋体"/>
          <w:highlight w:val="none"/>
        </w:rPr>
      </w:pPr>
      <w:bookmarkStart w:id="166" w:name="_Toc519325938"/>
      <w:bookmarkStart w:id="167" w:name="_Toc519325353"/>
      <w:bookmarkStart w:id="168" w:name="_Toc533409790"/>
    </w:p>
    <w:p w14:paraId="18A09B9F">
      <w:pPr>
        <w:bidi w:val="0"/>
        <w:rPr>
          <w:rFonts w:hint="eastAsia" w:ascii="宋体" w:hAnsi="宋体" w:eastAsia="宋体" w:cs="宋体"/>
          <w:highlight w:val="none"/>
        </w:rPr>
      </w:pPr>
    </w:p>
    <w:p w14:paraId="0745835C">
      <w:pPr>
        <w:rPr>
          <w:rFonts w:hint="eastAsia" w:ascii="宋体" w:hAnsi="宋体" w:eastAsia="宋体" w:cs="宋体"/>
          <w:sz w:val="36"/>
          <w:szCs w:val="36"/>
          <w:highlight w:val="none"/>
        </w:rPr>
      </w:pPr>
    </w:p>
    <w:p w14:paraId="435CAD6F">
      <w:pPr>
        <w:bidi w:val="0"/>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169" w:name="_Toc17264"/>
    </w:p>
    <w:p w14:paraId="40C38238">
      <w:pPr>
        <w:bidi w:val="0"/>
        <w:jc w:val="center"/>
        <w:rPr>
          <w:rFonts w:hint="eastAsia" w:ascii="宋体" w:hAnsi="宋体" w:eastAsia="宋体" w:cs="宋体"/>
          <w:sz w:val="36"/>
          <w:szCs w:val="36"/>
          <w:highlight w:val="none"/>
        </w:rPr>
      </w:pPr>
    </w:p>
    <w:p w14:paraId="0A0D925F">
      <w:pPr>
        <w:bidi w:val="0"/>
        <w:jc w:val="center"/>
        <w:rPr>
          <w:rFonts w:hint="eastAsia" w:ascii="宋体" w:hAnsi="宋体" w:eastAsia="宋体" w:cs="宋体"/>
          <w:sz w:val="36"/>
          <w:szCs w:val="36"/>
          <w:highlight w:val="none"/>
        </w:rPr>
      </w:pPr>
    </w:p>
    <w:p w14:paraId="156040A2">
      <w:pPr>
        <w:bidi w:val="0"/>
        <w:jc w:val="center"/>
        <w:rPr>
          <w:rFonts w:hint="eastAsia" w:ascii="宋体" w:hAnsi="宋体" w:eastAsia="宋体" w:cs="宋体"/>
          <w:sz w:val="36"/>
          <w:szCs w:val="36"/>
          <w:highlight w:val="none"/>
        </w:rPr>
      </w:pPr>
    </w:p>
    <w:p w14:paraId="59D4AE64">
      <w:pPr>
        <w:bidi w:val="0"/>
        <w:jc w:val="center"/>
        <w:rPr>
          <w:rFonts w:hint="eastAsia" w:ascii="宋体" w:hAnsi="宋体" w:eastAsia="宋体" w:cs="宋体"/>
          <w:sz w:val="36"/>
          <w:szCs w:val="36"/>
          <w:highlight w:val="none"/>
        </w:rPr>
      </w:pPr>
    </w:p>
    <w:p w14:paraId="0BB5349B">
      <w:pPr>
        <w:bidi w:val="0"/>
        <w:jc w:val="center"/>
        <w:rPr>
          <w:rFonts w:hint="eastAsia" w:ascii="宋体" w:hAnsi="宋体" w:eastAsia="宋体" w:cs="宋体"/>
          <w:sz w:val="36"/>
          <w:szCs w:val="36"/>
          <w:highlight w:val="none"/>
        </w:rPr>
      </w:pPr>
    </w:p>
    <w:p w14:paraId="3D4985EB">
      <w:pPr>
        <w:bidi w:val="0"/>
        <w:jc w:val="center"/>
        <w:rPr>
          <w:rFonts w:hint="eastAsia" w:ascii="宋体" w:hAnsi="宋体" w:eastAsia="宋体" w:cs="宋体"/>
          <w:sz w:val="36"/>
          <w:szCs w:val="36"/>
          <w:highlight w:val="none"/>
        </w:rPr>
      </w:pPr>
    </w:p>
    <w:p w14:paraId="02EDD6FC">
      <w:pPr>
        <w:bidi w:val="0"/>
        <w:jc w:val="center"/>
        <w:rPr>
          <w:rFonts w:hint="eastAsia" w:ascii="宋体" w:hAnsi="宋体" w:eastAsia="宋体" w:cs="宋体"/>
          <w:sz w:val="36"/>
          <w:szCs w:val="36"/>
          <w:highlight w:val="none"/>
        </w:rPr>
      </w:pPr>
    </w:p>
    <w:p w14:paraId="08855C64">
      <w:pPr>
        <w:bidi w:val="0"/>
        <w:jc w:val="center"/>
        <w:rPr>
          <w:rFonts w:hint="eastAsia" w:ascii="宋体" w:hAnsi="宋体" w:eastAsia="宋体" w:cs="宋体"/>
          <w:sz w:val="36"/>
          <w:szCs w:val="36"/>
          <w:highlight w:val="none"/>
        </w:rPr>
      </w:pPr>
    </w:p>
    <w:p w14:paraId="028311F4">
      <w:pPr>
        <w:bidi w:val="0"/>
        <w:jc w:val="center"/>
        <w:rPr>
          <w:rFonts w:hint="eastAsia" w:ascii="宋体" w:hAnsi="宋体" w:eastAsia="宋体" w:cs="宋体"/>
          <w:sz w:val="36"/>
          <w:szCs w:val="36"/>
          <w:highlight w:val="none"/>
        </w:rPr>
      </w:pPr>
    </w:p>
    <w:p w14:paraId="694B0502">
      <w:pPr>
        <w:bidi w:val="0"/>
        <w:jc w:val="center"/>
        <w:rPr>
          <w:rFonts w:hint="eastAsia" w:ascii="宋体" w:hAnsi="宋体" w:eastAsia="宋体" w:cs="宋体"/>
          <w:sz w:val="36"/>
          <w:szCs w:val="36"/>
          <w:highlight w:val="none"/>
        </w:rPr>
      </w:pPr>
    </w:p>
    <w:p w14:paraId="2955F546">
      <w:pPr>
        <w:bidi w:val="0"/>
        <w:jc w:val="both"/>
        <w:rPr>
          <w:rFonts w:hint="eastAsia" w:ascii="宋体" w:hAnsi="宋体" w:eastAsia="宋体" w:cs="宋体"/>
          <w:sz w:val="36"/>
          <w:szCs w:val="36"/>
          <w:highlight w:val="none"/>
        </w:rPr>
      </w:pPr>
    </w:p>
    <w:p w14:paraId="55ACEB04">
      <w:pPr>
        <w:bidi w:val="0"/>
        <w:jc w:val="center"/>
        <w:rPr>
          <w:rFonts w:hint="eastAsia" w:ascii="宋体" w:hAnsi="宋体" w:eastAsia="宋体" w:cs="宋体"/>
          <w:sz w:val="36"/>
          <w:szCs w:val="36"/>
          <w:highlight w:val="none"/>
        </w:rPr>
      </w:pPr>
    </w:p>
    <w:p w14:paraId="5D5E18F6">
      <w:pPr>
        <w:bidi w:val="0"/>
        <w:jc w:val="center"/>
        <w:rPr>
          <w:rFonts w:hint="eastAsia" w:ascii="宋体" w:hAnsi="宋体" w:eastAsia="宋体" w:cs="宋体"/>
          <w:sz w:val="36"/>
          <w:szCs w:val="36"/>
          <w:highlight w:val="none"/>
        </w:rPr>
      </w:pPr>
    </w:p>
    <w:p w14:paraId="203A333E">
      <w:pPr>
        <w:bidi w:val="0"/>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第二卷</w:t>
      </w:r>
      <w:bookmarkEnd w:id="166"/>
      <w:bookmarkEnd w:id="167"/>
      <w:bookmarkEnd w:id="168"/>
      <w:bookmarkEnd w:id="169"/>
    </w:p>
    <w:p w14:paraId="3CF98AF6">
      <w:pP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br w:type="page"/>
      </w:r>
    </w:p>
    <w:p w14:paraId="27303CB1">
      <w:pPr>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宋体" w:hAnsi="宋体" w:eastAsia="宋体" w:cs="宋体"/>
          <w:sz w:val="36"/>
          <w:szCs w:val="36"/>
          <w:highlight w:val="none"/>
        </w:rPr>
      </w:pPr>
      <w:bookmarkStart w:id="170" w:name="_Toc226887670"/>
      <w:bookmarkStart w:id="171" w:name="_Toc226887385"/>
      <w:bookmarkStart w:id="172" w:name="_Toc196474987"/>
      <w:bookmarkStart w:id="173" w:name="_Toc519325354"/>
      <w:bookmarkStart w:id="174" w:name="_Toc21409"/>
      <w:bookmarkStart w:id="175" w:name="_Toc237684698"/>
      <w:bookmarkStart w:id="176" w:name="_Toc533409791"/>
      <w:bookmarkStart w:id="177" w:name="_Toc204055785"/>
      <w:bookmarkStart w:id="178" w:name="_Toc222740166"/>
      <w:r>
        <w:rPr>
          <w:rFonts w:hint="eastAsia" w:ascii="宋体" w:hAnsi="宋体" w:eastAsia="宋体" w:cs="宋体"/>
          <w:b/>
          <w:bCs w:val="0"/>
          <w:sz w:val="36"/>
          <w:highlight w:val="none"/>
        </w:rPr>
        <w:t>第</w:t>
      </w:r>
      <w:r>
        <w:rPr>
          <w:rFonts w:hint="eastAsia" w:ascii="宋体" w:hAnsi="宋体" w:eastAsia="宋体" w:cs="宋体"/>
          <w:b/>
          <w:bCs w:val="0"/>
          <w:sz w:val="36"/>
          <w:highlight w:val="none"/>
          <w:lang w:eastAsia="zh-CN"/>
        </w:rPr>
        <w:t>六</w:t>
      </w:r>
      <w:r>
        <w:rPr>
          <w:rFonts w:hint="eastAsia" w:ascii="宋体" w:hAnsi="宋体" w:eastAsia="宋体" w:cs="宋体"/>
          <w:b/>
          <w:bCs w:val="0"/>
          <w:sz w:val="36"/>
          <w:highlight w:val="none"/>
        </w:rPr>
        <w:t>章 委托人要求</w:t>
      </w:r>
      <w:bookmarkEnd w:id="170"/>
      <w:bookmarkEnd w:id="171"/>
      <w:bookmarkEnd w:id="172"/>
      <w:bookmarkEnd w:id="173"/>
      <w:bookmarkEnd w:id="174"/>
      <w:bookmarkEnd w:id="175"/>
      <w:bookmarkEnd w:id="176"/>
      <w:bookmarkEnd w:id="177"/>
      <w:bookmarkEnd w:id="178"/>
    </w:p>
    <w:p w14:paraId="1CE4F3A7">
      <w:pPr>
        <w:pStyle w:val="4"/>
        <w:pageBreakBefore w:val="0"/>
        <w:widowControl w:val="0"/>
        <w:kinsoku/>
        <w:wordWrap/>
        <w:overflowPunct/>
        <w:topLinePunct w:val="0"/>
        <w:autoSpaceDE/>
        <w:autoSpaceDN/>
        <w:bidi w:val="0"/>
        <w:adjustRightInd/>
        <w:snapToGrid/>
        <w:spacing w:before="0" w:after="0" w:line="360" w:lineRule="auto"/>
        <w:ind w:firstLine="562" w:firstLineChars="200"/>
        <w:jc w:val="left"/>
        <w:textAlignment w:val="auto"/>
        <w:rPr>
          <w:rFonts w:hint="eastAsia" w:ascii="宋体" w:hAnsi="宋体" w:eastAsia="宋体" w:cs="宋体"/>
          <w:sz w:val="28"/>
          <w:szCs w:val="18"/>
          <w:highlight w:val="none"/>
        </w:rPr>
      </w:pPr>
      <w:bookmarkStart w:id="179" w:name="_Toc519325356"/>
      <w:bookmarkStart w:id="180" w:name="_Toc533409792"/>
      <w:r>
        <w:rPr>
          <w:rFonts w:hint="eastAsia" w:ascii="宋体" w:hAnsi="宋体" w:eastAsia="宋体" w:cs="宋体"/>
          <w:sz w:val="28"/>
          <w:szCs w:val="18"/>
          <w:highlight w:val="none"/>
        </w:rPr>
        <w:t>一、适用规范标准</w:t>
      </w:r>
      <w:bookmarkEnd w:id="179"/>
      <w:bookmarkEnd w:id="180"/>
    </w:p>
    <w:p w14:paraId="3ED5552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（一）通用施工监理规范 </w:t>
      </w:r>
    </w:p>
    <w:p w14:paraId="36B4ECC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执行《公路工程施工监理规范》（JTG G10—2016）。 </w:t>
      </w:r>
    </w:p>
    <w:p w14:paraId="000E8D0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（二）专用施工监理规范 </w:t>
      </w:r>
    </w:p>
    <w:p w14:paraId="2605753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专用施工监理规范由招标人根据工程的实际情况，在《公路工程施工监理规范》（JTG G10—2016）的基础上自行编制并纳入“委托人要求”中，但不得与国家、交通运输部及有关部门的法规、标准、规范等矛盾。 </w:t>
      </w:r>
    </w:p>
    <w:p w14:paraId="4E8EB12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针对本工程或仅在本地区实行的与监理工作有关的管理办法、制度应一并纳入“委托人要求”中。 </w:t>
      </w:r>
    </w:p>
    <w:p w14:paraId="765E78A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（三）施工技术规范 </w:t>
      </w:r>
    </w:p>
    <w:p w14:paraId="0111192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所有与工程施工有关的国家现行的公路建设标准、规范、规程及相关文件。 </w:t>
      </w:r>
    </w:p>
    <w:p w14:paraId="3AA3645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（四）国家、行业、项目所在地适用本工程的其他规范、标准或规程</w:t>
      </w:r>
    </w:p>
    <w:p w14:paraId="6BFEF05B">
      <w:pPr>
        <w:pStyle w:val="4"/>
        <w:pageBreakBefore w:val="0"/>
        <w:widowControl w:val="0"/>
        <w:kinsoku/>
        <w:wordWrap/>
        <w:overflowPunct/>
        <w:topLinePunct w:val="0"/>
        <w:autoSpaceDE/>
        <w:autoSpaceDN/>
        <w:bidi w:val="0"/>
        <w:adjustRightInd/>
        <w:snapToGrid/>
        <w:spacing w:before="0" w:after="0" w:line="360" w:lineRule="auto"/>
        <w:ind w:firstLine="562" w:firstLineChars="200"/>
        <w:jc w:val="left"/>
        <w:textAlignment w:val="auto"/>
        <w:rPr>
          <w:rFonts w:hint="eastAsia" w:ascii="宋体" w:hAnsi="宋体" w:eastAsia="宋体" w:cs="宋体"/>
          <w:sz w:val="28"/>
          <w:szCs w:val="18"/>
          <w:highlight w:val="none"/>
        </w:rPr>
      </w:pPr>
      <w:bookmarkStart w:id="181" w:name="_Toc533409793"/>
      <w:bookmarkStart w:id="182" w:name="_Toc519325357"/>
      <w:r>
        <w:rPr>
          <w:rFonts w:hint="eastAsia" w:ascii="宋体" w:hAnsi="宋体" w:eastAsia="宋体" w:cs="宋体"/>
          <w:sz w:val="28"/>
          <w:szCs w:val="18"/>
          <w:highlight w:val="none"/>
        </w:rPr>
        <w:t>二、成果文件要求</w:t>
      </w:r>
      <w:bookmarkEnd w:id="181"/>
      <w:bookmarkEnd w:id="182"/>
    </w:p>
    <w:p w14:paraId="27FE0DC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（一）成果文件的组成：监理日记、监理月报、监理工作报告等相关监理资料</w:t>
      </w:r>
    </w:p>
    <w:p w14:paraId="32CE05E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（二）成果文件的深度：执行《公路工程施工监理规范》（JTG G10—2016）要求</w:t>
      </w:r>
    </w:p>
    <w:p w14:paraId="6767A1B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（三）成果文件的格式要求：执行《公路工程施工监理规范》（JTG G10—2016）要求</w:t>
      </w:r>
    </w:p>
    <w:p w14:paraId="03DBF65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（四）成果文件的份数要求：执行《公路工程施工监理规范》（JTG G10—2016）要求</w:t>
      </w:r>
    </w:p>
    <w:p w14:paraId="53F6AE4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（五）成果文件的载体要求：1. 纸质版的要求</w:t>
      </w:r>
    </w:p>
    <w:p w14:paraId="7FF3620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（六）成果文件的其他要求：执行《公路工程施工监理规范》（JTG G10—2016）要求</w:t>
      </w:r>
    </w:p>
    <w:p w14:paraId="3B2483E0">
      <w:pPr>
        <w:pStyle w:val="4"/>
        <w:pageBreakBefore w:val="0"/>
        <w:widowControl w:val="0"/>
        <w:kinsoku/>
        <w:wordWrap/>
        <w:overflowPunct/>
        <w:topLinePunct w:val="0"/>
        <w:autoSpaceDE/>
        <w:autoSpaceDN/>
        <w:bidi w:val="0"/>
        <w:adjustRightInd/>
        <w:snapToGrid/>
        <w:spacing w:before="0" w:after="0" w:line="360" w:lineRule="auto"/>
        <w:ind w:firstLine="562" w:firstLineChars="200"/>
        <w:jc w:val="left"/>
        <w:textAlignment w:val="auto"/>
        <w:rPr>
          <w:rFonts w:hint="eastAsia" w:ascii="宋体" w:hAnsi="宋体" w:eastAsia="宋体" w:cs="宋体"/>
          <w:sz w:val="28"/>
          <w:szCs w:val="18"/>
          <w:highlight w:val="none"/>
        </w:rPr>
      </w:pPr>
      <w:bookmarkStart w:id="183" w:name="_Toc533409794"/>
      <w:bookmarkStart w:id="184" w:name="_Toc519325358"/>
      <w:r>
        <w:rPr>
          <w:rFonts w:hint="eastAsia" w:ascii="宋体" w:hAnsi="宋体" w:eastAsia="宋体" w:cs="宋体"/>
          <w:sz w:val="28"/>
          <w:szCs w:val="18"/>
          <w:highlight w:val="none"/>
        </w:rPr>
        <w:t>三、委托人财产清单</w:t>
      </w:r>
      <w:bookmarkEnd w:id="183"/>
      <w:bookmarkEnd w:id="184"/>
    </w:p>
    <w:p w14:paraId="55CBF5D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（一）委托人提供的设备、设施 ：无</w:t>
      </w:r>
    </w:p>
    <w:p w14:paraId="70D144C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（二）委托人提供的资料 </w:t>
      </w:r>
    </w:p>
    <w:p w14:paraId="229B577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 施工场地及毗邻区域内的供水、排水、供电、供气、供热、通信、广播电视等地下管线资料、气象和水文观测资料，相邻建筑物和构筑物、地下工程的有关资料，以及其他与公路工程有关的原始资料 </w:t>
      </w:r>
    </w:p>
    <w:p w14:paraId="1895D16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 定位放线的基准点、基准线和基准标高 </w:t>
      </w:r>
    </w:p>
    <w:p w14:paraId="3985CCF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3. 委托人取得的有关审批、核准和备案材料 </w:t>
      </w:r>
    </w:p>
    <w:p w14:paraId="3F4D905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4. 勘察文件、设计文件等资料 </w:t>
      </w:r>
    </w:p>
    <w:p w14:paraId="4D5ECF6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 技术标准、规范</w:t>
      </w:r>
    </w:p>
    <w:p w14:paraId="70DD266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 工程承包合同及其他相关合同</w:t>
      </w:r>
    </w:p>
    <w:p w14:paraId="0F76406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 其他资料</w:t>
      </w:r>
    </w:p>
    <w:p w14:paraId="60F1F54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p>
    <w:p w14:paraId="5BBE50A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（三）委托人财产使用要求及退还要求：无</w:t>
      </w:r>
    </w:p>
    <w:p w14:paraId="1A3E6DCC">
      <w:pPr>
        <w:pStyle w:val="4"/>
        <w:pageBreakBefore w:val="0"/>
        <w:widowControl w:val="0"/>
        <w:kinsoku/>
        <w:wordWrap/>
        <w:overflowPunct/>
        <w:topLinePunct w:val="0"/>
        <w:autoSpaceDE/>
        <w:autoSpaceDN/>
        <w:bidi w:val="0"/>
        <w:adjustRightInd/>
        <w:snapToGrid/>
        <w:spacing w:before="0" w:after="0" w:line="360" w:lineRule="auto"/>
        <w:ind w:firstLine="562" w:firstLineChars="200"/>
        <w:jc w:val="left"/>
        <w:textAlignment w:val="auto"/>
        <w:rPr>
          <w:rFonts w:hint="eastAsia" w:ascii="宋体" w:hAnsi="宋体" w:eastAsia="宋体" w:cs="宋体"/>
          <w:sz w:val="28"/>
          <w:szCs w:val="18"/>
          <w:highlight w:val="none"/>
        </w:rPr>
      </w:pPr>
      <w:bookmarkStart w:id="185" w:name="_Toc519325359"/>
      <w:bookmarkStart w:id="186" w:name="_Toc533409795"/>
      <w:r>
        <w:rPr>
          <w:rFonts w:hint="eastAsia" w:ascii="宋体" w:hAnsi="宋体" w:eastAsia="宋体" w:cs="宋体"/>
          <w:sz w:val="28"/>
          <w:szCs w:val="18"/>
          <w:highlight w:val="none"/>
        </w:rPr>
        <w:t>四、委托人提供的便利条件</w:t>
      </w:r>
      <w:bookmarkEnd w:id="185"/>
      <w:r>
        <w:rPr>
          <w:rFonts w:hint="eastAsia" w:ascii="宋体" w:hAnsi="宋体" w:eastAsia="宋体" w:cs="宋体"/>
          <w:sz w:val="28"/>
          <w:szCs w:val="18"/>
          <w:highlight w:val="none"/>
        </w:rPr>
        <w:t>（无）</w:t>
      </w:r>
      <w:bookmarkEnd w:id="186"/>
    </w:p>
    <w:p w14:paraId="27967892">
      <w:pPr>
        <w:pStyle w:val="4"/>
        <w:pageBreakBefore w:val="0"/>
        <w:widowControl w:val="0"/>
        <w:kinsoku/>
        <w:wordWrap/>
        <w:overflowPunct/>
        <w:topLinePunct w:val="0"/>
        <w:autoSpaceDE/>
        <w:autoSpaceDN/>
        <w:bidi w:val="0"/>
        <w:adjustRightInd/>
        <w:snapToGrid/>
        <w:spacing w:before="0" w:after="0" w:line="360" w:lineRule="auto"/>
        <w:ind w:firstLine="562" w:firstLineChars="200"/>
        <w:jc w:val="left"/>
        <w:textAlignment w:val="auto"/>
        <w:rPr>
          <w:rFonts w:hint="eastAsia" w:ascii="宋体" w:hAnsi="宋体" w:eastAsia="宋体" w:cs="宋体"/>
          <w:sz w:val="28"/>
          <w:szCs w:val="18"/>
          <w:highlight w:val="none"/>
        </w:rPr>
      </w:pPr>
      <w:bookmarkStart w:id="187" w:name="_Toc533409796"/>
      <w:bookmarkStart w:id="188" w:name="_Toc519325360"/>
      <w:r>
        <w:rPr>
          <w:rFonts w:hint="eastAsia" w:ascii="宋体" w:hAnsi="宋体" w:eastAsia="宋体" w:cs="宋体"/>
          <w:sz w:val="28"/>
          <w:szCs w:val="18"/>
          <w:highlight w:val="none"/>
        </w:rPr>
        <w:t>五、监理人需要自备的工作条件</w:t>
      </w:r>
      <w:bookmarkEnd w:id="187"/>
      <w:bookmarkEnd w:id="188"/>
    </w:p>
    <w:p w14:paraId="747AB08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（一）监理人自备的工作手册：本项目必备的规范标准、图集等 </w:t>
      </w:r>
    </w:p>
    <w:p w14:paraId="5407E5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（二）监理人自备的办公设备：计算机、软件、投影、打印机、复印机、照相机等 </w:t>
      </w:r>
    </w:p>
    <w:p w14:paraId="58F49B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（三）监理人自备的交通工具：出行车辆等 </w:t>
      </w:r>
    </w:p>
    <w:p w14:paraId="024B0CB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（四）监理人自备的现场办公设施：办公桌椅、文件柜等 </w:t>
      </w:r>
    </w:p>
    <w:p w14:paraId="1A5B07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（五）监理人自备的安全设施：安全帽、安全鞋、手电筒等 </w:t>
      </w:r>
    </w:p>
    <w:p w14:paraId="281AA6D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（六）监理人自备的试验检测仪器、设备、工具 </w:t>
      </w:r>
    </w:p>
    <w:p w14:paraId="6037ADD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（七）监理人自备的试验用房、样品用房</w:t>
      </w:r>
    </w:p>
    <w:p w14:paraId="037B9AB4">
      <w:pPr>
        <w:pStyle w:val="4"/>
        <w:pageBreakBefore w:val="0"/>
        <w:widowControl w:val="0"/>
        <w:kinsoku/>
        <w:wordWrap/>
        <w:overflowPunct/>
        <w:topLinePunct w:val="0"/>
        <w:autoSpaceDE/>
        <w:autoSpaceDN/>
        <w:bidi w:val="0"/>
        <w:adjustRightInd/>
        <w:snapToGrid/>
        <w:spacing w:before="0" w:after="0" w:line="360" w:lineRule="auto"/>
        <w:ind w:firstLine="562" w:firstLineChars="200"/>
        <w:jc w:val="left"/>
        <w:textAlignment w:val="auto"/>
        <w:rPr>
          <w:rFonts w:hint="eastAsia" w:ascii="宋体" w:hAnsi="宋体" w:eastAsia="宋体" w:cs="宋体"/>
          <w:sz w:val="28"/>
          <w:szCs w:val="18"/>
          <w:highlight w:val="none"/>
        </w:rPr>
      </w:pPr>
      <w:bookmarkStart w:id="189" w:name="_Toc533409797"/>
      <w:bookmarkStart w:id="190" w:name="_Toc519325361"/>
      <w:r>
        <w:rPr>
          <w:rFonts w:hint="eastAsia" w:ascii="宋体" w:hAnsi="宋体" w:eastAsia="宋体" w:cs="宋体"/>
          <w:sz w:val="28"/>
          <w:szCs w:val="18"/>
          <w:highlight w:val="none"/>
        </w:rPr>
        <w:t>六、委托人的其他要求</w:t>
      </w:r>
      <w:bookmarkEnd w:id="189"/>
      <w:bookmarkEnd w:id="190"/>
    </w:p>
    <w:p w14:paraId="30E675E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委托人的其他要求：/</w:t>
      </w:r>
    </w:p>
    <w:p w14:paraId="3D4EB2D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17AD3D76">
      <w:pPr>
        <w:spacing w:line="360" w:lineRule="auto"/>
        <w:ind w:firstLine="480" w:firstLineChars="200"/>
        <w:rPr>
          <w:rFonts w:hint="eastAsia" w:ascii="宋体" w:hAnsi="宋体" w:eastAsia="宋体" w:cs="宋体"/>
          <w:sz w:val="24"/>
          <w:highlight w:val="none"/>
        </w:rPr>
      </w:pPr>
    </w:p>
    <w:p w14:paraId="35385D41">
      <w:pPr>
        <w:rPr>
          <w:rFonts w:hint="eastAsia" w:ascii="宋体" w:hAnsi="宋体" w:eastAsia="宋体" w:cs="宋体"/>
          <w:sz w:val="36"/>
          <w:szCs w:val="36"/>
          <w:highlight w:val="none"/>
        </w:rPr>
      </w:pPr>
    </w:p>
    <w:p w14:paraId="52299134">
      <w:pPr>
        <w:rPr>
          <w:rFonts w:hint="eastAsia" w:ascii="宋体" w:hAnsi="宋体" w:eastAsia="宋体" w:cs="宋体"/>
          <w:sz w:val="36"/>
          <w:szCs w:val="36"/>
          <w:highlight w:val="none"/>
        </w:rPr>
      </w:pPr>
    </w:p>
    <w:p w14:paraId="67F3D9DA">
      <w:pPr>
        <w:bidi w:val="0"/>
        <w:jc w:val="center"/>
        <w:rPr>
          <w:rFonts w:hint="eastAsia" w:ascii="宋体" w:hAnsi="宋体" w:eastAsia="宋体" w:cs="宋体"/>
          <w:b/>
          <w:bCs w:val="0"/>
          <w:sz w:val="36"/>
          <w:highlight w:val="none"/>
        </w:rPr>
      </w:pPr>
      <w:bookmarkStart w:id="191" w:name="_Toc519325362"/>
      <w:r>
        <w:rPr>
          <w:rFonts w:hint="eastAsia" w:ascii="宋体" w:hAnsi="宋体" w:eastAsia="宋体" w:cs="宋体"/>
          <w:bCs/>
          <w:sz w:val="36"/>
          <w:highlight w:val="none"/>
        </w:rPr>
        <w:br w:type="page"/>
      </w:r>
      <w:bookmarkStart w:id="192" w:name="_Toc533409798"/>
      <w:bookmarkStart w:id="193" w:name="_Toc5893"/>
      <w:r>
        <w:rPr>
          <w:rFonts w:hint="eastAsia" w:ascii="宋体" w:hAnsi="宋体" w:eastAsia="宋体" w:cs="宋体"/>
          <w:b/>
          <w:bCs w:val="0"/>
          <w:sz w:val="36"/>
          <w:highlight w:val="none"/>
        </w:rPr>
        <w:t>第</w:t>
      </w:r>
      <w:r>
        <w:rPr>
          <w:rFonts w:hint="eastAsia" w:ascii="宋体" w:hAnsi="宋体" w:eastAsia="宋体" w:cs="宋体"/>
          <w:b/>
          <w:bCs w:val="0"/>
          <w:sz w:val="36"/>
          <w:highlight w:val="none"/>
          <w:lang w:eastAsia="zh-CN"/>
        </w:rPr>
        <w:t>七</w:t>
      </w:r>
      <w:r>
        <w:rPr>
          <w:rFonts w:hint="eastAsia" w:ascii="宋体" w:hAnsi="宋体" w:eastAsia="宋体" w:cs="宋体"/>
          <w:b/>
          <w:bCs w:val="0"/>
          <w:sz w:val="36"/>
          <w:highlight w:val="none"/>
        </w:rPr>
        <w:t>章 图纸和资料（无）</w:t>
      </w:r>
      <w:bookmarkEnd w:id="191"/>
      <w:bookmarkEnd w:id="192"/>
      <w:bookmarkEnd w:id="193"/>
    </w:p>
    <w:p w14:paraId="309E4132">
      <w:pPr>
        <w:bidi w:val="0"/>
        <w:rPr>
          <w:rFonts w:hint="eastAsia" w:ascii="宋体" w:hAnsi="宋体" w:eastAsia="宋体" w:cs="宋体"/>
          <w:highlight w:val="none"/>
        </w:rPr>
      </w:pPr>
    </w:p>
    <w:p w14:paraId="4905D207">
      <w:pPr>
        <w:bidi w:val="0"/>
        <w:rPr>
          <w:rFonts w:hint="eastAsia" w:ascii="宋体" w:hAnsi="宋体" w:eastAsia="宋体" w:cs="宋体"/>
          <w:highlight w:val="none"/>
        </w:rPr>
      </w:pPr>
      <w:r>
        <w:rPr>
          <w:rFonts w:hint="eastAsia" w:ascii="宋体" w:hAnsi="宋体" w:eastAsia="宋体" w:cs="宋体"/>
          <w:highlight w:val="none"/>
        </w:rPr>
        <w:br w:type="page"/>
      </w:r>
    </w:p>
    <w:p w14:paraId="48CA242F">
      <w:pPr>
        <w:rPr>
          <w:rFonts w:hint="eastAsia" w:ascii="宋体" w:hAnsi="宋体" w:eastAsia="宋体" w:cs="宋体"/>
          <w:highlight w:val="none"/>
        </w:rPr>
      </w:pPr>
    </w:p>
    <w:p w14:paraId="1EFF473A">
      <w:pPr>
        <w:rPr>
          <w:rFonts w:hint="eastAsia" w:ascii="宋体" w:hAnsi="宋体" w:eastAsia="宋体" w:cs="宋体"/>
          <w:highlight w:val="none"/>
        </w:rPr>
      </w:pPr>
    </w:p>
    <w:p w14:paraId="451B2437">
      <w:pPr>
        <w:rPr>
          <w:rFonts w:hint="eastAsia" w:ascii="宋体" w:hAnsi="宋体" w:eastAsia="宋体" w:cs="宋体"/>
          <w:highlight w:val="none"/>
        </w:rPr>
      </w:pPr>
    </w:p>
    <w:p w14:paraId="0E793E8D">
      <w:pPr>
        <w:rPr>
          <w:rFonts w:hint="eastAsia" w:ascii="宋体" w:hAnsi="宋体" w:eastAsia="宋体" w:cs="宋体"/>
          <w:snapToGrid w:val="0"/>
          <w:w w:val="135"/>
          <w:kern w:val="0"/>
          <w:sz w:val="84"/>
          <w:szCs w:val="84"/>
          <w:highlight w:val="none"/>
        </w:rPr>
      </w:pPr>
    </w:p>
    <w:p w14:paraId="2D255918">
      <w:pPr>
        <w:rPr>
          <w:rFonts w:hint="eastAsia" w:ascii="宋体" w:hAnsi="宋体" w:eastAsia="宋体" w:cs="宋体"/>
          <w:snapToGrid w:val="0"/>
          <w:w w:val="135"/>
          <w:kern w:val="0"/>
          <w:sz w:val="84"/>
          <w:szCs w:val="84"/>
          <w:highlight w:val="none"/>
        </w:rPr>
      </w:pPr>
    </w:p>
    <w:p w14:paraId="4ABC61D5">
      <w:pPr>
        <w:bidi w:val="0"/>
        <w:jc w:val="center"/>
        <w:rPr>
          <w:rFonts w:hint="eastAsia"/>
          <w:b/>
          <w:bCs/>
          <w:sz w:val="52"/>
          <w:szCs w:val="52"/>
        </w:rPr>
      </w:pPr>
      <w:bookmarkStart w:id="194" w:name="_Toc226887388"/>
      <w:bookmarkStart w:id="195" w:name="_Toc519325948"/>
      <w:bookmarkStart w:id="196" w:name="_Toc533409799"/>
      <w:bookmarkStart w:id="197" w:name="_Toc26723"/>
      <w:bookmarkStart w:id="198" w:name="_Toc519325363"/>
      <w:bookmarkStart w:id="199" w:name="_Toc226887673"/>
      <w:bookmarkStart w:id="200" w:name="_Toc237684701"/>
      <w:bookmarkStart w:id="201" w:name="_Toc222740169"/>
      <w:bookmarkStart w:id="202" w:name="_Toc204055788"/>
      <w:r>
        <w:rPr>
          <w:rFonts w:hint="eastAsia"/>
          <w:b/>
          <w:bCs/>
          <w:sz w:val="52"/>
          <w:szCs w:val="52"/>
        </w:rPr>
        <w:t>第 三 卷</w:t>
      </w:r>
      <w:bookmarkEnd w:id="194"/>
      <w:bookmarkEnd w:id="195"/>
      <w:bookmarkEnd w:id="196"/>
      <w:bookmarkEnd w:id="197"/>
      <w:bookmarkEnd w:id="198"/>
      <w:bookmarkEnd w:id="199"/>
      <w:bookmarkEnd w:id="200"/>
      <w:bookmarkEnd w:id="201"/>
      <w:bookmarkEnd w:id="202"/>
    </w:p>
    <w:p w14:paraId="41578B05">
      <w:pPr>
        <w:bidi w:val="0"/>
        <w:jc w:val="center"/>
        <w:rPr>
          <w:rFonts w:hint="eastAsia" w:ascii="宋体" w:hAnsi="宋体" w:eastAsia="宋体" w:cs="宋体"/>
          <w:snapToGrid w:val="0"/>
          <w:kern w:val="0"/>
          <w:sz w:val="52"/>
          <w:szCs w:val="52"/>
          <w:highlight w:val="none"/>
        </w:rPr>
      </w:pPr>
      <w:r>
        <w:rPr>
          <w:rFonts w:hint="eastAsia" w:ascii="宋体" w:hAnsi="宋体" w:eastAsia="宋体" w:cs="宋体"/>
          <w:snapToGrid w:val="0"/>
          <w:kern w:val="0"/>
          <w:sz w:val="52"/>
          <w:szCs w:val="52"/>
          <w:highlight w:val="none"/>
        </w:rPr>
        <w:br w:type="page"/>
      </w:r>
      <w:bookmarkStart w:id="203" w:name="_Toc226887389"/>
      <w:bookmarkStart w:id="204" w:name="_Toc139435630"/>
      <w:bookmarkStart w:id="205" w:name="_Toc237684702"/>
      <w:bookmarkStart w:id="206" w:name="_Toc533409800"/>
      <w:bookmarkStart w:id="207" w:name="_Toc226887674"/>
      <w:bookmarkStart w:id="208" w:name="_Toc139431626"/>
      <w:bookmarkStart w:id="209" w:name="_Toc31577"/>
      <w:bookmarkStart w:id="210" w:name="_Toc139433269"/>
      <w:bookmarkStart w:id="211" w:name="_Toc139451012"/>
      <w:bookmarkStart w:id="212" w:name="_Toc204055789"/>
      <w:bookmarkStart w:id="213" w:name="_Toc139453227"/>
      <w:bookmarkStart w:id="214" w:name="_Toc196474991"/>
      <w:bookmarkStart w:id="215" w:name="_Toc519325364"/>
      <w:bookmarkStart w:id="216" w:name="_Toc139237033"/>
      <w:bookmarkStart w:id="217" w:name="_Toc222740170"/>
    </w:p>
    <w:p w14:paraId="2643BE9F">
      <w:pPr>
        <w:bidi w:val="0"/>
        <w:jc w:val="center"/>
        <w:rPr>
          <w:rFonts w:hint="eastAsia" w:ascii="宋体" w:hAnsi="宋体" w:eastAsia="宋体" w:cs="宋体"/>
          <w:snapToGrid w:val="0"/>
          <w:kern w:val="0"/>
          <w:sz w:val="52"/>
          <w:szCs w:val="52"/>
          <w:highlight w:val="none"/>
        </w:rPr>
      </w:pPr>
    </w:p>
    <w:p w14:paraId="03F968A8">
      <w:pPr>
        <w:bidi w:val="0"/>
        <w:jc w:val="center"/>
        <w:rPr>
          <w:rFonts w:hint="eastAsia" w:ascii="宋体" w:hAnsi="宋体" w:eastAsia="宋体" w:cs="宋体"/>
          <w:snapToGrid w:val="0"/>
          <w:kern w:val="0"/>
          <w:sz w:val="52"/>
          <w:szCs w:val="52"/>
          <w:highlight w:val="none"/>
        </w:rPr>
      </w:pPr>
    </w:p>
    <w:p w14:paraId="09A563B9">
      <w:pPr>
        <w:bidi w:val="0"/>
        <w:jc w:val="center"/>
        <w:rPr>
          <w:rFonts w:hint="eastAsia" w:ascii="宋体" w:hAnsi="宋体" w:eastAsia="宋体" w:cs="宋体"/>
          <w:snapToGrid w:val="0"/>
          <w:kern w:val="0"/>
          <w:sz w:val="52"/>
          <w:szCs w:val="52"/>
          <w:highlight w:val="none"/>
        </w:rPr>
      </w:pPr>
    </w:p>
    <w:p w14:paraId="2C1C76F6">
      <w:pPr>
        <w:bidi w:val="0"/>
        <w:jc w:val="center"/>
        <w:rPr>
          <w:rFonts w:hint="eastAsia" w:ascii="宋体" w:hAnsi="宋体" w:eastAsia="宋体" w:cs="宋体"/>
          <w:snapToGrid w:val="0"/>
          <w:kern w:val="0"/>
          <w:sz w:val="52"/>
          <w:szCs w:val="52"/>
          <w:highlight w:val="none"/>
        </w:rPr>
      </w:pPr>
    </w:p>
    <w:p w14:paraId="20907A6A">
      <w:pPr>
        <w:bidi w:val="0"/>
        <w:jc w:val="center"/>
        <w:rPr>
          <w:rFonts w:hint="eastAsia" w:ascii="宋体" w:hAnsi="宋体" w:eastAsia="宋体" w:cs="宋体"/>
          <w:snapToGrid w:val="0"/>
          <w:kern w:val="0"/>
          <w:sz w:val="52"/>
          <w:szCs w:val="52"/>
          <w:highlight w:val="none"/>
        </w:rPr>
      </w:pPr>
    </w:p>
    <w:p w14:paraId="6CF1453C">
      <w:pPr>
        <w:bidi w:val="0"/>
        <w:jc w:val="center"/>
        <w:rPr>
          <w:rFonts w:hint="eastAsia" w:ascii="宋体" w:hAnsi="宋体" w:eastAsia="宋体" w:cs="宋体"/>
          <w:snapToGrid w:val="0"/>
          <w:kern w:val="0"/>
          <w:sz w:val="52"/>
          <w:szCs w:val="52"/>
          <w:highlight w:val="none"/>
        </w:rPr>
      </w:pPr>
    </w:p>
    <w:p w14:paraId="38DA8098">
      <w:pPr>
        <w:bidi w:val="0"/>
        <w:jc w:val="center"/>
        <w:rPr>
          <w:rFonts w:hint="eastAsia" w:ascii="宋体" w:hAnsi="宋体" w:eastAsia="宋体" w:cs="宋体"/>
          <w:snapToGrid w:val="0"/>
          <w:kern w:val="0"/>
          <w:sz w:val="52"/>
          <w:szCs w:val="52"/>
          <w:highlight w:val="none"/>
        </w:rPr>
      </w:pPr>
    </w:p>
    <w:p w14:paraId="569D638B">
      <w:pPr>
        <w:bidi w:val="0"/>
        <w:jc w:val="center"/>
        <w:rPr>
          <w:rFonts w:hint="eastAsia" w:ascii="宋体" w:hAnsi="宋体" w:eastAsia="宋体" w:cs="宋体"/>
          <w:snapToGrid w:val="0"/>
          <w:kern w:val="0"/>
          <w:sz w:val="52"/>
          <w:szCs w:val="52"/>
          <w:highlight w:val="none"/>
        </w:rPr>
      </w:pPr>
    </w:p>
    <w:p w14:paraId="70EE4421">
      <w:pPr>
        <w:bidi w:val="0"/>
        <w:jc w:val="center"/>
        <w:rPr>
          <w:rFonts w:hint="eastAsia" w:ascii="宋体" w:hAnsi="宋体" w:eastAsia="宋体" w:cs="宋体"/>
          <w:sz w:val="36"/>
          <w:szCs w:val="36"/>
          <w:highlight w:val="none"/>
        </w:rPr>
      </w:pPr>
      <w:r>
        <w:rPr>
          <w:rFonts w:hint="eastAsia" w:ascii="宋体" w:hAnsi="宋体" w:eastAsia="宋体" w:cs="宋体"/>
          <w:b/>
          <w:bCs w:val="0"/>
          <w:sz w:val="36"/>
          <w:highlight w:val="none"/>
        </w:rPr>
        <w:t>第</w:t>
      </w:r>
      <w:r>
        <w:rPr>
          <w:rFonts w:hint="eastAsia" w:ascii="宋体" w:hAnsi="宋体" w:eastAsia="宋体" w:cs="宋体"/>
          <w:b/>
          <w:bCs w:val="0"/>
          <w:sz w:val="36"/>
          <w:highlight w:val="none"/>
          <w:lang w:eastAsia="zh-CN"/>
        </w:rPr>
        <w:t>八</w:t>
      </w:r>
      <w:r>
        <w:rPr>
          <w:rFonts w:hint="eastAsia" w:ascii="宋体" w:hAnsi="宋体" w:eastAsia="宋体" w:cs="宋体"/>
          <w:b/>
          <w:bCs w:val="0"/>
          <w:sz w:val="36"/>
          <w:highlight w:val="none"/>
        </w:rPr>
        <w:t>章  投标文件格式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DB6EF54">
      <w:pPr>
        <w:pStyle w:val="16"/>
        <w:ind w:left="0" w:leftChars="0" w:firstLine="0" w:firstLineChars="0"/>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bookmarkStart w:id="218" w:name="_Toc196474996"/>
    </w:p>
    <w:p w14:paraId="030B606D">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（项目名称）</w:t>
      </w:r>
    </w:p>
    <w:p w14:paraId="4AACCC9B">
      <w:pPr>
        <w:jc w:val="center"/>
        <w:rPr>
          <w:rFonts w:hint="eastAsia" w:ascii="宋体" w:hAnsi="宋体" w:eastAsia="宋体" w:cs="宋体"/>
          <w:sz w:val="28"/>
          <w:szCs w:val="28"/>
          <w:highlight w:val="none"/>
        </w:rPr>
      </w:pPr>
    </w:p>
    <w:p w14:paraId="1197F411">
      <w:pPr>
        <w:jc w:val="center"/>
        <w:rPr>
          <w:rFonts w:hint="eastAsia" w:ascii="宋体" w:hAnsi="宋体" w:eastAsia="宋体" w:cs="宋体"/>
          <w:sz w:val="28"/>
          <w:szCs w:val="28"/>
          <w:highlight w:val="none"/>
        </w:rPr>
      </w:pPr>
    </w:p>
    <w:p w14:paraId="0A0E2C06">
      <w:pPr>
        <w:pStyle w:val="17"/>
        <w:ind w:left="0" w:leftChars="0" w:firstLine="0" w:firstLineChars="0"/>
        <w:jc w:val="both"/>
        <w:rPr>
          <w:rFonts w:hint="eastAsia"/>
        </w:rPr>
      </w:pPr>
    </w:p>
    <w:p w14:paraId="3E6B14F9">
      <w:pPr>
        <w:rPr>
          <w:rFonts w:hint="eastAsia" w:ascii="宋体" w:hAnsi="宋体" w:eastAsia="宋体" w:cs="宋体"/>
          <w:sz w:val="20"/>
          <w:szCs w:val="20"/>
          <w:highlight w:val="none"/>
        </w:rPr>
      </w:pPr>
    </w:p>
    <w:p w14:paraId="6292D647">
      <w:pPr>
        <w:rPr>
          <w:rFonts w:hint="eastAsia" w:ascii="宋体" w:hAnsi="宋体" w:eastAsia="宋体" w:cs="宋体"/>
          <w:sz w:val="20"/>
          <w:szCs w:val="20"/>
          <w:highlight w:val="none"/>
        </w:rPr>
      </w:pPr>
    </w:p>
    <w:p w14:paraId="55D95A0B">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投  标  文  件</w:t>
      </w:r>
    </w:p>
    <w:p w14:paraId="37953209">
      <w:pPr>
        <w:jc w:val="center"/>
        <w:rPr>
          <w:rFonts w:hint="eastAsia" w:ascii="宋体" w:hAnsi="宋体" w:eastAsia="宋体" w:cs="宋体"/>
          <w:b/>
          <w:sz w:val="48"/>
          <w:szCs w:val="48"/>
          <w:highlight w:val="none"/>
        </w:rPr>
      </w:pPr>
    </w:p>
    <w:p w14:paraId="1E690FEA">
      <w:pPr>
        <w:jc w:val="center"/>
        <w:rPr>
          <w:rFonts w:hint="eastAsia" w:ascii="宋体" w:hAnsi="宋体" w:eastAsia="宋体" w:cs="宋体"/>
          <w:b/>
          <w:sz w:val="48"/>
          <w:szCs w:val="48"/>
          <w:highlight w:val="none"/>
        </w:rPr>
      </w:pPr>
    </w:p>
    <w:p w14:paraId="64BF9500">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第一信封</w:t>
      </w:r>
    </w:p>
    <w:p w14:paraId="17CCD265">
      <w:pPr>
        <w:jc w:val="center"/>
        <w:rPr>
          <w:rFonts w:hint="eastAsia" w:ascii="宋体" w:hAnsi="宋体" w:eastAsia="宋体" w:cs="宋体"/>
          <w:sz w:val="28"/>
          <w:szCs w:val="28"/>
          <w:highlight w:val="none"/>
        </w:rPr>
      </w:pPr>
    </w:p>
    <w:p w14:paraId="5854E190">
      <w:pPr>
        <w:jc w:val="center"/>
        <w:rPr>
          <w:rFonts w:hint="eastAsia" w:ascii="宋体" w:hAnsi="宋体" w:eastAsia="宋体" w:cs="宋体"/>
          <w:sz w:val="28"/>
          <w:szCs w:val="28"/>
          <w:highlight w:val="none"/>
        </w:rPr>
      </w:pPr>
    </w:p>
    <w:p w14:paraId="6FC9207E">
      <w:pPr>
        <w:jc w:val="center"/>
        <w:rPr>
          <w:rFonts w:hint="eastAsia" w:ascii="宋体" w:hAnsi="宋体" w:eastAsia="宋体" w:cs="宋体"/>
          <w:highlight w:val="none"/>
        </w:rPr>
      </w:pPr>
      <w:r>
        <w:rPr>
          <w:rFonts w:hint="eastAsia" w:ascii="宋体" w:hAnsi="宋体" w:eastAsia="宋体" w:cs="宋体"/>
          <w:sz w:val="28"/>
          <w:szCs w:val="28"/>
          <w:highlight w:val="none"/>
        </w:rPr>
        <w:t>（商务及技术文件）</w:t>
      </w:r>
    </w:p>
    <w:p w14:paraId="0600EEFD">
      <w:pPr>
        <w:rPr>
          <w:rFonts w:hint="eastAsia" w:ascii="宋体" w:hAnsi="宋体" w:eastAsia="宋体" w:cs="宋体"/>
          <w:sz w:val="28"/>
          <w:szCs w:val="28"/>
          <w:highlight w:val="none"/>
        </w:rPr>
      </w:pPr>
    </w:p>
    <w:p w14:paraId="6BFF0BFE">
      <w:pPr>
        <w:rPr>
          <w:rFonts w:hint="eastAsia" w:ascii="宋体" w:hAnsi="宋体" w:eastAsia="宋体" w:cs="宋体"/>
          <w:sz w:val="44"/>
          <w:szCs w:val="44"/>
          <w:highlight w:val="none"/>
        </w:rPr>
      </w:pPr>
    </w:p>
    <w:p w14:paraId="6F7E9E64">
      <w:pPr>
        <w:spacing w:line="360" w:lineRule="auto"/>
        <w:jc w:val="center"/>
        <w:rPr>
          <w:rFonts w:hint="eastAsia" w:ascii="宋体" w:hAnsi="宋体" w:eastAsia="宋体" w:cs="宋体"/>
          <w:sz w:val="32"/>
          <w:szCs w:val="32"/>
          <w:highlight w:val="none"/>
        </w:rPr>
      </w:pPr>
    </w:p>
    <w:p w14:paraId="7FC9BDC9">
      <w:pPr>
        <w:spacing w:line="360" w:lineRule="auto"/>
        <w:jc w:val="center"/>
        <w:rPr>
          <w:rFonts w:hint="eastAsia" w:ascii="宋体" w:hAnsi="宋体" w:eastAsia="宋体" w:cs="宋体"/>
          <w:sz w:val="32"/>
          <w:szCs w:val="32"/>
          <w:highlight w:val="none"/>
        </w:rPr>
      </w:pPr>
    </w:p>
    <w:p w14:paraId="10FFEE4E">
      <w:pPr>
        <w:spacing w:line="360" w:lineRule="auto"/>
        <w:jc w:val="center"/>
        <w:rPr>
          <w:rFonts w:hint="eastAsia" w:ascii="宋体" w:hAnsi="宋体" w:eastAsia="宋体" w:cs="宋体"/>
          <w:sz w:val="32"/>
          <w:szCs w:val="32"/>
          <w:highlight w:val="none"/>
        </w:rPr>
      </w:pPr>
    </w:p>
    <w:p w14:paraId="7FA323A5">
      <w:pPr>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  标  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(电子签章)</w:t>
      </w:r>
    </w:p>
    <w:p w14:paraId="7A7642ED">
      <w:pPr>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(电子签章)</w:t>
      </w:r>
    </w:p>
    <w:p w14:paraId="0FC246B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14:paraId="0373994E">
      <w:pPr>
        <w:spacing w:before="240" w:after="24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r>
        <w:rPr>
          <w:rFonts w:hint="eastAsia" w:ascii="宋体" w:hAnsi="宋体" w:eastAsia="宋体" w:cs="宋体"/>
          <w:b/>
          <w:sz w:val="30"/>
          <w:szCs w:val="30"/>
          <w:highlight w:val="none"/>
        </w:rPr>
        <w:t>目    录</w:t>
      </w:r>
      <w:bookmarkEnd w:id="218"/>
    </w:p>
    <w:p w14:paraId="460935E3">
      <w:pPr>
        <w:tabs>
          <w:tab w:val="left" w:pos="1155"/>
        </w:tabs>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一、投标函 </w:t>
      </w:r>
    </w:p>
    <w:p w14:paraId="05FB19F7">
      <w:pPr>
        <w:tabs>
          <w:tab w:val="left" w:pos="1155"/>
        </w:tabs>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二、授权委托书或法定代表人身份证明 </w:t>
      </w:r>
    </w:p>
    <w:p w14:paraId="49406DC5">
      <w:pPr>
        <w:tabs>
          <w:tab w:val="left" w:pos="1155"/>
        </w:tabs>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三、联合体协议书 </w:t>
      </w:r>
    </w:p>
    <w:p w14:paraId="1CF98C54">
      <w:pPr>
        <w:tabs>
          <w:tab w:val="left" w:pos="1155"/>
        </w:tabs>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四、投标保证金 </w:t>
      </w:r>
    </w:p>
    <w:p w14:paraId="68630543">
      <w:pPr>
        <w:tabs>
          <w:tab w:val="left" w:pos="1155"/>
        </w:tabs>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五、资格审查资料 </w:t>
      </w:r>
    </w:p>
    <w:p w14:paraId="6031B0AE">
      <w:pPr>
        <w:tabs>
          <w:tab w:val="left" w:pos="1155"/>
        </w:tabs>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六、技术建议书 </w:t>
      </w:r>
    </w:p>
    <w:p w14:paraId="735BB30F">
      <w:pPr>
        <w:tabs>
          <w:tab w:val="left" w:pos="1155"/>
        </w:tabs>
        <w:spacing w:line="440" w:lineRule="exact"/>
        <w:ind w:firstLine="420" w:firstLineChars="200"/>
        <w:jc w:val="left"/>
        <w:rPr>
          <w:rFonts w:hint="eastAsia" w:ascii="宋体" w:hAnsi="宋体" w:eastAsia="宋体" w:cs="宋体"/>
          <w:sz w:val="24"/>
          <w:highlight w:val="none"/>
        </w:rPr>
      </w:pPr>
      <w:r>
        <w:rPr>
          <w:rFonts w:hint="eastAsia" w:ascii="宋体" w:hAnsi="宋体" w:eastAsia="宋体" w:cs="宋体"/>
          <w:szCs w:val="21"/>
          <w:highlight w:val="none"/>
        </w:rPr>
        <w:t>七、其他资料</w:t>
      </w:r>
    </w:p>
    <w:p w14:paraId="2A2704D9">
      <w:pPr>
        <w:spacing w:line="360" w:lineRule="exact"/>
        <w:rPr>
          <w:rFonts w:hint="eastAsia" w:ascii="宋体" w:hAnsi="宋体" w:eastAsia="宋体" w:cs="宋体"/>
          <w:szCs w:val="21"/>
          <w:highlight w:val="none"/>
        </w:rPr>
      </w:pPr>
    </w:p>
    <w:p w14:paraId="4B02957F">
      <w:pPr>
        <w:spacing w:line="360" w:lineRule="exact"/>
        <w:rPr>
          <w:rFonts w:hint="eastAsia" w:ascii="宋体" w:hAnsi="宋体" w:eastAsia="宋体" w:cs="宋体"/>
          <w:szCs w:val="21"/>
          <w:highlight w:val="none"/>
        </w:rPr>
      </w:pPr>
    </w:p>
    <w:p w14:paraId="6C9F0F4E">
      <w:pPr>
        <w:spacing w:line="360" w:lineRule="exact"/>
        <w:rPr>
          <w:rFonts w:hint="eastAsia" w:ascii="宋体" w:hAnsi="宋体" w:eastAsia="宋体" w:cs="宋体"/>
          <w:szCs w:val="21"/>
          <w:highlight w:val="none"/>
        </w:rPr>
      </w:pPr>
    </w:p>
    <w:p w14:paraId="1B61BC17">
      <w:pPr>
        <w:spacing w:line="360" w:lineRule="exact"/>
        <w:rPr>
          <w:rFonts w:hint="eastAsia" w:ascii="宋体" w:hAnsi="宋体" w:eastAsia="宋体" w:cs="宋体"/>
          <w:szCs w:val="21"/>
          <w:highlight w:val="none"/>
        </w:rPr>
      </w:pPr>
    </w:p>
    <w:p w14:paraId="3FDCE2E6">
      <w:pPr>
        <w:spacing w:line="360" w:lineRule="exact"/>
        <w:rPr>
          <w:rFonts w:hint="eastAsia" w:ascii="宋体" w:hAnsi="宋体" w:eastAsia="宋体" w:cs="宋体"/>
          <w:szCs w:val="21"/>
          <w:highlight w:val="none"/>
        </w:rPr>
      </w:pPr>
    </w:p>
    <w:p w14:paraId="292E350F">
      <w:pPr>
        <w:spacing w:line="360" w:lineRule="exact"/>
        <w:rPr>
          <w:rFonts w:hint="eastAsia" w:ascii="宋体" w:hAnsi="宋体" w:eastAsia="宋体" w:cs="宋体"/>
          <w:szCs w:val="21"/>
          <w:highlight w:val="none"/>
        </w:rPr>
      </w:pPr>
    </w:p>
    <w:p w14:paraId="54516545">
      <w:pPr>
        <w:spacing w:line="360" w:lineRule="exact"/>
        <w:rPr>
          <w:rFonts w:hint="eastAsia" w:ascii="宋体" w:hAnsi="宋体" w:eastAsia="宋体" w:cs="宋体"/>
          <w:szCs w:val="21"/>
          <w:highlight w:val="none"/>
        </w:rPr>
      </w:pPr>
    </w:p>
    <w:p w14:paraId="6F6695AD">
      <w:pPr>
        <w:bidi w:val="0"/>
        <w:rPr>
          <w:rFonts w:hint="eastAsia"/>
          <w:highlight w:val="none"/>
        </w:rPr>
      </w:pPr>
    </w:p>
    <w:p w14:paraId="15D6B224">
      <w:pPr>
        <w:bidi w:val="0"/>
        <w:jc w:val="center"/>
        <w:rPr>
          <w:rFonts w:hint="eastAsia" w:ascii="宋体" w:hAnsi="宋体" w:eastAsia="宋体" w:cs="宋体"/>
          <w:highlight w:val="none"/>
        </w:rPr>
      </w:pPr>
      <w:bookmarkStart w:id="219" w:name="_Toc196474992"/>
      <w:bookmarkStart w:id="220" w:name="_Toc226887676"/>
      <w:bookmarkStart w:id="221" w:name="_Toc139433270"/>
      <w:bookmarkStart w:id="222" w:name="_Toc139431627"/>
      <w:bookmarkStart w:id="223" w:name="_Toc226887391"/>
      <w:bookmarkStart w:id="224" w:name="_Toc139435631"/>
      <w:bookmarkStart w:id="225" w:name="_Toc222740172"/>
      <w:bookmarkStart w:id="226" w:name="_Toc139237034"/>
      <w:bookmarkStart w:id="227" w:name="_Toc139451013"/>
      <w:bookmarkStart w:id="228" w:name="_Toc139453228"/>
      <w:r>
        <w:rPr>
          <w:rFonts w:hint="eastAsia" w:ascii="宋体" w:hAnsi="宋体" w:eastAsia="宋体" w:cs="宋体"/>
          <w:highlight w:val="none"/>
        </w:rPr>
        <w:br w:type="page"/>
      </w:r>
      <w:bookmarkStart w:id="229" w:name="_Toc533409802"/>
      <w:r>
        <w:rPr>
          <w:rFonts w:hint="eastAsia" w:ascii="宋体" w:hAnsi="宋体" w:eastAsia="宋体" w:cs="宋体"/>
          <w:b/>
          <w:bCs w:val="0"/>
          <w:sz w:val="28"/>
          <w:szCs w:val="28"/>
          <w:highlight w:val="none"/>
        </w:rPr>
        <w:t>一、投标</w:t>
      </w:r>
      <w:bookmarkEnd w:id="219"/>
      <w:bookmarkEnd w:id="220"/>
      <w:bookmarkEnd w:id="221"/>
      <w:bookmarkEnd w:id="222"/>
      <w:bookmarkEnd w:id="223"/>
      <w:bookmarkEnd w:id="224"/>
      <w:bookmarkEnd w:id="225"/>
      <w:bookmarkEnd w:id="226"/>
      <w:bookmarkEnd w:id="227"/>
      <w:bookmarkEnd w:id="228"/>
      <w:r>
        <w:rPr>
          <w:rFonts w:hint="eastAsia" w:ascii="宋体" w:hAnsi="宋体" w:eastAsia="宋体" w:cs="宋体"/>
          <w:b/>
          <w:bCs w:val="0"/>
          <w:sz w:val="28"/>
          <w:szCs w:val="28"/>
          <w:highlight w:val="none"/>
        </w:rPr>
        <w:t>函</w:t>
      </w:r>
      <w:bookmarkEnd w:id="229"/>
    </w:p>
    <w:p w14:paraId="7A7BD150">
      <w:pPr>
        <w:spacing w:line="440" w:lineRule="exac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（招标人全称）：</w:t>
      </w:r>
    </w:p>
    <w:p w14:paraId="387F7A17">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1、我方已仔细研究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标段施工监理招标文件的全部内容（含补遗书第___号至第___号），在考察工程现场后，愿意以第二个信封（报价文件）中的投标总报价（或根据招标文件规定修正核实后确定的另一金额），按合同约定完成施工监理工作。 </w:t>
      </w:r>
    </w:p>
    <w:p w14:paraId="1EDC784B">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2．我方承诺在招标文件规定的投标有效期内不撤销投标文件。 </w:t>
      </w:r>
    </w:p>
    <w:p w14:paraId="39B9D43B">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3．总监理工程师或驻地监理工程师姓名：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，职称：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，监理工程师证书：</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 </w:t>
      </w:r>
    </w:p>
    <w:p w14:paraId="1CBC83DF">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4.质量要求：</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，安全目标：</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，监理服务期限：</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BF29B9A">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5.如我方中标，我方承诺： </w:t>
      </w:r>
    </w:p>
    <w:p w14:paraId="3F6DC304">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（1）在收到中标通知书后，在中标通知书规定的期限内与你方签订合同； </w:t>
      </w:r>
    </w:p>
    <w:p w14:paraId="6B53ECF4">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（2）在签订合同时不向你方提出附加条件； </w:t>
      </w:r>
    </w:p>
    <w:p w14:paraId="4F2499B6">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（3）按照招标文件要求提交履约保证金； </w:t>
      </w:r>
    </w:p>
    <w:p w14:paraId="78864B81">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（4）在合同约定的期限内完成合同规定的全部义务； </w:t>
      </w:r>
    </w:p>
    <w:p w14:paraId="0FC7AE3F">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在你方和我方进行合同谈判之前，我方将按照合同附件提出的最低要求填报派驻本标段的其他主要监理人员及主要试验检测设备，经你方审批后作为派驻本标段的主要监理人员和主要试验检测设备且不进行更换。如我方拟派驻的人员和设备不满足合同附件要求，你方有权取消我方中标资格。</w:t>
      </w:r>
    </w:p>
    <w:p w14:paraId="1B02E092">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6．我方在此声明，所递交的投标文件及有关资料内容完整、真实和准确，且不存在招标文件第二章“投标人须知”第1.4.3项和第1.4.4项规定的任何一种情形。</w:t>
      </w:r>
    </w:p>
    <w:p w14:paraId="72D9BE0B">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7．在合同协议书正式签署生效之前，本投标函连同你方的中标通知书将构成我们双方之间共同遵守的文件，对双方具有约束力。 </w:t>
      </w:r>
    </w:p>
    <w:p w14:paraId="495DAFF7">
      <w:pPr>
        <w:spacing w:line="4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8．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（其他补充说明）。</w:t>
      </w:r>
    </w:p>
    <w:p w14:paraId="75C7D181">
      <w:pPr>
        <w:jc w:val="right"/>
        <w:rPr>
          <w:rFonts w:hint="eastAsia" w:ascii="宋体" w:hAnsi="宋体" w:eastAsia="宋体" w:cs="宋体"/>
          <w:szCs w:val="21"/>
          <w:highlight w:val="none"/>
          <w:u w:val="singl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（电子签章） </w:t>
      </w:r>
    </w:p>
    <w:p w14:paraId="5D88F8DE">
      <w:pPr>
        <w:jc w:val="right"/>
        <w:rPr>
          <w:rFonts w:hint="eastAsia" w:ascii="宋体" w:hAnsi="宋体" w:eastAsia="宋体" w:cs="宋体"/>
          <w:szCs w:val="21"/>
          <w:highlight w:val="none"/>
          <w:u w:val="single"/>
        </w:rPr>
      </w:pPr>
      <w:r>
        <w:rPr>
          <w:rFonts w:hint="eastAsia" w:ascii="宋体" w:hAnsi="宋体" w:eastAsia="宋体" w:cs="宋体"/>
          <w:szCs w:val="21"/>
          <w:highlight w:val="none"/>
        </w:rPr>
        <w:t>法定代表人或其授权委托人：</w:t>
      </w:r>
      <w:r>
        <w:rPr>
          <w:rFonts w:hint="eastAsia" w:ascii="宋体" w:hAnsi="宋体" w:eastAsia="宋体" w:cs="宋体"/>
          <w:szCs w:val="21"/>
          <w:highlight w:val="none"/>
          <w:u w:val="single"/>
        </w:rPr>
        <w:t xml:space="preserve">             （电子签章） </w:t>
      </w:r>
    </w:p>
    <w:p w14:paraId="6BBC0965">
      <w:pPr>
        <w:wordWrap w:val="0"/>
        <w:jc w:val="right"/>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3DA7DFA2">
      <w:pPr>
        <w:wordWrap w:val="0"/>
        <w:jc w:val="right"/>
        <w:rPr>
          <w:rFonts w:hint="eastAsia" w:ascii="宋体" w:hAnsi="宋体" w:eastAsia="宋体" w:cs="宋体"/>
          <w:szCs w:val="21"/>
          <w:highlight w:val="none"/>
          <w:u w:val="single"/>
        </w:rPr>
      </w:pPr>
      <w:r>
        <w:rPr>
          <w:rFonts w:hint="eastAsia" w:ascii="宋体" w:hAnsi="宋体" w:eastAsia="宋体" w:cs="宋体"/>
          <w:szCs w:val="21"/>
          <w:highlight w:val="none"/>
        </w:rPr>
        <w:t xml:space="preserve">  网址</w:t>
      </w:r>
      <w:r>
        <w:rPr>
          <w:rFonts w:hint="eastAsia" w:ascii="宋体" w:hAnsi="宋体" w:eastAsia="宋体" w:cs="宋体"/>
          <w:szCs w:val="21"/>
          <w:highlight w:val="none"/>
          <w:u w:val="single"/>
        </w:rPr>
        <w:t xml:space="preserve">：                               </w:t>
      </w:r>
    </w:p>
    <w:p w14:paraId="666DC676">
      <w:pPr>
        <w:wordWrap w:val="0"/>
        <w:jc w:val="right"/>
        <w:rPr>
          <w:rFonts w:hint="eastAsia" w:ascii="宋体" w:hAnsi="宋体" w:eastAsia="宋体" w:cs="宋体"/>
          <w:szCs w:val="21"/>
          <w:highlight w:val="none"/>
          <w:u w:val="singl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 xml:space="preserve">：                           </w:t>
      </w:r>
    </w:p>
    <w:p w14:paraId="769A2365">
      <w:pPr>
        <w:wordWrap w:val="0"/>
        <w:jc w:val="right"/>
        <w:rPr>
          <w:rFonts w:hint="eastAsia" w:ascii="宋体" w:hAnsi="宋体" w:eastAsia="宋体" w:cs="宋体"/>
          <w:szCs w:val="21"/>
          <w:highlight w:val="none"/>
          <w:u w:val="singl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p>
    <w:p w14:paraId="1E0241E1">
      <w:pPr>
        <w:wordWrap w:val="0"/>
        <w:jc w:val="right"/>
        <w:rPr>
          <w:rFonts w:hint="eastAsia" w:ascii="宋体" w:hAnsi="宋体" w:eastAsia="宋体" w:cs="宋体"/>
          <w:szCs w:val="21"/>
          <w:highlight w:val="none"/>
          <w:u w:val="single"/>
        </w:rPr>
      </w:pPr>
      <w:r>
        <w:rPr>
          <w:rFonts w:hint="eastAsia" w:ascii="宋体" w:hAnsi="宋体" w:eastAsia="宋体" w:cs="宋体"/>
          <w:szCs w:val="21"/>
          <w:highlight w:val="none"/>
        </w:rPr>
        <w:t xml:space="preserve">  传真</w:t>
      </w:r>
      <w:r>
        <w:rPr>
          <w:rFonts w:hint="eastAsia" w:ascii="宋体" w:hAnsi="宋体" w:eastAsia="宋体" w:cs="宋体"/>
          <w:szCs w:val="21"/>
          <w:highlight w:val="none"/>
          <w:u w:val="single"/>
        </w:rPr>
        <w:t xml:space="preserve">：                               </w:t>
      </w:r>
    </w:p>
    <w:p w14:paraId="58CA2083">
      <w:pPr>
        <w:wordWrap w:val="0"/>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E2DA5F9">
      <w:pPr>
        <w:adjustRightInd w:val="0"/>
        <w:snapToGrid w:val="0"/>
        <w:rPr>
          <w:rFonts w:hint="eastAsia" w:ascii="宋体" w:hAnsi="宋体" w:eastAsia="宋体" w:cs="宋体"/>
          <w:b/>
          <w:bCs/>
          <w:szCs w:val="21"/>
          <w:highlight w:val="none"/>
          <w:shd w:val="clear" w:color="auto" w:fill="FFFFFF"/>
        </w:rPr>
      </w:pPr>
      <w:r>
        <w:rPr>
          <w:rFonts w:hint="eastAsia" w:ascii="宋体" w:hAnsi="宋体" w:eastAsia="宋体" w:cs="宋体"/>
          <w:b/>
          <w:bCs/>
          <w:szCs w:val="21"/>
          <w:highlight w:val="none"/>
        </w:rPr>
        <w:t>注：</w:t>
      </w:r>
      <w:r>
        <w:rPr>
          <w:rFonts w:hint="eastAsia" w:ascii="宋体" w:hAnsi="宋体" w:eastAsia="宋体" w:cs="宋体"/>
          <w:b/>
          <w:bCs/>
          <w:szCs w:val="21"/>
          <w:highlight w:val="none"/>
          <w:shd w:val="clear" w:color="auto" w:fill="FFFFFF"/>
        </w:rPr>
        <w:t>如果出现系统表格和招标文件不一致的情况，以招标文件为唯一评标依据进行评审，在评标报告中说明情况。</w:t>
      </w:r>
    </w:p>
    <w:p w14:paraId="3986FB77">
      <w:pPr>
        <w:adjustRightInd w:val="0"/>
        <w:snapToGrid w:val="0"/>
        <w:rPr>
          <w:rFonts w:hint="eastAsia" w:ascii="宋体" w:hAnsi="宋体" w:eastAsia="宋体" w:cs="宋体"/>
          <w:highlight w:val="none"/>
        </w:rPr>
      </w:pPr>
      <w:r>
        <w:rPr>
          <w:rFonts w:hint="eastAsia" w:ascii="宋体" w:hAnsi="宋体" w:eastAsia="宋体" w:cs="宋体"/>
          <w:sz w:val="28"/>
          <w:szCs w:val="28"/>
          <w:highlight w:val="none"/>
        </w:rPr>
        <w:br w:type="page"/>
      </w:r>
      <w:bookmarkStart w:id="230" w:name="_Toc139435633"/>
      <w:bookmarkStart w:id="231" w:name="_Toc139451015"/>
      <w:bookmarkStart w:id="232" w:name="_Toc196474994"/>
      <w:bookmarkStart w:id="233" w:name="_Toc139237036"/>
      <w:bookmarkStart w:id="234" w:name="_Toc139453230"/>
    </w:p>
    <w:p w14:paraId="5AFF3425">
      <w:pPr>
        <w:pStyle w:val="5"/>
        <w:spacing w:before="0" w:after="0" w:line="360" w:lineRule="auto"/>
        <w:jc w:val="center"/>
        <w:rPr>
          <w:rFonts w:hint="eastAsia" w:ascii="宋体" w:hAnsi="宋体" w:eastAsia="宋体" w:cs="宋体"/>
          <w:bCs w:val="0"/>
          <w:szCs w:val="21"/>
          <w:highlight w:val="none"/>
        </w:rPr>
      </w:pPr>
      <w:bookmarkStart w:id="235" w:name="_Toc222740174"/>
      <w:bookmarkStart w:id="236" w:name="_Toc226887393"/>
      <w:bookmarkStart w:id="237" w:name="_Toc226887678"/>
      <w:bookmarkStart w:id="238" w:name="_Toc533409803"/>
      <w:r>
        <w:rPr>
          <w:rFonts w:hint="eastAsia" w:ascii="宋体" w:hAnsi="宋体" w:eastAsia="宋体" w:cs="宋体"/>
          <w:bCs w:val="0"/>
          <w:szCs w:val="21"/>
          <w:highlight w:val="none"/>
        </w:rPr>
        <w:t>二、授权委托书或法定代表人</w:t>
      </w:r>
      <w:bookmarkEnd w:id="235"/>
      <w:bookmarkEnd w:id="236"/>
      <w:bookmarkEnd w:id="237"/>
      <w:r>
        <w:rPr>
          <w:rFonts w:hint="eastAsia" w:ascii="宋体" w:hAnsi="宋体" w:eastAsia="宋体" w:cs="宋体"/>
          <w:bCs w:val="0"/>
          <w:szCs w:val="21"/>
          <w:highlight w:val="none"/>
        </w:rPr>
        <w:t>身份证明</w:t>
      </w:r>
      <w:bookmarkEnd w:id="238"/>
    </w:p>
    <w:p w14:paraId="0A95D6F1">
      <w:pPr>
        <w:spacing w:before="240" w:beforeLines="100" w:after="120"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（一）、授权委托书</w:t>
      </w:r>
    </w:p>
    <w:p w14:paraId="2D54A7C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（投标人名称）的法定代表人，现委托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（姓名）为我方代理人。代理人根据授权，以我方名义签署、澄清、说明、补正、递交、撤回、修改</w:t>
      </w:r>
      <w:r>
        <w:rPr>
          <w:rFonts w:hint="eastAsia" w:ascii="宋体" w:hAnsi="宋体" w:eastAsia="宋体" w:cs="宋体"/>
          <w:szCs w:val="21"/>
          <w:highlight w:val="none"/>
          <w:u w:val="single"/>
        </w:rPr>
        <w:t xml:space="preserve">             （项目名称）</w:t>
      </w:r>
      <w:r>
        <w:rPr>
          <w:rFonts w:hint="eastAsia" w:ascii="宋体" w:hAnsi="宋体" w:eastAsia="宋体" w:cs="宋体"/>
          <w:szCs w:val="21"/>
          <w:highlight w:val="none"/>
        </w:rPr>
        <w:t>监理投标文件、签订合同和处理有关事宜，其法律后果由我方承担。</w:t>
      </w:r>
    </w:p>
    <w:p w14:paraId="40D455FB">
      <w:pPr>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委托期限：自本委托书签署之日起至投标有效期期满。</w:t>
      </w:r>
    </w:p>
    <w:p w14:paraId="1A983126">
      <w:pPr>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代理人无转委托权。</w:t>
      </w:r>
    </w:p>
    <w:p w14:paraId="2A06819D">
      <w:pPr>
        <w:spacing w:before="120" w:beforeLines="50" w:line="360" w:lineRule="auto"/>
        <w:ind w:firstLine="420" w:firstLineChars="200"/>
        <w:rPr>
          <w:rFonts w:hint="eastAsia" w:ascii="宋体" w:hAnsi="宋体" w:eastAsia="宋体" w:cs="宋体"/>
          <w:szCs w:val="21"/>
          <w:highlight w:val="none"/>
        </w:rPr>
      </w:pPr>
    </w:p>
    <w:p w14:paraId="79988173">
      <w:pPr>
        <w:spacing w:after="240" w:afterLines="10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附：法定代表人身份证复印件及委托代理人身份证复印件</w:t>
      </w:r>
    </w:p>
    <w:p w14:paraId="6B1593C2">
      <w:pPr>
        <w:spacing w:line="360" w:lineRule="auto"/>
        <w:rPr>
          <w:rFonts w:hint="eastAsia" w:ascii="宋体" w:hAnsi="宋体" w:eastAsia="宋体" w:cs="宋体"/>
          <w:szCs w:val="21"/>
          <w:highlight w:val="none"/>
        </w:rPr>
      </w:pPr>
    </w:p>
    <w:p w14:paraId="7E814200">
      <w:pPr>
        <w:spacing w:line="360" w:lineRule="auto"/>
        <w:ind w:right="840" w:firstLine="4410" w:firstLineChars="2100"/>
        <w:rPr>
          <w:rFonts w:hint="eastAsia" w:ascii="宋体" w:hAnsi="宋体" w:eastAsia="宋体" w:cs="宋体"/>
          <w:szCs w:val="21"/>
          <w:highlight w:val="none"/>
        </w:rPr>
      </w:pPr>
      <w:r>
        <w:rPr>
          <w:rFonts w:hint="eastAsia" w:ascii="宋体" w:hAnsi="宋体" w:eastAsia="宋体" w:cs="宋体"/>
          <w:szCs w:val="21"/>
          <w:highlight w:val="none"/>
        </w:rPr>
        <w:t>投 标 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（电子签章）</w:t>
      </w:r>
    </w:p>
    <w:p w14:paraId="5CB41A50">
      <w:pPr>
        <w:spacing w:line="360" w:lineRule="auto"/>
        <w:ind w:right="840" w:firstLine="4200" w:firstLineChars="2000"/>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（电子签章）</w:t>
      </w:r>
    </w:p>
    <w:p w14:paraId="1112D0BE">
      <w:pPr>
        <w:spacing w:line="360" w:lineRule="auto"/>
        <w:ind w:right="420" w:firstLine="3150" w:firstLineChars="1500"/>
        <w:rPr>
          <w:rFonts w:hint="eastAsia" w:ascii="宋体" w:hAnsi="宋体" w:eastAsia="宋体" w:cs="宋体"/>
          <w:highlight w:val="none"/>
        </w:rPr>
      </w:pPr>
      <w:r>
        <w:rPr>
          <w:rFonts w:hint="eastAsia" w:ascii="宋体" w:hAnsi="宋体" w:eastAsia="宋体" w:cs="宋体"/>
          <w:szCs w:val="21"/>
          <w:highlight w:val="none"/>
        </w:rPr>
        <w:t>法定代表人身份证号码：</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6499202E">
      <w:pPr>
        <w:spacing w:line="360" w:lineRule="auto"/>
        <w:ind w:right="420" w:firstLine="3150" w:firstLineChars="1500"/>
        <w:rPr>
          <w:rFonts w:hint="eastAsia" w:ascii="宋体" w:hAnsi="宋体" w:eastAsia="宋体" w:cs="宋体"/>
          <w:szCs w:val="21"/>
          <w:highlight w:val="none"/>
        </w:rPr>
      </w:pPr>
      <w:r>
        <w:rPr>
          <w:rFonts w:hint="eastAsia" w:ascii="宋体" w:hAnsi="宋体" w:eastAsia="宋体" w:cs="宋体"/>
          <w:szCs w:val="21"/>
          <w:highlight w:val="none"/>
        </w:rPr>
        <w:t>委托代理人身份证号码：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7ECEBFC9">
      <w:pPr>
        <w:wordWrap w:val="0"/>
        <w:spacing w:line="360" w:lineRule="auto"/>
        <w:ind w:firstLine="4305" w:firstLineChars="2050"/>
        <w:jc w:val="right"/>
        <w:rPr>
          <w:rFonts w:hint="eastAsia" w:ascii="宋体" w:hAnsi="宋体" w:eastAsia="宋体" w:cs="宋体"/>
          <w:szCs w:val="21"/>
          <w:highlight w:val="none"/>
        </w:rPr>
      </w:pP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C5D7C40">
      <w:pPr>
        <w:wordWrap w:val="0"/>
        <w:spacing w:line="360" w:lineRule="auto"/>
        <w:ind w:firstLine="3675" w:firstLineChars="1750"/>
        <w:jc w:val="right"/>
        <w:rPr>
          <w:rFonts w:hint="eastAsia" w:ascii="宋体" w:hAnsi="宋体" w:eastAsia="宋体" w:cs="宋体"/>
          <w:szCs w:val="21"/>
          <w:highlight w:val="none"/>
        </w:rPr>
      </w:pPr>
    </w:p>
    <w:p w14:paraId="6CC4BB9B">
      <w:pPr>
        <w:widowControl/>
        <w:jc w:val="left"/>
        <w:rPr>
          <w:rFonts w:hint="eastAsia" w:ascii="宋体" w:hAnsi="宋体" w:eastAsia="宋体" w:cs="宋体"/>
          <w:sz w:val="28"/>
          <w:szCs w:val="28"/>
          <w:highlight w:val="none"/>
        </w:rPr>
      </w:pPr>
    </w:p>
    <w:p w14:paraId="4E1B84A0">
      <w:pPr>
        <w:widowControl/>
        <w:jc w:val="left"/>
        <w:rPr>
          <w:rFonts w:hint="eastAsia" w:ascii="宋体" w:hAnsi="宋体" w:eastAsia="宋体" w:cs="宋体"/>
          <w:sz w:val="28"/>
          <w:szCs w:val="28"/>
          <w:highlight w:val="none"/>
        </w:rPr>
      </w:pPr>
    </w:p>
    <w:bookmarkEnd w:id="230"/>
    <w:bookmarkEnd w:id="231"/>
    <w:bookmarkEnd w:id="232"/>
    <w:bookmarkEnd w:id="233"/>
    <w:bookmarkEnd w:id="234"/>
    <w:p w14:paraId="0544ABCB">
      <w:pPr>
        <w:spacing w:before="240" w:beforeLines="100" w:after="120" w:afterLines="50" w:line="360" w:lineRule="auto"/>
        <w:jc w:val="center"/>
        <w:rPr>
          <w:rFonts w:hint="eastAsia" w:ascii="宋体" w:hAnsi="宋体" w:eastAsia="宋体" w:cs="宋体"/>
          <w:sz w:val="28"/>
          <w:szCs w:val="28"/>
          <w:highlight w:val="none"/>
        </w:rPr>
      </w:pPr>
      <w:bookmarkStart w:id="239" w:name="_Toc519242229"/>
      <w:r>
        <w:rPr>
          <w:rFonts w:hint="eastAsia" w:ascii="宋体" w:hAnsi="宋体" w:eastAsia="宋体" w:cs="宋体"/>
          <w:sz w:val="28"/>
          <w:szCs w:val="28"/>
          <w:highlight w:val="none"/>
        </w:rPr>
        <w:br w:type="page"/>
      </w:r>
      <w:bookmarkStart w:id="240" w:name="_Toc519325366"/>
      <w:r>
        <w:rPr>
          <w:rFonts w:hint="eastAsia" w:ascii="宋体" w:hAnsi="宋体" w:eastAsia="宋体" w:cs="宋体"/>
          <w:b/>
          <w:sz w:val="28"/>
          <w:szCs w:val="28"/>
          <w:highlight w:val="none"/>
        </w:rPr>
        <w:t>（二）法定代表人身份证明</w:t>
      </w:r>
      <w:bookmarkEnd w:id="239"/>
      <w:bookmarkEnd w:id="240"/>
    </w:p>
    <w:p w14:paraId="36C2D64A">
      <w:pPr>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投标人名称：</w:t>
      </w:r>
      <w:r>
        <w:rPr>
          <w:rFonts w:hint="eastAsia" w:ascii="宋体" w:hAnsi="宋体" w:eastAsia="宋体" w:cs="宋体"/>
          <w:szCs w:val="21"/>
          <w:highlight w:val="none"/>
          <w:u w:val="single"/>
        </w:rPr>
        <w:t xml:space="preserve">             </w:t>
      </w:r>
    </w:p>
    <w:p w14:paraId="692EEE2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职务：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w:t>
      </w:r>
      <w:r>
        <w:rPr>
          <w:rFonts w:hint="eastAsia" w:ascii="宋体" w:hAnsi="宋体" w:eastAsia="宋体" w:cs="宋体"/>
          <w:szCs w:val="21"/>
          <w:highlight w:val="none"/>
          <w:u w:val="single"/>
        </w:rPr>
        <w:t>投标人名称</w:t>
      </w:r>
      <w:r>
        <w:rPr>
          <w:rFonts w:hint="eastAsia" w:ascii="宋体" w:hAnsi="宋体" w:cs="宋体"/>
          <w:szCs w:val="21"/>
          <w:highlight w:val="none"/>
          <w:u w:val="single"/>
          <w:lang w:eastAsia="zh-CN"/>
        </w:rPr>
        <w:t>）</w:t>
      </w:r>
      <w:r>
        <w:rPr>
          <w:rFonts w:hint="eastAsia" w:ascii="宋体" w:hAnsi="宋体" w:eastAsia="宋体" w:cs="宋体"/>
          <w:szCs w:val="21"/>
          <w:highlight w:val="none"/>
        </w:rPr>
        <w:t xml:space="preserve">的法定代表人。 </w:t>
      </w:r>
    </w:p>
    <w:p w14:paraId="1BC7184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特此证明。 </w:t>
      </w:r>
    </w:p>
    <w:p w14:paraId="48FA1B9F">
      <w:pPr>
        <w:spacing w:line="360" w:lineRule="auto"/>
        <w:ind w:firstLine="420" w:firstLineChars="200"/>
        <w:rPr>
          <w:rFonts w:hint="eastAsia" w:ascii="宋体" w:hAnsi="宋体" w:eastAsia="宋体" w:cs="宋体"/>
          <w:szCs w:val="21"/>
          <w:highlight w:val="none"/>
        </w:rPr>
      </w:pPr>
    </w:p>
    <w:p w14:paraId="7EEA3357">
      <w:pPr>
        <w:spacing w:line="360" w:lineRule="auto"/>
        <w:ind w:firstLine="420" w:firstLineChars="200"/>
        <w:rPr>
          <w:rFonts w:hint="eastAsia" w:ascii="宋体" w:hAnsi="宋体" w:eastAsia="宋体" w:cs="宋体"/>
          <w:szCs w:val="21"/>
          <w:highlight w:val="none"/>
        </w:rPr>
      </w:pPr>
    </w:p>
    <w:p w14:paraId="0382093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附：法定代表人身份证复印件。 </w:t>
      </w:r>
    </w:p>
    <w:p w14:paraId="4475E446">
      <w:pPr>
        <w:autoSpaceDE w:val="0"/>
        <w:autoSpaceDN w:val="0"/>
        <w:adjustRightInd w:val="0"/>
        <w:jc w:val="left"/>
        <w:rPr>
          <w:rFonts w:hint="eastAsia" w:ascii="宋体" w:hAnsi="宋体" w:eastAsia="宋体" w:cs="宋体"/>
          <w:kern w:val="0"/>
          <w:sz w:val="23"/>
          <w:szCs w:val="23"/>
          <w:highlight w:val="none"/>
        </w:rPr>
      </w:pPr>
    </w:p>
    <w:p w14:paraId="7F8567C4">
      <w:pPr>
        <w:autoSpaceDE w:val="0"/>
        <w:autoSpaceDN w:val="0"/>
        <w:adjustRightInd w:val="0"/>
        <w:jc w:val="left"/>
        <w:rPr>
          <w:rFonts w:hint="eastAsia" w:ascii="宋体" w:hAnsi="宋体" w:eastAsia="宋体" w:cs="宋体"/>
          <w:kern w:val="0"/>
          <w:sz w:val="23"/>
          <w:szCs w:val="23"/>
          <w:highlight w:val="none"/>
        </w:rPr>
      </w:pPr>
    </w:p>
    <w:p w14:paraId="3A20C66B">
      <w:pPr>
        <w:autoSpaceDE w:val="0"/>
        <w:autoSpaceDN w:val="0"/>
        <w:adjustRightInd w:val="0"/>
        <w:jc w:val="left"/>
        <w:rPr>
          <w:rFonts w:hint="eastAsia" w:ascii="宋体" w:hAnsi="宋体" w:eastAsia="宋体" w:cs="宋体"/>
          <w:kern w:val="0"/>
          <w:sz w:val="23"/>
          <w:szCs w:val="23"/>
          <w:highlight w:val="none"/>
        </w:rPr>
      </w:pPr>
      <w:r>
        <w:rPr>
          <w:rFonts w:hint="eastAsia" w:ascii="宋体" w:hAnsi="宋体" w:eastAsia="宋体" w:cs="宋体"/>
          <w:kern w:val="0"/>
          <w:sz w:val="23"/>
          <w:szCs w:val="23"/>
          <w:highlight w:val="none"/>
        </w:rPr>
        <w:t xml:space="preserve">                                        投标人：</w:t>
      </w:r>
      <w:r>
        <w:rPr>
          <w:rFonts w:hint="eastAsia" w:ascii="宋体" w:hAnsi="宋体" w:eastAsia="宋体" w:cs="宋体"/>
          <w:kern w:val="0"/>
          <w:sz w:val="23"/>
          <w:szCs w:val="23"/>
          <w:highlight w:val="none"/>
          <w:u w:val="single"/>
        </w:rPr>
        <w:t xml:space="preserve">             </w:t>
      </w:r>
      <w:r>
        <w:rPr>
          <w:rFonts w:hint="eastAsia" w:ascii="宋体" w:hAnsi="宋体" w:eastAsia="宋体" w:cs="宋体"/>
          <w:kern w:val="0"/>
          <w:sz w:val="23"/>
          <w:szCs w:val="23"/>
          <w:highlight w:val="none"/>
        </w:rPr>
        <w:t xml:space="preserve">（电子签章） </w:t>
      </w:r>
    </w:p>
    <w:p w14:paraId="195B08D3">
      <w:pPr>
        <w:autoSpaceDE w:val="0"/>
        <w:autoSpaceDN w:val="0"/>
        <w:adjustRightInd w:val="0"/>
        <w:jc w:val="left"/>
        <w:rPr>
          <w:rFonts w:hint="eastAsia" w:ascii="宋体" w:hAnsi="宋体" w:eastAsia="宋体" w:cs="宋体"/>
          <w:kern w:val="0"/>
          <w:sz w:val="23"/>
          <w:szCs w:val="23"/>
          <w:highlight w:val="none"/>
        </w:rPr>
      </w:pPr>
    </w:p>
    <w:p w14:paraId="611BE8E8">
      <w:pPr>
        <w:autoSpaceDE w:val="0"/>
        <w:autoSpaceDN w:val="0"/>
        <w:adjustRightInd w:val="0"/>
        <w:jc w:val="left"/>
        <w:rPr>
          <w:rFonts w:hint="eastAsia" w:ascii="宋体" w:hAnsi="宋体" w:eastAsia="宋体" w:cs="宋体"/>
          <w:kern w:val="0"/>
          <w:sz w:val="23"/>
          <w:szCs w:val="23"/>
          <w:highlight w:val="none"/>
        </w:rPr>
      </w:pPr>
      <w:r>
        <w:rPr>
          <w:rFonts w:hint="eastAsia" w:ascii="宋体" w:hAnsi="宋体" w:eastAsia="宋体" w:cs="宋体"/>
          <w:kern w:val="0"/>
          <w:sz w:val="23"/>
          <w:szCs w:val="23"/>
          <w:highlight w:val="none"/>
        </w:rPr>
        <w:t xml:space="preserve">                                        </w:t>
      </w:r>
      <w:r>
        <w:rPr>
          <w:rFonts w:hint="eastAsia" w:ascii="宋体" w:hAnsi="宋体" w:eastAsia="宋体" w:cs="宋体"/>
          <w:kern w:val="0"/>
          <w:sz w:val="23"/>
          <w:szCs w:val="23"/>
          <w:highlight w:val="none"/>
          <w:u w:val="single"/>
        </w:rPr>
        <w:t xml:space="preserve">        </w:t>
      </w:r>
      <w:r>
        <w:rPr>
          <w:rFonts w:hint="eastAsia" w:ascii="宋体" w:hAnsi="宋体" w:eastAsia="宋体" w:cs="宋体"/>
          <w:kern w:val="0"/>
          <w:sz w:val="23"/>
          <w:szCs w:val="23"/>
          <w:highlight w:val="none"/>
        </w:rPr>
        <w:t xml:space="preserve">年 </w:t>
      </w:r>
      <w:r>
        <w:rPr>
          <w:rFonts w:hint="eastAsia" w:ascii="宋体" w:hAnsi="宋体" w:eastAsia="宋体" w:cs="宋体"/>
          <w:kern w:val="0"/>
          <w:sz w:val="23"/>
          <w:szCs w:val="23"/>
          <w:highlight w:val="none"/>
          <w:u w:val="single"/>
        </w:rPr>
        <w:t xml:space="preserve">       </w:t>
      </w:r>
      <w:r>
        <w:rPr>
          <w:rFonts w:hint="eastAsia" w:ascii="宋体" w:hAnsi="宋体" w:eastAsia="宋体" w:cs="宋体"/>
          <w:kern w:val="0"/>
          <w:sz w:val="23"/>
          <w:szCs w:val="23"/>
          <w:highlight w:val="none"/>
        </w:rPr>
        <w:t xml:space="preserve">月 </w:t>
      </w:r>
      <w:r>
        <w:rPr>
          <w:rFonts w:hint="eastAsia" w:ascii="宋体" w:hAnsi="宋体" w:eastAsia="宋体" w:cs="宋体"/>
          <w:kern w:val="0"/>
          <w:sz w:val="23"/>
          <w:szCs w:val="23"/>
          <w:highlight w:val="none"/>
          <w:u w:val="single"/>
        </w:rPr>
        <w:t xml:space="preserve">       </w:t>
      </w:r>
      <w:r>
        <w:rPr>
          <w:rFonts w:hint="eastAsia" w:ascii="宋体" w:hAnsi="宋体" w:eastAsia="宋体" w:cs="宋体"/>
          <w:kern w:val="0"/>
          <w:sz w:val="23"/>
          <w:szCs w:val="23"/>
          <w:highlight w:val="none"/>
        </w:rPr>
        <w:t xml:space="preserve">日 </w:t>
      </w:r>
    </w:p>
    <w:p w14:paraId="59B10402">
      <w:pPr>
        <w:tabs>
          <w:tab w:val="left" w:pos="540"/>
        </w:tabs>
        <w:spacing w:line="360" w:lineRule="auto"/>
        <w:jc w:val="center"/>
        <w:rPr>
          <w:rFonts w:hint="eastAsia" w:ascii="宋体" w:hAnsi="宋体" w:eastAsia="宋体" w:cs="宋体"/>
          <w:kern w:val="0"/>
          <w:szCs w:val="21"/>
          <w:highlight w:val="none"/>
        </w:rPr>
      </w:pPr>
    </w:p>
    <w:p w14:paraId="350FFF5B">
      <w:pPr>
        <w:tabs>
          <w:tab w:val="left" w:pos="540"/>
        </w:tabs>
        <w:spacing w:line="360" w:lineRule="auto"/>
        <w:jc w:val="center"/>
        <w:rPr>
          <w:rFonts w:hint="eastAsia" w:ascii="宋体" w:hAnsi="宋体" w:eastAsia="宋体" w:cs="宋体"/>
          <w:kern w:val="0"/>
          <w:szCs w:val="21"/>
          <w:highlight w:val="none"/>
        </w:rPr>
      </w:pPr>
    </w:p>
    <w:p w14:paraId="5CB9821F">
      <w:pPr>
        <w:tabs>
          <w:tab w:val="left" w:pos="540"/>
        </w:tabs>
        <w:spacing w:line="360" w:lineRule="auto"/>
        <w:jc w:val="center"/>
        <w:rPr>
          <w:rFonts w:hint="eastAsia" w:ascii="宋体" w:hAnsi="宋体" w:eastAsia="宋体" w:cs="宋体"/>
          <w:kern w:val="0"/>
          <w:szCs w:val="21"/>
          <w:highlight w:val="none"/>
        </w:rPr>
      </w:pPr>
    </w:p>
    <w:p w14:paraId="4178D02D">
      <w:pPr>
        <w:bidi w:val="0"/>
        <w:jc w:val="center"/>
        <w:rPr>
          <w:rFonts w:hint="eastAsia" w:ascii="宋体" w:hAnsi="宋体" w:eastAsia="宋体" w:cs="宋体"/>
          <w:b/>
          <w:bCs w:val="0"/>
          <w:sz w:val="28"/>
          <w:szCs w:val="28"/>
          <w:highlight w:val="none"/>
        </w:rPr>
      </w:pPr>
      <w:bookmarkStart w:id="241" w:name="_Toc519242230"/>
      <w:r>
        <w:rPr>
          <w:rFonts w:hint="eastAsia" w:ascii="宋体" w:hAnsi="宋体" w:eastAsia="宋体" w:cs="宋体"/>
          <w:szCs w:val="28"/>
          <w:highlight w:val="none"/>
        </w:rPr>
        <w:br w:type="page"/>
      </w:r>
      <w:bookmarkStart w:id="242" w:name="_Toc533409804"/>
      <w:r>
        <w:rPr>
          <w:rFonts w:hint="eastAsia" w:ascii="宋体" w:hAnsi="宋体" w:eastAsia="宋体" w:cs="宋体"/>
          <w:b/>
          <w:bCs w:val="0"/>
          <w:sz w:val="28"/>
          <w:szCs w:val="28"/>
          <w:highlight w:val="none"/>
        </w:rPr>
        <w:t>三、联合体协议书</w:t>
      </w:r>
      <w:bookmarkEnd w:id="241"/>
      <w:bookmarkEnd w:id="242"/>
    </w:p>
    <w:p w14:paraId="24F11C49">
      <w:pPr>
        <w:spacing w:before="240" w:beforeLines="100" w:after="120"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(无)</w:t>
      </w:r>
    </w:p>
    <w:p w14:paraId="60D25769">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1E9515EF">
      <w:pPr>
        <w:pStyle w:val="5"/>
        <w:spacing w:before="0" w:after="0" w:line="360" w:lineRule="auto"/>
        <w:jc w:val="center"/>
        <w:rPr>
          <w:rFonts w:hint="eastAsia" w:ascii="宋体" w:hAnsi="宋体" w:eastAsia="宋体" w:cs="宋体"/>
          <w:bCs w:val="0"/>
          <w:szCs w:val="21"/>
          <w:highlight w:val="none"/>
        </w:rPr>
      </w:pPr>
      <w:bookmarkStart w:id="243" w:name="_Toc533409805"/>
      <w:r>
        <w:rPr>
          <w:rFonts w:hint="eastAsia" w:ascii="宋体" w:hAnsi="宋体" w:eastAsia="宋体" w:cs="宋体"/>
          <w:bCs w:val="0"/>
          <w:szCs w:val="21"/>
          <w:highlight w:val="none"/>
        </w:rPr>
        <w:t>四、投标保证金</w:t>
      </w:r>
      <w:bookmarkEnd w:id="243"/>
    </w:p>
    <w:p w14:paraId="1B757A24">
      <w:pPr>
        <w:tabs>
          <w:tab w:val="left" w:pos="4680"/>
        </w:tabs>
        <w:spacing w:after="120" w:afterLines="50" w:line="360" w:lineRule="auto"/>
        <w:rPr>
          <w:rFonts w:hint="eastAsia" w:ascii="宋体" w:hAnsi="宋体" w:eastAsia="宋体" w:cs="宋体"/>
          <w:sz w:val="24"/>
          <w:highlight w:val="none"/>
        </w:rPr>
      </w:pPr>
    </w:p>
    <w:p w14:paraId="3FBCC132">
      <w:pPr>
        <w:bidi w:val="0"/>
        <w:jc w:val="center"/>
        <w:rPr>
          <w:rFonts w:hint="eastAsia"/>
          <w:highlight w:val="none"/>
          <w:lang w:eastAsia="zh-CN"/>
        </w:rPr>
      </w:pPr>
      <w:r>
        <w:rPr>
          <w:rFonts w:hint="eastAsia"/>
          <w:b/>
          <w:bCs/>
          <w:sz w:val="28"/>
          <w:szCs w:val="28"/>
          <w:highlight w:val="none"/>
          <w:lang w:eastAsia="zh-CN"/>
        </w:rPr>
        <w:t>投标保证金信用承诺函</w:t>
      </w:r>
    </w:p>
    <w:p w14:paraId="35AB9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招标人名称：</w:t>
      </w:r>
      <w:r>
        <w:rPr>
          <w:rFonts w:hint="eastAsia"/>
          <w:highlight w:val="none"/>
          <w:u w:val="single"/>
          <w:lang w:val="en-US" w:eastAsia="zh-CN"/>
        </w:rPr>
        <w:t xml:space="preserve">                        </w:t>
      </w:r>
    </w:p>
    <w:p w14:paraId="6FB713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我公司因参加</w:t>
      </w:r>
      <w:r>
        <w:rPr>
          <w:rFonts w:hint="eastAsia"/>
          <w:highlight w:val="none"/>
          <w:u w:val="single"/>
          <w:lang w:val="en-US" w:eastAsia="zh-CN"/>
        </w:rPr>
        <w:t xml:space="preserve">                        </w:t>
      </w:r>
      <w:r>
        <w:rPr>
          <w:rFonts w:hint="eastAsia"/>
          <w:highlight w:val="none"/>
          <w:lang w:val="en-US" w:eastAsia="zh-CN"/>
        </w:rPr>
        <w:t>（项目名称）投标活动，特承诺将按照招标文件要求依法履行投标人责任和义务。如有违反，将按照招标人要求全额付清投标保证金</w:t>
      </w:r>
      <w:r>
        <w:rPr>
          <w:rFonts w:hint="eastAsia"/>
          <w:highlight w:val="none"/>
          <w:u w:val="single"/>
          <w:lang w:val="en-US" w:eastAsia="zh-CN"/>
        </w:rPr>
        <w:t xml:space="preserve">             </w:t>
      </w:r>
      <w:r>
        <w:rPr>
          <w:rFonts w:hint="eastAsia"/>
          <w:highlight w:val="none"/>
          <w:lang w:val="en-US" w:eastAsia="zh-CN"/>
        </w:rPr>
        <w:t>万元，逾期未支付的愿意承担信用惩戒等相应责任。</w:t>
      </w:r>
    </w:p>
    <w:p w14:paraId="42B8B8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highlight w:val="none"/>
          <w:lang w:val="en-US" w:eastAsia="zh-CN"/>
        </w:rPr>
        <w:t>如有争议，服从行政监督部门作出的行政决定，或仲裁委员会作出的仲裁裁决，或工程项目所在地人民法院作出的判决。</w:t>
      </w:r>
    </w:p>
    <w:p w14:paraId="2E23C9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p>
    <w:p w14:paraId="5FC544F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highlight w:val="none"/>
          <w:lang w:val="en-US" w:eastAsia="zh-CN"/>
        </w:rPr>
      </w:pPr>
      <w:r>
        <w:rPr>
          <w:rFonts w:hint="eastAsia"/>
          <w:highlight w:val="none"/>
          <w:lang w:val="en-US" w:eastAsia="zh-CN"/>
        </w:rPr>
        <w:t>投标人名称：</w:t>
      </w:r>
      <w:r>
        <w:rPr>
          <w:rFonts w:hint="eastAsia"/>
          <w:highlight w:val="none"/>
          <w:u w:val="single"/>
          <w:lang w:val="en-US" w:eastAsia="zh-CN"/>
        </w:rPr>
        <w:t xml:space="preserve">                      </w:t>
      </w:r>
      <w:r>
        <w:rPr>
          <w:rFonts w:hint="eastAsia"/>
          <w:highlight w:val="none"/>
          <w:lang w:val="en-US" w:eastAsia="zh-CN"/>
        </w:rPr>
        <w:t>（电子签章）</w:t>
      </w:r>
    </w:p>
    <w:p w14:paraId="172401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sz w:val="36"/>
          <w:highlight w:val="none"/>
        </w:rPr>
      </w:pPr>
      <w:r>
        <w:rPr>
          <w:rFonts w:hint="eastAsia"/>
          <w:highlight w:val="none"/>
          <w:lang w:val="en-US" w:eastAsia="zh-CN"/>
        </w:rPr>
        <w:t>年</w:t>
      </w:r>
      <w:r>
        <w:rPr>
          <w:rFonts w:hint="eastAsia"/>
          <w:highlight w:val="none"/>
          <w:u w:val="single"/>
          <w:lang w:val="en-US" w:eastAsia="zh-CN"/>
        </w:rPr>
        <w:t xml:space="preserve">    </w:t>
      </w:r>
      <w:r>
        <w:rPr>
          <w:rFonts w:hint="eastAsia"/>
          <w:highlight w:val="none"/>
          <w:lang w:val="en-US" w:eastAsia="zh-CN"/>
        </w:rPr>
        <w:t>月</w:t>
      </w:r>
      <w:r>
        <w:rPr>
          <w:rFonts w:hint="eastAsia"/>
          <w:highlight w:val="none"/>
          <w:u w:val="single"/>
          <w:lang w:val="en-US" w:eastAsia="zh-CN"/>
        </w:rPr>
        <w:t xml:space="preserve">    </w:t>
      </w:r>
      <w:r>
        <w:rPr>
          <w:rFonts w:hint="eastAsia"/>
          <w:highlight w:val="none"/>
          <w:lang w:val="en-US" w:eastAsia="zh-CN"/>
        </w:rPr>
        <w:t>日</w:t>
      </w:r>
    </w:p>
    <w:p w14:paraId="31427CFD">
      <w:pPr>
        <w:jc w:val="center"/>
        <w:rPr>
          <w:rFonts w:hint="eastAsia" w:ascii="宋体" w:hAnsi="宋体" w:eastAsia="宋体" w:cs="宋体"/>
          <w:kern w:val="0"/>
          <w:szCs w:val="21"/>
          <w:highlight w:val="none"/>
        </w:rPr>
      </w:pPr>
    </w:p>
    <w:p w14:paraId="081A1FED">
      <w:pPr>
        <w:jc w:val="center"/>
        <w:rPr>
          <w:rFonts w:hint="eastAsia" w:ascii="宋体" w:hAnsi="宋体" w:eastAsia="宋体" w:cs="宋体"/>
          <w:kern w:val="0"/>
          <w:szCs w:val="21"/>
          <w:highlight w:val="none"/>
        </w:rPr>
      </w:pPr>
    </w:p>
    <w:p w14:paraId="06A50CE4">
      <w:pPr>
        <w:jc w:val="center"/>
        <w:rPr>
          <w:rFonts w:hint="eastAsia" w:ascii="宋体" w:hAnsi="宋体" w:eastAsia="宋体" w:cs="宋体"/>
          <w:kern w:val="0"/>
          <w:szCs w:val="21"/>
          <w:highlight w:val="none"/>
        </w:rPr>
      </w:pPr>
    </w:p>
    <w:p w14:paraId="337F9208">
      <w:pPr>
        <w:jc w:val="center"/>
        <w:rPr>
          <w:rFonts w:hint="eastAsia" w:ascii="宋体" w:hAnsi="宋体" w:eastAsia="宋体" w:cs="宋体"/>
          <w:kern w:val="0"/>
          <w:szCs w:val="21"/>
          <w:highlight w:val="none"/>
        </w:rPr>
      </w:pPr>
    </w:p>
    <w:p w14:paraId="25377D8E">
      <w:pPr>
        <w:jc w:val="center"/>
        <w:rPr>
          <w:rFonts w:hint="eastAsia" w:ascii="宋体" w:hAnsi="宋体" w:eastAsia="宋体" w:cs="宋体"/>
          <w:highlight w:val="none"/>
        </w:rPr>
      </w:pPr>
      <w:r>
        <w:rPr>
          <w:rFonts w:hint="eastAsia" w:ascii="宋体" w:hAnsi="宋体" w:eastAsia="宋体" w:cs="宋体"/>
          <w:kern w:val="0"/>
          <w:szCs w:val="21"/>
          <w:highlight w:val="none"/>
        </w:rPr>
        <w:t xml:space="preserve"> </w:t>
      </w:r>
    </w:p>
    <w:p w14:paraId="725DB52F">
      <w:pPr>
        <w:jc w:val="center"/>
        <w:rPr>
          <w:rFonts w:hint="eastAsia" w:ascii="宋体" w:hAnsi="宋体" w:eastAsia="宋体" w:cs="宋体"/>
          <w:sz w:val="24"/>
          <w:highlight w:val="none"/>
        </w:rPr>
      </w:pPr>
    </w:p>
    <w:p w14:paraId="0EA2AA03">
      <w:pPr>
        <w:jc w:val="right"/>
        <w:rPr>
          <w:rFonts w:hint="eastAsia" w:ascii="宋体" w:hAnsi="宋体" w:eastAsia="宋体" w:cs="宋体"/>
          <w:sz w:val="24"/>
          <w:highlight w:val="none"/>
        </w:rPr>
      </w:pPr>
    </w:p>
    <w:p w14:paraId="3E961F33">
      <w:pPr>
        <w:jc w:val="right"/>
        <w:rPr>
          <w:rFonts w:hint="eastAsia" w:ascii="宋体" w:hAnsi="宋体" w:eastAsia="宋体" w:cs="宋体"/>
          <w:sz w:val="24"/>
          <w:highlight w:val="none"/>
        </w:rPr>
      </w:pPr>
    </w:p>
    <w:p w14:paraId="4E7E3DF7">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投  标  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(电子签章)</w:t>
      </w:r>
    </w:p>
    <w:p w14:paraId="3361357F">
      <w:pPr>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(电子签章)</w:t>
      </w:r>
    </w:p>
    <w:p w14:paraId="4B02CF35">
      <w:pPr>
        <w:spacing w:line="360" w:lineRule="auto"/>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290B1FB">
      <w:pPr>
        <w:bidi w:val="0"/>
        <w:jc w:val="center"/>
        <w:rPr>
          <w:rFonts w:hint="eastAsia" w:ascii="宋体" w:hAnsi="宋体" w:eastAsia="宋体" w:cs="宋体"/>
          <w:b/>
          <w:szCs w:val="28"/>
          <w:highlight w:val="none"/>
        </w:rPr>
      </w:pPr>
      <w:r>
        <w:rPr>
          <w:rFonts w:hint="eastAsia" w:ascii="宋体" w:hAnsi="宋体" w:eastAsia="宋体" w:cs="宋体"/>
          <w:highlight w:val="none"/>
        </w:rPr>
        <w:br w:type="page"/>
      </w:r>
      <w:bookmarkStart w:id="244" w:name="_Toc139451018"/>
      <w:bookmarkStart w:id="245" w:name="_Toc139453233"/>
      <w:bookmarkStart w:id="246" w:name="_Toc226887396"/>
      <w:bookmarkStart w:id="247" w:name="_Toc222740177"/>
      <w:bookmarkStart w:id="248" w:name="_Toc533409806"/>
      <w:bookmarkStart w:id="249" w:name="_Toc226887681"/>
      <w:r>
        <w:rPr>
          <w:rFonts w:hint="eastAsia" w:ascii="宋体" w:hAnsi="宋体" w:eastAsia="宋体" w:cs="宋体"/>
          <w:b/>
          <w:bCs w:val="0"/>
          <w:sz w:val="28"/>
          <w:szCs w:val="28"/>
          <w:highlight w:val="none"/>
        </w:rPr>
        <w:t>五、资格审查</w:t>
      </w:r>
      <w:bookmarkEnd w:id="244"/>
      <w:bookmarkEnd w:id="245"/>
      <w:r>
        <w:rPr>
          <w:rFonts w:hint="eastAsia" w:ascii="宋体" w:hAnsi="宋体" w:eastAsia="宋体" w:cs="宋体"/>
          <w:b/>
          <w:bCs w:val="0"/>
          <w:sz w:val="28"/>
          <w:szCs w:val="28"/>
          <w:highlight w:val="none"/>
        </w:rPr>
        <w:t>证明材料</w:t>
      </w:r>
      <w:bookmarkEnd w:id="246"/>
      <w:bookmarkEnd w:id="247"/>
      <w:bookmarkEnd w:id="248"/>
      <w:bookmarkEnd w:id="249"/>
    </w:p>
    <w:p w14:paraId="6590E2ED">
      <w:pPr>
        <w:spacing w:before="120" w:beforeLines="50" w:after="240" w:afterLines="10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（一）投标人基本情况表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6E15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B3BBE0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投标人名称</w:t>
            </w:r>
          </w:p>
        </w:tc>
        <w:tc>
          <w:tcPr>
            <w:tcW w:w="7020" w:type="dxa"/>
            <w:gridSpan w:val="9"/>
            <w:noWrap w:val="0"/>
            <w:vAlign w:val="center"/>
          </w:tcPr>
          <w:p w14:paraId="27032FAF">
            <w:pPr>
              <w:spacing w:line="360" w:lineRule="auto"/>
              <w:jc w:val="center"/>
              <w:rPr>
                <w:rFonts w:hint="eastAsia" w:ascii="宋体" w:hAnsi="宋体" w:eastAsia="宋体" w:cs="宋体"/>
                <w:szCs w:val="21"/>
                <w:highlight w:val="none"/>
              </w:rPr>
            </w:pPr>
          </w:p>
        </w:tc>
      </w:tr>
      <w:tr w14:paraId="35D2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8CEB6F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389" w:type="dxa"/>
            <w:gridSpan w:val="5"/>
            <w:noWrap w:val="0"/>
            <w:vAlign w:val="center"/>
          </w:tcPr>
          <w:p w14:paraId="6885EDCD">
            <w:pPr>
              <w:spacing w:line="360" w:lineRule="auto"/>
              <w:jc w:val="center"/>
              <w:rPr>
                <w:rFonts w:hint="eastAsia" w:ascii="宋体" w:hAnsi="宋体" w:eastAsia="宋体" w:cs="宋体"/>
                <w:szCs w:val="21"/>
                <w:highlight w:val="none"/>
              </w:rPr>
            </w:pPr>
          </w:p>
        </w:tc>
        <w:tc>
          <w:tcPr>
            <w:tcW w:w="1246" w:type="dxa"/>
            <w:noWrap w:val="0"/>
            <w:vAlign w:val="center"/>
          </w:tcPr>
          <w:p w14:paraId="6067827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385" w:type="dxa"/>
            <w:gridSpan w:val="3"/>
            <w:noWrap w:val="0"/>
            <w:vAlign w:val="center"/>
          </w:tcPr>
          <w:p w14:paraId="3E9ABB1A">
            <w:pPr>
              <w:spacing w:line="360" w:lineRule="auto"/>
              <w:jc w:val="center"/>
              <w:rPr>
                <w:rFonts w:hint="eastAsia" w:ascii="宋体" w:hAnsi="宋体" w:eastAsia="宋体" w:cs="宋体"/>
                <w:szCs w:val="21"/>
                <w:highlight w:val="none"/>
              </w:rPr>
            </w:pPr>
          </w:p>
        </w:tc>
      </w:tr>
      <w:tr w14:paraId="21CA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30D0D5C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897" w:type="dxa"/>
            <w:noWrap w:val="0"/>
            <w:vAlign w:val="center"/>
          </w:tcPr>
          <w:p w14:paraId="356FCB5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2492" w:type="dxa"/>
            <w:gridSpan w:val="4"/>
            <w:noWrap w:val="0"/>
            <w:vAlign w:val="center"/>
          </w:tcPr>
          <w:p w14:paraId="79D23937">
            <w:pPr>
              <w:spacing w:line="360" w:lineRule="auto"/>
              <w:jc w:val="center"/>
              <w:rPr>
                <w:rFonts w:hint="eastAsia" w:ascii="宋体" w:hAnsi="宋体" w:eastAsia="宋体" w:cs="宋体"/>
                <w:szCs w:val="21"/>
                <w:highlight w:val="none"/>
              </w:rPr>
            </w:pPr>
          </w:p>
        </w:tc>
        <w:tc>
          <w:tcPr>
            <w:tcW w:w="1246" w:type="dxa"/>
            <w:noWrap w:val="0"/>
            <w:vAlign w:val="center"/>
          </w:tcPr>
          <w:p w14:paraId="767C030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2385" w:type="dxa"/>
            <w:gridSpan w:val="3"/>
            <w:noWrap w:val="0"/>
            <w:vAlign w:val="center"/>
          </w:tcPr>
          <w:p w14:paraId="7095F155">
            <w:pPr>
              <w:spacing w:line="360" w:lineRule="auto"/>
              <w:jc w:val="center"/>
              <w:rPr>
                <w:rFonts w:hint="eastAsia" w:ascii="宋体" w:hAnsi="宋体" w:eastAsia="宋体" w:cs="宋体"/>
                <w:szCs w:val="21"/>
                <w:highlight w:val="none"/>
              </w:rPr>
            </w:pPr>
          </w:p>
        </w:tc>
      </w:tr>
      <w:tr w14:paraId="289A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6313F070">
            <w:pPr>
              <w:spacing w:line="360" w:lineRule="auto"/>
              <w:jc w:val="center"/>
              <w:rPr>
                <w:rFonts w:hint="eastAsia" w:ascii="宋体" w:hAnsi="宋体" w:eastAsia="宋体" w:cs="宋体"/>
                <w:szCs w:val="21"/>
                <w:highlight w:val="none"/>
              </w:rPr>
            </w:pPr>
          </w:p>
        </w:tc>
        <w:tc>
          <w:tcPr>
            <w:tcW w:w="897" w:type="dxa"/>
            <w:noWrap w:val="0"/>
            <w:vAlign w:val="center"/>
          </w:tcPr>
          <w:p w14:paraId="6ABDAE4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492" w:type="dxa"/>
            <w:gridSpan w:val="4"/>
            <w:noWrap w:val="0"/>
            <w:vAlign w:val="center"/>
          </w:tcPr>
          <w:p w14:paraId="7595FDF3">
            <w:pPr>
              <w:spacing w:line="360" w:lineRule="auto"/>
              <w:jc w:val="center"/>
              <w:rPr>
                <w:rFonts w:hint="eastAsia" w:ascii="宋体" w:hAnsi="宋体" w:eastAsia="宋体" w:cs="宋体"/>
                <w:szCs w:val="21"/>
                <w:highlight w:val="none"/>
              </w:rPr>
            </w:pPr>
          </w:p>
        </w:tc>
        <w:tc>
          <w:tcPr>
            <w:tcW w:w="1246" w:type="dxa"/>
            <w:noWrap w:val="0"/>
            <w:vAlign w:val="center"/>
          </w:tcPr>
          <w:p w14:paraId="6D38190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电子邮件</w:t>
            </w:r>
          </w:p>
        </w:tc>
        <w:tc>
          <w:tcPr>
            <w:tcW w:w="2385" w:type="dxa"/>
            <w:gridSpan w:val="3"/>
            <w:noWrap w:val="0"/>
            <w:vAlign w:val="center"/>
          </w:tcPr>
          <w:p w14:paraId="42335213">
            <w:pPr>
              <w:spacing w:line="360" w:lineRule="auto"/>
              <w:jc w:val="center"/>
              <w:rPr>
                <w:rFonts w:hint="eastAsia" w:ascii="宋体" w:hAnsi="宋体" w:eastAsia="宋体" w:cs="宋体"/>
                <w:szCs w:val="21"/>
                <w:highlight w:val="none"/>
              </w:rPr>
            </w:pPr>
          </w:p>
        </w:tc>
      </w:tr>
      <w:tr w14:paraId="2DE6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71F50B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897" w:type="dxa"/>
            <w:noWrap w:val="0"/>
            <w:vAlign w:val="center"/>
          </w:tcPr>
          <w:p w14:paraId="7F1D015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021" w:type="dxa"/>
            <w:noWrap w:val="0"/>
            <w:vAlign w:val="center"/>
          </w:tcPr>
          <w:p w14:paraId="5FBBF31B">
            <w:pPr>
              <w:spacing w:line="360" w:lineRule="auto"/>
              <w:jc w:val="center"/>
              <w:rPr>
                <w:rFonts w:hint="eastAsia" w:ascii="宋体" w:hAnsi="宋体" w:eastAsia="宋体" w:cs="宋体"/>
                <w:szCs w:val="21"/>
                <w:highlight w:val="none"/>
              </w:rPr>
            </w:pPr>
          </w:p>
        </w:tc>
        <w:tc>
          <w:tcPr>
            <w:tcW w:w="1276" w:type="dxa"/>
            <w:gridSpan w:val="2"/>
            <w:noWrap w:val="0"/>
            <w:vAlign w:val="center"/>
          </w:tcPr>
          <w:p w14:paraId="3B1F2CC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701" w:type="dxa"/>
            <w:gridSpan w:val="3"/>
            <w:noWrap w:val="0"/>
            <w:vAlign w:val="center"/>
          </w:tcPr>
          <w:p w14:paraId="3BDD1612">
            <w:pPr>
              <w:spacing w:line="360" w:lineRule="auto"/>
              <w:jc w:val="center"/>
              <w:rPr>
                <w:rFonts w:hint="eastAsia" w:ascii="宋体" w:hAnsi="宋体" w:eastAsia="宋体" w:cs="宋体"/>
                <w:szCs w:val="21"/>
                <w:highlight w:val="none"/>
              </w:rPr>
            </w:pPr>
          </w:p>
        </w:tc>
        <w:tc>
          <w:tcPr>
            <w:tcW w:w="709" w:type="dxa"/>
            <w:noWrap w:val="0"/>
            <w:vAlign w:val="center"/>
          </w:tcPr>
          <w:p w14:paraId="668F381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1416" w:type="dxa"/>
            <w:noWrap w:val="0"/>
            <w:vAlign w:val="center"/>
          </w:tcPr>
          <w:p w14:paraId="3F5DFDF1">
            <w:pPr>
              <w:spacing w:line="360" w:lineRule="auto"/>
              <w:jc w:val="center"/>
              <w:rPr>
                <w:rFonts w:hint="eastAsia" w:ascii="宋体" w:hAnsi="宋体" w:eastAsia="宋体" w:cs="宋体"/>
                <w:szCs w:val="21"/>
                <w:highlight w:val="none"/>
              </w:rPr>
            </w:pPr>
          </w:p>
        </w:tc>
      </w:tr>
      <w:tr w14:paraId="2F98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EF2390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897" w:type="dxa"/>
            <w:noWrap w:val="0"/>
            <w:vAlign w:val="center"/>
          </w:tcPr>
          <w:p w14:paraId="220EDD3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021" w:type="dxa"/>
            <w:noWrap w:val="0"/>
            <w:vAlign w:val="center"/>
          </w:tcPr>
          <w:p w14:paraId="3EB868AA">
            <w:pPr>
              <w:spacing w:line="360" w:lineRule="auto"/>
              <w:jc w:val="center"/>
              <w:rPr>
                <w:rFonts w:hint="eastAsia" w:ascii="宋体" w:hAnsi="宋体" w:eastAsia="宋体" w:cs="宋体"/>
                <w:szCs w:val="21"/>
                <w:highlight w:val="none"/>
              </w:rPr>
            </w:pPr>
          </w:p>
        </w:tc>
        <w:tc>
          <w:tcPr>
            <w:tcW w:w="1276" w:type="dxa"/>
            <w:gridSpan w:val="2"/>
            <w:noWrap w:val="0"/>
            <w:vAlign w:val="center"/>
          </w:tcPr>
          <w:p w14:paraId="7FE1239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701" w:type="dxa"/>
            <w:gridSpan w:val="3"/>
            <w:noWrap w:val="0"/>
            <w:vAlign w:val="center"/>
          </w:tcPr>
          <w:p w14:paraId="5134F4E7">
            <w:pPr>
              <w:spacing w:line="360" w:lineRule="auto"/>
              <w:jc w:val="center"/>
              <w:rPr>
                <w:rFonts w:hint="eastAsia" w:ascii="宋体" w:hAnsi="宋体" w:eastAsia="宋体" w:cs="宋体"/>
                <w:szCs w:val="21"/>
                <w:highlight w:val="none"/>
              </w:rPr>
            </w:pPr>
          </w:p>
        </w:tc>
        <w:tc>
          <w:tcPr>
            <w:tcW w:w="709" w:type="dxa"/>
            <w:noWrap w:val="0"/>
            <w:vAlign w:val="center"/>
          </w:tcPr>
          <w:p w14:paraId="74C90AF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1416" w:type="dxa"/>
            <w:noWrap w:val="0"/>
            <w:vAlign w:val="center"/>
          </w:tcPr>
          <w:p w14:paraId="4D751DAF">
            <w:pPr>
              <w:spacing w:line="360" w:lineRule="auto"/>
              <w:jc w:val="center"/>
              <w:rPr>
                <w:rFonts w:hint="eastAsia" w:ascii="宋体" w:hAnsi="宋体" w:eastAsia="宋体" w:cs="宋体"/>
                <w:szCs w:val="21"/>
                <w:highlight w:val="none"/>
              </w:rPr>
            </w:pPr>
          </w:p>
        </w:tc>
      </w:tr>
      <w:tr w14:paraId="01C5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A93A7D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企业监理资质证书 </w:t>
            </w:r>
          </w:p>
        </w:tc>
        <w:tc>
          <w:tcPr>
            <w:tcW w:w="7020" w:type="dxa"/>
            <w:gridSpan w:val="9"/>
            <w:noWrap w:val="0"/>
            <w:vAlign w:val="center"/>
          </w:tcPr>
          <w:p w14:paraId="68960CE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类型：              等级：                 证书号： </w:t>
            </w:r>
          </w:p>
        </w:tc>
      </w:tr>
      <w:tr w14:paraId="2355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1678AD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营业执照号</w:t>
            </w:r>
          </w:p>
        </w:tc>
        <w:tc>
          <w:tcPr>
            <w:tcW w:w="1918" w:type="dxa"/>
            <w:gridSpan w:val="2"/>
            <w:noWrap w:val="0"/>
            <w:vAlign w:val="center"/>
          </w:tcPr>
          <w:p w14:paraId="280D71FA">
            <w:pPr>
              <w:spacing w:line="360" w:lineRule="auto"/>
              <w:jc w:val="center"/>
              <w:rPr>
                <w:rFonts w:hint="eastAsia" w:ascii="宋体" w:hAnsi="宋体" w:eastAsia="宋体" w:cs="宋体"/>
                <w:szCs w:val="21"/>
                <w:highlight w:val="none"/>
              </w:rPr>
            </w:pPr>
          </w:p>
        </w:tc>
        <w:tc>
          <w:tcPr>
            <w:tcW w:w="5102" w:type="dxa"/>
            <w:gridSpan w:val="7"/>
            <w:noWrap w:val="0"/>
            <w:vAlign w:val="center"/>
          </w:tcPr>
          <w:p w14:paraId="44E0049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员工总人数：</w:t>
            </w:r>
          </w:p>
        </w:tc>
      </w:tr>
      <w:tr w14:paraId="2F7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3AF826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注册资金</w:t>
            </w:r>
          </w:p>
        </w:tc>
        <w:tc>
          <w:tcPr>
            <w:tcW w:w="1918" w:type="dxa"/>
            <w:gridSpan w:val="2"/>
            <w:noWrap w:val="0"/>
            <w:vAlign w:val="center"/>
          </w:tcPr>
          <w:p w14:paraId="5017234E">
            <w:pPr>
              <w:spacing w:line="360" w:lineRule="auto"/>
              <w:jc w:val="center"/>
              <w:rPr>
                <w:rFonts w:hint="eastAsia" w:ascii="宋体" w:hAnsi="宋体" w:eastAsia="宋体" w:cs="宋体"/>
                <w:szCs w:val="21"/>
                <w:highlight w:val="none"/>
              </w:rPr>
            </w:pPr>
          </w:p>
        </w:tc>
        <w:tc>
          <w:tcPr>
            <w:tcW w:w="993" w:type="dxa"/>
            <w:vMerge w:val="restart"/>
            <w:noWrap w:val="0"/>
            <w:vAlign w:val="center"/>
          </w:tcPr>
          <w:p w14:paraId="5507E95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其中</w:t>
            </w:r>
          </w:p>
        </w:tc>
        <w:tc>
          <w:tcPr>
            <w:tcW w:w="1984" w:type="dxa"/>
            <w:gridSpan w:val="4"/>
            <w:noWrap w:val="0"/>
            <w:vAlign w:val="center"/>
          </w:tcPr>
          <w:p w14:paraId="56C75D3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高级职称人员</w:t>
            </w:r>
          </w:p>
        </w:tc>
        <w:tc>
          <w:tcPr>
            <w:tcW w:w="2125" w:type="dxa"/>
            <w:gridSpan w:val="2"/>
            <w:noWrap w:val="0"/>
            <w:vAlign w:val="center"/>
          </w:tcPr>
          <w:p w14:paraId="59C8232B">
            <w:pPr>
              <w:spacing w:line="360" w:lineRule="auto"/>
              <w:jc w:val="center"/>
              <w:rPr>
                <w:rFonts w:hint="eastAsia" w:ascii="宋体" w:hAnsi="宋体" w:eastAsia="宋体" w:cs="宋体"/>
                <w:szCs w:val="21"/>
                <w:highlight w:val="none"/>
              </w:rPr>
            </w:pPr>
          </w:p>
        </w:tc>
      </w:tr>
      <w:tr w14:paraId="6C5D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A07A02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918" w:type="dxa"/>
            <w:gridSpan w:val="2"/>
            <w:noWrap w:val="0"/>
            <w:vAlign w:val="center"/>
          </w:tcPr>
          <w:p w14:paraId="55EC18C1">
            <w:pPr>
              <w:spacing w:line="360" w:lineRule="auto"/>
              <w:jc w:val="center"/>
              <w:rPr>
                <w:rFonts w:hint="eastAsia" w:ascii="宋体" w:hAnsi="宋体" w:eastAsia="宋体" w:cs="宋体"/>
                <w:szCs w:val="21"/>
                <w:highlight w:val="none"/>
              </w:rPr>
            </w:pPr>
          </w:p>
        </w:tc>
        <w:tc>
          <w:tcPr>
            <w:tcW w:w="993" w:type="dxa"/>
            <w:vMerge w:val="continue"/>
            <w:noWrap w:val="0"/>
            <w:vAlign w:val="center"/>
          </w:tcPr>
          <w:p w14:paraId="6664272A">
            <w:pPr>
              <w:spacing w:line="360" w:lineRule="auto"/>
              <w:jc w:val="center"/>
              <w:rPr>
                <w:rFonts w:hint="eastAsia" w:ascii="宋体" w:hAnsi="宋体" w:eastAsia="宋体" w:cs="宋体"/>
                <w:szCs w:val="21"/>
                <w:highlight w:val="none"/>
              </w:rPr>
            </w:pPr>
          </w:p>
        </w:tc>
        <w:tc>
          <w:tcPr>
            <w:tcW w:w="1984" w:type="dxa"/>
            <w:gridSpan w:val="4"/>
            <w:noWrap w:val="0"/>
            <w:vAlign w:val="center"/>
          </w:tcPr>
          <w:p w14:paraId="326370D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中级职称人员</w:t>
            </w:r>
          </w:p>
        </w:tc>
        <w:tc>
          <w:tcPr>
            <w:tcW w:w="2125" w:type="dxa"/>
            <w:gridSpan w:val="2"/>
            <w:noWrap w:val="0"/>
            <w:vAlign w:val="center"/>
          </w:tcPr>
          <w:p w14:paraId="3B3AA6DA">
            <w:pPr>
              <w:spacing w:line="360" w:lineRule="auto"/>
              <w:jc w:val="center"/>
              <w:rPr>
                <w:rFonts w:hint="eastAsia" w:ascii="宋体" w:hAnsi="宋体" w:eastAsia="宋体" w:cs="宋体"/>
                <w:szCs w:val="21"/>
                <w:highlight w:val="none"/>
              </w:rPr>
            </w:pPr>
          </w:p>
        </w:tc>
      </w:tr>
      <w:tr w14:paraId="78EE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89D823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1918" w:type="dxa"/>
            <w:gridSpan w:val="2"/>
            <w:noWrap w:val="0"/>
            <w:vAlign w:val="center"/>
          </w:tcPr>
          <w:p w14:paraId="0A41CA53">
            <w:pPr>
              <w:spacing w:line="360" w:lineRule="auto"/>
              <w:jc w:val="center"/>
              <w:rPr>
                <w:rFonts w:hint="eastAsia" w:ascii="宋体" w:hAnsi="宋体" w:eastAsia="宋体" w:cs="宋体"/>
                <w:szCs w:val="21"/>
                <w:highlight w:val="none"/>
              </w:rPr>
            </w:pPr>
          </w:p>
        </w:tc>
        <w:tc>
          <w:tcPr>
            <w:tcW w:w="993" w:type="dxa"/>
            <w:vMerge w:val="continue"/>
            <w:noWrap w:val="0"/>
            <w:vAlign w:val="center"/>
          </w:tcPr>
          <w:p w14:paraId="13F78A36">
            <w:pPr>
              <w:spacing w:line="360" w:lineRule="auto"/>
              <w:jc w:val="center"/>
              <w:rPr>
                <w:rFonts w:hint="eastAsia" w:ascii="宋体" w:hAnsi="宋体" w:eastAsia="宋体" w:cs="宋体"/>
                <w:szCs w:val="21"/>
                <w:highlight w:val="none"/>
              </w:rPr>
            </w:pPr>
          </w:p>
        </w:tc>
        <w:tc>
          <w:tcPr>
            <w:tcW w:w="1984" w:type="dxa"/>
            <w:gridSpan w:val="4"/>
            <w:noWrap w:val="0"/>
            <w:vAlign w:val="center"/>
          </w:tcPr>
          <w:p w14:paraId="40782BF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初级职称人员</w:t>
            </w:r>
          </w:p>
        </w:tc>
        <w:tc>
          <w:tcPr>
            <w:tcW w:w="2125" w:type="dxa"/>
            <w:gridSpan w:val="2"/>
            <w:noWrap w:val="0"/>
            <w:vAlign w:val="center"/>
          </w:tcPr>
          <w:p w14:paraId="62BB70CF">
            <w:pPr>
              <w:spacing w:line="360" w:lineRule="auto"/>
              <w:jc w:val="center"/>
              <w:rPr>
                <w:rFonts w:hint="eastAsia" w:ascii="宋体" w:hAnsi="宋体" w:eastAsia="宋体" w:cs="宋体"/>
                <w:szCs w:val="21"/>
                <w:highlight w:val="none"/>
              </w:rPr>
            </w:pPr>
          </w:p>
        </w:tc>
      </w:tr>
      <w:tr w14:paraId="067A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3E8CFC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账号</w:t>
            </w:r>
          </w:p>
        </w:tc>
        <w:tc>
          <w:tcPr>
            <w:tcW w:w="1918" w:type="dxa"/>
            <w:gridSpan w:val="2"/>
            <w:noWrap w:val="0"/>
            <w:vAlign w:val="center"/>
          </w:tcPr>
          <w:p w14:paraId="73ECA6CD">
            <w:pPr>
              <w:spacing w:line="360" w:lineRule="auto"/>
              <w:jc w:val="center"/>
              <w:rPr>
                <w:rFonts w:hint="eastAsia" w:ascii="宋体" w:hAnsi="宋体" w:eastAsia="宋体" w:cs="宋体"/>
                <w:szCs w:val="21"/>
                <w:highlight w:val="none"/>
              </w:rPr>
            </w:pPr>
          </w:p>
        </w:tc>
        <w:tc>
          <w:tcPr>
            <w:tcW w:w="993" w:type="dxa"/>
            <w:vMerge w:val="continue"/>
            <w:noWrap w:val="0"/>
            <w:vAlign w:val="center"/>
          </w:tcPr>
          <w:p w14:paraId="3C466376">
            <w:pPr>
              <w:spacing w:line="360" w:lineRule="auto"/>
              <w:jc w:val="center"/>
              <w:rPr>
                <w:rFonts w:hint="eastAsia" w:ascii="宋体" w:hAnsi="宋体" w:eastAsia="宋体" w:cs="宋体"/>
                <w:szCs w:val="21"/>
                <w:highlight w:val="none"/>
              </w:rPr>
            </w:pPr>
          </w:p>
        </w:tc>
        <w:tc>
          <w:tcPr>
            <w:tcW w:w="1984" w:type="dxa"/>
            <w:gridSpan w:val="4"/>
            <w:noWrap w:val="0"/>
            <w:vAlign w:val="center"/>
          </w:tcPr>
          <w:p w14:paraId="71633F8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  工</w:t>
            </w:r>
          </w:p>
        </w:tc>
        <w:tc>
          <w:tcPr>
            <w:tcW w:w="2125" w:type="dxa"/>
            <w:gridSpan w:val="2"/>
            <w:noWrap w:val="0"/>
            <w:vAlign w:val="center"/>
          </w:tcPr>
          <w:p w14:paraId="66B93E08">
            <w:pPr>
              <w:spacing w:line="360" w:lineRule="auto"/>
              <w:jc w:val="center"/>
              <w:rPr>
                <w:rFonts w:hint="eastAsia" w:ascii="宋体" w:hAnsi="宋体" w:eastAsia="宋体" w:cs="宋体"/>
                <w:szCs w:val="21"/>
                <w:highlight w:val="none"/>
              </w:rPr>
            </w:pPr>
          </w:p>
        </w:tc>
      </w:tr>
      <w:tr w14:paraId="399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485" w:type="dxa"/>
            <w:noWrap w:val="0"/>
            <w:vAlign w:val="center"/>
          </w:tcPr>
          <w:p w14:paraId="3F15BA3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7020" w:type="dxa"/>
            <w:gridSpan w:val="9"/>
            <w:noWrap w:val="0"/>
            <w:vAlign w:val="center"/>
          </w:tcPr>
          <w:p w14:paraId="788649CE">
            <w:pPr>
              <w:spacing w:line="360" w:lineRule="auto"/>
              <w:jc w:val="center"/>
              <w:rPr>
                <w:rFonts w:hint="eastAsia" w:ascii="宋体" w:hAnsi="宋体" w:eastAsia="宋体" w:cs="宋体"/>
                <w:szCs w:val="21"/>
                <w:highlight w:val="none"/>
              </w:rPr>
            </w:pPr>
          </w:p>
        </w:tc>
      </w:tr>
      <w:tr w14:paraId="6D5D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481A63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7020" w:type="dxa"/>
            <w:gridSpan w:val="9"/>
            <w:noWrap w:val="0"/>
            <w:vAlign w:val="center"/>
          </w:tcPr>
          <w:p w14:paraId="401EA8AF">
            <w:pPr>
              <w:spacing w:line="360" w:lineRule="auto"/>
              <w:jc w:val="center"/>
              <w:rPr>
                <w:rFonts w:hint="eastAsia" w:ascii="宋体" w:hAnsi="宋体" w:eastAsia="宋体" w:cs="宋体"/>
                <w:szCs w:val="21"/>
                <w:highlight w:val="none"/>
              </w:rPr>
            </w:pPr>
          </w:p>
        </w:tc>
      </w:tr>
    </w:tbl>
    <w:p w14:paraId="18152BC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注：1.投标人应根据招标文件第二章“投标人须知”第3.5.1项的要求在本表后附相关证明材料。 </w:t>
      </w:r>
    </w:p>
    <w:p w14:paraId="77F3A434">
      <w:pPr>
        <w:spacing w:before="120" w:beforeLines="50" w:after="240" w:afterLines="100" w:line="360" w:lineRule="auto"/>
        <w:jc w:val="center"/>
        <w:rPr>
          <w:rFonts w:hint="eastAsia" w:ascii="宋体" w:hAnsi="宋体" w:eastAsia="宋体" w:cs="宋体"/>
          <w:b/>
          <w:sz w:val="24"/>
          <w:highlight w:val="none"/>
        </w:rPr>
      </w:pPr>
      <w:bookmarkStart w:id="250" w:name="_Toc447657200"/>
      <w:bookmarkStart w:id="251" w:name="_Toc457201801"/>
      <w:r>
        <w:rPr>
          <w:rFonts w:hint="eastAsia" w:ascii="宋体" w:hAnsi="宋体" w:eastAsia="宋体" w:cs="宋体"/>
          <w:b/>
          <w:sz w:val="24"/>
          <w:highlight w:val="none"/>
        </w:rPr>
        <w:br w:type="page"/>
      </w:r>
      <w:r>
        <w:rPr>
          <w:rFonts w:hint="eastAsia" w:ascii="宋体" w:hAnsi="宋体" w:eastAsia="宋体" w:cs="宋体"/>
          <w:b/>
          <w:sz w:val="24"/>
          <w:highlight w:val="none"/>
        </w:rPr>
        <w:t>（二）投标人企业组织结构框图</w:t>
      </w:r>
      <w:bookmarkEnd w:id="250"/>
      <w:bookmarkEnd w:id="251"/>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39"/>
      </w:tblGrid>
      <w:tr w14:paraId="2F521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76" w:hRule="atLeast"/>
          <w:jc w:val="center"/>
        </w:trPr>
        <w:tc>
          <w:tcPr>
            <w:tcW w:w="9639" w:type="dxa"/>
            <w:noWrap w:val="0"/>
            <w:vAlign w:val="top"/>
          </w:tcPr>
          <w:p w14:paraId="462C10E7">
            <w:pPr>
              <w:rPr>
                <w:rFonts w:hint="eastAsia" w:ascii="宋体" w:hAnsi="宋体" w:eastAsia="宋体" w:cs="宋体"/>
                <w:szCs w:val="21"/>
                <w:highlight w:val="none"/>
              </w:rPr>
            </w:pPr>
          </w:p>
          <w:p w14:paraId="44146A96">
            <w:pPr>
              <w:rPr>
                <w:rFonts w:hint="eastAsia" w:ascii="宋体" w:hAnsi="宋体" w:eastAsia="宋体" w:cs="宋体"/>
                <w:szCs w:val="21"/>
                <w:highlight w:val="none"/>
              </w:rPr>
            </w:pPr>
            <w:r>
              <w:rPr>
                <w:rFonts w:hint="eastAsia" w:ascii="宋体" w:hAnsi="宋体" w:eastAsia="宋体" w:cs="宋体"/>
                <w:szCs w:val="21"/>
                <w:highlight w:val="none"/>
              </w:rPr>
              <w:t>以框图方式表示。</w:t>
            </w:r>
          </w:p>
        </w:tc>
      </w:tr>
      <w:tr w14:paraId="5426C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3" w:hRule="atLeast"/>
          <w:jc w:val="center"/>
        </w:trPr>
        <w:tc>
          <w:tcPr>
            <w:tcW w:w="9639" w:type="dxa"/>
            <w:noWrap w:val="0"/>
            <w:vAlign w:val="top"/>
          </w:tcPr>
          <w:p w14:paraId="361715E2">
            <w:pPr>
              <w:rPr>
                <w:rFonts w:hint="eastAsia" w:ascii="宋体" w:hAnsi="宋体" w:eastAsia="宋体" w:cs="宋体"/>
                <w:szCs w:val="21"/>
                <w:highlight w:val="none"/>
              </w:rPr>
            </w:pPr>
          </w:p>
          <w:p w14:paraId="1898066C">
            <w:pPr>
              <w:rPr>
                <w:rFonts w:hint="eastAsia" w:ascii="宋体" w:hAnsi="宋体" w:eastAsia="宋体" w:cs="宋体"/>
                <w:szCs w:val="21"/>
                <w:highlight w:val="none"/>
              </w:rPr>
            </w:pPr>
            <w:r>
              <w:rPr>
                <w:rFonts w:hint="eastAsia" w:ascii="宋体" w:hAnsi="宋体" w:eastAsia="宋体" w:cs="宋体"/>
                <w:szCs w:val="21"/>
                <w:highlight w:val="none"/>
              </w:rPr>
              <w:t>说明</w:t>
            </w:r>
          </w:p>
        </w:tc>
      </w:tr>
    </w:tbl>
    <w:p w14:paraId="485BE7C9">
      <w:pPr>
        <w:spacing w:line="360" w:lineRule="auto"/>
        <w:rPr>
          <w:rFonts w:hint="eastAsia" w:ascii="宋体" w:hAnsi="宋体" w:eastAsia="宋体" w:cs="宋体"/>
          <w:szCs w:val="21"/>
          <w:highlight w:val="none"/>
        </w:rPr>
      </w:pPr>
    </w:p>
    <w:p w14:paraId="2BCABCE0">
      <w:pPr>
        <w:spacing w:before="120" w:beforeLines="50" w:after="240" w:afterLines="10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（三）近年完成的类似项目情况表</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26"/>
        <w:gridCol w:w="5907"/>
      </w:tblGrid>
      <w:tr w14:paraId="76A4F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65F7C5D9">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5907" w:type="dxa"/>
            <w:noWrap w:val="0"/>
            <w:vAlign w:val="center"/>
          </w:tcPr>
          <w:p w14:paraId="0E0CB65B">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4D49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477B6BA4">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907" w:type="dxa"/>
            <w:noWrap w:val="0"/>
            <w:vAlign w:val="center"/>
          </w:tcPr>
          <w:p w14:paraId="6F30867D">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0BFC6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2C0C59EC">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项目所在地</w:t>
            </w:r>
          </w:p>
        </w:tc>
        <w:tc>
          <w:tcPr>
            <w:tcW w:w="5907" w:type="dxa"/>
            <w:noWrap w:val="0"/>
            <w:vAlign w:val="center"/>
          </w:tcPr>
          <w:p w14:paraId="5DA4F808">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65D31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20C4C89D">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发包人名称</w:t>
            </w:r>
          </w:p>
        </w:tc>
        <w:tc>
          <w:tcPr>
            <w:tcW w:w="5907" w:type="dxa"/>
            <w:noWrap w:val="0"/>
            <w:vAlign w:val="center"/>
          </w:tcPr>
          <w:p w14:paraId="256790FE">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17C57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2B680782">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发包人地址</w:t>
            </w:r>
          </w:p>
        </w:tc>
        <w:tc>
          <w:tcPr>
            <w:tcW w:w="5907" w:type="dxa"/>
            <w:noWrap w:val="0"/>
            <w:vAlign w:val="center"/>
          </w:tcPr>
          <w:p w14:paraId="24DD2A80">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465A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2A526342">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发包人电话</w:t>
            </w:r>
          </w:p>
        </w:tc>
        <w:tc>
          <w:tcPr>
            <w:tcW w:w="5907" w:type="dxa"/>
            <w:noWrap w:val="0"/>
            <w:vAlign w:val="center"/>
          </w:tcPr>
          <w:p w14:paraId="0D25BF0E">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7B94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3758F26F">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项目等级 </w:t>
            </w:r>
          </w:p>
        </w:tc>
        <w:tc>
          <w:tcPr>
            <w:tcW w:w="5907" w:type="dxa"/>
            <w:noWrap w:val="0"/>
            <w:vAlign w:val="center"/>
          </w:tcPr>
          <w:p w14:paraId="48400568">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197BD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12A7F960">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项目总投资</w:t>
            </w:r>
          </w:p>
        </w:tc>
        <w:tc>
          <w:tcPr>
            <w:tcW w:w="5907" w:type="dxa"/>
            <w:noWrap w:val="0"/>
            <w:vAlign w:val="center"/>
          </w:tcPr>
          <w:p w14:paraId="00FC9316">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0F37E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70264768">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监理服务费</w:t>
            </w:r>
          </w:p>
        </w:tc>
        <w:tc>
          <w:tcPr>
            <w:tcW w:w="5907" w:type="dxa"/>
            <w:noWrap w:val="0"/>
            <w:vAlign w:val="center"/>
          </w:tcPr>
          <w:p w14:paraId="4FEF29EB">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602A8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427151B8">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5907" w:type="dxa"/>
            <w:noWrap w:val="0"/>
            <w:vAlign w:val="center"/>
          </w:tcPr>
          <w:p w14:paraId="57CD763B">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43A86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70128087">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监理内容</w:t>
            </w:r>
          </w:p>
        </w:tc>
        <w:tc>
          <w:tcPr>
            <w:tcW w:w="5907" w:type="dxa"/>
            <w:noWrap w:val="0"/>
            <w:vAlign w:val="center"/>
          </w:tcPr>
          <w:p w14:paraId="6741E564">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2E13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3D44089D">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总监理工程师或驻地监理工程师</w:t>
            </w:r>
          </w:p>
        </w:tc>
        <w:tc>
          <w:tcPr>
            <w:tcW w:w="5907" w:type="dxa"/>
            <w:noWrap w:val="0"/>
            <w:vAlign w:val="center"/>
          </w:tcPr>
          <w:p w14:paraId="3FF79EBC">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1C309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exact"/>
          <w:jc w:val="center"/>
        </w:trPr>
        <w:tc>
          <w:tcPr>
            <w:tcW w:w="2926" w:type="dxa"/>
            <w:noWrap w:val="0"/>
            <w:vAlign w:val="center"/>
          </w:tcPr>
          <w:p w14:paraId="5F03A66B">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项目描述</w:t>
            </w:r>
          </w:p>
        </w:tc>
        <w:tc>
          <w:tcPr>
            <w:tcW w:w="5907" w:type="dxa"/>
            <w:noWrap w:val="0"/>
            <w:vAlign w:val="center"/>
          </w:tcPr>
          <w:p w14:paraId="1B3DBC84">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r w14:paraId="3486C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926" w:type="dxa"/>
            <w:noWrap w:val="0"/>
            <w:vAlign w:val="center"/>
          </w:tcPr>
          <w:p w14:paraId="1B5EF1F3">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5907" w:type="dxa"/>
            <w:noWrap w:val="0"/>
            <w:vAlign w:val="center"/>
          </w:tcPr>
          <w:p w14:paraId="08A2975B">
            <w:pPr>
              <w:tabs>
                <w:tab w:val="center" w:pos="4201"/>
                <w:tab w:val="right" w:leader="dot" w:pos="9298"/>
              </w:tabs>
              <w:autoSpaceDE w:val="0"/>
              <w:autoSpaceDN w:val="0"/>
              <w:spacing w:before="120" w:beforeLines="50" w:after="240" w:afterLines="100" w:line="360" w:lineRule="auto"/>
              <w:ind w:firstLine="422" w:firstLineChars="200"/>
              <w:jc w:val="center"/>
              <w:rPr>
                <w:rFonts w:hint="eastAsia" w:ascii="宋体" w:hAnsi="宋体" w:eastAsia="宋体" w:cs="宋体"/>
                <w:b/>
                <w:szCs w:val="21"/>
                <w:highlight w:val="none"/>
              </w:rPr>
            </w:pPr>
          </w:p>
        </w:tc>
      </w:tr>
    </w:tbl>
    <w:p w14:paraId="006EA5E2">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注：1.每张表格只填写一个项目，并标明序号。 </w:t>
      </w:r>
    </w:p>
    <w:p w14:paraId="168C3B03">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2.投标人应根据招标文件第二章“投标人须知”第3.5.2项的要求在本表后附相关证明材料。 </w:t>
      </w:r>
    </w:p>
    <w:p w14:paraId="57B1CE14">
      <w:pPr>
        <w:spacing w:after="60" w:afterLines="25" w:line="360" w:lineRule="exact"/>
        <w:jc w:val="center"/>
        <w:rPr>
          <w:rFonts w:hint="eastAsia" w:ascii="宋体" w:hAnsi="宋体" w:eastAsia="宋体" w:cs="宋体"/>
          <w:b/>
          <w:sz w:val="28"/>
          <w:szCs w:val="28"/>
          <w:highlight w:val="none"/>
        </w:rPr>
      </w:pPr>
    </w:p>
    <w:p w14:paraId="1CF3D619">
      <w:pPr>
        <w:spacing w:before="120" w:beforeLines="50" w:after="240" w:afterLines="10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（四）投标人的信誉情况表</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81"/>
        <w:gridCol w:w="4482"/>
      </w:tblGrid>
      <w:tr w14:paraId="04935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jc w:val="center"/>
        </w:trPr>
        <w:tc>
          <w:tcPr>
            <w:tcW w:w="4481" w:type="dxa"/>
            <w:noWrap w:val="0"/>
            <w:vAlign w:val="center"/>
          </w:tcPr>
          <w:p w14:paraId="082C1180">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 目</w:t>
            </w:r>
          </w:p>
        </w:tc>
        <w:tc>
          <w:tcPr>
            <w:tcW w:w="4482" w:type="dxa"/>
            <w:noWrap w:val="0"/>
            <w:vAlign w:val="center"/>
          </w:tcPr>
          <w:p w14:paraId="51D9810D">
            <w:pPr>
              <w:pStyle w:val="20"/>
              <w:tabs>
                <w:tab w:val="center" w:pos="4201"/>
                <w:tab w:val="right" w:leader="dot" w:pos="9298"/>
              </w:tabs>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投标人情况说明</w:t>
            </w:r>
          </w:p>
        </w:tc>
      </w:tr>
      <w:tr w14:paraId="4565F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4481" w:type="dxa"/>
            <w:noWrap w:val="0"/>
            <w:vAlign w:val="center"/>
          </w:tcPr>
          <w:p w14:paraId="060233EF">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c>
          <w:tcPr>
            <w:tcW w:w="4482" w:type="dxa"/>
            <w:noWrap w:val="0"/>
            <w:vAlign w:val="center"/>
          </w:tcPr>
          <w:p w14:paraId="2AFC37C5">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r>
      <w:tr w14:paraId="56FA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4481" w:type="dxa"/>
            <w:noWrap w:val="0"/>
            <w:vAlign w:val="center"/>
          </w:tcPr>
          <w:p w14:paraId="5F92E2D3">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c>
          <w:tcPr>
            <w:tcW w:w="4482" w:type="dxa"/>
            <w:noWrap w:val="0"/>
            <w:vAlign w:val="center"/>
          </w:tcPr>
          <w:p w14:paraId="3CBA6BE1">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r>
      <w:tr w14:paraId="337F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4481" w:type="dxa"/>
            <w:noWrap w:val="0"/>
            <w:vAlign w:val="center"/>
          </w:tcPr>
          <w:p w14:paraId="656152B2">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c>
          <w:tcPr>
            <w:tcW w:w="4482" w:type="dxa"/>
            <w:noWrap w:val="0"/>
            <w:vAlign w:val="center"/>
          </w:tcPr>
          <w:p w14:paraId="6992C1B0">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r>
      <w:tr w14:paraId="30AEE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4481" w:type="dxa"/>
            <w:noWrap w:val="0"/>
            <w:vAlign w:val="center"/>
          </w:tcPr>
          <w:p w14:paraId="42CBB24E">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c>
          <w:tcPr>
            <w:tcW w:w="4482" w:type="dxa"/>
            <w:noWrap w:val="0"/>
            <w:vAlign w:val="center"/>
          </w:tcPr>
          <w:p w14:paraId="776FF14D">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r>
      <w:tr w14:paraId="31C5F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481" w:type="dxa"/>
            <w:noWrap w:val="0"/>
            <w:vAlign w:val="center"/>
          </w:tcPr>
          <w:p w14:paraId="6073BBDA">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c>
          <w:tcPr>
            <w:tcW w:w="4482" w:type="dxa"/>
            <w:noWrap w:val="0"/>
            <w:vAlign w:val="center"/>
          </w:tcPr>
          <w:p w14:paraId="567493F7">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r>
      <w:tr w14:paraId="203E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481" w:type="dxa"/>
            <w:noWrap w:val="0"/>
            <w:vAlign w:val="center"/>
          </w:tcPr>
          <w:p w14:paraId="462BE713">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c>
          <w:tcPr>
            <w:tcW w:w="4482" w:type="dxa"/>
            <w:noWrap w:val="0"/>
            <w:vAlign w:val="center"/>
          </w:tcPr>
          <w:p w14:paraId="76413E8A">
            <w:pPr>
              <w:widowControl/>
              <w:tabs>
                <w:tab w:val="center" w:pos="4201"/>
                <w:tab w:val="right" w:leader="dot" w:pos="9298"/>
              </w:tabs>
              <w:autoSpaceDE w:val="0"/>
              <w:autoSpaceDN w:val="0"/>
              <w:ind w:firstLine="422" w:firstLineChars="200"/>
              <w:jc w:val="center"/>
              <w:rPr>
                <w:rFonts w:hint="eastAsia" w:ascii="宋体" w:hAnsi="宋体" w:eastAsia="宋体" w:cs="宋体"/>
                <w:b/>
                <w:szCs w:val="21"/>
                <w:highlight w:val="none"/>
              </w:rPr>
            </w:pPr>
          </w:p>
        </w:tc>
      </w:tr>
    </w:tbl>
    <w:p w14:paraId="6CEF7FC3">
      <w:pPr>
        <w:widowControl/>
        <w:spacing w:line="360" w:lineRule="auto"/>
        <w:jc w:val="left"/>
        <w:rPr>
          <w:rFonts w:hint="eastAsia" w:ascii="宋体" w:hAnsi="宋体" w:eastAsia="宋体" w:cs="宋体"/>
          <w:szCs w:val="21"/>
          <w:highlight w:val="none"/>
        </w:rPr>
      </w:pPr>
    </w:p>
    <w:p w14:paraId="557FB802">
      <w:pPr>
        <w:pStyle w:val="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注：1.投标人应按照招标文件第二章“投标人须知”</w:t>
      </w:r>
      <w:r>
        <w:rPr>
          <w:rFonts w:hint="eastAsia" w:ascii="宋体" w:hAnsi="宋体" w:eastAsia="宋体" w:cs="宋体"/>
          <w:color w:val="000000"/>
          <w:kern w:val="0"/>
          <w:sz w:val="21"/>
          <w:szCs w:val="21"/>
          <w:highlight w:val="none"/>
        </w:rPr>
        <w:t>附录3资格审查条件（信誉最低要求）</w:t>
      </w:r>
    </w:p>
    <w:p w14:paraId="7622367C">
      <w:pPr>
        <w:widowControl/>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和“投标人须知”正文第1.4.4项规定，逐条说明其信誉情况。</w:t>
      </w:r>
    </w:p>
    <w:p w14:paraId="1FB73FEE">
      <w:pPr>
        <w:widowControl/>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2.投标人应根据招标文件第二章“投标人须知”第3.5.3项的要求在本表后附相关证明材料。</w:t>
      </w:r>
    </w:p>
    <w:p w14:paraId="3ACE294F">
      <w:pPr>
        <w:spacing w:after="60" w:afterLines="25" w:line="360" w:lineRule="exact"/>
        <w:jc w:val="center"/>
        <w:rPr>
          <w:rFonts w:hint="eastAsia" w:ascii="宋体" w:hAnsi="宋体" w:eastAsia="宋体" w:cs="宋体"/>
          <w:b/>
          <w:szCs w:val="21"/>
          <w:highlight w:val="none"/>
        </w:rPr>
      </w:pPr>
    </w:p>
    <w:p w14:paraId="212D1B2F">
      <w:pPr>
        <w:spacing w:after="60" w:afterLines="25" w:line="360" w:lineRule="exact"/>
        <w:jc w:val="center"/>
        <w:rPr>
          <w:rFonts w:hint="eastAsia" w:ascii="宋体" w:hAnsi="宋体" w:eastAsia="宋体" w:cs="宋体"/>
          <w:b/>
          <w:sz w:val="28"/>
          <w:szCs w:val="28"/>
          <w:highlight w:val="none"/>
        </w:rPr>
      </w:pPr>
    </w:p>
    <w:p w14:paraId="5E117E6D">
      <w:pPr>
        <w:spacing w:before="120" w:beforeLines="50" w:after="240" w:afterLines="10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（五）拟委任的总监理工程师资历表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4"/>
        <w:gridCol w:w="1644"/>
        <w:gridCol w:w="1515"/>
        <w:gridCol w:w="862"/>
        <w:gridCol w:w="610"/>
        <w:gridCol w:w="6"/>
        <w:gridCol w:w="776"/>
        <w:gridCol w:w="1396"/>
        <w:gridCol w:w="1476"/>
      </w:tblGrid>
      <w:tr w14:paraId="1F5CC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354" w:type="dxa"/>
            <w:noWrap w:val="0"/>
            <w:vAlign w:val="center"/>
          </w:tcPr>
          <w:p w14:paraId="5AA398AE">
            <w:pPr>
              <w:tabs>
                <w:tab w:val="left" w:pos="680"/>
              </w:tabs>
              <w:autoSpaceDE w:val="0"/>
              <w:autoSpaceDN w:val="0"/>
              <w:adjustRightInd w:val="0"/>
              <w:spacing w:before="73"/>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w:t>
            </w:r>
            <w:r>
              <w:rPr>
                <w:rFonts w:hint="eastAsia" w:ascii="宋体" w:hAnsi="宋体" w:cs="宋体"/>
                <w:kern w:val="0"/>
                <w:szCs w:val="21"/>
                <w:highlight w:val="none"/>
                <w:lang w:val="en-US" w:eastAsia="zh-CN"/>
              </w:rPr>
              <w:t xml:space="preserve">  </w:t>
            </w:r>
            <w:r>
              <w:rPr>
                <w:rFonts w:hint="eastAsia" w:ascii="宋体" w:hAnsi="宋体" w:eastAsia="宋体" w:cs="宋体"/>
                <w:kern w:val="0"/>
                <w:szCs w:val="21"/>
                <w:highlight w:val="none"/>
              </w:rPr>
              <w:t>名</w:t>
            </w:r>
          </w:p>
        </w:tc>
        <w:tc>
          <w:tcPr>
            <w:tcW w:w="1644" w:type="dxa"/>
            <w:noWrap w:val="0"/>
            <w:vAlign w:val="center"/>
          </w:tcPr>
          <w:p w14:paraId="1575A871">
            <w:pPr>
              <w:autoSpaceDE w:val="0"/>
              <w:autoSpaceDN w:val="0"/>
              <w:adjustRightInd w:val="0"/>
              <w:jc w:val="center"/>
              <w:rPr>
                <w:rFonts w:hint="eastAsia" w:ascii="宋体" w:hAnsi="宋体" w:eastAsia="宋体" w:cs="宋体"/>
                <w:kern w:val="0"/>
                <w:szCs w:val="21"/>
                <w:highlight w:val="none"/>
              </w:rPr>
            </w:pPr>
          </w:p>
        </w:tc>
        <w:tc>
          <w:tcPr>
            <w:tcW w:w="1515" w:type="dxa"/>
            <w:noWrap w:val="0"/>
            <w:vAlign w:val="center"/>
          </w:tcPr>
          <w:p w14:paraId="3FE5AF88">
            <w:pPr>
              <w:autoSpaceDE w:val="0"/>
              <w:autoSpaceDN w:val="0"/>
              <w:adjustRightInd w:val="0"/>
              <w:spacing w:before="73"/>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  龄</w:t>
            </w:r>
          </w:p>
        </w:tc>
        <w:tc>
          <w:tcPr>
            <w:tcW w:w="1478" w:type="dxa"/>
            <w:gridSpan w:val="3"/>
            <w:noWrap w:val="0"/>
            <w:vAlign w:val="center"/>
          </w:tcPr>
          <w:p w14:paraId="1C5D9527">
            <w:pPr>
              <w:autoSpaceDE w:val="0"/>
              <w:autoSpaceDN w:val="0"/>
              <w:adjustRightInd w:val="0"/>
              <w:jc w:val="center"/>
              <w:rPr>
                <w:rFonts w:hint="eastAsia" w:ascii="宋体" w:hAnsi="宋体" w:eastAsia="宋体" w:cs="宋体"/>
                <w:kern w:val="0"/>
                <w:szCs w:val="21"/>
                <w:highlight w:val="none"/>
              </w:rPr>
            </w:pPr>
          </w:p>
        </w:tc>
        <w:tc>
          <w:tcPr>
            <w:tcW w:w="2172" w:type="dxa"/>
            <w:gridSpan w:val="2"/>
            <w:noWrap w:val="0"/>
            <w:vAlign w:val="center"/>
          </w:tcPr>
          <w:p w14:paraId="60EF15A2">
            <w:pPr>
              <w:pStyle w:val="2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执业或职业资格证书名称</w:t>
            </w:r>
          </w:p>
        </w:tc>
        <w:tc>
          <w:tcPr>
            <w:tcW w:w="1476" w:type="dxa"/>
            <w:noWrap w:val="0"/>
            <w:vAlign w:val="center"/>
          </w:tcPr>
          <w:p w14:paraId="660409C3">
            <w:pPr>
              <w:jc w:val="center"/>
              <w:rPr>
                <w:rFonts w:hint="eastAsia" w:ascii="宋体" w:hAnsi="宋体" w:eastAsia="宋体" w:cs="宋体"/>
                <w:szCs w:val="21"/>
                <w:highlight w:val="none"/>
              </w:rPr>
            </w:pPr>
          </w:p>
        </w:tc>
      </w:tr>
      <w:tr w14:paraId="3E0DB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354" w:type="dxa"/>
            <w:noWrap w:val="0"/>
            <w:vAlign w:val="center"/>
          </w:tcPr>
          <w:p w14:paraId="580482D8">
            <w:pPr>
              <w:pStyle w:val="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技术职称 </w:t>
            </w:r>
          </w:p>
        </w:tc>
        <w:tc>
          <w:tcPr>
            <w:tcW w:w="1644" w:type="dxa"/>
            <w:noWrap w:val="0"/>
            <w:vAlign w:val="center"/>
          </w:tcPr>
          <w:p w14:paraId="1C61F1AE">
            <w:pPr>
              <w:autoSpaceDE w:val="0"/>
              <w:autoSpaceDN w:val="0"/>
              <w:adjustRightInd w:val="0"/>
              <w:jc w:val="center"/>
              <w:rPr>
                <w:rFonts w:hint="eastAsia" w:ascii="宋体" w:hAnsi="宋体" w:eastAsia="宋体" w:cs="宋体"/>
                <w:kern w:val="0"/>
                <w:szCs w:val="21"/>
                <w:highlight w:val="none"/>
              </w:rPr>
            </w:pPr>
          </w:p>
        </w:tc>
        <w:tc>
          <w:tcPr>
            <w:tcW w:w="1515" w:type="dxa"/>
            <w:noWrap w:val="0"/>
            <w:vAlign w:val="center"/>
          </w:tcPr>
          <w:p w14:paraId="0854F2D6">
            <w:pPr>
              <w:pStyle w:val="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学 历 </w:t>
            </w:r>
          </w:p>
        </w:tc>
        <w:tc>
          <w:tcPr>
            <w:tcW w:w="1478" w:type="dxa"/>
            <w:gridSpan w:val="3"/>
            <w:tcBorders>
              <w:right w:val="single" w:color="auto" w:sz="4" w:space="0"/>
            </w:tcBorders>
            <w:noWrap w:val="0"/>
            <w:vAlign w:val="center"/>
          </w:tcPr>
          <w:p w14:paraId="3AD08C0C">
            <w:pPr>
              <w:autoSpaceDE w:val="0"/>
              <w:autoSpaceDN w:val="0"/>
              <w:adjustRightInd w:val="0"/>
              <w:jc w:val="center"/>
              <w:rPr>
                <w:rFonts w:hint="eastAsia" w:ascii="宋体" w:hAnsi="宋体" w:eastAsia="宋体" w:cs="宋体"/>
                <w:kern w:val="0"/>
                <w:szCs w:val="21"/>
                <w:highlight w:val="none"/>
              </w:rPr>
            </w:pPr>
          </w:p>
        </w:tc>
        <w:tc>
          <w:tcPr>
            <w:tcW w:w="2172" w:type="dxa"/>
            <w:gridSpan w:val="2"/>
            <w:tcBorders>
              <w:left w:val="single" w:color="auto" w:sz="4" w:space="0"/>
              <w:right w:val="single" w:color="auto" w:sz="4" w:space="0"/>
            </w:tcBorders>
            <w:noWrap w:val="0"/>
            <w:vAlign w:val="center"/>
          </w:tcPr>
          <w:p w14:paraId="770402A9">
            <w:pPr>
              <w:autoSpaceDE w:val="0"/>
              <w:autoSpaceDN w:val="0"/>
              <w:adjustRightInd w:val="0"/>
              <w:spacing w:before="73"/>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拟在本标段</w:t>
            </w:r>
          </w:p>
          <w:p w14:paraId="4417D3EC">
            <w:pPr>
              <w:autoSpaceDE w:val="0"/>
              <w:autoSpaceDN w:val="0"/>
              <w:adjustRightInd w:val="0"/>
              <w:spacing w:before="73"/>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工程担任职务</w:t>
            </w:r>
          </w:p>
        </w:tc>
        <w:tc>
          <w:tcPr>
            <w:tcW w:w="1476" w:type="dxa"/>
            <w:tcBorders>
              <w:left w:val="single" w:color="auto" w:sz="4" w:space="0"/>
            </w:tcBorders>
            <w:noWrap w:val="0"/>
            <w:vAlign w:val="center"/>
          </w:tcPr>
          <w:p w14:paraId="41AF7CC6">
            <w:pPr>
              <w:jc w:val="center"/>
              <w:rPr>
                <w:rFonts w:hint="eastAsia" w:ascii="宋体" w:hAnsi="宋体" w:eastAsia="宋体" w:cs="宋体"/>
                <w:szCs w:val="21"/>
                <w:highlight w:val="none"/>
              </w:rPr>
            </w:pPr>
          </w:p>
        </w:tc>
      </w:tr>
      <w:tr w14:paraId="6D0D5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354" w:type="dxa"/>
            <w:noWrap w:val="0"/>
            <w:vAlign w:val="center"/>
          </w:tcPr>
          <w:p w14:paraId="3436DAEE">
            <w:pPr>
              <w:pStyle w:val="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工作年限 </w:t>
            </w:r>
          </w:p>
        </w:tc>
        <w:tc>
          <w:tcPr>
            <w:tcW w:w="4631" w:type="dxa"/>
            <w:gridSpan w:val="4"/>
            <w:tcBorders>
              <w:right w:val="single" w:color="auto" w:sz="4" w:space="0"/>
            </w:tcBorders>
            <w:noWrap w:val="0"/>
            <w:vAlign w:val="center"/>
          </w:tcPr>
          <w:p w14:paraId="068F50CB">
            <w:pPr>
              <w:tabs>
                <w:tab w:val="left" w:pos="2820"/>
                <w:tab w:val="left" w:pos="4080"/>
              </w:tabs>
              <w:autoSpaceDE w:val="0"/>
              <w:autoSpaceDN w:val="0"/>
              <w:adjustRightInd w:val="0"/>
              <w:spacing w:before="73"/>
              <w:ind w:left="-1291" w:leftChars="-615" w:firstLine="1260" w:firstLineChars="600"/>
              <w:rPr>
                <w:rFonts w:hint="eastAsia" w:ascii="宋体" w:hAnsi="宋体" w:eastAsia="宋体" w:cs="宋体"/>
                <w:kern w:val="0"/>
                <w:szCs w:val="21"/>
                <w:highlight w:val="none"/>
              </w:rPr>
            </w:pPr>
          </w:p>
        </w:tc>
        <w:tc>
          <w:tcPr>
            <w:tcW w:w="2178" w:type="dxa"/>
            <w:gridSpan w:val="3"/>
            <w:tcBorders>
              <w:left w:val="single" w:color="auto" w:sz="4" w:space="0"/>
              <w:right w:val="single" w:color="auto" w:sz="4" w:space="0"/>
            </w:tcBorders>
            <w:noWrap w:val="0"/>
            <w:vAlign w:val="center"/>
          </w:tcPr>
          <w:p w14:paraId="2856D7F1">
            <w:pPr>
              <w:pStyle w:val="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从事监理工作年限 </w:t>
            </w:r>
          </w:p>
        </w:tc>
        <w:tc>
          <w:tcPr>
            <w:tcW w:w="1476" w:type="dxa"/>
            <w:tcBorders>
              <w:left w:val="single" w:color="auto" w:sz="4" w:space="0"/>
            </w:tcBorders>
            <w:noWrap w:val="0"/>
            <w:vAlign w:val="center"/>
          </w:tcPr>
          <w:p w14:paraId="29A03E0C">
            <w:pPr>
              <w:tabs>
                <w:tab w:val="left" w:pos="2820"/>
                <w:tab w:val="left" w:pos="4080"/>
              </w:tabs>
              <w:autoSpaceDE w:val="0"/>
              <w:autoSpaceDN w:val="0"/>
              <w:adjustRightInd w:val="0"/>
              <w:spacing w:before="73"/>
              <w:ind w:left="-1291" w:leftChars="-615" w:firstLine="1260" w:firstLineChars="600"/>
              <w:rPr>
                <w:rFonts w:hint="eastAsia" w:ascii="宋体" w:hAnsi="宋体" w:eastAsia="宋体" w:cs="宋体"/>
                <w:kern w:val="0"/>
                <w:szCs w:val="21"/>
                <w:highlight w:val="none"/>
              </w:rPr>
            </w:pPr>
          </w:p>
        </w:tc>
      </w:tr>
      <w:tr w14:paraId="3FD0F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354" w:type="dxa"/>
            <w:noWrap w:val="0"/>
            <w:vAlign w:val="center"/>
          </w:tcPr>
          <w:p w14:paraId="08B5B5CD">
            <w:pPr>
              <w:autoSpaceDE w:val="0"/>
              <w:autoSpaceDN w:val="0"/>
              <w:adjustRightInd w:val="0"/>
              <w:spacing w:before="73"/>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毕业学校</w:t>
            </w:r>
          </w:p>
        </w:tc>
        <w:tc>
          <w:tcPr>
            <w:tcW w:w="8285" w:type="dxa"/>
            <w:gridSpan w:val="8"/>
            <w:noWrap w:val="0"/>
            <w:vAlign w:val="center"/>
          </w:tcPr>
          <w:p w14:paraId="61637785">
            <w:pPr>
              <w:tabs>
                <w:tab w:val="left" w:pos="2820"/>
                <w:tab w:val="left" w:pos="4080"/>
              </w:tabs>
              <w:autoSpaceDE w:val="0"/>
              <w:autoSpaceDN w:val="0"/>
              <w:adjustRightInd w:val="0"/>
              <w:spacing w:before="73"/>
              <w:ind w:left="-1291" w:leftChars="-615" w:firstLine="1260" w:firstLineChars="600"/>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月毕业于</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学校</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专业，学制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p>
        </w:tc>
      </w:tr>
      <w:tr w14:paraId="12F44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9639" w:type="dxa"/>
            <w:gridSpan w:val="9"/>
            <w:noWrap w:val="0"/>
            <w:vAlign w:val="center"/>
          </w:tcPr>
          <w:p w14:paraId="5F72D813">
            <w:pPr>
              <w:jc w:val="center"/>
              <w:rPr>
                <w:rFonts w:hint="eastAsia" w:ascii="宋体" w:hAnsi="宋体" w:eastAsia="宋体" w:cs="宋体"/>
                <w:szCs w:val="21"/>
                <w:highlight w:val="none"/>
              </w:rPr>
            </w:pPr>
            <w:r>
              <w:rPr>
                <w:rFonts w:hint="eastAsia" w:ascii="宋体" w:hAnsi="宋体" w:eastAsia="宋体" w:cs="宋体"/>
                <w:kern w:val="0"/>
                <w:szCs w:val="21"/>
                <w:highlight w:val="none"/>
              </w:rPr>
              <w:t>经     历</w:t>
            </w:r>
          </w:p>
        </w:tc>
      </w:tr>
      <w:tr w14:paraId="04AFD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354" w:type="dxa"/>
            <w:noWrap w:val="0"/>
            <w:vAlign w:val="center"/>
          </w:tcPr>
          <w:p w14:paraId="358C9802">
            <w:pPr>
              <w:jc w:val="center"/>
              <w:rPr>
                <w:rFonts w:hint="eastAsia" w:ascii="宋体" w:hAnsi="宋体" w:eastAsia="宋体" w:cs="宋体"/>
                <w:szCs w:val="21"/>
                <w:highlight w:val="none"/>
              </w:rPr>
            </w:pPr>
            <w:r>
              <w:rPr>
                <w:rFonts w:hint="eastAsia" w:ascii="宋体" w:hAnsi="宋体" w:eastAsia="宋体" w:cs="宋体"/>
                <w:szCs w:val="21"/>
                <w:highlight w:val="none"/>
              </w:rPr>
              <w:t>时间</w:t>
            </w:r>
          </w:p>
        </w:tc>
        <w:tc>
          <w:tcPr>
            <w:tcW w:w="4021" w:type="dxa"/>
            <w:gridSpan w:val="3"/>
            <w:noWrap w:val="0"/>
            <w:vAlign w:val="center"/>
          </w:tcPr>
          <w:p w14:paraId="4A9D9590">
            <w:pPr>
              <w:pStyle w:val="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参加过的类似工程项目名称 </w:t>
            </w:r>
          </w:p>
        </w:tc>
        <w:tc>
          <w:tcPr>
            <w:tcW w:w="1392" w:type="dxa"/>
            <w:gridSpan w:val="3"/>
            <w:noWrap w:val="0"/>
            <w:vAlign w:val="center"/>
          </w:tcPr>
          <w:p w14:paraId="25F8C105">
            <w:pPr>
              <w:jc w:val="center"/>
              <w:rPr>
                <w:rFonts w:hint="eastAsia" w:ascii="宋体" w:hAnsi="宋体" w:eastAsia="宋体" w:cs="宋体"/>
                <w:szCs w:val="21"/>
                <w:highlight w:val="none"/>
              </w:rPr>
            </w:pPr>
            <w:r>
              <w:rPr>
                <w:rFonts w:hint="eastAsia" w:ascii="宋体" w:hAnsi="宋体" w:eastAsia="宋体" w:cs="宋体"/>
                <w:kern w:val="0"/>
                <w:szCs w:val="21"/>
                <w:highlight w:val="none"/>
              </w:rPr>
              <w:t>担任何职</w:t>
            </w:r>
          </w:p>
        </w:tc>
        <w:tc>
          <w:tcPr>
            <w:tcW w:w="2872" w:type="dxa"/>
            <w:gridSpan w:val="2"/>
            <w:noWrap w:val="0"/>
            <w:vAlign w:val="center"/>
          </w:tcPr>
          <w:p w14:paraId="6741BBCC">
            <w:pPr>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委托人及</w:t>
            </w:r>
          </w:p>
          <w:p w14:paraId="11500CA9">
            <w:pPr>
              <w:jc w:val="center"/>
              <w:rPr>
                <w:rFonts w:hint="eastAsia" w:ascii="宋体" w:hAnsi="宋体" w:eastAsia="宋体" w:cs="宋体"/>
                <w:szCs w:val="21"/>
                <w:highlight w:val="none"/>
              </w:rPr>
            </w:pPr>
            <w:r>
              <w:rPr>
                <w:rFonts w:hint="eastAsia" w:ascii="宋体" w:hAnsi="宋体" w:eastAsia="宋体" w:cs="宋体"/>
                <w:kern w:val="0"/>
                <w:szCs w:val="21"/>
                <w:highlight w:val="none"/>
              </w:rPr>
              <w:t>联系电话</w:t>
            </w:r>
          </w:p>
        </w:tc>
      </w:tr>
      <w:tr w14:paraId="31394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54" w:type="dxa"/>
            <w:noWrap w:val="0"/>
            <w:vAlign w:val="center"/>
          </w:tcPr>
          <w:p w14:paraId="5807BD4E">
            <w:pPr>
              <w:jc w:val="center"/>
              <w:rPr>
                <w:rFonts w:hint="eastAsia" w:ascii="宋体" w:hAnsi="宋体" w:eastAsia="宋体" w:cs="宋体"/>
                <w:szCs w:val="21"/>
                <w:highlight w:val="none"/>
              </w:rPr>
            </w:pPr>
          </w:p>
        </w:tc>
        <w:tc>
          <w:tcPr>
            <w:tcW w:w="4021" w:type="dxa"/>
            <w:gridSpan w:val="3"/>
            <w:noWrap w:val="0"/>
            <w:vAlign w:val="center"/>
          </w:tcPr>
          <w:p w14:paraId="0ACF69FA">
            <w:pPr>
              <w:jc w:val="center"/>
              <w:rPr>
                <w:rFonts w:hint="eastAsia" w:ascii="宋体" w:hAnsi="宋体" w:eastAsia="宋体" w:cs="宋体"/>
                <w:szCs w:val="21"/>
                <w:highlight w:val="none"/>
              </w:rPr>
            </w:pPr>
          </w:p>
        </w:tc>
        <w:tc>
          <w:tcPr>
            <w:tcW w:w="1392" w:type="dxa"/>
            <w:gridSpan w:val="3"/>
            <w:noWrap w:val="0"/>
            <w:vAlign w:val="center"/>
          </w:tcPr>
          <w:p w14:paraId="28FBDB66">
            <w:pPr>
              <w:jc w:val="center"/>
              <w:rPr>
                <w:rFonts w:hint="eastAsia" w:ascii="宋体" w:hAnsi="宋体" w:eastAsia="宋体" w:cs="宋体"/>
                <w:szCs w:val="21"/>
                <w:highlight w:val="none"/>
              </w:rPr>
            </w:pPr>
          </w:p>
        </w:tc>
        <w:tc>
          <w:tcPr>
            <w:tcW w:w="2872" w:type="dxa"/>
            <w:gridSpan w:val="2"/>
            <w:noWrap w:val="0"/>
            <w:vAlign w:val="center"/>
          </w:tcPr>
          <w:p w14:paraId="1F1D7F38">
            <w:pPr>
              <w:jc w:val="center"/>
              <w:rPr>
                <w:rFonts w:hint="eastAsia" w:ascii="宋体" w:hAnsi="宋体" w:eastAsia="宋体" w:cs="宋体"/>
                <w:szCs w:val="21"/>
                <w:highlight w:val="none"/>
              </w:rPr>
            </w:pPr>
          </w:p>
        </w:tc>
      </w:tr>
      <w:tr w14:paraId="1D16D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54" w:type="dxa"/>
            <w:noWrap w:val="0"/>
            <w:vAlign w:val="center"/>
          </w:tcPr>
          <w:p w14:paraId="6EE58788">
            <w:pPr>
              <w:jc w:val="center"/>
              <w:rPr>
                <w:rFonts w:hint="eastAsia" w:ascii="宋体" w:hAnsi="宋体" w:eastAsia="宋体" w:cs="宋体"/>
                <w:szCs w:val="21"/>
                <w:highlight w:val="none"/>
              </w:rPr>
            </w:pPr>
          </w:p>
        </w:tc>
        <w:tc>
          <w:tcPr>
            <w:tcW w:w="4021" w:type="dxa"/>
            <w:gridSpan w:val="3"/>
            <w:noWrap w:val="0"/>
            <w:vAlign w:val="center"/>
          </w:tcPr>
          <w:p w14:paraId="322DD07C">
            <w:pPr>
              <w:jc w:val="center"/>
              <w:rPr>
                <w:rFonts w:hint="eastAsia" w:ascii="宋体" w:hAnsi="宋体" w:eastAsia="宋体" w:cs="宋体"/>
                <w:szCs w:val="21"/>
                <w:highlight w:val="none"/>
              </w:rPr>
            </w:pPr>
          </w:p>
        </w:tc>
        <w:tc>
          <w:tcPr>
            <w:tcW w:w="1392" w:type="dxa"/>
            <w:gridSpan w:val="3"/>
            <w:noWrap w:val="0"/>
            <w:vAlign w:val="center"/>
          </w:tcPr>
          <w:p w14:paraId="42F779C4">
            <w:pPr>
              <w:jc w:val="center"/>
              <w:rPr>
                <w:rFonts w:hint="eastAsia" w:ascii="宋体" w:hAnsi="宋体" w:eastAsia="宋体" w:cs="宋体"/>
                <w:szCs w:val="21"/>
                <w:highlight w:val="none"/>
              </w:rPr>
            </w:pPr>
          </w:p>
        </w:tc>
        <w:tc>
          <w:tcPr>
            <w:tcW w:w="2872" w:type="dxa"/>
            <w:gridSpan w:val="2"/>
            <w:noWrap w:val="0"/>
            <w:vAlign w:val="center"/>
          </w:tcPr>
          <w:p w14:paraId="0F8A5144">
            <w:pPr>
              <w:jc w:val="center"/>
              <w:rPr>
                <w:rFonts w:hint="eastAsia" w:ascii="宋体" w:hAnsi="宋体" w:eastAsia="宋体" w:cs="宋体"/>
                <w:szCs w:val="21"/>
                <w:highlight w:val="none"/>
              </w:rPr>
            </w:pPr>
          </w:p>
        </w:tc>
      </w:tr>
      <w:tr w14:paraId="32584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54" w:type="dxa"/>
            <w:noWrap w:val="0"/>
            <w:vAlign w:val="center"/>
          </w:tcPr>
          <w:p w14:paraId="6DA9330B">
            <w:pPr>
              <w:jc w:val="center"/>
              <w:rPr>
                <w:rFonts w:hint="eastAsia" w:ascii="宋体" w:hAnsi="宋体" w:eastAsia="宋体" w:cs="宋体"/>
                <w:szCs w:val="21"/>
                <w:highlight w:val="none"/>
              </w:rPr>
            </w:pPr>
          </w:p>
        </w:tc>
        <w:tc>
          <w:tcPr>
            <w:tcW w:w="4021" w:type="dxa"/>
            <w:gridSpan w:val="3"/>
            <w:noWrap w:val="0"/>
            <w:vAlign w:val="center"/>
          </w:tcPr>
          <w:p w14:paraId="66A50764">
            <w:pPr>
              <w:jc w:val="center"/>
              <w:rPr>
                <w:rFonts w:hint="eastAsia" w:ascii="宋体" w:hAnsi="宋体" w:eastAsia="宋体" w:cs="宋体"/>
                <w:szCs w:val="21"/>
                <w:highlight w:val="none"/>
              </w:rPr>
            </w:pPr>
          </w:p>
        </w:tc>
        <w:tc>
          <w:tcPr>
            <w:tcW w:w="1392" w:type="dxa"/>
            <w:gridSpan w:val="3"/>
            <w:noWrap w:val="0"/>
            <w:vAlign w:val="center"/>
          </w:tcPr>
          <w:p w14:paraId="127ADFB5">
            <w:pPr>
              <w:jc w:val="center"/>
              <w:rPr>
                <w:rFonts w:hint="eastAsia" w:ascii="宋体" w:hAnsi="宋体" w:eastAsia="宋体" w:cs="宋体"/>
                <w:szCs w:val="21"/>
                <w:highlight w:val="none"/>
              </w:rPr>
            </w:pPr>
          </w:p>
        </w:tc>
        <w:tc>
          <w:tcPr>
            <w:tcW w:w="2872" w:type="dxa"/>
            <w:gridSpan w:val="2"/>
            <w:noWrap w:val="0"/>
            <w:vAlign w:val="center"/>
          </w:tcPr>
          <w:p w14:paraId="584A3F31">
            <w:pPr>
              <w:jc w:val="center"/>
              <w:rPr>
                <w:rFonts w:hint="eastAsia" w:ascii="宋体" w:hAnsi="宋体" w:eastAsia="宋体" w:cs="宋体"/>
                <w:szCs w:val="21"/>
                <w:highlight w:val="none"/>
              </w:rPr>
            </w:pPr>
          </w:p>
        </w:tc>
      </w:tr>
      <w:tr w14:paraId="4B610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54" w:type="dxa"/>
            <w:noWrap w:val="0"/>
            <w:vAlign w:val="center"/>
          </w:tcPr>
          <w:p w14:paraId="1D34C897">
            <w:pPr>
              <w:jc w:val="center"/>
              <w:rPr>
                <w:rFonts w:hint="eastAsia" w:ascii="宋体" w:hAnsi="宋体" w:eastAsia="宋体" w:cs="宋体"/>
                <w:szCs w:val="21"/>
                <w:highlight w:val="none"/>
              </w:rPr>
            </w:pPr>
          </w:p>
        </w:tc>
        <w:tc>
          <w:tcPr>
            <w:tcW w:w="4021" w:type="dxa"/>
            <w:gridSpan w:val="3"/>
            <w:noWrap w:val="0"/>
            <w:vAlign w:val="center"/>
          </w:tcPr>
          <w:p w14:paraId="58DC889B">
            <w:pPr>
              <w:jc w:val="center"/>
              <w:rPr>
                <w:rFonts w:hint="eastAsia" w:ascii="宋体" w:hAnsi="宋体" w:eastAsia="宋体" w:cs="宋体"/>
                <w:szCs w:val="21"/>
                <w:highlight w:val="none"/>
              </w:rPr>
            </w:pPr>
          </w:p>
        </w:tc>
        <w:tc>
          <w:tcPr>
            <w:tcW w:w="1392" w:type="dxa"/>
            <w:gridSpan w:val="3"/>
            <w:noWrap w:val="0"/>
            <w:vAlign w:val="center"/>
          </w:tcPr>
          <w:p w14:paraId="00901082">
            <w:pPr>
              <w:jc w:val="center"/>
              <w:rPr>
                <w:rFonts w:hint="eastAsia" w:ascii="宋体" w:hAnsi="宋体" w:eastAsia="宋体" w:cs="宋体"/>
                <w:szCs w:val="21"/>
                <w:highlight w:val="none"/>
              </w:rPr>
            </w:pPr>
          </w:p>
        </w:tc>
        <w:tc>
          <w:tcPr>
            <w:tcW w:w="2872" w:type="dxa"/>
            <w:gridSpan w:val="2"/>
            <w:noWrap w:val="0"/>
            <w:vAlign w:val="center"/>
          </w:tcPr>
          <w:p w14:paraId="5AA24257">
            <w:pPr>
              <w:jc w:val="center"/>
              <w:rPr>
                <w:rFonts w:hint="eastAsia" w:ascii="宋体" w:hAnsi="宋体" w:eastAsia="宋体" w:cs="宋体"/>
                <w:szCs w:val="21"/>
                <w:highlight w:val="none"/>
              </w:rPr>
            </w:pPr>
          </w:p>
        </w:tc>
      </w:tr>
      <w:tr w14:paraId="77A8C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54" w:type="dxa"/>
            <w:noWrap w:val="0"/>
            <w:vAlign w:val="center"/>
          </w:tcPr>
          <w:p w14:paraId="67F8F87C">
            <w:pPr>
              <w:jc w:val="center"/>
              <w:rPr>
                <w:rFonts w:hint="eastAsia" w:ascii="宋体" w:hAnsi="宋体" w:eastAsia="宋体" w:cs="宋体"/>
                <w:szCs w:val="21"/>
                <w:highlight w:val="none"/>
              </w:rPr>
            </w:pPr>
          </w:p>
        </w:tc>
        <w:tc>
          <w:tcPr>
            <w:tcW w:w="4021" w:type="dxa"/>
            <w:gridSpan w:val="3"/>
            <w:noWrap w:val="0"/>
            <w:vAlign w:val="center"/>
          </w:tcPr>
          <w:p w14:paraId="3654658B">
            <w:pPr>
              <w:jc w:val="center"/>
              <w:rPr>
                <w:rFonts w:hint="eastAsia" w:ascii="宋体" w:hAnsi="宋体" w:eastAsia="宋体" w:cs="宋体"/>
                <w:szCs w:val="21"/>
                <w:highlight w:val="none"/>
              </w:rPr>
            </w:pPr>
          </w:p>
        </w:tc>
        <w:tc>
          <w:tcPr>
            <w:tcW w:w="1392" w:type="dxa"/>
            <w:gridSpan w:val="3"/>
            <w:noWrap w:val="0"/>
            <w:vAlign w:val="center"/>
          </w:tcPr>
          <w:p w14:paraId="3ABFF617">
            <w:pPr>
              <w:jc w:val="center"/>
              <w:rPr>
                <w:rFonts w:hint="eastAsia" w:ascii="宋体" w:hAnsi="宋体" w:eastAsia="宋体" w:cs="宋体"/>
                <w:szCs w:val="21"/>
                <w:highlight w:val="none"/>
              </w:rPr>
            </w:pPr>
          </w:p>
        </w:tc>
        <w:tc>
          <w:tcPr>
            <w:tcW w:w="2872" w:type="dxa"/>
            <w:gridSpan w:val="2"/>
            <w:noWrap w:val="0"/>
            <w:vAlign w:val="center"/>
          </w:tcPr>
          <w:p w14:paraId="5C042847">
            <w:pPr>
              <w:jc w:val="center"/>
              <w:rPr>
                <w:rFonts w:hint="eastAsia" w:ascii="宋体" w:hAnsi="宋体" w:eastAsia="宋体" w:cs="宋体"/>
                <w:szCs w:val="21"/>
                <w:highlight w:val="none"/>
              </w:rPr>
            </w:pPr>
          </w:p>
        </w:tc>
      </w:tr>
      <w:tr w14:paraId="63AF4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54" w:type="dxa"/>
            <w:noWrap w:val="0"/>
            <w:vAlign w:val="center"/>
          </w:tcPr>
          <w:p w14:paraId="65035CA5">
            <w:pPr>
              <w:jc w:val="center"/>
              <w:rPr>
                <w:rFonts w:hint="eastAsia" w:ascii="宋体" w:hAnsi="宋体" w:eastAsia="宋体" w:cs="宋体"/>
                <w:szCs w:val="21"/>
                <w:highlight w:val="none"/>
              </w:rPr>
            </w:pPr>
          </w:p>
        </w:tc>
        <w:tc>
          <w:tcPr>
            <w:tcW w:w="4021" w:type="dxa"/>
            <w:gridSpan w:val="3"/>
            <w:noWrap w:val="0"/>
            <w:vAlign w:val="center"/>
          </w:tcPr>
          <w:p w14:paraId="05162B62">
            <w:pPr>
              <w:jc w:val="center"/>
              <w:rPr>
                <w:rFonts w:hint="eastAsia" w:ascii="宋体" w:hAnsi="宋体" w:eastAsia="宋体" w:cs="宋体"/>
                <w:szCs w:val="21"/>
                <w:highlight w:val="none"/>
              </w:rPr>
            </w:pPr>
          </w:p>
        </w:tc>
        <w:tc>
          <w:tcPr>
            <w:tcW w:w="1392" w:type="dxa"/>
            <w:gridSpan w:val="3"/>
            <w:noWrap w:val="0"/>
            <w:vAlign w:val="center"/>
          </w:tcPr>
          <w:p w14:paraId="2D7C3880">
            <w:pPr>
              <w:jc w:val="center"/>
              <w:rPr>
                <w:rFonts w:hint="eastAsia" w:ascii="宋体" w:hAnsi="宋体" w:eastAsia="宋体" w:cs="宋体"/>
                <w:szCs w:val="21"/>
                <w:highlight w:val="none"/>
              </w:rPr>
            </w:pPr>
          </w:p>
        </w:tc>
        <w:tc>
          <w:tcPr>
            <w:tcW w:w="2872" w:type="dxa"/>
            <w:gridSpan w:val="2"/>
            <w:noWrap w:val="0"/>
            <w:vAlign w:val="center"/>
          </w:tcPr>
          <w:p w14:paraId="12B503A1">
            <w:pPr>
              <w:jc w:val="center"/>
              <w:rPr>
                <w:rFonts w:hint="eastAsia" w:ascii="宋体" w:hAnsi="宋体" w:eastAsia="宋体" w:cs="宋体"/>
                <w:szCs w:val="21"/>
                <w:highlight w:val="none"/>
              </w:rPr>
            </w:pPr>
          </w:p>
        </w:tc>
      </w:tr>
      <w:tr w14:paraId="5ED65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354" w:type="dxa"/>
            <w:noWrap w:val="0"/>
            <w:vAlign w:val="center"/>
          </w:tcPr>
          <w:p w14:paraId="59B9C479">
            <w:pPr>
              <w:jc w:val="center"/>
              <w:rPr>
                <w:rFonts w:hint="eastAsia" w:ascii="宋体" w:hAnsi="宋体" w:eastAsia="宋体" w:cs="宋体"/>
                <w:szCs w:val="21"/>
                <w:highlight w:val="none"/>
              </w:rPr>
            </w:pPr>
          </w:p>
        </w:tc>
        <w:tc>
          <w:tcPr>
            <w:tcW w:w="4021" w:type="dxa"/>
            <w:gridSpan w:val="3"/>
            <w:noWrap w:val="0"/>
            <w:vAlign w:val="center"/>
          </w:tcPr>
          <w:p w14:paraId="1E1BB20C">
            <w:pPr>
              <w:jc w:val="center"/>
              <w:rPr>
                <w:rFonts w:hint="eastAsia" w:ascii="宋体" w:hAnsi="宋体" w:eastAsia="宋体" w:cs="宋体"/>
                <w:szCs w:val="21"/>
                <w:highlight w:val="none"/>
              </w:rPr>
            </w:pPr>
          </w:p>
        </w:tc>
        <w:tc>
          <w:tcPr>
            <w:tcW w:w="1392" w:type="dxa"/>
            <w:gridSpan w:val="3"/>
            <w:noWrap w:val="0"/>
            <w:vAlign w:val="center"/>
          </w:tcPr>
          <w:p w14:paraId="460E75D1">
            <w:pPr>
              <w:jc w:val="center"/>
              <w:rPr>
                <w:rFonts w:hint="eastAsia" w:ascii="宋体" w:hAnsi="宋体" w:eastAsia="宋体" w:cs="宋体"/>
                <w:szCs w:val="21"/>
                <w:highlight w:val="none"/>
              </w:rPr>
            </w:pPr>
          </w:p>
        </w:tc>
        <w:tc>
          <w:tcPr>
            <w:tcW w:w="2872" w:type="dxa"/>
            <w:gridSpan w:val="2"/>
            <w:noWrap w:val="0"/>
            <w:vAlign w:val="center"/>
          </w:tcPr>
          <w:p w14:paraId="40E9C7D3">
            <w:pPr>
              <w:jc w:val="center"/>
              <w:rPr>
                <w:rFonts w:hint="eastAsia" w:ascii="宋体" w:hAnsi="宋体" w:eastAsia="宋体" w:cs="宋体"/>
                <w:szCs w:val="21"/>
                <w:highlight w:val="none"/>
              </w:rPr>
            </w:pPr>
          </w:p>
        </w:tc>
      </w:tr>
      <w:tr w14:paraId="671B4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375" w:type="dxa"/>
            <w:gridSpan w:val="4"/>
            <w:noWrap w:val="0"/>
            <w:vAlign w:val="center"/>
          </w:tcPr>
          <w:p w14:paraId="15DBA559">
            <w:pPr>
              <w:jc w:val="center"/>
              <w:rPr>
                <w:rFonts w:hint="eastAsia" w:ascii="宋体" w:hAnsi="宋体" w:eastAsia="宋体" w:cs="宋体"/>
                <w:szCs w:val="21"/>
                <w:highlight w:val="none"/>
              </w:rPr>
            </w:pPr>
            <w:r>
              <w:rPr>
                <w:rFonts w:hint="eastAsia" w:ascii="宋体" w:hAnsi="宋体" w:eastAsia="宋体" w:cs="宋体"/>
                <w:szCs w:val="21"/>
                <w:highlight w:val="none"/>
              </w:rPr>
              <w:t>获奖情况</w:t>
            </w:r>
          </w:p>
        </w:tc>
        <w:tc>
          <w:tcPr>
            <w:tcW w:w="1392" w:type="dxa"/>
            <w:gridSpan w:val="3"/>
            <w:noWrap w:val="0"/>
            <w:vAlign w:val="center"/>
          </w:tcPr>
          <w:p w14:paraId="60D43E33">
            <w:pPr>
              <w:jc w:val="center"/>
              <w:rPr>
                <w:rFonts w:hint="eastAsia" w:ascii="宋体" w:hAnsi="宋体" w:eastAsia="宋体" w:cs="宋体"/>
                <w:szCs w:val="21"/>
                <w:highlight w:val="none"/>
              </w:rPr>
            </w:pPr>
          </w:p>
        </w:tc>
        <w:tc>
          <w:tcPr>
            <w:tcW w:w="2872" w:type="dxa"/>
            <w:gridSpan w:val="2"/>
            <w:noWrap w:val="0"/>
            <w:vAlign w:val="center"/>
          </w:tcPr>
          <w:p w14:paraId="6305A214">
            <w:pPr>
              <w:jc w:val="center"/>
              <w:rPr>
                <w:rFonts w:hint="eastAsia" w:ascii="宋体" w:hAnsi="宋体" w:eastAsia="宋体" w:cs="宋体"/>
                <w:szCs w:val="21"/>
                <w:highlight w:val="none"/>
              </w:rPr>
            </w:pPr>
          </w:p>
        </w:tc>
      </w:tr>
      <w:tr w14:paraId="43EE2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1354" w:type="dxa"/>
            <w:noWrap w:val="0"/>
            <w:vAlign w:val="center"/>
          </w:tcPr>
          <w:p w14:paraId="65F9D008">
            <w:pPr>
              <w:pStyle w:val="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说明在岗情况 </w:t>
            </w:r>
          </w:p>
        </w:tc>
        <w:tc>
          <w:tcPr>
            <w:tcW w:w="8285" w:type="dxa"/>
            <w:gridSpan w:val="8"/>
            <w:noWrap w:val="0"/>
            <w:vAlign w:val="center"/>
          </w:tcPr>
          <w:p w14:paraId="6A943F5A">
            <w:pPr>
              <w:pStyle w:val="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□目前未在其他项目上任职，现从事工作为：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 </w:t>
            </w:r>
          </w:p>
          <w:p w14:paraId="0720CCA4">
            <w:pPr>
              <w:jc w:val="left"/>
              <w:rPr>
                <w:rFonts w:hint="eastAsia" w:ascii="宋体" w:hAnsi="宋体" w:eastAsia="宋体" w:cs="宋体"/>
                <w:szCs w:val="21"/>
                <w:highlight w:val="none"/>
              </w:rPr>
            </w:pPr>
            <w:r>
              <w:rPr>
                <w:rFonts w:hint="eastAsia" w:ascii="宋体" w:hAnsi="宋体" w:eastAsia="宋体" w:cs="宋体"/>
                <w:szCs w:val="21"/>
                <w:highlight w:val="none"/>
              </w:rPr>
              <w:t>□目前虽在其他项目上任职，但本项目中标后能够从该项目撤离，</w:t>
            </w:r>
          </w:p>
          <w:p w14:paraId="3744B68A">
            <w:pPr>
              <w:jc w:val="left"/>
              <w:rPr>
                <w:rFonts w:hint="eastAsia" w:ascii="宋体" w:hAnsi="宋体" w:eastAsia="宋体" w:cs="宋体"/>
                <w:szCs w:val="21"/>
                <w:highlight w:val="none"/>
              </w:rPr>
            </w:pPr>
            <w:r>
              <w:rPr>
                <w:rFonts w:hint="eastAsia" w:ascii="宋体" w:hAnsi="宋体" w:eastAsia="宋体" w:cs="宋体"/>
                <w:szCs w:val="21"/>
                <w:highlight w:val="none"/>
              </w:rPr>
              <w:t>目前任职项目：</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，担任职位：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tc>
      </w:tr>
      <w:tr w14:paraId="4EF7C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8" w:hRule="atLeast"/>
          <w:jc w:val="center"/>
        </w:trPr>
        <w:tc>
          <w:tcPr>
            <w:tcW w:w="1354" w:type="dxa"/>
            <w:noWrap w:val="0"/>
            <w:vAlign w:val="center"/>
          </w:tcPr>
          <w:p w14:paraId="7F6CDDEF">
            <w:pPr>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285" w:type="dxa"/>
            <w:gridSpan w:val="8"/>
            <w:noWrap w:val="0"/>
            <w:vAlign w:val="center"/>
          </w:tcPr>
          <w:p w14:paraId="14E6BC59">
            <w:pPr>
              <w:jc w:val="center"/>
              <w:rPr>
                <w:rFonts w:hint="eastAsia" w:ascii="宋体" w:hAnsi="宋体" w:eastAsia="宋体" w:cs="宋体"/>
                <w:szCs w:val="21"/>
                <w:highlight w:val="none"/>
              </w:rPr>
            </w:pPr>
          </w:p>
        </w:tc>
      </w:tr>
    </w:tbl>
    <w:p w14:paraId="310DAAE7">
      <w:pPr>
        <w:ind w:left="735" w:hanging="735" w:hangingChars="350"/>
        <w:rPr>
          <w:rFonts w:hint="eastAsia" w:ascii="宋体" w:hAnsi="宋体" w:eastAsia="宋体" w:cs="宋体"/>
          <w:szCs w:val="21"/>
          <w:highlight w:val="none"/>
        </w:rPr>
      </w:pPr>
    </w:p>
    <w:p w14:paraId="68FD13F2">
      <w:pPr>
        <w:ind w:left="735" w:hanging="735" w:hangingChars="350"/>
        <w:rPr>
          <w:rFonts w:hint="eastAsia" w:ascii="宋体" w:hAnsi="宋体" w:eastAsia="宋体" w:cs="宋体"/>
          <w:szCs w:val="21"/>
          <w:highlight w:val="none"/>
        </w:rPr>
      </w:pPr>
      <w:r>
        <w:rPr>
          <w:rFonts w:hint="eastAsia" w:ascii="宋体" w:hAnsi="宋体" w:eastAsia="宋体" w:cs="宋体"/>
          <w:szCs w:val="21"/>
          <w:highlight w:val="none"/>
        </w:rPr>
        <w:t>注：1.本表应填写总监理工程师相关情况。</w:t>
      </w:r>
    </w:p>
    <w:p w14:paraId="1AE0D205">
      <w:pPr>
        <w:ind w:left="735" w:leftChars="200" w:hanging="315" w:hangingChars="150"/>
        <w:rPr>
          <w:rFonts w:hint="eastAsia" w:ascii="宋体" w:hAnsi="宋体" w:eastAsia="宋体" w:cs="宋体"/>
          <w:szCs w:val="21"/>
          <w:highlight w:val="none"/>
        </w:rPr>
      </w:pPr>
      <w:r>
        <w:rPr>
          <w:rFonts w:hint="eastAsia" w:ascii="宋体" w:hAnsi="宋体" w:eastAsia="宋体" w:cs="宋体"/>
          <w:szCs w:val="21"/>
          <w:highlight w:val="none"/>
        </w:rPr>
        <w:t>2.投标人应根据招标文件第二章“投标人须知”第3.5.4项的要求在本表后附相关证明材料</w:t>
      </w:r>
    </w:p>
    <w:p w14:paraId="12E38466">
      <w:pPr>
        <w:spacing w:after="60" w:afterLines="25" w:line="360" w:lineRule="exact"/>
        <w:jc w:val="center"/>
        <w:rPr>
          <w:rFonts w:hint="eastAsia" w:ascii="宋体" w:hAnsi="宋体" w:eastAsia="宋体" w:cs="宋体"/>
          <w:b/>
          <w:sz w:val="28"/>
          <w:szCs w:val="28"/>
          <w:highlight w:val="none"/>
        </w:rPr>
      </w:pPr>
    </w:p>
    <w:p w14:paraId="11E09539">
      <w:pPr>
        <w:spacing w:after="60" w:afterLines="25" w:line="360" w:lineRule="exact"/>
        <w:jc w:val="center"/>
        <w:rPr>
          <w:rFonts w:hint="eastAsia" w:ascii="宋体" w:hAnsi="宋体" w:eastAsia="宋体" w:cs="宋体"/>
          <w:b/>
          <w:sz w:val="28"/>
          <w:szCs w:val="28"/>
          <w:highlight w:val="none"/>
        </w:rPr>
      </w:pPr>
    </w:p>
    <w:p w14:paraId="7CC97566">
      <w:pPr>
        <w:autoSpaceDE w:val="0"/>
        <w:autoSpaceDN w:val="0"/>
        <w:adjustRightInd w:val="0"/>
        <w:jc w:val="right"/>
        <w:rPr>
          <w:rFonts w:hint="eastAsia" w:ascii="宋体" w:hAnsi="宋体" w:eastAsia="宋体" w:cs="宋体"/>
          <w:sz w:val="24"/>
          <w:highlight w:val="none"/>
        </w:rPr>
      </w:pPr>
      <w:r>
        <w:rPr>
          <w:rFonts w:hint="eastAsia" w:ascii="宋体" w:hAnsi="宋体" w:eastAsia="宋体" w:cs="宋体"/>
          <w:b/>
          <w:sz w:val="24"/>
          <w:highlight w:val="none"/>
        </w:rPr>
        <w:br w:type="page"/>
      </w:r>
      <w:bookmarkStart w:id="252" w:name="_Toc139453235"/>
      <w:bookmarkStart w:id="253" w:name="_Toc139451020"/>
    </w:p>
    <w:p w14:paraId="095107C6">
      <w:pPr>
        <w:pStyle w:val="5"/>
        <w:spacing w:before="0" w:after="0" w:line="360" w:lineRule="auto"/>
        <w:jc w:val="center"/>
        <w:rPr>
          <w:rFonts w:hint="eastAsia" w:ascii="宋体" w:hAnsi="宋体" w:eastAsia="宋体" w:cs="宋体"/>
          <w:highlight w:val="none"/>
        </w:rPr>
      </w:pPr>
      <w:bookmarkStart w:id="254" w:name="_Toc533409807"/>
      <w:r>
        <w:rPr>
          <w:rFonts w:hint="eastAsia" w:ascii="宋体" w:hAnsi="宋体" w:eastAsia="宋体" w:cs="宋体"/>
          <w:bCs w:val="0"/>
          <w:szCs w:val="21"/>
          <w:highlight w:val="none"/>
        </w:rPr>
        <w:t>六、技术建议书</w:t>
      </w:r>
      <w:bookmarkEnd w:id="254"/>
    </w:p>
    <w:p w14:paraId="720DE3EB">
      <w:pPr>
        <w:spacing w:line="360" w:lineRule="auto"/>
        <w:jc w:val="left"/>
        <w:outlineLvl w:val="4"/>
        <w:rPr>
          <w:rFonts w:hint="eastAsia" w:ascii="宋体" w:hAnsi="宋体" w:eastAsia="宋体" w:cs="宋体"/>
          <w:szCs w:val="21"/>
          <w:highlight w:val="none"/>
          <w:lang w:eastAsia="zh-CN"/>
        </w:rPr>
      </w:pPr>
      <w:r>
        <w:rPr>
          <w:rFonts w:hint="eastAsia" w:ascii="宋体" w:hAnsi="宋体" w:eastAsia="宋体" w:cs="宋体"/>
          <w:szCs w:val="21"/>
          <w:highlight w:val="none"/>
        </w:rPr>
        <w:t>1.监理大纲（或监理方案）和措施。</w:t>
      </w:r>
    </w:p>
    <w:p w14:paraId="12A38680">
      <w:pPr>
        <w:spacing w:line="360" w:lineRule="auto"/>
        <w:jc w:val="left"/>
        <w:outlineLvl w:val="4"/>
        <w:rPr>
          <w:rFonts w:hint="eastAsia" w:ascii="宋体" w:hAnsi="宋体" w:eastAsia="宋体" w:cs="宋体"/>
          <w:szCs w:val="21"/>
          <w:highlight w:val="none"/>
          <w:lang w:eastAsia="zh-CN"/>
        </w:rPr>
      </w:pPr>
      <w:r>
        <w:rPr>
          <w:rFonts w:hint="eastAsia" w:ascii="宋体" w:hAnsi="宋体" w:eastAsia="宋体" w:cs="宋体"/>
          <w:szCs w:val="21"/>
          <w:highlight w:val="none"/>
        </w:rPr>
        <w:t>2.本工程监理工作的重点与难点分析：根据招标文件及现场考察，对本工程监理工作需要特别给予重视的问题逐一论述并给出解决方法。</w:t>
      </w:r>
    </w:p>
    <w:p w14:paraId="700FC6E1">
      <w:pPr>
        <w:spacing w:line="360" w:lineRule="auto"/>
        <w:jc w:val="left"/>
        <w:outlineLvl w:val="4"/>
        <w:rPr>
          <w:rFonts w:hint="eastAsia" w:ascii="宋体" w:hAnsi="宋体" w:eastAsia="宋体" w:cs="宋体"/>
          <w:szCs w:val="21"/>
          <w:highlight w:val="none"/>
          <w:lang w:eastAsia="zh-CN"/>
        </w:rPr>
      </w:pPr>
      <w:r>
        <w:rPr>
          <w:rFonts w:hint="eastAsia" w:ascii="宋体" w:hAnsi="宋体" w:eastAsia="宋体" w:cs="宋体"/>
          <w:szCs w:val="21"/>
          <w:highlight w:val="none"/>
        </w:rPr>
        <w:t>3.对本工程建议：为更好地完成本工程的监理工作，监理单位可根据以往的经验，对本工程监理工作提出建议。</w:t>
      </w:r>
    </w:p>
    <w:p w14:paraId="7C68BBAE">
      <w:pPr>
        <w:bidi w:val="0"/>
        <w:rPr>
          <w:rFonts w:hint="eastAsia" w:ascii="宋体" w:hAnsi="宋体" w:eastAsia="宋体" w:cs="宋体"/>
          <w:highlight w:val="none"/>
        </w:rPr>
      </w:pPr>
      <w:r>
        <w:rPr>
          <w:rFonts w:hint="eastAsia" w:ascii="宋体" w:hAnsi="宋体" w:eastAsia="宋体" w:cs="宋体"/>
          <w:highlight w:val="none"/>
        </w:rPr>
        <w:br w:type="page"/>
      </w:r>
    </w:p>
    <w:p w14:paraId="6087573A">
      <w:pPr>
        <w:pStyle w:val="5"/>
        <w:spacing w:before="0" w:after="0" w:line="360" w:lineRule="auto"/>
        <w:jc w:val="center"/>
        <w:rPr>
          <w:rFonts w:hint="eastAsia" w:ascii="宋体" w:hAnsi="宋体" w:eastAsia="宋体" w:cs="宋体"/>
          <w:bCs w:val="0"/>
          <w:szCs w:val="21"/>
          <w:highlight w:val="none"/>
        </w:rPr>
      </w:pPr>
      <w:bookmarkStart w:id="255" w:name="_Toc533409808"/>
      <w:r>
        <w:rPr>
          <w:rFonts w:hint="eastAsia" w:ascii="宋体" w:hAnsi="宋体" w:eastAsia="宋体" w:cs="宋体"/>
          <w:bCs w:val="0"/>
          <w:szCs w:val="21"/>
          <w:highlight w:val="none"/>
        </w:rPr>
        <w:t>七、其他资料</w:t>
      </w:r>
      <w:bookmarkEnd w:id="255"/>
    </w:p>
    <w:p w14:paraId="0A3D824E">
      <w:pPr>
        <w:bidi w:val="0"/>
        <w:rPr>
          <w:rFonts w:hint="eastAsia" w:ascii="宋体" w:hAnsi="宋体" w:eastAsia="宋体" w:cs="宋体"/>
          <w:highlight w:val="none"/>
        </w:rPr>
      </w:pPr>
    </w:p>
    <w:p w14:paraId="4A03A617">
      <w:pPr>
        <w:bidi w:val="0"/>
        <w:rPr>
          <w:rFonts w:hint="eastAsia" w:ascii="宋体" w:hAnsi="宋体" w:eastAsia="宋体" w:cs="宋体"/>
          <w:highlight w:val="none"/>
        </w:rPr>
      </w:pPr>
    </w:p>
    <w:p w14:paraId="1F9A2342">
      <w:pPr>
        <w:jc w:val="center"/>
        <w:rPr>
          <w:rFonts w:hint="eastAsia" w:ascii="宋体" w:hAnsi="宋体" w:eastAsia="宋体" w:cs="宋体"/>
          <w:b/>
          <w:bCs/>
          <w:sz w:val="24"/>
          <w:highlight w:val="none"/>
        </w:rPr>
      </w:pPr>
      <w:r>
        <w:rPr>
          <w:rFonts w:hint="eastAsia" w:ascii="宋体" w:hAnsi="宋体" w:eastAsia="宋体" w:cs="宋体"/>
          <w:b/>
          <w:bCs/>
          <w:sz w:val="24"/>
          <w:highlight w:val="none"/>
        </w:rPr>
        <w:t>无在建项目承诺书</w:t>
      </w:r>
    </w:p>
    <w:p w14:paraId="5F5A1345">
      <w:pPr>
        <w:jc w:val="center"/>
        <w:rPr>
          <w:rFonts w:hint="eastAsia" w:ascii="宋体" w:hAnsi="宋体" w:eastAsia="宋体" w:cs="宋体"/>
          <w:b/>
          <w:bCs/>
          <w:sz w:val="24"/>
          <w:highlight w:val="none"/>
        </w:rPr>
      </w:pPr>
      <w:r>
        <w:rPr>
          <w:rFonts w:hint="eastAsia" w:ascii="宋体" w:hAnsi="宋体" w:eastAsia="宋体" w:cs="宋体"/>
          <w:b/>
          <w:bCs/>
          <w:sz w:val="24"/>
          <w:highlight w:val="none"/>
        </w:rPr>
        <w:t>投标人《中小企业声明函》</w:t>
      </w:r>
    </w:p>
    <w:p w14:paraId="07ED1E51">
      <w:pPr>
        <w:jc w:val="center"/>
        <w:rPr>
          <w:rFonts w:hint="eastAsia" w:ascii="宋体" w:hAnsi="宋体" w:eastAsia="宋体" w:cs="宋体"/>
          <w:b/>
          <w:bCs/>
          <w:sz w:val="28"/>
          <w:szCs w:val="28"/>
          <w:highlight w:val="none"/>
        </w:rPr>
      </w:pPr>
      <w:r>
        <w:rPr>
          <w:rFonts w:hint="eastAsia" w:ascii="宋体" w:hAnsi="宋体" w:eastAsia="宋体" w:cs="宋体"/>
          <w:b/>
          <w:bCs/>
          <w:sz w:val="24"/>
          <w:highlight w:val="none"/>
        </w:rPr>
        <w:t>其他资料</w:t>
      </w:r>
    </w:p>
    <w:p w14:paraId="152C640B">
      <w:pPr>
        <w:bidi w:val="0"/>
        <w:rPr>
          <w:rFonts w:hint="eastAsia" w:ascii="宋体" w:hAnsi="宋体" w:eastAsia="宋体" w:cs="宋体"/>
          <w:highlight w:val="none"/>
        </w:rPr>
      </w:pPr>
      <w:r>
        <w:rPr>
          <w:rFonts w:hint="eastAsia" w:ascii="宋体" w:hAnsi="宋体" w:eastAsia="宋体" w:cs="宋体"/>
          <w:highlight w:val="none"/>
        </w:rPr>
        <w:br w:type="page"/>
      </w:r>
    </w:p>
    <w:p w14:paraId="2B2D3A3E">
      <w:pPr>
        <w:adjustRightInd w:val="0"/>
        <w:snapToGrid w:val="0"/>
        <w:spacing w:line="360" w:lineRule="auto"/>
        <w:jc w:val="center"/>
        <w:rPr>
          <w:rFonts w:hint="eastAsia" w:ascii="宋体" w:hAnsi="宋体" w:eastAsia="宋体" w:cs="宋体"/>
          <w:b/>
          <w:bCs/>
          <w:sz w:val="44"/>
          <w:szCs w:val="44"/>
          <w:highlight w:val="none"/>
        </w:rPr>
      </w:pPr>
    </w:p>
    <w:p w14:paraId="1011C71A">
      <w:pPr>
        <w:autoSpaceDE w:val="0"/>
        <w:autoSpaceDN w:val="0"/>
        <w:adjustRightInd w:val="0"/>
        <w:jc w:val="left"/>
        <w:rPr>
          <w:rFonts w:hint="eastAsia" w:ascii="宋体" w:hAnsi="宋体" w:eastAsia="宋体" w:cs="宋体"/>
          <w:b/>
          <w:kern w:val="0"/>
          <w:sz w:val="24"/>
          <w:highlight w:val="none"/>
        </w:rPr>
      </w:pPr>
    </w:p>
    <w:p w14:paraId="6053623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p w14:paraId="3C1C9D95">
      <w:pPr>
        <w:jc w:val="center"/>
        <w:rPr>
          <w:rFonts w:hint="eastAsia" w:ascii="宋体" w:hAnsi="宋体" w:eastAsia="宋体" w:cs="宋体"/>
          <w:sz w:val="28"/>
          <w:szCs w:val="28"/>
          <w:highlight w:val="none"/>
        </w:rPr>
      </w:pPr>
    </w:p>
    <w:p w14:paraId="2A0DC086">
      <w:pPr>
        <w:jc w:val="center"/>
        <w:rPr>
          <w:rFonts w:hint="eastAsia" w:ascii="宋体" w:hAnsi="宋体" w:eastAsia="宋体" w:cs="宋体"/>
          <w:sz w:val="28"/>
          <w:szCs w:val="28"/>
          <w:highlight w:val="none"/>
        </w:rPr>
      </w:pPr>
    </w:p>
    <w:p w14:paraId="1B2A7F81">
      <w:pPr>
        <w:jc w:val="center"/>
        <w:rPr>
          <w:rFonts w:hint="eastAsia" w:ascii="宋体" w:hAnsi="宋体" w:eastAsia="宋体" w:cs="宋体"/>
          <w:sz w:val="28"/>
          <w:szCs w:val="28"/>
          <w:highlight w:val="none"/>
        </w:rPr>
      </w:pPr>
    </w:p>
    <w:p w14:paraId="5212BD7C">
      <w:pPr>
        <w:rPr>
          <w:rFonts w:hint="eastAsia" w:ascii="宋体" w:hAnsi="宋体" w:eastAsia="宋体" w:cs="宋体"/>
          <w:sz w:val="20"/>
          <w:szCs w:val="20"/>
          <w:highlight w:val="none"/>
        </w:rPr>
      </w:pPr>
    </w:p>
    <w:p w14:paraId="3CDE3745">
      <w:pPr>
        <w:rPr>
          <w:rFonts w:hint="eastAsia" w:ascii="宋体" w:hAnsi="宋体" w:eastAsia="宋体" w:cs="宋体"/>
          <w:sz w:val="20"/>
          <w:szCs w:val="20"/>
          <w:highlight w:val="none"/>
        </w:rPr>
      </w:pPr>
    </w:p>
    <w:p w14:paraId="19739BC4">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投  标  文  件</w:t>
      </w:r>
    </w:p>
    <w:p w14:paraId="1886735B">
      <w:pPr>
        <w:jc w:val="center"/>
        <w:rPr>
          <w:rFonts w:hint="eastAsia" w:ascii="宋体" w:hAnsi="宋体" w:eastAsia="宋体" w:cs="宋体"/>
          <w:b/>
          <w:sz w:val="48"/>
          <w:szCs w:val="48"/>
          <w:highlight w:val="none"/>
        </w:rPr>
      </w:pPr>
    </w:p>
    <w:p w14:paraId="1568FB05">
      <w:pPr>
        <w:jc w:val="center"/>
        <w:rPr>
          <w:rFonts w:hint="eastAsia" w:ascii="宋体" w:hAnsi="宋体" w:eastAsia="宋体" w:cs="宋体"/>
          <w:b/>
          <w:sz w:val="48"/>
          <w:szCs w:val="48"/>
          <w:highlight w:val="none"/>
        </w:rPr>
      </w:pPr>
    </w:p>
    <w:p w14:paraId="2BC6C6DE">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第二信封</w:t>
      </w:r>
    </w:p>
    <w:p w14:paraId="3FB29CD0">
      <w:pPr>
        <w:jc w:val="center"/>
        <w:rPr>
          <w:rFonts w:hint="eastAsia" w:ascii="宋体" w:hAnsi="宋体" w:eastAsia="宋体" w:cs="宋体"/>
          <w:sz w:val="28"/>
          <w:szCs w:val="28"/>
          <w:highlight w:val="none"/>
        </w:rPr>
      </w:pPr>
    </w:p>
    <w:p w14:paraId="746040B0">
      <w:pPr>
        <w:jc w:val="center"/>
        <w:rPr>
          <w:rFonts w:hint="eastAsia" w:ascii="宋体" w:hAnsi="宋体" w:eastAsia="宋体" w:cs="宋体"/>
          <w:sz w:val="28"/>
          <w:szCs w:val="28"/>
          <w:highlight w:val="none"/>
        </w:rPr>
      </w:pPr>
    </w:p>
    <w:p w14:paraId="6B0A2B3D">
      <w:pPr>
        <w:jc w:val="center"/>
        <w:rPr>
          <w:rFonts w:hint="eastAsia" w:ascii="宋体" w:hAnsi="宋体" w:eastAsia="宋体" w:cs="宋体"/>
          <w:sz w:val="28"/>
          <w:szCs w:val="28"/>
          <w:highlight w:val="none"/>
        </w:rPr>
      </w:pPr>
    </w:p>
    <w:p w14:paraId="72CA2DE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（报价文件）</w:t>
      </w:r>
    </w:p>
    <w:p w14:paraId="058DAE3C">
      <w:pPr>
        <w:rPr>
          <w:rFonts w:hint="eastAsia" w:ascii="宋体" w:hAnsi="宋体" w:eastAsia="宋体" w:cs="宋体"/>
          <w:sz w:val="44"/>
          <w:szCs w:val="44"/>
          <w:highlight w:val="none"/>
        </w:rPr>
      </w:pPr>
    </w:p>
    <w:p w14:paraId="098FFAB6">
      <w:pPr>
        <w:pStyle w:val="2"/>
        <w:rPr>
          <w:rFonts w:hint="eastAsia"/>
        </w:rPr>
      </w:pPr>
    </w:p>
    <w:p w14:paraId="70374630">
      <w:pPr>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  标  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(电子签章)</w:t>
      </w:r>
    </w:p>
    <w:p w14:paraId="1AE78ABA">
      <w:pPr>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(电子签章)</w:t>
      </w:r>
    </w:p>
    <w:p w14:paraId="5BE5EE7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14:paraId="3FD4DF84">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r>
        <w:rPr>
          <w:rFonts w:hint="eastAsia" w:ascii="宋体" w:hAnsi="宋体" w:eastAsia="宋体" w:cs="宋体"/>
          <w:b/>
          <w:sz w:val="30"/>
          <w:szCs w:val="30"/>
          <w:highlight w:val="none"/>
        </w:rPr>
        <w:t>目    录</w:t>
      </w:r>
    </w:p>
    <w:p w14:paraId="080D0437">
      <w:pPr>
        <w:spacing w:line="36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一、投标函</w:t>
      </w:r>
    </w:p>
    <w:p w14:paraId="54AEF0BD">
      <w:pPr>
        <w:spacing w:line="360" w:lineRule="exact"/>
        <w:rPr>
          <w:rFonts w:hint="eastAsia" w:ascii="宋体" w:hAnsi="宋体" w:eastAsia="宋体" w:cs="宋体"/>
          <w:szCs w:val="21"/>
          <w:highlight w:val="none"/>
        </w:rPr>
      </w:pPr>
      <w:r>
        <w:rPr>
          <w:rFonts w:hint="eastAsia" w:ascii="宋体" w:hAnsi="宋体" w:eastAsia="宋体" w:cs="宋体"/>
          <w:szCs w:val="21"/>
          <w:highlight w:val="none"/>
        </w:rPr>
        <w:t>二、监理服务费用清单</w:t>
      </w:r>
    </w:p>
    <w:p w14:paraId="6DFDFE78">
      <w:pPr>
        <w:pStyle w:val="15"/>
        <w:wordWrap w:val="0"/>
        <w:spacing w:before="0" w:beforeAutospacing="0" w:after="0" w:afterAutospacing="0" w:line="39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br w:type="page"/>
      </w:r>
      <w:bookmarkStart w:id="256" w:name="_Toc533409811"/>
    </w:p>
    <w:p w14:paraId="5B562149">
      <w:pPr>
        <w:pStyle w:val="15"/>
        <w:wordWrap w:val="0"/>
        <w:spacing w:before="0" w:beforeAutospacing="0" w:after="0" w:afterAutospacing="0" w:line="390" w:lineRule="atLeast"/>
        <w:jc w:val="center"/>
        <w:rPr>
          <w:rFonts w:hint="eastAsia" w:ascii="宋体" w:hAnsi="宋体" w:eastAsia="宋体" w:cs="宋体"/>
          <w:b/>
          <w:color w:val="auto"/>
          <w:sz w:val="28"/>
          <w:szCs w:val="28"/>
          <w:highlight w:val="none"/>
          <w:lang w:eastAsia="zh-CN"/>
        </w:rPr>
      </w:pPr>
      <w:r>
        <w:rPr>
          <w:rFonts w:hint="eastAsia" w:ascii="宋体" w:hAnsi="宋体" w:eastAsia="宋体" w:cs="宋体"/>
          <w:bCs/>
          <w:color w:val="auto"/>
          <w:szCs w:val="21"/>
          <w:highlight w:val="none"/>
        </w:rPr>
        <w:t>一、</w:t>
      </w:r>
      <w:bookmarkEnd w:id="256"/>
      <w:r>
        <w:rPr>
          <w:rFonts w:hint="eastAsia" w:ascii="宋体" w:hAnsi="宋体" w:eastAsia="宋体" w:cs="宋体"/>
          <w:b/>
          <w:color w:val="auto"/>
          <w:sz w:val="28"/>
          <w:szCs w:val="28"/>
          <w:highlight w:val="none"/>
          <w:shd w:val="clear" w:color="auto" w:fill="FFFFFF"/>
        </w:rPr>
        <w:t>投标函</w:t>
      </w:r>
    </w:p>
    <w:p w14:paraId="2430F605">
      <w:pPr>
        <w:pStyle w:val="15"/>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(招标人名称)：</w:t>
      </w:r>
    </w:p>
    <w:p w14:paraId="166BDF94">
      <w:pPr>
        <w:pStyle w:val="15"/>
        <w:numPr>
          <w:ilvl w:val="0"/>
          <w:numId w:val="5"/>
        </w:numPr>
        <w:wordWrap w:val="0"/>
        <w:spacing w:before="0" w:beforeAutospacing="0" w:after="0" w:afterAutospacing="0" w:line="360" w:lineRule="auto"/>
        <w:ind w:firstLine="480"/>
        <w:rPr>
          <w:rFonts w:hint="eastAsia" w:ascii="宋体" w:hAnsi="宋体" w:eastAsia="宋体" w:cs="宋体"/>
          <w:color w:val="auto"/>
          <w:sz w:val="19"/>
          <w:szCs w:val="19"/>
          <w:highlight w:val="none"/>
          <w:shd w:val="clear" w:color="auto" w:fill="FFFFFF"/>
        </w:rPr>
      </w:pPr>
      <w:r>
        <w:rPr>
          <w:rFonts w:hint="eastAsia" w:ascii="宋体" w:hAnsi="宋体" w:eastAsia="宋体" w:cs="宋体"/>
          <w:color w:val="auto"/>
          <w:sz w:val="19"/>
          <w:szCs w:val="19"/>
          <w:highlight w:val="none"/>
          <w:shd w:val="clear" w:color="auto" w:fill="FFFFFF"/>
        </w:rPr>
        <w:t>.我方已仔细研究</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（项目名称）</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标段施工招标文件的全部内容（含补遗书第</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号至第</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号），在考察工程现场后，愿意以人民币（大写）</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元）的投标总报价（或根据招标文件规定修正核实后确定的另一金额，其中，增值税税率为</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），按合同约定完成施工监理工作。</w:t>
      </w:r>
    </w:p>
    <w:p w14:paraId="02E7BBA3">
      <w:pPr>
        <w:pStyle w:val="15"/>
        <w:wordWrap w:val="0"/>
        <w:spacing w:before="0" w:beforeAutospacing="0" w:after="0" w:afterAutospacing="0" w:line="360" w:lineRule="auto"/>
        <w:ind w:left="480"/>
        <w:rPr>
          <w:rFonts w:hint="eastAsia" w:ascii="宋体" w:hAnsi="宋体" w:eastAsia="宋体" w:cs="宋体"/>
          <w:color w:val="auto"/>
          <w:sz w:val="19"/>
          <w:szCs w:val="19"/>
          <w:highlight w:val="none"/>
          <w:shd w:val="clear" w:color="auto" w:fill="FFFFFF"/>
        </w:rPr>
      </w:pPr>
      <w:r>
        <w:rPr>
          <w:rFonts w:hint="eastAsia" w:ascii="宋体" w:hAnsi="宋体" w:eastAsia="宋体" w:cs="宋体"/>
          <w:color w:val="auto"/>
          <w:sz w:val="19"/>
          <w:szCs w:val="19"/>
          <w:highlight w:val="none"/>
          <w:shd w:val="clear" w:color="auto" w:fill="FFFFFF"/>
        </w:rPr>
        <w:t>其中：施工阶段监理服务费：</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元。</w:t>
      </w:r>
    </w:p>
    <w:p w14:paraId="3B43D4B3">
      <w:pPr>
        <w:pStyle w:val="15"/>
        <w:wordWrap w:val="0"/>
        <w:spacing w:before="0" w:beforeAutospacing="0" w:after="0" w:afterAutospacing="0" w:line="360" w:lineRule="auto"/>
        <w:ind w:left="480"/>
        <w:rPr>
          <w:rFonts w:hint="eastAsia" w:ascii="宋体" w:hAnsi="宋体" w:eastAsia="宋体" w:cs="宋体"/>
          <w:color w:val="auto"/>
          <w:sz w:val="19"/>
          <w:szCs w:val="19"/>
          <w:highlight w:val="none"/>
          <w:shd w:val="clear" w:color="auto" w:fill="FFFFFF"/>
        </w:rPr>
      </w:pPr>
      <w:r>
        <w:rPr>
          <w:rFonts w:hint="eastAsia" w:ascii="宋体" w:hAnsi="宋体" w:eastAsia="宋体" w:cs="宋体"/>
          <w:color w:val="auto"/>
          <w:sz w:val="19"/>
          <w:szCs w:val="19"/>
          <w:highlight w:val="none"/>
          <w:shd w:val="clear" w:color="auto" w:fill="FFFFFF"/>
        </w:rPr>
        <w:t>缺陷责任期阶段监理服务费：</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元。</w:t>
      </w:r>
    </w:p>
    <w:p w14:paraId="369A38DC">
      <w:pPr>
        <w:pStyle w:val="15"/>
        <w:wordWrap w:val="0"/>
        <w:spacing w:before="0" w:beforeAutospacing="0" w:after="0" w:afterAutospacing="0" w:line="360" w:lineRule="auto"/>
        <w:ind w:left="480"/>
        <w:rPr>
          <w:rFonts w:hint="eastAsia" w:ascii="宋体" w:hAnsi="宋体" w:eastAsia="宋体" w:cs="宋体"/>
          <w:color w:val="auto"/>
          <w:sz w:val="19"/>
          <w:szCs w:val="19"/>
          <w:highlight w:val="none"/>
          <w:shd w:val="clear" w:color="auto" w:fill="FFFFFF"/>
        </w:rPr>
      </w:pPr>
      <w:r>
        <w:rPr>
          <w:rFonts w:hint="eastAsia" w:ascii="宋体" w:hAnsi="宋体" w:eastAsia="宋体" w:cs="宋体"/>
          <w:color w:val="auto"/>
          <w:sz w:val="19"/>
          <w:szCs w:val="19"/>
          <w:highlight w:val="none"/>
          <w:shd w:val="clear" w:color="auto" w:fill="FFFFFF"/>
        </w:rPr>
        <w:t>其它费用：</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元</w:t>
      </w:r>
    </w:p>
    <w:p w14:paraId="65C37799">
      <w:pPr>
        <w:pStyle w:val="15"/>
        <w:wordWrap w:val="0"/>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sz w:val="19"/>
          <w:szCs w:val="19"/>
          <w:highlight w:val="none"/>
          <w:shd w:val="clear" w:color="auto" w:fill="FFFFFF"/>
        </w:rPr>
        <w:t xml:space="preserve">2.在合同协议书正式签署生效之前，本投标函连同你方的中标通知书将构成我们双方之间共同遵守的文件，对双方具有约束力。 </w:t>
      </w:r>
    </w:p>
    <w:p w14:paraId="5064842B">
      <w:pPr>
        <w:pStyle w:val="15"/>
        <w:wordWrap w:val="0"/>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sz w:val="19"/>
          <w:szCs w:val="19"/>
          <w:highlight w:val="none"/>
          <w:shd w:val="clear" w:color="auto" w:fill="FFFFFF"/>
        </w:rPr>
        <w:t>3．</w:t>
      </w:r>
      <w:r>
        <w:rPr>
          <w:rFonts w:hint="eastAsia" w:ascii="宋体" w:hAnsi="宋体" w:eastAsia="宋体" w:cs="宋体"/>
          <w:color w:val="auto"/>
          <w:sz w:val="19"/>
          <w:szCs w:val="19"/>
          <w:highlight w:val="none"/>
          <w:u w:val="single"/>
          <w:shd w:val="clear" w:color="auto" w:fill="FFFFFF"/>
        </w:rPr>
        <w:t xml:space="preserve">       </w:t>
      </w:r>
      <w:r>
        <w:rPr>
          <w:rFonts w:hint="eastAsia" w:ascii="宋体" w:hAnsi="宋体" w:eastAsia="宋体" w:cs="宋体"/>
          <w:color w:val="auto"/>
          <w:sz w:val="19"/>
          <w:szCs w:val="19"/>
          <w:highlight w:val="none"/>
          <w:shd w:val="clear" w:color="auto" w:fill="FFFFFF"/>
        </w:rPr>
        <w:t xml:space="preserve">（其他补充说明）。  </w:t>
      </w:r>
    </w:p>
    <w:p w14:paraId="38A97006">
      <w:pPr>
        <w:spacing w:line="360" w:lineRule="auto"/>
        <w:jc w:val="right"/>
        <w:rPr>
          <w:rFonts w:hint="eastAsia" w:ascii="宋体" w:hAnsi="宋体" w:eastAsia="宋体" w:cs="宋体"/>
          <w:szCs w:val="21"/>
          <w:highlight w:val="none"/>
        </w:rPr>
      </w:pPr>
    </w:p>
    <w:p w14:paraId="34527DA4">
      <w:pPr>
        <w:spacing w:line="360" w:lineRule="auto"/>
        <w:jc w:val="right"/>
        <w:rPr>
          <w:rFonts w:hint="eastAsia" w:ascii="宋体" w:hAnsi="宋体" w:eastAsia="宋体" w:cs="宋体"/>
          <w:szCs w:val="21"/>
          <w:highlight w:val="none"/>
        </w:rPr>
      </w:pPr>
    </w:p>
    <w:p w14:paraId="1A689DB0">
      <w:pPr>
        <w:spacing w:line="360" w:lineRule="auto"/>
        <w:jc w:val="right"/>
        <w:rPr>
          <w:rFonts w:hint="eastAsia" w:ascii="宋体" w:hAnsi="宋体" w:eastAsia="宋体" w:cs="宋体"/>
          <w:szCs w:val="21"/>
          <w:highlight w:val="none"/>
        </w:rPr>
      </w:pPr>
    </w:p>
    <w:p w14:paraId="5B33A8A3">
      <w:pPr>
        <w:spacing w:line="360" w:lineRule="auto"/>
        <w:jc w:val="right"/>
        <w:rPr>
          <w:rFonts w:hint="eastAsia" w:ascii="宋体" w:hAnsi="宋体" w:eastAsia="宋体" w:cs="宋体"/>
          <w:szCs w:val="21"/>
          <w:highlight w:val="none"/>
        </w:rPr>
      </w:pPr>
    </w:p>
    <w:p w14:paraId="79DEE73E">
      <w:pPr>
        <w:spacing w:line="360" w:lineRule="auto"/>
        <w:jc w:val="right"/>
        <w:rPr>
          <w:rFonts w:hint="eastAsia" w:ascii="宋体" w:hAnsi="宋体" w:eastAsia="宋体" w:cs="宋体"/>
          <w:szCs w:val="21"/>
          <w:highlight w:val="none"/>
        </w:rPr>
      </w:pPr>
    </w:p>
    <w:p w14:paraId="45C5746B">
      <w:pPr>
        <w:spacing w:line="360" w:lineRule="auto"/>
        <w:jc w:val="right"/>
        <w:rPr>
          <w:rFonts w:hint="eastAsia" w:ascii="宋体" w:hAnsi="宋体" w:eastAsia="宋体" w:cs="宋体"/>
          <w:szCs w:val="21"/>
          <w:highlight w:val="none"/>
          <w:u w:val="singl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（电子签章） </w:t>
      </w:r>
    </w:p>
    <w:p w14:paraId="51A4B27B">
      <w:pPr>
        <w:spacing w:line="360" w:lineRule="auto"/>
        <w:jc w:val="right"/>
        <w:rPr>
          <w:rFonts w:hint="eastAsia" w:ascii="宋体" w:hAnsi="宋体" w:eastAsia="宋体" w:cs="宋体"/>
          <w:szCs w:val="21"/>
          <w:highlight w:val="none"/>
          <w:u w:val="single"/>
        </w:rPr>
      </w:pPr>
      <w:r>
        <w:rPr>
          <w:rFonts w:hint="eastAsia" w:ascii="宋体" w:hAnsi="宋体" w:eastAsia="宋体" w:cs="宋体"/>
          <w:szCs w:val="21"/>
          <w:highlight w:val="none"/>
        </w:rPr>
        <w:t>法定代表人或其授权委托人：</w:t>
      </w:r>
      <w:r>
        <w:rPr>
          <w:rFonts w:hint="eastAsia" w:ascii="宋体" w:hAnsi="宋体" w:eastAsia="宋体" w:cs="宋体"/>
          <w:szCs w:val="21"/>
          <w:highlight w:val="none"/>
          <w:u w:val="single"/>
        </w:rPr>
        <w:t xml:space="preserve">             （电子签章） </w:t>
      </w:r>
    </w:p>
    <w:p w14:paraId="579EDD78">
      <w:pPr>
        <w:wordWrap w:val="0"/>
        <w:spacing w:line="360" w:lineRule="auto"/>
        <w:jc w:val="right"/>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1D3A32B2">
      <w:pPr>
        <w:wordWrap w:val="0"/>
        <w:spacing w:line="360" w:lineRule="auto"/>
        <w:jc w:val="right"/>
        <w:rPr>
          <w:rFonts w:hint="eastAsia" w:ascii="宋体" w:hAnsi="宋体" w:eastAsia="宋体" w:cs="宋体"/>
          <w:szCs w:val="21"/>
          <w:highlight w:val="none"/>
          <w:u w:val="single"/>
        </w:rPr>
      </w:pPr>
      <w:r>
        <w:rPr>
          <w:rFonts w:hint="eastAsia" w:ascii="宋体" w:hAnsi="宋体" w:eastAsia="宋体" w:cs="宋体"/>
          <w:szCs w:val="21"/>
          <w:highlight w:val="none"/>
        </w:rPr>
        <w:t xml:space="preserve">  网址：</w:t>
      </w:r>
      <w:r>
        <w:rPr>
          <w:rFonts w:hint="eastAsia" w:ascii="宋体" w:hAnsi="宋体" w:eastAsia="宋体" w:cs="宋体"/>
          <w:szCs w:val="21"/>
          <w:highlight w:val="none"/>
          <w:u w:val="single"/>
        </w:rPr>
        <w:t xml:space="preserve">                               </w:t>
      </w:r>
    </w:p>
    <w:p w14:paraId="46DE7BF6">
      <w:pPr>
        <w:wordWrap w:val="0"/>
        <w:spacing w:line="360" w:lineRule="auto"/>
        <w:jc w:val="right"/>
        <w:rPr>
          <w:rFonts w:hint="eastAsia" w:ascii="宋体" w:hAnsi="宋体" w:eastAsia="宋体" w:cs="宋体"/>
          <w:szCs w:val="21"/>
          <w:highlight w:val="none"/>
          <w:u w:val="singl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 xml:space="preserve">                           </w:t>
      </w:r>
    </w:p>
    <w:p w14:paraId="5F572C28">
      <w:pPr>
        <w:wordWrap w:val="0"/>
        <w:spacing w:line="360" w:lineRule="auto"/>
        <w:jc w:val="right"/>
        <w:rPr>
          <w:rFonts w:hint="eastAsia" w:ascii="宋体" w:hAnsi="宋体" w:eastAsia="宋体" w:cs="宋体"/>
          <w:szCs w:val="21"/>
          <w:highlight w:val="none"/>
          <w:u w:val="singl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p>
    <w:p w14:paraId="4CD52423">
      <w:pPr>
        <w:wordWrap w:val="0"/>
        <w:spacing w:line="360" w:lineRule="auto"/>
        <w:jc w:val="right"/>
        <w:rPr>
          <w:rFonts w:hint="eastAsia" w:ascii="宋体" w:hAnsi="宋体" w:eastAsia="宋体" w:cs="宋体"/>
          <w:szCs w:val="21"/>
          <w:highlight w:val="none"/>
          <w:u w:val="single"/>
        </w:rPr>
      </w:pPr>
      <w:r>
        <w:rPr>
          <w:rFonts w:hint="eastAsia" w:ascii="宋体" w:hAnsi="宋体" w:eastAsia="宋体" w:cs="宋体"/>
          <w:szCs w:val="21"/>
          <w:highlight w:val="none"/>
        </w:rPr>
        <w:t xml:space="preserve">  传真：</w:t>
      </w:r>
      <w:r>
        <w:rPr>
          <w:rFonts w:hint="eastAsia" w:ascii="宋体" w:hAnsi="宋体" w:eastAsia="宋体" w:cs="宋体"/>
          <w:szCs w:val="21"/>
          <w:highlight w:val="none"/>
          <w:u w:val="single"/>
        </w:rPr>
        <w:t xml:space="preserve">                               </w:t>
      </w:r>
    </w:p>
    <w:p w14:paraId="1B60E770">
      <w:pPr>
        <w:wordWrap w:val="0"/>
        <w:spacing w:line="360" w:lineRule="auto"/>
        <w:jc w:val="right"/>
        <w:rPr>
          <w:rFonts w:hint="eastAsia" w:ascii="宋体" w:hAnsi="宋体" w:eastAsia="宋体" w:cs="宋体"/>
          <w:szCs w:val="21"/>
          <w:highlight w:val="none"/>
          <w:u w:val="single"/>
        </w:rPr>
      </w:pPr>
      <w:r>
        <w:rPr>
          <w:rFonts w:hint="eastAsia" w:ascii="宋体" w:hAnsi="宋体" w:eastAsia="宋体" w:cs="宋体"/>
          <w:szCs w:val="21"/>
          <w:highlight w:val="none"/>
        </w:rPr>
        <w:t xml:space="preserve">                                                     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175A9DFB">
      <w:pPr>
        <w:pStyle w:val="15"/>
        <w:wordWrap w:val="0"/>
        <w:spacing w:before="0" w:beforeAutospacing="0" w:after="0" w:afterAutospacing="0" w:line="390" w:lineRule="atLeast"/>
        <w:ind w:firstLine="3000"/>
        <w:rPr>
          <w:rFonts w:hint="eastAsia" w:ascii="宋体" w:hAnsi="宋体" w:eastAsia="宋体" w:cs="宋体"/>
          <w:color w:val="auto"/>
          <w:highlight w:val="none"/>
          <w:u w:val="none"/>
        </w:rPr>
      </w:pPr>
      <w:r>
        <w:rPr>
          <w:rFonts w:hint="eastAsia" w:ascii="宋体" w:hAnsi="宋体" w:eastAsia="宋体" w:cs="宋体"/>
          <w:szCs w:val="21"/>
          <w:highlight w:val="non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szCs w:val="21"/>
          <w:highlight w:val="none"/>
          <w:u w:val="none"/>
        </w:rPr>
        <w:t xml:space="preserve">                           </w:t>
      </w:r>
      <w:r>
        <w:rPr>
          <w:rFonts w:hint="eastAsia" w:ascii="宋体" w:hAnsi="宋体" w:eastAsia="宋体" w:cs="宋体"/>
          <w:color w:val="auto"/>
          <w:sz w:val="19"/>
          <w:szCs w:val="19"/>
          <w:highlight w:val="none"/>
          <w:u w:val="none"/>
          <w:shd w:val="clear" w:color="auto" w:fill="FFFFFF"/>
        </w:rPr>
        <w:t xml:space="preserve">   </w:t>
      </w:r>
    </w:p>
    <w:p w14:paraId="2D6E28C9">
      <w:pPr>
        <w:jc w:val="left"/>
        <w:rPr>
          <w:rFonts w:hint="eastAsia" w:ascii="宋体" w:hAnsi="宋体" w:eastAsia="宋体" w:cs="宋体"/>
          <w:szCs w:val="21"/>
          <w:highlight w:val="none"/>
        </w:rPr>
      </w:pPr>
      <w:r>
        <w:rPr>
          <w:rFonts w:hint="eastAsia" w:ascii="宋体" w:hAnsi="宋体" w:eastAsia="宋体" w:cs="宋体"/>
          <w:b/>
          <w:bCs/>
          <w:szCs w:val="21"/>
          <w:highlight w:val="none"/>
        </w:rPr>
        <w:t>注：</w:t>
      </w:r>
      <w:r>
        <w:rPr>
          <w:rFonts w:hint="eastAsia" w:ascii="宋体" w:hAnsi="宋体" w:eastAsia="宋体" w:cs="宋体"/>
          <w:b/>
          <w:bCs/>
          <w:szCs w:val="21"/>
          <w:highlight w:val="none"/>
          <w:shd w:val="clear" w:color="auto" w:fill="FFFFFF"/>
        </w:rPr>
        <w:t>如果出现系统表格和招标文件不一致的情况，以招标文件为唯一评标依据进行评审，在评标报告中说明情况。</w:t>
      </w:r>
    </w:p>
    <w:p w14:paraId="357FF455">
      <w:pPr>
        <w:bidi w:val="0"/>
        <w:spacing w:line="360" w:lineRule="auto"/>
        <w:jc w:val="center"/>
        <w:rPr>
          <w:rFonts w:hint="eastAsia" w:ascii="宋体" w:hAnsi="宋体" w:eastAsia="宋体" w:cs="宋体"/>
          <w:highlight w:val="none"/>
        </w:rPr>
      </w:pPr>
      <w:r>
        <w:rPr>
          <w:rFonts w:hint="eastAsia" w:ascii="宋体" w:hAnsi="宋体" w:eastAsia="宋体" w:cs="宋体"/>
          <w:highlight w:val="none"/>
        </w:rPr>
        <w:br w:type="page"/>
      </w:r>
      <w:bookmarkStart w:id="257" w:name="_Toc533409812"/>
      <w:r>
        <w:rPr>
          <w:rFonts w:hint="eastAsia" w:ascii="宋体" w:hAnsi="宋体" w:eastAsia="宋体" w:cs="宋体"/>
          <w:b/>
          <w:bCs w:val="0"/>
          <w:sz w:val="28"/>
          <w:szCs w:val="28"/>
          <w:highlight w:val="none"/>
        </w:rPr>
        <w:t>二、监理服务费用清单</w:t>
      </w:r>
      <w:bookmarkEnd w:id="257"/>
    </w:p>
    <w:bookmarkEnd w:id="252"/>
    <w:bookmarkEnd w:id="253"/>
    <w:p w14:paraId="6812E4F7">
      <w:pPr>
        <w:bidi w:val="0"/>
        <w:spacing w:line="360" w:lineRule="auto"/>
        <w:jc w:val="center"/>
        <w:rPr>
          <w:rFonts w:hint="eastAsia" w:ascii="宋体" w:hAnsi="宋体" w:eastAsia="宋体" w:cs="宋体"/>
          <w:color w:val="000000"/>
          <w:sz w:val="24"/>
          <w:highlight w:val="none"/>
        </w:rPr>
      </w:pPr>
      <w:bookmarkStart w:id="258" w:name="_Toc7159"/>
      <w:r>
        <w:rPr>
          <w:rFonts w:hint="eastAsia" w:ascii="宋体" w:hAnsi="宋体" w:eastAsia="宋体" w:cs="宋体"/>
          <w:sz w:val="24"/>
          <w:szCs w:val="24"/>
        </w:rPr>
        <w:t>2.1 监理服务费报价汇总表</w:t>
      </w:r>
      <w:bookmarkEnd w:id="25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43"/>
        <w:gridCol w:w="1418"/>
        <w:gridCol w:w="3119"/>
      </w:tblGrid>
      <w:tr w14:paraId="72F7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5083A7BC">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3543" w:type="dxa"/>
            <w:tcBorders>
              <w:top w:val="single" w:color="auto" w:sz="4" w:space="0"/>
              <w:left w:val="single" w:color="auto" w:sz="4" w:space="0"/>
              <w:bottom w:val="single" w:color="auto" w:sz="4" w:space="0"/>
              <w:right w:val="single" w:color="auto" w:sz="4" w:space="0"/>
            </w:tcBorders>
            <w:noWrap w:val="0"/>
            <w:vAlign w:val="center"/>
          </w:tcPr>
          <w:p w14:paraId="09B13DE2">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项目名称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1FC14E">
            <w:pPr>
              <w:tabs>
                <w:tab w:val="left" w:pos="420"/>
              </w:tabs>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合计（元）</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D8CB228">
            <w:pPr>
              <w:tabs>
                <w:tab w:val="left" w:pos="420"/>
              </w:tabs>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备注</w:t>
            </w:r>
          </w:p>
        </w:tc>
      </w:tr>
      <w:tr w14:paraId="4B77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2DACE40B">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center"/>
          </w:tcPr>
          <w:p w14:paraId="2DD8E5B0">
            <w:pPr>
              <w:tabs>
                <w:tab w:val="left" w:pos="42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施工阶段监理服务费</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EAB197">
            <w:pPr>
              <w:tabs>
                <w:tab w:val="left" w:pos="420"/>
              </w:tabs>
              <w:spacing w:line="360" w:lineRule="auto"/>
              <w:jc w:val="center"/>
              <w:rPr>
                <w:rFonts w:hint="eastAsia" w:ascii="宋体" w:hAnsi="宋体" w:eastAsia="宋体" w:cs="宋体"/>
                <w:color w:val="000000"/>
                <w:szCs w:val="21"/>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85FE647">
            <w:pPr>
              <w:tabs>
                <w:tab w:val="left" w:pos="420"/>
              </w:tabs>
              <w:spacing w:line="360" w:lineRule="auto"/>
              <w:jc w:val="center"/>
              <w:rPr>
                <w:rFonts w:hint="eastAsia" w:ascii="宋体" w:hAnsi="宋体" w:eastAsia="宋体" w:cs="宋体"/>
                <w:color w:val="000000"/>
                <w:szCs w:val="21"/>
                <w:highlight w:val="none"/>
              </w:rPr>
            </w:pPr>
          </w:p>
        </w:tc>
      </w:tr>
      <w:tr w14:paraId="23D5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14BFA65">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w:t>
            </w:r>
          </w:p>
        </w:tc>
        <w:tc>
          <w:tcPr>
            <w:tcW w:w="3543" w:type="dxa"/>
            <w:tcBorders>
              <w:top w:val="single" w:color="auto" w:sz="4" w:space="0"/>
              <w:left w:val="single" w:color="auto" w:sz="4" w:space="0"/>
              <w:bottom w:val="single" w:color="auto" w:sz="4" w:space="0"/>
              <w:right w:val="single" w:color="auto" w:sz="4" w:space="0"/>
            </w:tcBorders>
            <w:noWrap w:val="0"/>
            <w:vAlign w:val="center"/>
          </w:tcPr>
          <w:p w14:paraId="7DE90A03">
            <w:pPr>
              <w:tabs>
                <w:tab w:val="left" w:pos="42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缺陷责任期阶段监理服务费</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4A2AB7">
            <w:pPr>
              <w:tabs>
                <w:tab w:val="left" w:pos="420"/>
              </w:tabs>
              <w:spacing w:line="360" w:lineRule="exact"/>
              <w:jc w:val="center"/>
              <w:rPr>
                <w:rFonts w:hint="eastAsia" w:ascii="宋体" w:hAnsi="宋体" w:eastAsia="宋体" w:cs="宋体"/>
                <w:color w:val="000000"/>
                <w:szCs w:val="21"/>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29D068F">
            <w:pPr>
              <w:tabs>
                <w:tab w:val="left" w:pos="42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不低于监理服务费报价的3%</w:t>
            </w:r>
          </w:p>
        </w:tc>
      </w:tr>
      <w:tr w14:paraId="5F77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3AB7B22A">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w:t>
            </w:r>
          </w:p>
        </w:tc>
        <w:tc>
          <w:tcPr>
            <w:tcW w:w="3543" w:type="dxa"/>
            <w:tcBorders>
              <w:top w:val="single" w:color="auto" w:sz="4" w:space="0"/>
              <w:left w:val="single" w:color="auto" w:sz="4" w:space="0"/>
              <w:bottom w:val="single" w:color="auto" w:sz="4" w:space="0"/>
              <w:right w:val="single" w:color="auto" w:sz="4" w:space="0"/>
            </w:tcBorders>
            <w:noWrap w:val="0"/>
            <w:vAlign w:val="center"/>
          </w:tcPr>
          <w:p w14:paraId="41EF6D96">
            <w:pPr>
              <w:tabs>
                <w:tab w:val="left" w:pos="42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其他费用</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520BC8">
            <w:pPr>
              <w:tabs>
                <w:tab w:val="left" w:pos="420"/>
              </w:tabs>
              <w:spacing w:line="360" w:lineRule="exact"/>
              <w:jc w:val="center"/>
              <w:rPr>
                <w:rFonts w:hint="eastAsia" w:ascii="宋体" w:hAnsi="宋体" w:eastAsia="宋体" w:cs="宋体"/>
                <w:color w:val="000000"/>
                <w:szCs w:val="21"/>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B5DA726">
            <w:pPr>
              <w:tabs>
                <w:tab w:val="left" w:pos="42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不超监理服务费报价的20%</w:t>
            </w:r>
          </w:p>
        </w:tc>
      </w:tr>
      <w:tr w14:paraId="2037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E1D4E75">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4</w:t>
            </w:r>
          </w:p>
        </w:tc>
        <w:tc>
          <w:tcPr>
            <w:tcW w:w="3543" w:type="dxa"/>
            <w:tcBorders>
              <w:top w:val="single" w:color="auto" w:sz="4" w:space="0"/>
              <w:left w:val="single" w:color="auto" w:sz="4" w:space="0"/>
              <w:bottom w:val="single" w:color="auto" w:sz="4" w:space="0"/>
              <w:right w:val="single" w:color="auto" w:sz="4" w:space="0"/>
            </w:tcBorders>
            <w:noWrap w:val="0"/>
            <w:vAlign w:val="center"/>
          </w:tcPr>
          <w:p w14:paraId="1D811702">
            <w:pPr>
              <w:tabs>
                <w:tab w:val="left" w:pos="42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监理服务费总价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952EC2">
            <w:pPr>
              <w:tabs>
                <w:tab w:val="left" w:pos="420"/>
              </w:tabs>
              <w:spacing w:line="360" w:lineRule="exact"/>
              <w:jc w:val="center"/>
              <w:rPr>
                <w:rFonts w:hint="eastAsia" w:ascii="宋体" w:hAnsi="宋体" w:eastAsia="宋体" w:cs="宋体"/>
                <w:color w:val="000000"/>
                <w:szCs w:val="21"/>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D258496">
            <w:pPr>
              <w:tabs>
                <w:tab w:val="left" w:pos="420"/>
              </w:tabs>
              <w:spacing w:line="360" w:lineRule="auto"/>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（1）+（2）+（3） </w:t>
            </w:r>
            <w:r>
              <w:rPr>
                <w:rFonts w:hint="eastAsia" w:ascii="宋体" w:hAnsi="宋体" w:eastAsia="宋体" w:cs="宋体"/>
                <w:color w:val="000000"/>
                <w:szCs w:val="21"/>
                <w:highlight w:val="none"/>
              </w:rPr>
              <w:t xml:space="preserve"> </w:t>
            </w:r>
          </w:p>
        </w:tc>
      </w:tr>
    </w:tbl>
    <w:p w14:paraId="0DD6E16C">
      <w:pPr>
        <w:tabs>
          <w:tab w:val="left" w:pos="420"/>
        </w:tabs>
        <w:spacing w:line="360" w:lineRule="exact"/>
        <w:rPr>
          <w:rFonts w:hint="eastAsia" w:ascii="宋体" w:hAnsi="宋体" w:eastAsia="宋体" w:cs="宋体"/>
          <w:color w:val="000000"/>
          <w:szCs w:val="21"/>
          <w:highlight w:val="none"/>
        </w:rPr>
      </w:pPr>
    </w:p>
    <w:p w14:paraId="4BE74A1C">
      <w:pPr>
        <w:spacing w:line="440" w:lineRule="exact"/>
        <w:ind w:right="227" w:rightChars="108"/>
        <w:jc w:val="right"/>
        <w:rPr>
          <w:rFonts w:hint="eastAsia" w:ascii="宋体" w:hAnsi="宋体" w:eastAsia="宋体" w:cs="宋体"/>
          <w:color w:val="000000"/>
          <w:szCs w:val="21"/>
          <w:highlight w:val="none"/>
        </w:rPr>
      </w:pPr>
    </w:p>
    <w:p w14:paraId="573C86D7">
      <w:pPr>
        <w:wordWrap w:val="0"/>
        <w:spacing w:line="440" w:lineRule="exact"/>
        <w:ind w:right="227" w:rightChars="108"/>
        <w:jc w:val="right"/>
        <w:rPr>
          <w:rFonts w:hint="eastAsia" w:ascii="宋体" w:hAnsi="宋体" w:eastAsia="宋体" w:cs="宋体"/>
          <w:color w:val="000000"/>
          <w:szCs w:val="21"/>
          <w:highlight w:val="none"/>
        </w:rPr>
      </w:pPr>
    </w:p>
    <w:p w14:paraId="046C2175">
      <w:pPr>
        <w:wordWrap w:val="0"/>
        <w:spacing w:line="440" w:lineRule="exact"/>
        <w:ind w:right="227" w:rightChars="108"/>
        <w:jc w:val="right"/>
        <w:rPr>
          <w:rFonts w:hint="eastAsia" w:ascii="宋体" w:hAnsi="宋体" w:eastAsia="宋体" w:cs="宋体"/>
          <w:color w:val="000000"/>
          <w:szCs w:val="21"/>
          <w:highlight w:val="none"/>
        </w:rPr>
      </w:pPr>
    </w:p>
    <w:p w14:paraId="00D3E2CF">
      <w:pPr>
        <w:wordWrap w:val="0"/>
        <w:spacing w:line="440" w:lineRule="exact"/>
        <w:ind w:right="227" w:rightChars="108"/>
        <w:jc w:val="right"/>
        <w:rPr>
          <w:rFonts w:hint="eastAsia" w:ascii="宋体" w:hAnsi="宋体" w:eastAsia="宋体" w:cs="宋体"/>
          <w:color w:val="000000"/>
          <w:szCs w:val="21"/>
          <w:highlight w:val="none"/>
        </w:rPr>
      </w:pPr>
    </w:p>
    <w:p w14:paraId="08B5D815">
      <w:pPr>
        <w:wordWrap w:val="0"/>
        <w:spacing w:line="440" w:lineRule="exact"/>
        <w:ind w:right="227" w:rightChars="108"/>
        <w:jc w:val="right"/>
        <w:rPr>
          <w:rFonts w:hint="eastAsia" w:ascii="宋体" w:hAnsi="宋体" w:eastAsia="宋体" w:cs="宋体"/>
          <w:color w:val="000000"/>
          <w:szCs w:val="21"/>
          <w:highlight w:val="none"/>
        </w:rPr>
      </w:pPr>
    </w:p>
    <w:p w14:paraId="3D36F17C">
      <w:pPr>
        <w:wordWrap w:val="0"/>
        <w:spacing w:line="440" w:lineRule="exact"/>
        <w:ind w:right="227" w:rightChars="108"/>
        <w:jc w:val="center"/>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 xml:space="preserve">                                   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（电子签章）</w:t>
      </w:r>
    </w:p>
    <w:p w14:paraId="20B4A86A">
      <w:pPr>
        <w:spacing w:line="500" w:lineRule="exact"/>
        <w:ind w:firstLine="3885" w:firstLineChars="18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（电子签章）</w:t>
      </w:r>
    </w:p>
    <w:p w14:paraId="3EFD647E">
      <w:pPr>
        <w:spacing w:line="440" w:lineRule="exact"/>
        <w:ind w:left="630" w:right="535" w:rightChars="255" w:hanging="630" w:hanging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日    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659B4E2F">
      <w:pPr>
        <w:pStyle w:val="5"/>
        <w:spacing w:before="100" w:after="100"/>
        <w:jc w:val="center"/>
        <w:rPr>
          <w:rFonts w:hint="eastAsia" w:ascii="宋体" w:hAnsi="宋体" w:eastAsia="宋体" w:cs="宋体"/>
          <w:highlight w:val="none"/>
        </w:rPr>
      </w:pPr>
      <w:bookmarkStart w:id="259" w:name="_Toc31954"/>
      <w:r>
        <w:rPr>
          <w:rFonts w:hint="eastAsia" w:ascii="宋体" w:hAnsi="宋体" w:eastAsia="宋体" w:cs="宋体"/>
          <w:color w:val="000000"/>
          <w:highlight w:val="none"/>
        </w:rPr>
        <w:br w:type="page"/>
      </w:r>
      <w:bookmarkStart w:id="260" w:name="_Toc441077055"/>
      <w:bookmarkStart w:id="261" w:name="_Toc424138762"/>
      <w:r>
        <w:rPr>
          <w:rFonts w:hint="eastAsia" w:ascii="宋体" w:hAnsi="宋体" w:eastAsia="宋体" w:cs="宋体"/>
          <w:highlight w:val="none"/>
        </w:rPr>
        <w:t>2.2 施工阶段监理服务费计算表</w:t>
      </w:r>
      <w:bookmarkEnd w:id="259"/>
    </w:p>
    <w:p w14:paraId="53CD8650">
      <w:pPr>
        <w:rPr>
          <w:rFonts w:hint="eastAsia" w:ascii="宋体" w:hAnsi="宋体" w:eastAsia="宋体" w:cs="宋体"/>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52"/>
        <w:gridCol w:w="1826"/>
        <w:gridCol w:w="1339"/>
        <w:gridCol w:w="1532"/>
        <w:gridCol w:w="1091"/>
        <w:gridCol w:w="801"/>
      </w:tblGrid>
      <w:tr w14:paraId="1C2E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6F04E12">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461736AC">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拟投入</w:t>
            </w:r>
          </w:p>
          <w:p w14:paraId="066B56EC">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监理人员岗位</w:t>
            </w:r>
          </w:p>
        </w:tc>
        <w:tc>
          <w:tcPr>
            <w:tcW w:w="1826" w:type="dxa"/>
            <w:tcBorders>
              <w:top w:val="single" w:color="auto" w:sz="4" w:space="0"/>
              <w:left w:val="single" w:color="auto" w:sz="4" w:space="0"/>
              <w:bottom w:val="single" w:color="auto" w:sz="4" w:space="0"/>
              <w:right w:val="single" w:color="auto" w:sz="4" w:space="0"/>
            </w:tcBorders>
            <w:noWrap w:val="0"/>
            <w:vAlign w:val="center"/>
          </w:tcPr>
          <w:p w14:paraId="49E087CB">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拟投入监理</w:t>
            </w:r>
          </w:p>
          <w:p w14:paraId="5AAB4307">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人员数量</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61A70D8">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服务时间</w:t>
            </w:r>
          </w:p>
          <w:p w14:paraId="1D0A298A">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（月）</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443525F9">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月费用标准</w:t>
            </w:r>
          </w:p>
          <w:p w14:paraId="05C03CFF">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（元）</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33892A7">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小计</w:t>
            </w:r>
          </w:p>
          <w:p w14:paraId="1B06D601">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（元）</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58E8966F">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1ED8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6481434">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3025BB59">
            <w:pPr>
              <w:spacing w:line="240" w:lineRule="atLeast"/>
              <w:jc w:val="center"/>
              <w:rPr>
                <w:rFonts w:hint="eastAsia" w:ascii="宋体" w:hAnsi="宋体" w:eastAsia="宋体" w:cs="宋体"/>
                <w:color w:val="000000"/>
                <w:szCs w:val="21"/>
                <w:highlight w:val="none"/>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14:paraId="5734655C">
            <w:pPr>
              <w:tabs>
                <w:tab w:val="left" w:pos="420"/>
              </w:tabs>
              <w:spacing w:line="360" w:lineRule="exact"/>
              <w:jc w:val="center"/>
              <w:rPr>
                <w:rFonts w:hint="eastAsia" w:ascii="宋体" w:hAnsi="宋体" w:eastAsia="宋体" w:cs="宋体"/>
                <w:color w:val="000000"/>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D15D0CD">
            <w:pPr>
              <w:spacing w:line="360" w:lineRule="exact"/>
              <w:jc w:val="center"/>
              <w:rPr>
                <w:rFonts w:hint="eastAsia" w:ascii="宋体" w:hAnsi="宋体" w:eastAsia="宋体" w:cs="宋体"/>
                <w:color w:val="000000"/>
                <w:szCs w:val="21"/>
                <w:highlight w:val="none"/>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44F86D1D">
            <w:pPr>
              <w:tabs>
                <w:tab w:val="left" w:pos="420"/>
              </w:tabs>
              <w:spacing w:line="360" w:lineRule="exact"/>
              <w:jc w:val="center"/>
              <w:rPr>
                <w:rFonts w:hint="eastAsia" w:ascii="宋体" w:hAnsi="宋体" w:eastAsia="宋体" w:cs="宋体"/>
                <w:color w:val="00000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DF2DCFA">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06CA8128">
            <w:pPr>
              <w:tabs>
                <w:tab w:val="left" w:pos="420"/>
              </w:tabs>
              <w:spacing w:line="360" w:lineRule="exact"/>
              <w:jc w:val="center"/>
              <w:rPr>
                <w:rFonts w:hint="eastAsia" w:ascii="宋体" w:hAnsi="宋体" w:eastAsia="宋体" w:cs="宋体"/>
                <w:color w:val="000000"/>
                <w:szCs w:val="21"/>
                <w:highlight w:val="none"/>
              </w:rPr>
            </w:pPr>
          </w:p>
        </w:tc>
      </w:tr>
      <w:tr w14:paraId="025D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552011A">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2055E921">
            <w:pPr>
              <w:spacing w:line="240" w:lineRule="atLeast"/>
              <w:jc w:val="center"/>
              <w:rPr>
                <w:rFonts w:hint="eastAsia" w:ascii="宋体" w:hAnsi="宋体" w:eastAsia="宋体" w:cs="宋体"/>
                <w:color w:val="000000"/>
                <w:szCs w:val="21"/>
                <w:highlight w:val="none"/>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14:paraId="0C6AB9AA">
            <w:pPr>
              <w:tabs>
                <w:tab w:val="left" w:pos="420"/>
              </w:tabs>
              <w:spacing w:line="360" w:lineRule="exact"/>
              <w:jc w:val="center"/>
              <w:rPr>
                <w:rFonts w:hint="eastAsia" w:ascii="宋体" w:hAnsi="宋体" w:eastAsia="宋体" w:cs="宋体"/>
                <w:color w:val="000000"/>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C887FEF">
            <w:pPr>
              <w:spacing w:line="360" w:lineRule="exact"/>
              <w:jc w:val="center"/>
              <w:rPr>
                <w:rFonts w:hint="eastAsia" w:ascii="宋体" w:hAnsi="宋体" w:eastAsia="宋体" w:cs="宋体"/>
                <w:color w:val="000000"/>
                <w:szCs w:val="21"/>
                <w:highlight w:val="none"/>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4CBECAA5">
            <w:pPr>
              <w:tabs>
                <w:tab w:val="left" w:pos="420"/>
              </w:tabs>
              <w:spacing w:line="360" w:lineRule="exact"/>
              <w:jc w:val="center"/>
              <w:rPr>
                <w:rFonts w:hint="eastAsia" w:ascii="宋体" w:hAnsi="宋体" w:eastAsia="宋体" w:cs="宋体"/>
                <w:color w:val="00000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13B828B">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2DEDBB1F">
            <w:pPr>
              <w:tabs>
                <w:tab w:val="left" w:pos="420"/>
              </w:tabs>
              <w:spacing w:line="360" w:lineRule="exact"/>
              <w:jc w:val="center"/>
              <w:rPr>
                <w:rFonts w:hint="eastAsia" w:ascii="宋体" w:hAnsi="宋体" w:eastAsia="宋体" w:cs="宋体"/>
                <w:color w:val="000000"/>
                <w:szCs w:val="21"/>
                <w:highlight w:val="none"/>
              </w:rPr>
            </w:pPr>
          </w:p>
        </w:tc>
      </w:tr>
      <w:tr w14:paraId="0A3E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8AFB5FE">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076A5D8C">
            <w:pPr>
              <w:spacing w:line="240" w:lineRule="atLeast"/>
              <w:jc w:val="center"/>
              <w:rPr>
                <w:rFonts w:hint="eastAsia" w:ascii="宋体" w:hAnsi="宋体" w:eastAsia="宋体" w:cs="宋体"/>
                <w:color w:val="000000"/>
                <w:szCs w:val="21"/>
                <w:highlight w:val="none"/>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14:paraId="6F05AEBB">
            <w:pPr>
              <w:tabs>
                <w:tab w:val="left" w:pos="420"/>
              </w:tabs>
              <w:spacing w:line="360" w:lineRule="exact"/>
              <w:jc w:val="center"/>
              <w:rPr>
                <w:rFonts w:hint="eastAsia" w:ascii="宋体" w:hAnsi="宋体" w:eastAsia="宋体" w:cs="宋体"/>
                <w:color w:val="000000"/>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9699791">
            <w:pPr>
              <w:spacing w:line="360" w:lineRule="exact"/>
              <w:jc w:val="center"/>
              <w:rPr>
                <w:rFonts w:hint="eastAsia" w:ascii="宋体" w:hAnsi="宋体" w:eastAsia="宋体" w:cs="宋体"/>
                <w:color w:val="000000"/>
                <w:szCs w:val="21"/>
                <w:highlight w:val="none"/>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6B2887E0">
            <w:pPr>
              <w:tabs>
                <w:tab w:val="left" w:pos="420"/>
              </w:tabs>
              <w:spacing w:line="360" w:lineRule="exact"/>
              <w:jc w:val="center"/>
              <w:rPr>
                <w:rFonts w:hint="eastAsia" w:ascii="宋体" w:hAnsi="宋体" w:eastAsia="宋体" w:cs="宋体"/>
                <w:color w:val="00000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4027D91">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21F9C970">
            <w:pPr>
              <w:tabs>
                <w:tab w:val="left" w:pos="420"/>
              </w:tabs>
              <w:spacing w:line="360" w:lineRule="exact"/>
              <w:jc w:val="center"/>
              <w:rPr>
                <w:rFonts w:hint="eastAsia" w:ascii="宋体" w:hAnsi="宋体" w:eastAsia="宋体" w:cs="宋体"/>
                <w:color w:val="000000"/>
                <w:szCs w:val="21"/>
                <w:highlight w:val="none"/>
              </w:rPr>
            </w:pPr>
          </w:p>
        </w:tc>
      </w:tr>
      <w:tr w14:paraId="0125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A5369B6">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5505A67D">
            <w:pPr>
              <w:spacing w:line="240" w:lineRule="atLeast"/>
              <w:jc w:val="center"/>
              <w:rPr>
                <w:rFonts w:hint="eastAsia" w:ascii="宋体" w:hAnsi="宋体" w:eastAsia="宋体" w:cs="宋体"/>
                <w:color w:val="000000"/>
                <w:szCs w:val="21"/>
                <w:highlight w:val="none"/>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14:paraId="181D0EEE">
            <w:pPr>
              <w:tabs>
                <w:tab w:val="left" w:pos="420"/>
              </w:tabs>
              <w:spacing w:line="360" w:lineRule="exact"/>
              <w:jc w:val="center"/>
              <w:rPr>
                <w:rFonts w:hint="eastAsia" w:ascii="宋体" w:hAnsi="宋体" w:eastAsia="宋体" w:cs="宋体"/>
                <w:color w:val="000000"/>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3C03E91">
            <w:pPr>
              <w:spacing w:line="360" w:lineRule="exact"/>
              <w:jc w:val="center"/>
              <w:rPr>
                <w:rFonts w:hint="eastAsia" w:ascii="宋体" w:hAnsi="宋体" w:eastAsia="宋体" w:cs="宋体"/>
                <w:color w:val="000000"/>
                <w:szCs w:val="21"/>
                <w:highlight w:val="none"/>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6E334FA2">
            <w:pPr>
              <w:tabs>
                <w:tab w:val="left" w:pos="420"/>
              </w:tabs>
              <w:spacing w:line="360" w:lineRule="exact"/>
              <w:jc w:val="center"/>
              <w:rPr>
                <w:rFonts w:hint="eastAsia" w:ascii="宋体" w:hAnsi="宋体" w:eastAsia="宋体" w:cs="宋体"/>
                <w:color w:val="00000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2A11CB2">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045183CB">
            <w:pPr>
              <w:tabs>
                <w:tab w:val="left" w:pos="420"/>
              </w:tabs>
              <w:spacing w:line="360" w:lineRule="exact"/>
              <w:jc w:val="center"/>
              <w:rPr>
                <w:rFonts w:hint="eastAsia" w:ascii="宋体" w:hAnsi="宋体" w:eastAsia="宋体" w:cs="宋体"/>
                <w:color w:val="000000"/>
                <w:szCs w:val="21"/>
                <w:highlight w:val="none"/>
              </w:rPr>
            </w:pPr>
          </w:p>
        </w:tc>
      </w:tr>
      <w:tr w14:paraId="71D1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F65380D">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3D17C75E">
            <w:pPr>
              <w:spacing w:line="240" w:lineRule="atLeast"/>
              <w:jc w:val="center"/>
              <w:rPr>
                <w:rFonts w:hint="eastAsia" w:ascii="宋体" w:hAnsi="宋体" w:eastAsia="宋体" w:cs="宋体"/>
                <w:color w:val="000000"/>
                <w:szCs w:val="21"/>
                <w:highlight w:val="none"/>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14:paraId="52D7C211">
            <w:pPr>
              <w:tabs>
                <w:tab w:val="left" w:pos="420"/>
              </w:tabs>
              <w:spacing w:line="360" w:lineRule="exact"/>
              <w:jc w:val="center"/>
              <w:rPr>
                <w:rFonts w:hint="eastAsia" w:ascii="宋体" w:hAnsi="宋体" w:eastAsia="宋体" w:cs="宋体"/>
                <w:color w:val="000000"/>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B815CFC">
            <w:pPr>
              <w:tabs>
                <w:tab w:val="left" w:pos="420"/>
              </w:tabs>
              <w:spacing w:line="360" w:lineRule="exact"/>
              <w:jc w:val="center"/>
              <w:rPr>
                <w:rFonts w:hint="eastAsia" w:ascii="宋体" w:hAnsi="宋体" w:eastAsia="宋体" w:cs="宋体"/>
                <w:color w:val="000000"/>
                <w:szCs w:val="21"/>
                <w:highlight w:val="none"/>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10524274">
            <w:pPr>
              <w:tabs>
                <w:tab w:val="left" w:pos="420"/>
              </w:tabs>
              <w:spacing w:line="360" w:lineRule="exact"/>
              <w:jc w:val="center"/>
              <w:rPr>
                <w:rFonts w:hint="eastAsia" w:ascii="宋体" w:hAnsi="宋体" w:eastAsia="宋体" w:cs="宋体"/>
                <w:color w:val="00000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43E88C9">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4A643BDB">
            <w:pPr>
              <w:tabs>
                <w:tab w:val="left" w:pos="420"/>
              </w:tabs>
              <w:spacing w:line="360" w:lineRule="exact"/>
              <w:jc w:val="center"/>
              <w:rPr>
                <w:rFonts w:hint="eastAsia" w:ascii="宋体" w:hAnsi="宋体" w:eastAsia="宋体" w:cs="宋体"/>
                <w:color w:val="000000"/>
                <w:szCs w:val="21"/>
                <w:highlight w:val="none"/>
              </w:rPr>
            </w:pPr>
          </w:p>
        </w:tc>
      </w:tr>
      <w:tr w14:paraId="5D9F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71EF89E">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7B7A2D61">
            <w:pPr>
              <w:tabs>
                <w:tab w:val="left" w:pos="420"/>
              </w:tabs>
              <w:spacing w:line="360" w:lineRule="exact"/>
              <w:jc w:val="center"/>
              <w:rPr>
                <w:rFonts w:hint="eastAsia" w:ascii="宋体" w:hAnsi="宋体" w:eastAsia="宋体" w:cs="宋体"/>
                <w:color w:val="000000"/>
                <w:szCs w:val="21"/>
                <w:highlight w:val="none"/>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14:paraId="6C078227">
            <w:pPr>
              <w:tabs>
                <w:tab w:val="left" w:pos="420"/>
              </w:tabs>
              <w:spacing w:line="360" w:lineRule="exact"/>
              <w:jc w:val="center"/>
              <w:rPr>
                <w:rFonts w:hint="eastAsia" w:ascii="宋体" w:hAnsi="宋体" w:eastAsia="宋体" w:cs="宋体"/>
                <w:color w:val="000000"/>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65857EF">
            <w:pPr>
              <w:tabs>
                <w:tab w:val="left" w:pos="420"/>
              </w:tabs>
              <w:spacing w:line="360" w:lineRule="exact"/>
              <w:jc w:val="center"/>
              <w:rPr>
                <w:rFonts w:hint="eastAsia" w:ascii="宋体" w:hAnsi="宋体" w:eastAsia="宋体" w:cs="宋体"/>
                <w:color w:val="000000"/>
                <w:szCs w:val="21"/>
                <w:highlight w:val="none"/>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1AE494FD">
            <w:pPr>
              <w:tabs>
                <w:tab w:val="left" w:pos="420"/>
              </w:tabs>
              <w:spacing w:line="360" w:lineRule="exact"/>
              <w:jc w:val="center"/>
              <w:rPr>
                <w:rFonts w:hint="eastAsia" w:ascii="宋体" w:hAnsi="宋体" w:eastAsia="宋体" w:cs="宋体"/>
                <w:color w:val="00000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4BDECCA">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5838853">
            <w:pPr>
              <w:tabs>
                <w:tab w:val="left" w:pos="420"/>
              </w:tabs>
              <w:spacing w:line="360" w:lineRule="exact"/>
              <w:jc w:val="center"/>
              <w:rPr>
                <w:rFonts w:hint="eastAsia" w:ascii="宋体" w:hAnsi="宋体" w:eastAsia="宋体" w:cs="宋体"/>
                <w:color w:val="000000"/>
                <w:szCs w:val="21"/>
                <w:highlight w:val="none"/>
              </w:rPr>
            </w:pPr>
          </w:p>
        </w:tc>
      </w:tr>
      <w:tr w14:paraId="2529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623BC3F">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197A5823">
            <w:pPr>
              <w:tabs>
                <w:tab w:val="left" w:pos="420"/>
              </w:tabs>
              <w:spacing w:line="360" w:lineRule="exact"/>
              <w:jc w:val="center"/>
              <w:rPr>
                <w:rFonts w:hint="eastAsia" w:ascii="宋体" w:hAnsi="宋体" w:eastAsia="宋体" w:cs="宋体"/>
                <w:color w:val="000000"/>
                <w:szCs w:val="21"/>
                <w:highlight w:val="none"/>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14:paraId="58A08B45">
            <w:pPr>
              <w:tabs>
                <w:tab w:val="left" w:pos="420"/>
              </w:tabs>
              <w:spacing w:line="360" w:lineRule="exact"/>
              <w:jc w:val="center"/>
              <w:rPr>
                <w:rFonts w:hint="eastAsia" w:ascii="宋体" w:hAnsi="宋体" w:eastAsia="宋体" w:cs="宋体"/>
                <w:color w:val="000000"/>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99D78E9">
            <w:pPr>
              <w:tabs>
                <w:tab w:val="left" w:pos="420"/>
              </w:tabs>
              <w:spacing w:line="360" w:lineRule="exact"/>
              <w:jc w:val="center"/>
              <w:rPr>
                <w:rFonts w:hint="eastAsia" w:ascii="宋体" w:hAnsi="宋体" w:eastAsia="宋体" w:cs="宋体"/>
                <w:color w:val="000000"/>
                <w:szCs w:val="21"/>
                <w:highlight w:val="none"/>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57A946F8">
            <w:pPr>
              <w:tabs>
                <w:tab w:val="left" w:pos="420"/>
              </w:tabs>
              <w:spacing w:line="360" w:lineRule="exact"/>
              <w:jc w:val="center"/>
              <w:rPr>
                <w:rFonts w:hint="eastAsia" w:ascii="宋体" w:hAnsi="宋体" w:eastAsia="宋体" w:cs="宋体"/>
                <w:color w:val="00000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5450517">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7C2D4670">
            <w:pPr>
              <w:tabs>
                <w:tab w:val="left" w:pos="420"/>
              </w:tabs>
              <w:spacing w:line="360" w:lineRule="exact"/>
              <w:jc w:val="center"/>
              <w:rPr>
                <w:rFonts w:hint="eastAsia" w:ascii="宋体" w:hAnsi="宋体" w:eastAsia="宋体" w:cs="宋体"/>
                <w:color w:val="000000"/>
                <w:szCs w:val="21"/>
                <w:highlight w:val="none"/>
              </w:rPr>
            </w:pPr>
          </w:p>
        </w:tc>
      </w:tr>
      <w:tr w14:paraId="12FE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1FC5096">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5DE64E94">
            <w:pPr>
              <w:tabs>
                <w:tab w:val="left" w:pos="420"/>
              </w:tabs>
              <w:spacing w:line="360" w:lineRule="exact"/>
              <w:jc w:val="center"/>
              <w:rPr>
                <w:rFonts w:hint="eastAsia" w:ascii="宋体" w:hAnsi="宋体" w:eastAsia="宋体" w:cs="宋体"/>
                <w:color w:val="000000"/>
                <w:szCs w:val="21"/>
                <w:highlight w:val="none"/>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14:paraId="3BAB736D">
            <w:pPr>
              <w:tabs>
                <w:tab w:val="left" w:pos="420"/>
              </w:tabs>
              <w:spacing w:line="360" w:lineRule="exact"/>
              <w:jc w:val="center"/>
              <w:rPr>
                <w:rFonts w:hint="eastAsia" w:ascii="宋体" w:hAnsi="宋体" w:eastAsia="宋体" w:cs="宋体"/>
                <w:color w:val="000000"/>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D7C3752">
            <w:pPr>
              <w:tabs>
                <w:tab w:val="left" w:pos="420"/>
              </w:tabs>
              <w:spacing w:line="360" w:lineRule="exact"/>
              <w:jc w:val="center"/>
              <w:rPr>
                <w:rFonts w:hint="eastAsia" w:ascii="宋体" w:hAnsi="宋体" w:eastAsia="宋体" w:cs="宋体"/>
                <w:color w:val="000000"/>
                <w:szCs w:val="21"/>
                <w:highlight w:val="none"/>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62BE72D7">
            <w:pPr>
              <w:tabs>
                <w:tab w:val="left" w:pos="420"/>
              </w:tabs>
              <w:spacing w:line="360" w:lineRule="exact"/>
              <w:jc w:val="center"/>
              <w:rPr>
                <w:rFonts w:hint="eastAsia" w:ascii="宋体" w:hAnsi="宋体" w:eastAsia="宋体" w:cs="宋体"/>
                <w:color w:val="00000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509D0C9">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F2AED1D">
            <w:pPr>
              <w:tabs>
                <w:tab w:val="left" w:pos="420"/>
              </w:tabs>
              <w:spacing w:line="360" w:lineRule="exact"/>
              <w:jc w:val="center"/>
              <w:rPr>
                <w:rFonts w:hint="eastAsia" w:ascii="宋体" w:hAnsi="宋体" w:eastAsia="宋体" w:cs="宋体"/>
                <w:color w:val="000000"/>
                <w:szCs w:val="21"/>
                <w:highlight w:val="none"/>
              </w:rPr>
            </w:pPr>
          </w:p>
        </w:tc>
      </w:tr>
      <w:tr w14:paraId="5515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129C105">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40DC61EB">
            <w:pPr>
              <w:tabs>
                <w:tab w:val="left" w:pos="420"/>
              </w:tabs>
              <w:spacing w:line="360" w:lineRule="exact"/>
              <w:jc w:val="center"/>
              <w:rPr>
                <w:rFonts w:hint="eastAsia" w:ascii="宋体" w:hAnsi="宋体" w:eastAsia="宋体" w:cs="宋体"/>
                <w:color w:val="000000"/>
                <w:szCs w:val="21"/>
                <w:highlight w:val="none"/>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14:paraId="089095DD">
            <w:pPr>
              <w:tabs>
                <w:tab w:val="left" w:pos="420"/>
              </w:tabs>
              <w:spacing w:line="360" w:lineRule="exact"/>
              <w:jc w:val="center"/>
              <w:rPr>
                <w:rFonts w:hint="eastAsia" w:ascii="宋体" w:hAnsi="宋体" w:eastAsia="宋体" w:cs="宋体"/>
                <w:color w:val="000000"/>
                <w:szCs w:val="21"/>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6470456">
            <w:pPr>
              <w:tabs>
                <w:tab w:val="left" w:pos="420"/>
              </w:tabs>
              <w:spacing w:line="360" w:lineRule="exact"/>
              <w:jc w:val="center"/>
              <w:rPr>
                <w:rFonts w:hint="eastAsia" w:ascii="宋体" w:hAnsi="宋体" w:eastAsia="宋体" w:cs="宋体"/>
                <w:color w:val="000000"/>
                <w:szCs w:val="21"/>
                <w:highlight w:val="none"/>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7BC90B5A">
            <w:pPr>
              <w:tabs>
                <w:tab w:val="left" w:pos="420"/>
              </w:tabs>
              <w:spacing w:line="360" w:lineRule="exact"/>
              <w:jc w:val="center"/>
              <w:rPr>
                <w:rFonts w:hint="eastAsia" w:ascii="宋体" w:hAnsi="宋体" w:eastAsia="宋体" w:cs="宋体"/>
                <w:color w:val="00000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EBD81A6">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846DA83">
            <w:pPr>
              <w:tabs>
                <w:tab w:val="left" w:pos="420"/>
              </w:tabs>
              <w:spacing w:line="360" w:lineRule="exact"/>
              <w:jc w:val="center"/>
              <w:rPr>
                <w:rFonts w:hint="eastAsia" w:ascii="宋体" w:hAnsi="宋体" w:eastAsia="宋体" w:cs="宋体"/>
                <w:color w:val="000000"/>
                <w:szCs w:val="21"/>
                <w:highlight w:val="none"/>
              </w:rPr>
            </w:pPr>
          </w:p>
        </w:tc>
      </w:tr>
      <w:tr w14:paraId="1239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395" w:type="dxa"/>
            <w:gridSpan w:val="5"/>
            <w:tcBorders>
              <w:top w:val="single" w:color="auto" w:sz="4" w:space="0"/>
              <w:left w:val="single" w:color="auto" w:sz="4" w:space="0"/>
              <w:bottom w:val="single" w:color="auto" w:sz="4" w:space="0"/>
              <w:right w:val="single" w:color="auto" w:sz="4" w:space="0"/>
            </w:tcBorders>
            <w:noWrap w:val="0"/>
            <w:vAlign w:val="center"/>
          </w:tcPr>
          <w:p w14:paraId="03629C1A">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施工阶段监理服务费合计</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64276C8">
            <w:pPr>
              <w:tabs>
                <w:tab w:val="left" w:pos="420"/>
              </w:tabs>
              <w:spacing w:line="360" w:lineRule="exact"/>
              <w:jc w:val="center"/>
              <w:rPr>
                <w:rFonts w:hint="eastAsia" w:ascii="宋体" w:hAnsi="宋体" w:eastAsia="宋体" w:cs="宋体"/>
                <w:color w:val="00000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51EE147B">
            <w:pPr>
              <w:tabs>
                <w:tab w:val="left" w:pos="420"/>
              </w:tabs>
              <w:spacing w:line="360" w:lineRule="exact"/>
              <w:jc w:val="center"/>
              <w:rPr>
                <w:rFonts w:hint="eastAsia" w:ascii="宋体" w:hAnsi="宋体" w:eastAsia="宋体" w:cs="宋体"/>
                <w:color w:val="000000"/>
                <w:szCs w:val="21"/>
                <w:highlight w:val="none"/>
              </w:rPr>
            </w:pPr>
          </w:p>
        </w:tc>
      </w:tr>
    </w:tbl>
    <w:p w14:paraId="326F7AF4">
      <w:pPr>
        <w:tabs>
          <w:tab w:val="left" w:pos="420"/>
        </w:tabs>
        <w:spacing w:line="360" w:lineRule="exact"/>
        <w:ind w:firstLine="420" w:firstLineChars="200"/>
        <w:rPr>
          <w:rFonts w:hint="eastAsia" w:ascii="宋体" w:hAnsi="宋体" w:eastAsia="宋体" w:cs="宋体"/>
          <w:color w:val="000000"/>
          <w:szCs w:val="21"/>
          <w:highlight w:val="none"/>
        </w:rPr>
      </w:pPr>
    </w:p>
    <w:bookmarkEnd w:id="260"/>
    <w:bookmarkEnd w:id="261"/>
    <w:p w14:paraId="47CD5F76">
      <w:pPr>
        <w:wordWrap w:val="0"/>
        <w:spacing w:line="440" w:lineRule="exact"/>
        <w:ind w:right="227" w:rightChars="108"/>
        <w:jc w:val="right"/>
        <w:rPr>
          <w:rFonts w:hint="eastAsia" w:ascii="宋体" w:hAnsi="宋体" w:eastAsia="宋体" w:cs="宋体"/>
          <w:color w:val="000000"/>
          <w:szCs w:val="21"/>
          <w:highlight w:val="none"/>
          <w:u w:val="single"/>
        </w:rPr>
      </w:pPr>
      <w:bookmarkStart w:id="262" w:name="_Toc424138763"/>
      <w:bookmarkStart w:id="263" w:name="_Toc441077056"/>
    </w:p>
    <w:p w14:paraId="294CCF4D">
      <w:pPr>
        <w:wordWrap w:val="0"/>
        <w:spacing w:line="440" w:lineRule="exact"/>
        <w:ind w:right="227" w:rightChars="108"/>
        <w:jc w:val="center"/>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 xml:space="preserve">                           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（电子签章）</w:t>
      </w:r>
    </w:p>
    <w:p w14:paraId="1494F8E7">
      <w:pPr>
        <w:spacing w:line="500" w:lineRule="exact"/>
        <w:ind w:firstLine="3570" w:firstLineChars="17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（电子签章）</w:t>
      </w:r>
    </w:p>
    <w:p w14:paraId="7671503D">
      <w:pPr>
        <w:spacing w:line="440" w:lineRule="exact"/>
        <w:ind w:left="630" w:right="535" w:rightChars="255" w:hanging="630" w:hanging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日    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5B28125F">
      <w:pPr>
        <w:wordWrap w:val="0"/>
        <w:spacing w:line="440" w:lineRule="exact"/>
        <w:ind w:right="227" w:rightChars="108"/>
        <w:jc w:val="right"/>
        <w:rPr>
          <w:rFonts w:hint="eastAsia" w:ascii="宋体" w:hAnsi="宋体" w:eastAsia="宋体" w:cs="宋体"/>
          <w:color w:val="000000"/>
          <w:szCs w:val="18"/>
          <w:highlight w:val="none"/>
        </w:rPr>
      </w:pPr>
    </w:p>
    <w:p w14:paraId="54E3A6A7">
      <w:pPr>
        <w:tabs>
          <w:tab w:val="left" w:pos="420"/>
        </w:tabs>
        <w:spacing w:line="360" w:lineRule="exact"/>
        <w:jc w:val="center"/>
        <w:rPr>
          <w:rFonts w:hint="eastAsia" w:ascii="宋体" w:hAnsi="宋体" w:eastAsia="宋体" w:cs="宋体"/>
          <w:b/>
          <w:color w:val="000000"/>
          <w:sz w:val="28"/>
          <w:szCs w:val="28"/>
          <w:highlight w:val="none"/>
        </w:rPr>
      </w:pPr>
    </w:p>
    <w:p w14:paraId="479A3FBB">
      <w:pPr>
        <w:pStyle w:val="5"/>
        <w:spacing w:before="100" w:after="100"/>
        <w:jc w:val="center"/>
        <w:rPr>
          <w:rFonts w:hint="eastAsia" w:ascii="宋体" w:hAnsi="宋体" w:eastAsia="宋体" w:cs="宋体"/>
          <w:highlight w:val="none"/>
        </w:rPr>
      </w:pPr>
      <w:bookmarkStart w:id="264" w:name="_Toc29034"/>
      <w:r>
        <w:rPr>
          <w:rFonts w:hint="eastAsia" w:ascii="宋体" w:hAnsi="宋体" w:eastAsia="宋体" w:cs="宋体"/>
          <w:highlight w:val="none"/>
        </w:rPr>
        <w:t>2.3 缺陷责任期阶段监理服务费计算表</w:t>
      </w:r>
      <w:bookmarkEnd w:id="264"/>
    </w:p>
    <w:tbl>
      <w:tblPr>
        <w:tblStyle w:val="18"/>
        <w:tblpPr w:leftFromText="180" w:rightFromText="180" w:vertAnchor="text" w:horzAnchor="page" w:tblpX="1809" w:tblpY="4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21"/>
        <w:gridCol w:w="1455"/>
        <w:gridCol w:w="1470"/>
        <w:gridCol w:w="1680"/>
        <w:gridCol w:w="1155"/>
        <w:gridCol w:w="780"/>
      </w:tblGrid>
      <w:tr w14:paraId="12A8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9F44D96">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5E40AEB8">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拟投入监理人员岗位</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3390D56">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拟投入监理</w:t>
            </w:r>
          </w:p>
          <w:p w14:paraId="193FED44">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人员数量</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9670F8B">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服务时间</w:t>
            </w:r>
          </w:p>
          <w:p w14:paraId="688482D6">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6249D0F">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工日费用标准</w:t>
            </w:r>
          </w:p>
          <w:p w14:paraId="21578F31">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（元）</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C04C635">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小计</w:t>
            </w:r>
          </w:p>
          <w:p w14:paraId="1F035BA1">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（元）</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D3298AF">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7A29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4854A50">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06152EC6">
            <w:pPr>
              <w:spacing w:line="240" w:lineRule="atLeast"/>
              <w:jc w:val="center"/>
              <w:rPr>
                <w:rFonts w:hint="eastAsia" w:ascii="宋体" w:hAnsi="宋体" w:eastAsia="宋体" w:cs="宋体"/>
                <w:color w:val="000000"/>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E422112">
            <w:pPr>
              <w:tabs>
                <w:tab w:val="left" w:pos="420"/>
              </w:tabs>
              <w:spacing w:line="360" w:lineRule="exact"/>
              <w:jc w:val="center"/>
              <w:rPr>
                <w:rFonts w:hint="eastAsia" w:ascii="宋体" w:hAnsi="宋体" w:eastAsia="宋体" w:cs="宋体"/>
                <w:color w:val="000000"/>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B774B01">
            <w:pPr>
              <w:tabs>
                <w:tab w:val="left" w:pos="420"/>
              </w:tabs>
              <w:spacing w:line="360" w:lineRule="exact"/>
              <w:jc w:val="center"/>
              <w:rPr>
                <w:rFonts w:hint="eastAsia" w:ascii="宋体" w:hAnsi="宋体" w:eastAsia="宋体" w:cs="宋体"/>
                <w:color w:val="000000"/>
                <w:szCs w:val="21"/>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6EA78D9">
            <w:pPr>
              <w:tabs>
                <w:tab w:val="left" w:pos="420"/>
              </w:tabs>
              <w:spacing w:line="360" w:lineRule="exact"/>
              <w:jc w:val="center"/>
              <w:rPr>
                <w:rFonts w:hint="eastAsia" w:ascii="宋体" w:hAnsi="宋体" w:eastAsia="宋体" w:cs="宋体"/>
                <w:color w:val="000000"/>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EE7A6BD">
            <w:pPr>
              <w:tabs>
                <w:tab w:val="left" w:pos="420"/>
              </w:tabs>
              <w:spacing w:line="360" w:lineRule="exact"/>
              <w:jc w:val="center"/>
              <w:rPr>
                <w:rFonts w:hint="eastAsia" w:ascii="宋体" w:hAnsi="宋体" w:eastAsia="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C1D62F2">
            <w:pPr>
              <w:tabs>
                <w:tab w:val="left" w:pos="420"/>
              </w:tabs>
              <w:spacing w:line="360" w:lineRule="exact"/>
              <w:jc w:val="center"/>
              <w:rPr>
                <w:rFonts w:hint="eastAsia" w:ascii="宋体" w:hAnsi="宋体" w:eastAsia="宋体" w:cs="宋体"/>
                <w:color w:val="000000"/>
                <w:szCs w:val="21"/>
                <w:highlight w:val="none"/>
              </w:rPr>
            </w:pPr>
          </w:p>
        </w:tc>
      </w:tr>
      <w:tr w14:paraId="32E5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D72058D">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04735163">
            <w:pPr>
              <w:spacing w:line="240" w:lineRule="atLeast"/>
              <w:jc w:val="center"/>
              <w:rPr>
                <w:rFonts w:hint="eastAsia" w:ascii="宋体" w:hAnsi="宋体" w:eastAsia="宋体" w:cs="宋体"/>
                <w:color w:val="000000"/>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E5C90B0">
            <w:pPr>
              <w:tabs>
                <w:tab w:val="left" w:pos="420"/>
              </w:tabs>
              <w:spacing w:line="360" w:lineRule="exact"/>
              <w:jc w:val="center"/>
              <w:rPr>
                <w:rFonts w:hint="eastAsia" w:ascii="宋体" w:hAnsi="宋体" w:eastAsia="宋体" w:cs="宋体"/>
                <w:color w:val="000000"/>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DBD2A9F">
            <w:pPr>
              <w:tabs>
                <w:tab w:val="left" w:pos="420"/>
              </w:tabs>
              <w:spacing w:line="360" w:lineRule="exact"/>
              <w:jc w:val="center"/>
              <w:rPr>
                <w:rFonts w:hint="eastAsia" w:ascii="宋体" w:hAnsi="宋体" w:eastAsia="宋体" w:cs="宋体"/>
                <w:color w:val="000000"/>
                <w:szCs w:val="21"/>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53B43C6">
            <w:pPr>
              <w:tabs>
                <w:tab w:val="left" w:pos="420"/>
              </w:tabs>
              <w:spacing w:line="360" w:lineRule="exact"/>
              <w:jc w:val="center"/>
              <w:rPr>
                <w:rFonts w:hint="eastAsia" w:ascii="宋体" w:hAnsi="宋体" w:eastAsia="宋体" w:cs="宋体"/>
                <w:color w:val="000000"/>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1A005D4">
            <w:pPr>
              <w:tabs>
                <w:tab w:val="left" w:pos="420"/>
              </w:tabs>
              <w:spacing w:line="360" w:lineRule="exact"/>
              <w:jc w:val="center"/>
              <w:rPr>
                <w:rFonts w:hint="eastAsia" w:ascii="宋体" w:hAnsi="宋体" w:eastAsia="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068D83B">
            <w:pPr>
              <w:tabs>
                <w:tab w:val="left" w:pos="420"/>
              </w:tabs>
              <w:spacing w:line="360" w:lineRule="exact"/>
              <w:jc w:val="center"/>
              <w:rPr>
                <w:rFonts w:hint="eastAsia" w:ascii="宋体" w:hAnsi="宋体" w:eastAsia="宋体" w:cs="宋体"/>
                <w:color w:val="000000"/>
                <w:szCs w:val="21"/>
                <w:highlight w:val="none"/>
              </w:rPr>
            </w:pPr>
          </w:p>
        </w:tc>
      </w:tr>
      <w:tr w14:paraId="50FD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04016C52">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5D280C2">
            <w:pPr>
              <w:tabs>
                <w:tab w:val="left" w:pos="420"/>
              </w:tabs>
              <w:spacing w:line="360" w:lineRule="exact"/>
              <w:jc w:val="center"/>
              <w:rPr>
                <w:rFonts w:hint="eastAsia" w:ascii="宋体" w:hAnsi="宋体" w:eastAsia="宋体" w:cs="宋体"/>
                <w:color w:val="000000"/>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0E831F8">
            <w:pPr>
              <w:tabs>
                <w:tab w:val="left" w:pos="420"/>
              </w:tabs>
              <w:spacing w:line="360" w:lineRule="exact"/>
              <w:jc w:val="center"/>
              <w:rPr>
                <w:rFonts w:hint="eastAsia" w:ascii="宋体" w:hAnsi="宋体" w:eastAsia="宋体" w:cs="宋体"/>
                <w:color w:val="000000"/>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9D272DB">
            <w:pPr>
              <w:tabs>
                <w:tab w:val="left" w:pos="420"/>
              </w:tabs>
              <w:spacing w:line="360" w:lineRule="exact"/>
              <w:jc w:val="center"/>
              <w:rPr>
                <w:rFonts w:hint="eastAsia" w:ascii="宋体" w:hAnsi="宋体" w:eastAsia="宋体" w:cs="宋体"/>
                <w:color w:val="000000"/>
                <w:szCs w:val="21"/>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3575160">
            <w:pPr>
              <w:tabs>
                <w:tab w:val="left" w:pos="420"/>
              </w:tabs>
              <w:spacing w:line="360" w:lineRule="exact"/>
              <w:jc w:val="center"/>
              <w:rPr>
                <w:rFonts w:hint="eastAsia" w:ascii="宋体" w:hAnsi="宋体" w:eastAsia="宋体" w:cs="宋体"/>
                <w:color w:val="000000"/>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A248449">
            <w:pPr>
              <w:tabs>
                <w:tab w:val="left" w:pos="420"/>
              </w:tabs>
              <w:spacing w:line="360" w:lineRule="exact"/>
              <w:jc w:val="center"/>
              <w:rPr>
                <w:rFonts w:hint="eastAsia" w:ascii="宋体" w:hAnsi="宋体" w:eastAsia="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8A35186">
            <w:pPr>
              <w:tabs>
                <w:tab w:val="left" w:pos="420"/>
              </w:tabs>
              <w:spacing w:line="360" w:lineRule="exact"/>
              <w:jc w:val="center"/>
              <w:rPr>
                <w:rFonts w:hint="eastAsia" w:ascii="宋体" w:hAnsi="宋体" w:eastAsia="宋体" w:cs="宋体"/>
                <w:color w:val="000000"/>
                <w:szCs w:val="21"/>
                <w:highlight w:val="none"/>
              </w:rPr>
            </w:pPr>
          </w:p>
        </w:tc>
      </w:tr>
      <w:tr w14:paraId="6D02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961" w:type="dxa"/>
            <w:gridSpan w:val="5"/>
            <w:tcBorders>
              <w:top w:val="single" w:color="auto" w:sz="4" w:space="0"/>
              <w:left w:val="single" w:color="auto" w:sz="4" w:space="0"/>
              <w:bottom w:val="single" w:color="auto" w:sz="4" w:space="0"/>
              <w:right w:val="single" w:color="auto" w:sz="4" w:space="0"/>
            </w:tcBorders>
            <w:noWrap w:val="0"/>
            <w:vAlign w:val="center"/>
          </w:tcPr>
          <w:p w14:paraId="2809E2A5">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缺陷责任期阶段监理服务费合计</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FDCC963">
            <w:pPr>
              <w:tabs>
                <w:tab w:val="left" w:pos="420"/>
              </w:tabs>
              <w:spacing w:line="360" w:lineRule="exact"/>
              <w:jc w:val="center"/>
              <w:rPr>
                <w:rFonts w:hint="eastAsia" w:ascii="宋体" w:hAnsi="宋体" w:eastAsia="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31127C4">
            <w:pPr>
              <w:tabs>
                <w:tab w:val="left" w:pos="420"/>
              </w:tabs>
              <w:spacing w:line="360" w:lineRule="exact"/>
              <w:jc w:val="center"/>
              <w:rPr>
                <w:rFonts w:hint="eastAsia" w:ascii="宋体" w:hAnsi="宋体" w:eastAsia="宋体" w:cs="宋体"/>
                <w:color w:val="000000"/>
                <w:szCs w:val="21"/>
                <w:highlight w:val="none"/>
              </w:rPr>
            </w:pPr>
          </w:p>
        </w:tc>
      </w:tr>
    </w:tbl>
    <w:p w14:paraId="62DBB65F">
      <w:pPr>
        <w:tabs>
          <w:tab w:val="left" w:pos="42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71B83D0D">
      <w:pPr>
        <w:tabs>
          <w:tab w:val="left" w:pos="420"/>
        </w:tabs>
        <w:spacing w:line="360" w:lineRule="exact"/>
        <w:rPr>
          <w:rFonts w:hint="eastAsia" w:ascii="宋体" w:hAnsi="宋体" w:eastAsia="宋体" w:cs="宋体"/>
          <w:color w:val="000000"/>
          <w:highlight w:val="none"/>
        </w:rPr>
      </w:pPr>
    </w:p>
    <w:bookmarkEnd w:id="262"/>
    <w:bookmarkEnd w:id="263"/>
    <w:p w14:paraId="0583B53B">
      <w:pPr>
        <w:spacing w:line="440" w:lineRule="exact"/>
        <w:ind w:right="227" w:rightChars="108"/>
        <w:jc w:val="right"/>
        <w:rPr>
          <w:rFonts w:hint="eastAsia" w:ascii="宋体" w:hAnsi="宋体" w:eastAsia="宋体" w:cs="宋体"/>
          <w:color w:val="000000"/>
          <w:highlight w:val="none"/>
        </w:rPr>
      </w:pPr>
    </w:p>
    <w:p w14:paraId="0A2DA84E">
      <w:pPr>
        <w:spacing w:line="440" w:lineRule="exact"/>
        <w:ind w:right="227" w:rightChars="108"/>
        <w:rPr>
          <w:rFonts w:hint="eastAsia" w:ascii="宋体" w:hAnsi="宋体" w:eastAsia="宋体" w:cs="宋体"/>
          <w:color w:val="000000"/>
          <w:sz w:val="24"/>
          <w:highlight w:val="none"/>
        </w:rPr>
      </w:pPr>
    </w:p>
    <w:p w14:paraId="795F17E1">
      <w:pPr>
        <w:spacing w:line="440" w:lineRule="exact"/>
        <w:ind w:right="227" w:rightChars="108"/>
        <w:rPr>
          <w:rFonts w:hint="eastAsia" w:ascii="宋体" w:hAnsi="宋体" w:eastAsia="宋体" w:cs="宋体"/>
          <w:color w:val="000000"/>
          <w:sz w:val="24"/>
          <w:highlight w:val="none"/>
        </w:rPr>
      </w:pPr>
    </w:p>
    <w:p w14:paraId="4EBACD5A">
      <w:pPr>
        <w:wordWrap w:val="0"/>
        <w:spacing w:line="360" w:lineRule="auto"/>
        <w:ind w:right="227" w:rightChars="108" w:firstLine="4410" w:firstLineChars="21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（电子签章）</w:t>
      </w:r>
    </w:p>
    <w:p w14:paraId="6B0C93E0">
      <w:pPr>
        <w:spacing w:line="360" w:lineRule="auto"/>
        <w:ind w:firstLine="4410" w:firstLineChars="2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（电子签章）</w:t>
      </w:r>
    </w:p>
    <w:p w14:paraId="15D4903B">
      <w:pPr>
        <w:spacing w:line="360" w:lineRule="auto"/>
        <w:ind w:left="630" w:leftChars="300" w:right="535" w:rightChars="255" w:firstLine="3780" w:firstLineChars="18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    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6824BB63">
      <w:pPr>
        <w:spacing w:line="440" w:lineRule="exact"/>
        <w:ind w:left="720" w:right="535" w:rightChars="255" w:hanging="720" w:hangingChars="300"/>
        <w:rPr>
          <w:rFonts w:hint="eastAsia" w:ascii="宋体" w:hAnsi="宋体" w:eastAsia="宋体" w:cs="宋体"/>
          <w:color w:val="000000"/>
          <w:szCs w:val="18"/>
          <w:highlight w:val="none"/>
        </w:rPr>
      </w:pPr>
      <w:r>
        <w:rPr>
          <w:rFonts w:hint="eastAsia" w:ascii="宋体" w:hAnsi="宋体" w:eastAsia="宋体" w:cs="宋体"/>
          <w:color w:val="000000"/>
          <w:sz w:val="24"/>
          <w:highlight w:val="none"/>
        </w:rPr>
        <w:t xml:space="preserve">                       </w:t>
      </w:r>
    </w:p>
    <w:p w14:paraId="729F2F27">
      <w:pPr>
        <w:pStyle w:val="5"/>
        <w:spacing w:before="100" w:after="100"/>
        <w:jc w:val="center"/>
        <w:rPr>
          <w:rFonts w:hint="eastAsia" w:ascii="宋体" w:hAnsi="宋体" w:eastAsia="宋体" w:cs="宋体"/>
          <w:b w:val="0"/>
          <w:color w:val="000000"/>
          <w:sz w:val="32"/>
          <w:highlight w:val="none"/>
        </w:rPr>
      </w:pPr>
      <w:r>
        <w:rPr>
          <w:rFonts w:hint="eastAsia" w:ascii="宋体" w:hAnsi="宋体" w:eastAsia="宋体" w:cs="宋体"/>
          <w:color w:val="000000"/>
          <w:highlight w:val="none"/>
        </w:rPr>
        <w:br w:type="page"/>
      </w:r>
      <w:bookmarkStart w:id="265" w:name="_Toc19541"/>
      <w:r>
        <w:rPr>
          <w:rFonts w:hint="eastAsia" w:ascii="宋体" w:hAnsi="宋体" w:eastAsia="宋体" w:cs="宋体"/>
          <w:highlight w:val="none"/>
        </w:rPr>
        <w:t>2.4 其他费用计算表</w:t>
      </w:r>
      <w:bookmarkEnd w:id="265"/>
    </w:p>
    <w:p w14:paraId="73BB12DB">
      <w:pPr>
        <w:tabs>
          <w:tab w:val="left" w:pos="420"/>
        </w:tabs>
        <w:spacing w:line="360" w:lineRule="exact"/>
        <w:ind w:firstLine="301" w:firstLineChars="200"/>
        <w:jc w:val="center"/>
        <w:rPr>
          <w:rFonts w:hint="eastAsia" w:ascii="宋体" w:hAnsi="宋体" w:eastAsia="宋体" w:cs="宋体"/>
          <w:b/>
          <w:color w:val="000000"/>
          <w:sz w:val="15"/>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437"/>
        <w:gridCol w:w="2302"/>
        <w:gridCol w:w="1739"/>
      </w:tblGrid>
      <w:tr w14:paraId="6EC2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179D1A5C">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1F58A84B">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费用细目</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0CEBE47F">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小计</w:t>
            </w:r>
          </w:p>
          <w:p w14:paraId="1C650E44">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（元）</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40ACA740">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21E5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0F32C0B4">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6BCB8761">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办公、生活用房</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1A1959A0">
            <w:pPr>
              <w:tabs>
                <w:tab w:val="left" w:pos="420"/>
              </w:tabs>
              <w:spacing w:line="360" w:lineRule="exact"/>
              <w:jc w:val="center"/>
              <w:rPr>
                <w:rFonts w:hint="eastAsia" w:ascii="宋体" w:hAnsi="宋体" w:eastAsia="宋体" w:cs="宋体"/>
                <w:color w:val="000000"/>
                <w:szCs w:val="21"/>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13CBF6A1">
            <w:pPr>
              <w:tabs>
                <w:tab w:val="left" w:pos="420"/>
              </w:tabs>
              <w:spacing w:line="360" w:lineRule="exact"/>
              <w:jc w:val="center"/>
              <w:rPr>
                <w:rFonts w:hint="eastAsia" w:ascii="宋体" w:hAnsi="宋体" w:eastAsia="宋体" w:cs="宋体"/>
                <w:color w:val="000000"/>
                <w:szCs w:val="21"/>
                <w:highlight w:val="none"/>
              </w:rPr>
            </w:pPr>
          </w:p>
        </w:tc>
      </w:tr>
      <w:tr w14:paraId="3D9E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37F0623E">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57AAA295">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办公设备</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3254E3CF">
            <w:pPr>
              <w:tabs>
                <w:tab w:val="left" w:pos="420"/>
              </w:tabs>
              <w:spacing w:line="360" w:lineRule="exact"/>
              <w:jc w:val="center"/>
              <w:rPr>
                <w:rFonts w:hint="eastAsia" w:ascii="宋体" w:hAnsi="宋体" w:eastAsia="宋体" w:cs="宋体"/>
                <w:color w:val="000000"/>
                <w:szCs w:val="21"/>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33909053">
            <w:pPr>
              <w:tabs>
                <w:tab w:val="left" w:pos="420"/>
              </w:tabs>
              <w:spacing w:line="360" w:lineRule="exact"/>
              <w:jc w:val="center"/>
              <w:rPr>
                <w:rFonts w:hint="eastAsia" w:ascii="宋体" w:hAnsi="宋体" w:eastAsia="宋体" w:cs="宋体"/>
                <w:color w:val="000000"/>
                <w:szCs w:val="21"/>
                <w:highlight w:val="none"/>
              </w:rPr>
            </w:pPr>
          </w:p>
        </w:tc>
      </w:tr>
      <w:tr w14:paraId="63A9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405CD4B1">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6354D2B5">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通讯、交通设施</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27369EBD">
            <w:pPr>
              <w:tabs>
                <w:tab w:val="left" w:pos="420"/>
              </w:tabs>
              <w:spacing w:line="360" w:lineRule="exact"/>
              <w:jc w:val="center"/>
              <w:rPr>
                <w:rFonts w:hint="eastAsia" w:ascii="宋体" w:hAnsi="宋体" w:eastAsia="宋体" w:cs="宋体"/>
                <w:color w:val="000000"/>
                <w:szCs w:val="21"/>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74536909">
            <w:pPr>
              <w:tabs>
                <w:tab w:val="left" w:pos="420"/>
              </w:tabs>
              <w:spacing w:line="360" w:lineRule="exact"/>
              <w:jc w:val="center"/>
              <w:rPr>
                <w:rFonts w:hint="eastAsia" w:ascii="宋体" w:hAnsi="宋体" w:eastAsia="宋体" w:cs="宋体"/>
                <w:color w:val="000000"/>
                <w:szCs w:val="21"/>
                <w:highlight w:val="none"/>
              </w:rPr>
            </w:pPr>
          </w:p>
        </w:tc>
      </w:tr>
      <w:tr w14:paraId="4AD2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6ABB19A4">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79FEB187">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生活设施</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66CF8E9D">
            <w:pPr>
              <w:tabs>
                <w:tab w:val="left" w:pos="420"/>
              </w:tabs>
              <w:spacing w:line="360" w:lineRule="exact"/>
              <w:jc w:val="center"/>
              <w:rPr>
                <w:rFonts w:hint="eastAsia" w:ascii="宋体" w:hAnsi="宋体" w:eastAsia="宋体" w:cs="宋体"/>
                <w:color w:val="000000"/>
                <w:szCs w:val="21"/>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0F1B33F5">
            <w:pPr>
              <w:tabs>
                <w:tab w:val="left" w:pos="420"/>
              </w:tabs>
              <w:spacing w:line="360" w:lineRule="exact"/>
              <w:jc w:val="center"/>
              <w:rPr>
                <w:rFonts w:hint="eastAsia" w:ascii="宋体" w:hAnsi="宋体" w:eastAsia="宋体" w:cs="宋体"/>
                <w:color w:val="000000"/>
                <w:szCs w:val="21"/>
                <w:highlight w:val="none"/>
              </w:rPr>
            </w:pPr>
          </w:p>
        </w:tc>
      </w:tr>
      <w:tr w14:paraId="5FAE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54548345">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2DA9C0E0">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测量仪器</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7F67ABD9">
            <w:pPr>
              <w:tabs>
                <w:tab w:val="left" w:pos="420"/>
              </w:tabs>
              <w:spacing w:line="360" w:lineRule="exact"/>
              <w:jc w:val="center"/>
              <w:rPr>
                <w:rFonts w:hint="eastAsia" w:ascii="宋体" w:hAnsi="宋体" w:eastAsia="宋体" w:cs="宋体"/>
                <w:color w:val="000000"/>
                <w:szCs w:val="21"/>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30A9F4BF">
            <w:pPr>
              <w:tabs>
                <w:tab w:val="left" w:pos="420"/>
              </w:tabs>
              <w:spacing w:line="360" w:lineRule="exact"/>
              <w:jc w:val="center"/>
              <w:rPr>
                <w:rFonts w:hint="eastAsia" w:ascii="宋体" w:hAnsi="宋体" w:eastAsia="宋体" w:cs="宋体"/>
                <w:color w:val="000000"/>
                <w:szCs w:val="21"/>
                <w:highlight w:val="none"/>
              </w:rPr>
            </w:pPr>
          </w:p>
        </w:tc>
      </w:tr>
      <w:tr w14:paraId="5AE4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06B38AF3">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3CDB0311">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试验设备（如有）</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1D5D2D30">
            <w:pPr>
              <w:tabs>
                <w:tab w:val="left" w:pos="420"/>
              </w:tabs>
              <w:spacing w:line="360" w:lineRule="exact"/>
              <w:jc w:val="center"/>
              <w:rPr>
                <w:rFonts w:hint="eastAsia" w:ascii="宋体" w:hAnsi="宋体" w:eastAsia="宋体" w:cs="宋体"/>
                <w:color w:val="000000"/>
                <w:szCs w:val="21"/>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05A19BEA">
            <w:pPr>
              <w:tabs>
                <w:tab w:val="left" w:pos="420"/>
              </w:tabs>
              <w:spacing w:line="360" w:lineRule="exact"/>
              <w:jc w:val="center"/>
              <w:rPr>
                <w:rFonts w:hint="eastAsia" w:ascii="宋体" w:hAnsi="宋体" w:eastAsia="宋体" w:cs="宋体"/>
                <w:color w:val="000000"/>
                <w:szCs w:val="21"/>
                <w:highlight w:val="none"/>
              </w:rPr>
            </w:pPr>
          </w:p>
        </w:tc>
      </w:tr>
      <w:tr w14:paraId="5107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4B9E6E2D">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677B7555">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配套辅助人员</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3B3E667D">
            <w:pPr>
              <w:tabs>
                <w:tab w:val="left" w:pos="420"/>
              </w:tabs>
              <w:spacing w:line="360" w:lineRule="exact"/>
              <w:jc w:val="center"/>
              <w:rPr>
                <w:rFonts w:hint="eastAsia" w:ascii="宋体" w:hAnsi="宋体" w:eastAsia="宋体" w:cs="宋体"/>
                <w:color w:val="000000"/>
                <w:szCs w:val="21"/>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614497D6">
            <w:pPr>
              <w:tabs>
                <w:tab w:val="left" w:pos="420"/>
              </w:tabs>
              <w:spacing w:line="360" w:lineRule="exact"/>
              <w:jc w:val="center"/>
              <w:rPr>
                <w:rFonts w:hint="eastAsia" w:ascii="宋体" w:hAnsi="宋体" w:eastAsia="宋体" w:cs="宋体"/>
                <w:color w:val="000000"/>
                <w:szCs w:val="21"/>
                <w:highlight w:val="none"/>
              </w:rPr>
            </w:pPr>
          </w:p>
        </w:tc>
      </w:tr>
      <w:tr w14:paraId="6739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4A181247">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4437" w:type="dxa"/>
            <w:tcBorders>
              <w:top w:val="single" w:color="auto" w:sz="4" w:space="0"/>
              <w:left w:val="single" w:color="auto" w:sz="4" w:space="0"/>
              <w:bottom w:val="single" w:color="auto" w:sz="4" w:space="0"/>
              <w:right w:val="single" w:color="auto" w:sz="4" w:space="0"/>
            </w:tcBorders>
            <w:noWrap w:val="0"/>
            <w:vAlign w:val="center"/>
          </w:tcPr>
          <w:p w14:paraId="0497A25E">
            <w:pPr>
              <w:tabs>
                <w:tab w:val="left" w:pos="420"/>
              </w:tabs>
              <w:spacing w:line="360" w:lineRule="exact"/>
              <w:jc w:val="center"/>
              <w:rPr>
                <w:rFonts w:hint="eastAsia" w:ascii="宋体" w:hAnsi="宋体" w:eastAsia="宋体" w:cs="宋体"/>
                <w:color w:val="000000"/>
                <w:szCs w:val="21"/>
                <w:highlight w:val="none"/>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5E4EBF5C">
            <w:pPr>
              <w:tabs>
                <w:tab w:val="left" w:pos="420"/>
              </w:tabs>
              <w:spacing w:line="360" w:lineRule="exact"/>
              <w:jc w:val="center"/>
              <w:rPr>
                <w:rFonts w:hint="eastAsia" w:ascii="宋体" w:hAnsi="宋体" w:eastAsia="宋体" w:cs="宋体"/>
                <w:color w:val="000000"/>
                <w:szCs w:val="21"/>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63A6F55C">
            <w:pPr>
              <w:tabs>
                <w:tab w:val="left" w:pos="420"/>
              </w:tabs>
              <w:spacing w:line="360" w:lineRule="exact"/>
              <w:jc w:val="center"/>
              <w:rPr>
                <w:rFonts w:hint="eastAsia" w:ascii="宋体" w:hAnsi="宋体" w:eastAsia="宋体" w:cs="宋体"/>
                <w:color w:val="000000"/>
                <w:szCs w:val="21"/>
                <w:highlight w:val="none"/>
              </w:rPr>
            </w:pPr>
          </w:p>
        </w:tc>
      </w:tr>
      <w:tr w14:paraId="745E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247" w:type="dxa"/>
            <w:gridSpan w:val="2"/>
            <w:tcBorders>
              <w:top w:val="single" w:color="auto" w:sz="4" w:space="0"/>
              <w:left w:val="single" w:color="auto" w:sz="4" w:space="0"/>
              <w:bottom w:val="single" w:color="auto" w:sz="4" w:space="0"/>
              <w:right w:val="single" w:color="auto" w:sz="4" w:space="0"/>
            </w:tcBorders>
            <w:noWrap w:val="0"/>
            <w:vAlign w:val="center"/>
          </w:tcPr>
          <w:p w14:paraId="0DF98C5F">
            <w:pPr>
              <w:tabs>
                <w:tab w:val="left" w:pos="420"/>
              </w:tabs>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其他费用合计</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3C791032">
            <w:pPr>
              <w:tabs>
                <w:tab w:val="left" w:pos="420"/>
              </w:tabs>
              <w:spacing w:line="360" w:lineRule="exact"/>
              <w:jc w:val="center"/>
              <w:rPr>
                <w:rFonts w:hint="eastAsia" w:ascii="宋体" w:hAnsi="宋体" w:eastAsia="宋体" w:cs="宋体"/>
                <w:color w:val="000000"/>
                <w:szCs w:val="21"/>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142019D0">
            <w:pPr>
              <w:tabs>
                <w:tab w:val="left" w:pos="420"/>
              </w:tabs>
              <w:spacing w:line="360" w:lineRule="exact"/>
              <w:jc w:val="center"/>
              <w:rPr>
                <w:rFonts w:hint="eastAsia" w:ascii="宋体" w:hAnsi="宋体" w:eastAsia="宋体" w:cs="宋体"/>
                <w:color w:val="000000"/>
                <w:szCs w:val="21"/>
                <w:highlight w:val="none"/>
              </w:rPr>
            </w:pPr>
          </w:p>
        </w:tc>
      </w:tr>
    </w:tbl>
    <w:p w14:paraId="454C4311">
      <w:pPr>
        <w:wordWrap w:val="0"/>
        <w:spacing w:line="440" w:lineRule="exact"/>
        <w:ind w:right="227" w:rightChars="108"/>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1A8E1E4C">
      <w:pPr>
        <w:wordWrap w:val="0"/>
        <w:spacing w:line="440" w:lineRule="exact"/>
        <w:ind w:right="227" w:rightChars="108"/>
        <w:jc w:val="center"/>
        <w:rPr>
          <w:rFonts w:hint="eastAsia" w:ascii="宋体" w:hAnsi="宋体" w:eastAsia="宋体" w:cs="宋体"/>
          <w:color w:val="000000"/>
          <w:sz w:val="24"/>
          <w:highlight w:val="none"/>
        </w:rPr>
      </w:pPr>
    </w:p>
    <w:p w14:paraId="2CFB8D5A">
      <w:pPr>
        <w:wordWrap w:val="0"/>
        <w:spacing w:line="360" w:lineRule="auto"/>
        <w:ind w:right="227" w:rightChars="108" w:firstLine="4200" w:firstLineChars="20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（电子签章）</w:t>
      </w:r>
    </w:p>
    <w:p w14:paraId="6F99CD98">
      <w:pPr>
        <w:spacing w:line="360" w:lineRule="auto"/>
        <w:ind w:firstLine="4200" w:firstLineChars="20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（电子签章）</w:t>
      </w:r>
    </w:p>
    <w:p w14:paraId="598D13CF">
      <w:pPr>
        <w:spacing w:line="360" w:lineRule="auto"/>
        <w:ind w:right="535" w:rightChars="255" w:firstLine="4200" w:firstLineChars="20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    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68345630">
      <w:pPr>
        <w:pStyle w:val="10"/>
        <w:ind w:left="2656" w:hanging="1606"/>
        <w:rPr>
          <w:rFonts w:hint="eastAsia" w:ascii="宋体" w:hAnsi="宋体" w:eastAsia="宋体" w:cs="宋体"/>
          <w:highlight w:val="none"/>
        </w:rPr>
      </w:pPr>
    </w:p>
    <w:p w14:paraId="5FD5398D">
      <w:pPr>
        <w:pStyle w:val="8"/>
        <w:spacing w:after="0" w:line="360" w:lineRule="auto"/>
        <w:jc w:val="center"/>
        <w:rPr>
          <w:rFonts w:hint="eastAsia" w:ascii="宋体" w:hAnsi="宋体" w:eastAsia="宋体" w:cs="宋体"/>
          <w:szCs w:val="21"/>
          <w:highlight w:val="none"/>
        </w:rPr>
      </w:pPr>
    </w:p>
    <w:p w14:paraId="56E6423A">
      <w:pPr>
        <w:pStyle w:val="8"/>
        <w:spacing w:after="0" w:line="360" w:lineRule="auto"/>
        <w:jc w:val="center"/>
        <w:rPr>
          <w:rFonts w:hint="eastAsia" w:ascii="宋体" w:hAnsi="宋体" w:eastAsia="宋体" w:cs="宋体"/>
          <w:szCs w:val="21"/>
          <w:highlight w:val="none"/>
        </w:rPr>
      </w:pPr>
    </w:p>
    <w:p w14:paraId="36EAF8BD"/>
    <w:sectPr>
      <w:pgSz w:w="11906" w:h="16838"/>
      <w:pgMar w:top="1304" w:right="1417" w:bottom="130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58FC5">
    <w:pPr>
      <w:widowControl/>
      <w:tabs>
        <w:tab w:val="left" w:pos="5414"/>
        <w:tab w:val="right" w:pos="18440"/>
      </w:tabs>
      <w:spacing w:line="360" w:lineRule="auto"/>
      <w:ind w:firstLine="360" w:firstLineChars="200"/>
      <w:jc w:val="left"/>
      <w:rPr>
        <w:rFonts w:hint="eastAsia" w:ascii="宋体" w:hAnsi="宋体" w:cs="宋体"/>
        <w:color w:val="00000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21A7E">
                          <w:pPr>
                            <w:pStyle w:val="11"/>
                            <w:rPr>
                              <w:rFonts w:hint="eastAsia"/>
                              <w:lang w:val="en-US" w:eastAsia="zh-CN"/>
                            </w:rPr>
                          </w:pPr>
                        </w:p>
                        <w:p w14:paraId="3AD8361F">
                          <w:pPr>
                            <w:pStyle w:val="11"/>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421A7E">
                    <w:pPr>
                      <w:pStyle w:val="11"/>
                      <w:rPr>
                        <w:rFonts w:hint="eastAsia"/>
                        <w:lang w:val="en-US" w:eastAsia="zh-CN"/>
                      </w:rPr>
                    </w:pPr>
                  </w:p>
                  <w:p w14:paraId="3AD8361F">
                    <w:pPr>
                      <w:pStyle w:val="11"/>
                      <w:rPr>
                        <w:rFonts w:hint="eastAsia"/>
                        <w:lang w:val="en-US" w:eastAsia="zh-CN"/>
                      </w:rPr>
                    </w:pPr>
                  </w:p>
                </w:txbxContent>
              </v:textbox>
            </v:shape>
          </w:pict>
        </mc:Fallback>
      </mc:AlternateContent>
    </w:r>
    <w:r>
      <w:rPr>
        <w:i/>
        <w:iCs/>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7763C8">
                          <w:pPr>
                            <w:pStyle w:val="11"/>
                            <w:rPr>
                              <w:rFonts w:hint="eastAsia" w:eastAsia="仿宋_GB2312"/>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B7763C8">
                    <w:pPr>
                      <w:pStyle w:val="11"/>
                      <w:rPr>
                        <w:rFonts w:hint="eastAsia" w:eastAsia="仿宋_GB2312"/>
                      </w:rPr>
                    </w:pPr>
                  </w:p>
                </w:txbxContent>
              </v:textbox>
            </v:shape>
          </w:pict>
        </mc:Fallback>
      </mc:AlternateContent>
    </w:r>
    <w:r>
      <w:rPr>
        <w:rFonts w:hint="eastAsia"/>
        <w:i/>
        <w:iCs/>
      </w:rPr>
      <w:tab/>
    </w:r>
    <w:r>
      <w:rPr>
        <w:rFonts w:hint="eastAsia"/>
        <w:i/>
        <w:iCs/>
      </w:rPr>
      <w:t xml:space="preserve">    </w:t>
    </w:r>
    <w:r>
      <w:rPr>
        <w:rFonts w:hint="eastAsia"/>
        <w:i/>
        <w:iCs/>
        <w:sz w:val="18"/>
        <w:szCs w:val="18"/>
      </w:rPr>
      <w:t xml:space="preserve">     </w:t>
    </w:r>
    <w:r>
      <w:rPr>
        <w:rFonts w:hint="eastAsia" w:hAnsi="仿宋_GB2312" w:cs="仿宋_GB2312"/>
        <w:i/>
        <w:iCs/>
        <w:sz w:val="18"/>
        <w:szCs w:val="18"/>
      </w:rPr>
      <w:tab/>
    </w:r>
    <w:r>
      <w:rPr>
        <w:rFonts w:hint="eastAsia" w:hAnsi="仿宋_GB2312" w:cs="仿宋_GB2312"/>
        <w:i/>
        <w:iCs/>
        <w:sz w:val="18"/>
        <w:szCs w:val="18"/>
      </w:rPr>
      <w:t xml:space="preserve">  </w:t>
    </w:r>
    <w:r>
      <w:rPr>
        <w:rFonts w:hint="eastAsia" w:hAnsi="仿宋_GB2312" w:cs="仿宋_GB2312"/>
        <w:sz w:val="18"/>
        <w:szCs w:val="18"/>
      </w:rPr>
      <w:t xml:space="preserve">      </w:t>
    </w:r>
    <w:r>
      <w:rPr>
        <w:rFonts w:hint="eastAsia"/>
      </w:rPr>
      <w:t xml:space="preserve">                                                </w:t>
    </w:r>
  </w:p>
  <w:p w14:paraId="65D904D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BBB6">
    <w:pPr>
      <w:widowControl/>
      <w:tabs>
        <w:tab w:val="left" w:pos="5414"/>
        <w:tab w:val="right" w:pos="18440"/>
      </w:tabs>
      <w:spacing w:line="360" w:lineRule="auto"/>
      <w:ind w:firstLine="360" w:firstLineChars="200"/>
      <w:jc w:val="left"/>
      <w:rPr>
        <w:rFonts w:hint="eastAsia" w:ascii="宋体" w:hAnsi="宋体" w:cs="宋体"/>
        <w:color w:val="000000"/>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4278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A4278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i/>
        <w:iCs/>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DCD71">
                          <w:pPr>
                            <w:pStyle w:val="11"/>
                            <w:rPr>
                              <w:rFonts w:hint="eastAsia" w:eastAsia="仿宋_GB2312"/>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E2DCD71">
                    <w:pPr>
                      <w:pStyle w:val="11"/>
                      <w:rPr>
                        <w:rFonts w:hint="eastAsia" w:eastAsia="仿宋_GB2312"/>
                      </w:rPr>
                    </w:pPr>
                  </w:p>
                </w:txbxContent>
              </v:textbox>
            </v:shape>
          </w:pict>
        </mc:Fallback>
      </mc:AlternateContent>
    </w:r>
    <w:r>
      <w:rPr>
        <w:rFonts w:hint="eastAsia"/>
        <w:i/>
        <w:iCs/>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FA9A3"/>
    <w:multiLevelType w:val="singleLevel"/>
    <w:tmpl w:val="B24FA9A3"/>
    <w:lvl w:ilvl="0" w:tentative="0">
      <w:start w:val="1"/>
      <w:numFmt w:val="decimal"/>
      <w:suff w:val="nothing"/>
      <w:lvlText w:val="（%1）"/>
      <w:lvlJc w:val="left"/>
    </w:lvl>
  </w:abstractNum>
  <w:abstractNum w:abstractNumId="1">
    <w:nsid w:val="DBCDC8F1"/>
    <w:multiLevelType w:val="singleLevel"/>
    <w:tmpl w:val="DBCDC8F1"/>
    <w:lvl w:ilvl="0" w:tentative="0">
      <w:start w:val="5"/>
      <w:numFmt w:val="decimal"/>
      <w:suff w:val="nothing"/>
      <w:lvlText w:val="（%1）"/>
      <w:lvlJc w:val="left"/>
    </w:lvl>
  </w:abstractNum>
  <w:abstractNum w:abstractNumId="2">
    <w:nsid w:val="054476AE"/>
    <w:multiLevelType w:val="singleLevel"/>
    <w:tmpl w:val="054476AE"/>
    <w:lvl w:ilvl="0" w:tentative="0">
      <w:start w:val="1"/>
      <w:numFmt w:val="decimal"/>
      <w:suff w:val="nothing"/>
      <w:lvlText w:val="%1、"/>
      <w:lvlJc w:val="left"/>
    </w:lvl>
  </w:abstractNum>
  <w:abstractNum w:abstractNumId="3">
    <w:nsid w:val="2D935FAF"/>
    <w:multiLevelType w:val="singleLevel"/>
    <w:tmpl w:val="2D935FAF"/>
    <w:lvl w:ilvl="0" w:tentative="0">
      <w:start w:val="1"/>
      <w:numFmt w:val="decimal"/>
      <w:suff w:val="nothing"/>
      <w:lvlText w:val="（%1）"/>
      <w:lvlJc w:val="left"/>
    </w:lvl>
  </w:abstractNum>
  <w:abstractNum w:abstractNumId="4">
    <w:nsid w:val="5FE654AB"/>
    <w:multiLevelType w:val="multilevel"/>
    <w:tmpl w:val="5FE654AB"/>
    <w:lvl w:ilvl="0" w:tentative="0">
      <w:start w:val="1"/>
      <w:numFmt w:val="decimal"/>
      <w:lvlText w:val="%1"/>
      <w:lvlJc w:val="left"/>
      <w:pPr>
        <w:ind w:left="432" w:hanging="432"/>
      </w:pPr>
      <w:rPr>
        <w:rFonts w:hint="eastAsia" w:ascii="黑体" w:hAnsi="黑体" w:eastAsia="黑体"/>
        <w:sz w:val="28"/>
        <w:szCs w:val="28"/>
      </w:rPr>
    </w:lvl>
    <w:lvl w:ilvl="1" w:tentative="0">
      <w:start w:val="1"/>
      <w:numFmt w:val="decimal"/>
      <w:suff w:val="space"/>
      <w:lvlText w:val="%1.%2"/>
      <w:lvlJc w:val="left"/>
      <w:pPr>
        <w:ind w:left="576" w:hanging="576"/>
      </w:pPr>
      <w:rPr>
        <w:rFonts w:hint="eastAsia" w:ascii="宋体" w:hAnsi="宋体" w:eastAsia="宋体"/>
      </w:rPr>
    </w:lvl>
    <w:lvl w:ilvl="2" w:tentative="0">
      <w:start w:val="1"/>
      <w:numFmt w:val="decimal"/>
      <w:suff w:val="space"/>
      <w:lvlText w:val="10.%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6"/>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85D00"/>
    <w:rsid w:val="0182095B"/>
    <w:rsid w:val="11F70CF7"/>
    <w:rsid w:val="2EB21294"/>
    <w:rsid w:val="2F1F5CDD"/>
    <w:rsid w:val="2F4C5226"/>
    <w:rsid w:val="34082B44"/>
    <w:rsid w:val="34347B59"/>
    <w:rsid w:val="352F2256"/>
    <w:rsid w:val="36107446"/>
    <w:rsid w:val="4628411C"/>
    <w:rsid w:val="47160025"/>
    <w:rsid w:val="47E30758"/>
    <w:rsid w:val="49F8086A"/>
    <w:rsid w:val="4C2904FF"/>
    <w:rsid w:val="58985D00"/>
    <w:rsid w:val="5E7D4DED"/>
    <w:rsid w:val="62406F15"/>
    <w:rsid w:val="71BA4C43"/>
    <w:rsid w:val="780B7492"/>
    <w:rsid w:val="7902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6" w:lineRule="auto"/>
      <w:outlineLvl w:val="2"/>
    </w:pPr>
    <w:rPr>
      <w:b/>
      <w:bCs/>
      <w:sz w:val="28"/>
      <w:szCs w:val="32"/>
    </w:rPr>
  </w:style>
  <w:style w:type="paragraph" w:styleId="2">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8"/>
    <w:basedOn w:val="1"/>
    <w:next w:val="1"/>
    <w:unhideWhenUsed/>
    <w:qFormat/>
    <w:uiPriority w:val="9"/>
    <w:pPr>
      <w:keepNext/>
      <w:keepLines/>
      <w:numPr>
        <w:ilvl w:val="7"/>
        <w:numId w:val="1"/>
      </w:numPr>
      <w:spacing w:before="240" w:after="64" w:line="320" w:lineRule="atLeast"/>
      <w:ind w:firstLine="0" w:firstLineChars="0"/>
      <w:outlineLvl w:val="7"/>
    </w:pPr>
    <w:rPr>
      <w:rFonts w:ascii="Cambria" w:hAnsi="Cambria" w:eastAsia="宋体" w:cs="Times New Roman"/>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semiHidden/>
    <w:qFormat/>
    <w:uiPriority w:val="99"/>
    <w:pPr>
      <w:jc w:val="left"/>
    </w:pPr>
    <w:rPr>
      <w:rFonts w:ascii="宋体" w:hAnsi="宋体"/>
      <w:color w:val="0000FF"/>
      <w:sz w:val="24"/>
    </w:rPr>
  </w:style>
  <w:style w:type="paragraph" w:styleId="8">
    <w:name w:val="Body Text"/>
    <w:basedOn w:val="1"/>
    <w:qFormat/>
    <w:uiPriority w:val="1"/>
    <w:rPr>
      <w:rFonts w:ascii="宋体" w:hAnsi="宋体" w:eastAsia="宋体" w:cs="宋体"/>
      <w:sz w:val="21"/>
      <w:szCs w:val="21"/>
      <w:lang w:val="zh-CN" w:eastAsia="zh-CN" w:bidi="zh-CN"/>
    </w:rPr>
  </w:style>
  <w:style w:type="paragraph" w:styleId="9">
    <w:name w:val="Body Text Indent"/>
    <w:basedOn w:val="1"/>
    <w:unhideWhenUsed/>
    <w:qFormat/>
    <w:uiPriority w:val="0"/>
    <w:pPr>
      <w:spacing w:after="120"/>
      <w:ind w:left="420" w:leftChars="200"/>
    </w:pPr>
  </w:style>
  <w:style w:type="paragraph" w:styleId="10">
    <w:name w:val="Plain Text"/>
    <w:basedOn w:val="1"/>
    <w:qFormat/>
    <w:uiPriority w:val="0"/>
    <w:rPr>
      <w:rFonts w:ascii="宋体" w:hAnsi="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spacing w:before="120" w:after="120"/>
      <w:jc w:val="left"/>
    </w:pPr>
    <w:rPr>
      <w:b/>
      <w:bCs/>
      <w:caps/>
      <w:sz w:val="20"/>
      <w:szCs w:val="20"/>
    </w:rPr>
  </w:style>
  <w:style w:type="paragraph" w:styleId="14">
    <w:name w:val="Body Text 2"/>
    <w:basedOn w:val="1"/>
    <w:qFormat/>
    <w:uiPriority w:val="0"/>
    <w:pPr>
      <w:spacing w:line="480" w:lineRule="auto"/>
    </w:pPr>
    <w:rPr>
      <w:rFonts w:ascii="宋体"/>
    </w:rPr>
  </w:style>
  <w:style w:type="paragraph" w:styleId="15">
    <w:name w:val="Normal (Web)"/>
    <w:basedOn w:val="1"/>
    <w:qFormat/>
    <w:uiPriority w:val="99"/>
    <w:pPr>
      <w:widowControl/>
      <w:spacing w:before="100" w:beforeAutospacing="1" w:after="100" w:afterAutospacing="1"/>
      <w:jc w:val="left"/>
    </w:pPr>
    <w:rPr>
      <w:rFonts w:ascii="宋体" w:hAnsi="宋体" w:cs="Arial"/>
      <w:color w:val="0000FF"/>
      <w:kern w:val="0"/>
      <w:sz w:val="24"/>
    </w:rPr>
  </w:style>
  <w:style w:type="paragraph" w:styleId="16">
    <w:name w:val="Body Text First Indent"/>
    <w:basedOn w:val="8"/>
    <w:next w:val="17"/>
    <w:qFormat/>
    <w:uiPriority w:val="0"/>
    <w:pPr>
      <w:adjustRightInd w:val="0"/>
      <w:snapToGrid w:val="0"/>
      <w:ind w:firstLine="976" w:firstLineChars="200"/>
    </w:pPr>
    <w:rPr>
      <w:rFonts w:cs="Times New Roman"/>
      <w:kern w:val="2"/>
      <w:sz w:val="28"/>
    </w:rPr>
  </w:style>
  <w:style w:type="paragraph" w:styleId="17">
    <w:name w:val="Body Text First Indent 2"/>
    <w:basedOn w:val="9"/>
    <w:qFormat/>
    <w:uiPriority w:val="0"/>
    <w:pPr>
      <w:spacing w:after="0" w:line="360" w:lineRule="auto"/>
      <w:ind w:left="0" w:leftChars="0" w:firstLine="420" w:firstLineChars="200"/>
      <w:jc w:val="center"/>
    </w:pPr>
    <w:rPr>
      <w:rFonts w:ascii="黑体" w:eastAsia="黑体"/>
      <w:b/>
      <w:sz w:val="48"/>
      <w:szCs w:val="28"/>
    </w:rPr>
  </w:style>
  <w:style w:type="paragraph" w:customStyle="1" w:styleId="20">
    <w:name w:val="Default"/>
    <w:basedOn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大标题"/>
    <w:basedOn w:val="1"/>
    <w:next w:val="17"/>
    <w:qFormat/>
    <w:uiPriority w:val="0"/>
    <w:pPr>
      <w:jc w:val="center"/>
    </w:pPr>
    <w:rPr>
      <w:rFonts w:ascii="Arial" w:hAnsi="Arial"/>
      <w:b/>
      <w:sz w:val="28"/>
      <w:szCs w:val="24"/>
    </w:rPr>
  </w:style>
  <w:style w:type="paragraph" w:customStyle="1" w:styleId="22">
    <w:name w:val="Table Paragraph"/>
    <w:basedOn w:val="1"/>
    <w:qFormat/>
    <w:uiPriority w:val="1"/>
    <w:pPr>
      <w:adjustRightInd/>
      <w:snapToGrid/>
      <w:spacing w:line="240" w:lineRule="auto"/>
      <w:ind w:firstLine="0" w:firstLineChars="0"/>
    </w:pPr>
    <w:rPr>
      <w:rFonts w:ascii="Calibri" w:hAnsi="Calibri"/>
      <w:sz w:val="21"/>
      <w:szCs w:val="24"/>
    </w:rPr>
  </w:style>
  <w:style w:type="paragraph" w:customStyle="1" w:styleId="23">
    <w:name w:val="样式1"/>
    <w:basedOn w:val="1"/>
    <w:qFormat/>
    <w:uiPriority w:val="0"/>
    <w:pPr>
      <w:tabs>
        <w:tab w:val="left" w:pos="709"/>
      </w:tabs>
      <w:spacing w:line="240" w:lineRule="auto"/>
      <w:ind w:left="709" w:hanging="709"/>
      <w:jc w:val="both"/>
    </w:pPr>
    <w:rPr>
      <w:rFonts w:ascii="宋体" w:hAnsi="宋体"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589</Words>
  <Characters>663</Characters>
  <Lines>0</Lines>
  <Paragraphs>0</Paragraphs>
  <TotalTime>8</TotalTime>
  <ScaleCrop>false</ScaleCrop>
  <LinksUpToDate>false</LinksUpToDate>
  <CharactersWithSpaces>689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2025-07-18T02:12:00Z</dcterms:created>
  <dc:creator>y</dc:creator>
  <cp:lastModifiedBy>y</cp:lastModifiedBy>
  <dcterms:modified xsi:type="dcterms:W3CDTF">2025-09-11T09:13:17Z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5D3AE197C742432E9569325E6581CFD5_13</vt:lpwstr>
  </property>
  <property fmtid="{D5CDD505-2E9C-101B-9397-08002B2CF9AE}" pid="4" name="KSOTemplateDocerSaveRecord">
    <vt:lpwstr>eyJoZGlkIjoiZmEyYTJlNTNlMWExNWNlNzQxYzUwNmFiMjhhNDNkMmMiLCJ1c2VySWQiOiIxMTk4OTkzNDQ1In0=</vt:lpwstr>
  </property>
</Properties>
</file>