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2E151">
      <w:pPr>
        <w:jc w:val="center"/>
        <w:rPr>
          <w:rFonts w:hint="eastAsia" w:ascii="微软雅黑" w:hAnsi="微软雅黑" w:eastAsia="微软雅黑" w:cs="微软雅黑"/>
          <w:b/>
          <w:bCs/>
          <w:color w:val="auto"/>
          <w:sz w:val="52"/>
          <w:szCs w:val="52"/>
          <w:highlight w:val="none"/>
          <w:lang w:eastAsia="zh-CN"/>
        </w:rPr>
      </w:pPr>
    </w:p>
    <w:p w14:paraId="0391E1CB">
      <w:pPr>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荥阳市农业农村局2024年度财政衔接乡村振兴基础设施项目(</w:t>
      </w:r>
      <w:r>
        <w:rPr>
          <w:rFonts w:hint="eastAsia" w:ascii="宋体" w:hAnsi="宋体" w:eastAsia="宋体" w:cs="宋体"/>
          <w:b/>
          <w:bCs/>
          <w:color w:val="auto"/>
          <w:sz w:val="44"/>
          <w:szCs w:val="44"/>
          <w:highlight w:val="none"/>
          <w:lang w:val="en-US" w:eastAsia="zh-CN"/>
        </w:rPr>
        <w:t>结余</w:t>
      </w:r>
      <w:r>
        <w:rPr>
          <w:rFonts w:hint="eastAsia" w:ascii="宋体" w:hAnsi="宋体" w:eastAsia="宋体" w:cs="宋体"/>
          <w:b/>
          <w:bCs/>
          <w:color w:val="auto"/>
          <w:sz w:val="44"/>
          <w:szCs w:val="44"/>
          <w:highlight w:val="none"/>
          <w:lang w:eastAsia="zh-CN"/>
        </w:rPr>
        <w:t>)</w:t>
      </w:r>
    </w:p>
    <w:p w14:paraId="374D2E3F">
      <w:pPr>
        <w:jc w:val="both"/>
        <w:rPr>
          <w:rFonts w:hint="eastAsia" w:ascii="宋体" w:hAnsi="宋体" w:eastAsia="宋体" w:cs="宋体"/>
          <w:b/>
          <w:bCs/>
          <w:color w:val="auto"/>
          <w:sz w:val="84"/>
          <w:szCs w:val="84"/>
          <w:highlight w:val="none"/>
        </w:rPr>
      </w:pPr>
    </w:p>
    <w:p w14:paraId="2537092F">
      <w:pPr>
        <w:jc w:val="center"/>
        <w:rPr>
          <w:rFonts w:hint="eastAsia" w:ascii="微软雅黑" w:hAnsi="微软雅黑" w:eastAsia="微软雅黑" w:cs="微软雅黑"/>
          <w:b/>
          <w:color w:val="auto"/>
          <w:sz w:val="24"/>
          <w:highlight w:val="none"/>
        </w:rPr>
      </w:pPr>
      <w:r>
        <w:rPr>
          <w:rFonts w:hint="eastAsia" w:ascii="宋体" w:hAnsi="宋体" w:eastAsia="宋体" w:cs="宋体"/>
          <w:b/>
          <w:bCs/>
          <w:color w:val="auto"/>
          <w:sz w:val="84"/>
          <w:szCs w:val="84"/>
          <w:highlight w:val="none"/>
        </w:rPr>
        <w:t>竞争性磋商文件</w:t>
      </w:r>
    </w:p>
    <w:p w14:paraId="0FF64171">
      <w:pPr>
        <w:jc w:val="center"/>
        <w:rPr>
          <w:rFonts w:hint="default" w:ascii="宋体" w:hAnsi="宋体" w:eastAsia="宋体"/>
          <w:b/>
          <w:color w:val="auto"/>
          <w:sz w:val="28"/>
          <w:lang w:val="en-US" w:eastAsia="zh-CN"/>
        </w:rPr>
      </w:pPr>
      <w:r>
        <w:rPr>
          <w:rFonts w:hint="eastAsia" w:ascii="宋体" w:hAnsi="宋体"/>
          <w:b/>
          <w:color w:val="auto"/>
          <w:sz w:val="28"/>
          <w:szCs w:val="30"/>
          <w:lang w:eastAsia="zh-CN"/>
        </w:rPr>
        <w:t>项目</w:t>
      </w:r>
      <w:r>
        <w:rPr>
          <w:rFonts w:hint="eastAsia" w:ascii="宋体" w:hAnsi="宋体"/>
          <w:b/>
          <w:color w:val="auto"/>
          <w:sz w:val="28"/>
          <w:szCs w:val="30"/>
        </w:rPr>
        <w:t>编号：荥财磋商-2024-68</w:t>
      </w:r>
    </w:p>
    <w:p w14:paraId="23A42560">
      <w:pPr>
        <w:ind w:firstLine="2650" w:firstLineChars="1100"/>
        <w:jc w:val="both"/>
        <w:rPr>
          <w:rFonts w:hint="eastAsia" w:ascii="宋体" w:hAnsi="宋体" w:eastAsia="宋体" w:cs="宋体"/>
          <w:b/>
          <w:color w:val="auto"/>
          <w:sz w:val="24"/>
          <w:highlight w:val="none"/>
          <w:lang w:val="en-US" w:eastAsia="zh-CN"/>
        </w:rPr>
      </w:pPr>
    </w:p>
    <w:p w14:paraId="050EF5AC">
      <w:pPr>
        <w:pStyle w:val="2"/>
        <w:rPr>
          <w:rFonts w:hint="eastAsia" w:ascii="微软雅黑" w:hAnsi="微软雅黑" w:eastAsia="微软雅黑" w:cs="微软雅黑"/>
          <w:b/>
          <w:color w:val="auto"/>
          <w:sz w:val="24"/>
          <w:highlight w:val="none"/>
          <w:lang w:val="en-US" w:eastAsia="zh-CN"/>
        </w:rPr>
      </w:pPr>
    </w:p>
    <w:p w14:paraId="3F519632">
      <w:pPr>
        <w:ind w:left="838" w:leftChars="399" w:firstLine="960" w:firstLineChars="400"/>
        <w:jc w:val="right"/>
        <w:rPr>
          <w:rFonts w:ascii="微软雅黑" w:hAnsi="微软雅黑" w:eastAsia="微软雅黑" w:cs="微软雅黑"/>
          <w:b/>
          <w:color w:val="auto"/>
          <w:sz w:val="24"/>
          <w:highlight w:val="none"/>
        </w:rPr>
      </w:pPr>
      <w:r>
        <w:rPr>
          <w:sz w:val="24"/>
        </w:rPr>
        <w:drawing>
          <wp:anchor distT="0" distB="0" distL="114300" distR="114300" simplePos="0" relativeHeight="251659264" behindDoc="0" locked="0" layoutInCell="1" allowOverlap="1">
            <wp:simplePos x="0" y="0"/>
            <wp:positionH relativeFrom="column">
              <wp:posOffset>1219835</wp:posOffset>
            </wp:positionH>
            <wp:positionV relativeFrom="paragraph">
              <wp:posOffset>149860</wp:posOffset>
            </wp:positionV>
            <wp:extent cx="2946400" cy="2953385"/>
            <wp:effectExtent l="0" t="0" r="6350" b="18415"/>
            <wp:wrapNone/>
            <wp:docPr id="3" name="图片 4" descr="0a286478981edf33c353f8c0c76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0a286478981edf33c353f8c0c760712"/>
                    <pic:cNvPicPr>
                      <a:picLocks noChangeAspect="1"/>
                    </pic:cNvPicPr>
                  </pic:nvPicPr>
                  <pic:blipFill>
                    <a:blip r:embed="rId12"/>
                    <a:srcRect r="192" b="1053"/>
                    <a:stretch>
                      <a:fillRect/>
                    </a:stretch>
                  </pic:blipFill>
                  <pic:spPr>
                    <a:xfrm>
                      <a:off x="0" y="0"/>
                      <a:ext cx="2946400" cy="2953385"/>
                    </a:xfrm>
                    <a:prstGeom prst="rect">
                      <a:avLst/>
                    </a:prstGeom>
                    <a:noFill/>
                    <a:ln>
                      <a:noFill/>
                    </a:ln>
                  </pic:spPr>
                </pic:pic>
              </a:graphicData>
            </a:graphic>
          </wp:anchor>
        </w:drawing>
      </w:r>
    </w:p>
    <w:p w14:paraId="69243E5E">
      <w:pPr>
        <w:pStyle w:val="25"/>
        <w:spacing w:line="240" w:lineRule="auto"/>
        <w:ind w:firstLine="0" w:firstLineChars="0"/>
        <w:rPr>
          <w:rFonts w:hint="eastAsia" w:ascii="黑体" w:hAnsi="黑体" w:eastAsia="黑体" w:cs="黑体"/>
          <w:color w:val="auto"/>
          <w:sz w:val="84"/>
          <w:szCs w:val="84"/>
          <w:highlight w:val="none"/>
          <w:lang w:eastAsia="zh-CN"/>
        </w:rPr>
      </w:pPr>
    </w:p>
    <w:p w14:paraId="72D9B2BA">
      <w:pPr>
        <w:pStyle w:val="26"/>
        <w:rPr>
          <w:rFonts w:hint="eastAsia" w:ascii="黑体" w:hAnsi="黑体" w:eastAsia="黑体" w:cs="黑体"/>
          <w:color w:val="auto"/>
          <w:sz w:val="84"/>
          <w:szCs w:val="84"/>
          <w:highlight w:val="none"/>
          <w:lang w:eastAsia="zh-CN"/>
        </w:rPr>
      </w:pPr>
    </w:p>
    <w:p w14:paraId="5C4F874E">
      <w:pPr>
        <w:pStyle w:val="26"/>
        <w:rPr>
          <w:rFonts w:hint="eastAsia" w:ascii="黑体" w:hAnsi="黑体" w:eastAsia="黑体" w:cs="黑体"/>
          <w:color w:val="auto"/>
          <w:sz w:val="84"/>
          <w:szCs w:val="84"/>
          <w:highlight w:val="none"/>
          <w:lang w:eastAsia="zh-CN"/>
        </w:rPr>
      </w:pPr>
    </w:p>
    <w:p w14:paraId="46753B49">
      <w:pPr>
        <w:pStyle w:val="26"/>
        <w:rPr>
          <w:rFonts w:hint="eastAsia" w:ascii="黑体" w:hAnsi="黑体" w:eastAsia="黑体" w:cs="黑体"/>
          <w:color w:val="auto"/>
          <w:sz w:val="84"/>
          <w:szCs w:val="84"/>
          <w:highlight w:val="none"/>
          <w:lang w:eastAsia="zh-CN"/>
        </w:rPr>
      </w:pPr>
    </w:p>
    <w:p w14:paraId="274E44F0">
      <w:pPr>
        <w:rPr>
          <w:rFonts w:hint="eastAsia"/>
        </w:rPr>
      </w:pPr>
      <w:r>
        <w:rPr>
          <w:rFonts w:hint="eastAsia"/>
        </w:rPr>
        <w:t xml:space="preserve">   </w:t>
      </w:r>
    </w:p>
    <w:p w14:paraId="5D58BB5B">
      <w:pPr>
        <w:pStyle w:val="2"/>
        <w:rPr>
          <w:rFonts w:hint="eastAsia"/>
        </w:rPr>
      </w:pPr>
    </w:p>
    <w:p w14:paraId="53EBA941">
      <w:pPr>
        <w:pStyle w:val="26"/>
        <w:rPr>
          <w:rFonts w:hint="eastAsia"/>
          <w:lang w:eastAsia="zh-CN"/>
        </w:rPr>
      </w:pPr>
    </w:p>
    <w:p w14:paraId="07B11276">
      <w:pPr>
        <w:spacing w:line="360" w:lineRule="auto"/>
        <w:ind w:firstLine="1807" w:firstLineChars="600"/>
        <w:jc w:val="both"/>
        <w:rPr>
          <w:rFonts w:hint="eastAsia" w:eastAsia="宋体"/>
          <w:b/>
          <w:color w:val="auto"/>
          <w:sz w:val="30"/>
          <w:szCs w:val="30"/>
          <w:highlight w:val="none"/>
          <w:lang w:eastAsia="zh-CN"/>
        </w:rPr>
      </w:pPr>
      <w:r>
        <w:rPr>
          <w:rFonts w:hint="eastAsia" w:cs="Times New Roman"/>
          <w:b/>
          <w:color w:val="auto"/>
          <w:sz w:val="30"/>
          <w:szCs w:val="30"/>
          <w:highlight w:val="none"/>
          <w:lang w:eastAsia="zh-CN"/>
        </w:rPr>
        <w:t>采</w:t>
      </w:r>
      <w:r>
        <w:rPr>
          <w:rFonts w:hint="eastAsia" w:cs="Times New Roman"/>
          <w:b/>
          <w:color w:val="auto"/>
          <w:sz w:val="30"/>
          <w:szCs w:val="30"/>
          <w:highlight w:val="none"/>
          <w:lang w:val="en-US" w:eastAsia="zh-CN"/>
        </w:rPr>
        <w:t xml:space="preserve"> </w:t>
      </w:r>
      <w:r>
        <w:rPr>
          <w:rFonts w:hint="eastAsia" w:cs="Times New Roman"/>
          <w:b/>
          <w:color w:val="auto"/>
          <w:sz w:val="30"/>
          <w:szCs w:val="30"/>
          <w:highlight w:val="none"/>
          <w:lang w:eastAsia="zh-CN"/>
        </w:rPr>
        <w:t>购</w:t>
      </w:r>
      <w:r>
        <w:rPr>
          <w:rFonts w:hint="eastAsia"/>
          <w:b/>
          <w:color w:val="auto"/>
          <w:sz w:val="30"/>
          <w:szCs w:val="30"/>
          <w:highlight w:val="none"/>
        </w:rPr>
        <w:t xml:space="preserve"> 人：</w:t>
      </w:r>
      <w:r>
        <w:rPr>
          <w:rFonts w:hint="eastAsia"/>
          <w:b/>
          <w:color w:val="auto"/>
          <w:sz w:val="30"/>
          <w:szCs w:val="30"/>
          <w:highlight w:val="none"/>
          <w:lang w:eastAsia="zh-CN"/>
        </w:rPr>
        <w:t>荥阳市农业农村局</w:t>
      </w:r>
    </w:p>
    <w:p w14:paraId="7C4FFF6C">
      <w:pPr>
        <w:spacing w:line="360" w:lineRule="auto"/>
        <w:ind w:firstLine="1807" w:firstLineChars="600"/>
        <w:jc w:val="both"/>
        <w:rPr>
          <w:rFonts w:hint="eastAsia" w:eastAsia="宋体"/>
          <w:b/>
          <w:color w:val="auto"/>
          <w:sz w:val="30"/>
          <w:szCs w:val="30"/>
          <w:highlight w:val="none"/>
          <w:lang w:eastAsia="zh-CN"/>
        </w:rPr>
      </w:pPr>
      <w:r>
        <w:rPr>
          <w:rFonts w:hint="eastAsia"/>
          <w:b/>
          <w:color w:val="auto"/>
          <w:sz w:val="30"/>
          <w:szCs w:val="30"/>
          <w:highlight w:val="none"/>
          <w:lang w:eastAsia="zh-CN"/>
        </w:rPr>
        <w:t>采购</w:t>
      </w:r>
      <w:r>
        <w:rPr>
          <w:rFonts w:hint="eastAsia"/>
          <w:b/>
          <w:color w:val="auto"/>
          <w:sz w:val="30"/>
          <w:szCs w:val="30"/>
          <w:highlight w:val="none"/>
        </w:rPr>
        <w:t>代理：</w:t>
      </w:r>
      <w:r>
        <w:rPr>
          <w:rFonts w:hint="eastAsia"/>
          <w:b/>
          <w:color w:val="auto"/>
          <w:sz w:val="30"/>
          <w:szCs w:val="30"/>
          <w:highlight w:val="none"/>
          <w:lang w:eastAsia="zh-CN"/>
        </w:rPr>
        <w:t>河南守恒建设工程咨询有限公司</w:t>
      </w:r>
    </w:p>
    <w:p w14:paraId="687BB8AD">
      <w:pPr>
        <w:spacing w:line="360" w:lineRule="auto"/>
        <w:ind w:firstLine="1807" w:firstLineChars="600"/>
        <w:jc w:val="both"/>
        <w:rPr>
          <w:rFonts w:hint="eastAsia"/>
          <w:b/>
          <w:color w:val="auto"/>
          <w:sz w:val="30"/>
          <w:szCs w:val="30"/>
          <w:highlight w:val="none"/>
        </w:rPr>
      </w:pPr>
      <w:r>
        <w:rPr>
          <w:rFonts w:hint="eastAsia"/>
          <w:b/>
          <w:color w:val="auto"/>
          <w:sz w:val="30"/>
          <w:szCs w:val="30"/>
          <w:highlight w:val="none"/>
        </w:rPr>
        <w:t>编制日期：二</w:t>
      </w:r>
      <w:r>
        <w:rPr>
          <w:rFonts w:hint="eastAsia"/>
          <w:b/>
          <w:color w:val="auto"/>
          <w:sz w:val="30"/>
          <w:szCs w:val="30"/>
          <w:highlight w:val="none"/>
          <w:lang w:eastAsia="zh-CN"/>
        </w:rPr>
        <w:t>〇</w:t>
      </w:r>
      <w:r>
        <w:rPr>
          <w:rFonts w:hint="eastAsia"/>
          <w:b/>
          <w:color w:val="auto"/>
          <w:sz w:val="30"/>
          <w:szCs w:val="30"/>
          <w:highlight w:val="none"/>
        </w:rPr>
        <w:t>二</w:t>
      </w:r>
      <w:r>
        <w:rPr>
          <w:rFonts w:hint="eastAsia"/>
          <w:b/>
          <w:color w:val="auto"/>
          <w:sz w:val="30"/>
          <w:szCs w:val="30"/>
          <w:highlight w:val="none"/>
          <w:lang w:eastAsia="zh-CN"/>
        </w:rPr>
        <w:t>四</w:t>
      </w:r>
      <w:r>
        <w:rPr>
          <w:rFonts w:hint="eastAsia"/>
          <w:b/>
          <w:color w:val="auto"/>
          <w:sz w:val="30"/>
          <w:szCs w:val="30"/>
          <w:highlight w:val="none"/>
        </w:rPr>
        <w:t>年</w:t>
      </w:r>
      <w:r>
        <w:rPr>
          <w:rFonts w:hint="eastAsia"/>
          <w:b/>
          <w:color w:val="auto"/>
          <w:sz w:val="30"/>
          <w:szCs w:val="30"/>
          <w:highlight w:val="none"/>
          <w:lang w:eastAsia="zh-CN"/>
        </w:rPr>
        <w:t>十</w:t>
      </w:r>
      <w:r>
        <w:rPr>
          <w:rFonts w:hint="eastAsia"/>
          <w:b/>
          <w:color w:val="auto"/>
          <w:sz w:val="30"/>
          <w:szCs w:val="30"/>
          <w:highlight w:val="none"/>
          <w:lang w:val="en-US" w:eastAsia="zh-CN"/>
        </w:rPr>
        <w:t>二</w:t>
      </w:r>
      <w:r>
        <w:rPr>
          <w:rFonts w:hint="eastAsia"/>
          <w:b/>
          <w:color w:val="auto"/>
          <w:sz w:val="30"/>
          <w:szCs w:val="30"/>
          <w:highlight w:val="none"/>
        </w:rPr>
        <w:t>月</w:t>
      </w:r>
    </w:p>
    <w:p w14:paraId="010564AC">
      <w:pPr>
        <w:pStyle w:val="2"/>
      </w:pPr>
    </w:p>
    <w:p w14:paraId="522D4CE5">
      <w:pPr>
        <w:pStyle w:val="47"/>
        <w:rPr>
          <w:b/>
          <w:color w:val="auto"/>
          <w:sz w:val="30"/>
          <w:szCs w:val="30"/>
          <w:highlight w:val="none"/>
        </w:rPr>
      </w:pPr>
    </w:p>
    <w:p w14:paraId="3C278E06">
      <w:pPr>
        <w:pStyle w:val="25"/>
        <w:ind w:firstLine="0" w:firstLineChars="0"/>
        <w:jc w:val="center"/>
        <w:rPr>
          <w:rFonts w:ascii="宋体" w:hAnsi="宋体"/>
          <w:b/>
          <w:color w:val="auto"/>
          <w:kern w:val="2"/>
          <w:sz w:val="21"/>
          <w:szCs w:val="21"/>
          <w:highlight w:val="none"/>
        </w:rPr>
      </w:pPr>
      <w:r>
        <w:rPr>
          <w:rFonts w:hint="eastAsia" w:ascii="宋体" w:hAnsi="宋体"/>
          <w:b/>
          <w:color w:val="auto"/>
          <w:kern w:val="2"/>
          <w:sz w:val="36"/>
          <w:szCs w:val="36"/>
          <w:highlight w:val="none"/>
        </w:rPr>
        <w:t>目 录</w:t>
      </w:r>
    </w:p>
    <w:p w14:paraId="55E54B8D">
      <w:pPr>
        <w:pStyle w:val="18"/>
        <w:tabs>
          <w:tab w:val="right" w:leader="dot" w:pos="8305"/>
        </w:tabs>
        <w:spacing w:line="480" w:lineRule="auto"/>
        <w:rPr>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TOC \o "1-3" \h \u </w:instrText>
      </w:r>
      <w:r>
        <w:rPr>
          <w:rFonts w:hint="eastAsia"/>
          <w:color w:val="auto"/>
          <w:sz w:val="24"/>
          <w:szCs w:val="24"/>
          <w:highlight w:val="none"/>
        </w:rPr>
        <w:fldChar w:fldCharType="separate"/>
      </w:r>
      <w:r>
        <w:rPr>
          <w:rFonts w:hint="eastAsia"/>
          <w:color w:val="auto"/>
          <w:sz w:val="24"/>
          <w:szCs w:val="24"/>
          <w:highlight w:val="none"/>
        </w:rPr>
        <w:fldChar w:fldCharType="begin"/>
      </w:r>
      <w:r>
        <w:rPr>
          <w:rFonts w:hint="eastAsia"/>
          <w:sz w:val="24"/>
          <w:szCs w:val="24"/>
          <w:highlight w:val="none"/>
        </w:rPr>
        <w:instrText xml:space="preserve"> HYPERLINK \l _Toc32635 </w:instrText>
      </w:r>
      <w:r>
        <w:rPr>
          <w:rFonts w:hint="eastAsia"/>
          <w:sz w:val="24"/>
          <w:szCs w:val="24"/>
          <w:highlight w:val="none"/>
        </w:rPr>
        <w:fldChar w:fldCharType="separate"/>
      </w:r>
      <w:r>
        <w:rPr>
          <w:rFonts w:hint="eastAsia"/>
          <w:bCs/>
          <w:sz w:val="24"/>
          <w:szCs w:val="24"/>
          <w:highlight w:val="none"/>
        </w:rPr>
        <w:t>第一章 竞争性磋商公告</w:t>
      </w:r>
      <w:r>
        <w:rPr>
          <w:sz w:val="24"/>
          <w:szCs w:val="24"/>
          <w:highlight w:val="none"/>
        </w:rPr>
        <w:tab/>
      </w:r>
      <w:r>
        <w:rPr>
          <w:sz w:val="24"/>
          <w:szCs w:val="24"/>
          <w:highlight w:val="none"/>
        </w:rPr>
        <w:fldChar w:fldCharType="begin"/>
      </w:r>
      <w:r>
        <w:rPr>
          <w:sz w:val="24"/>
          <w:szCs w:val="24"/>
          <w:highlight w:val="none"/>
        </w:rPr>
        <w:instrText xml:space="preserve"> PAGEREF _Toc32635 \h </w:instrText>
      </w:r>
      <w:r>
        <w:rPr>
          <w:sz w:val="24"/>
          <w:szCs w:val="24"/>
          <w:highlight w:val="none"/>
        </w:rPr>
        <w:fldChar w:fldCharType="separate"/>
      </w:r>
      <w:r>
        <w:rPr>
          <w:sz w:val="24"/>
          <w:szCs w:val="24"/>
          <w:highlight w:val="none"/>
        </w:rPr>
        <w:t>3</w:t>
      </w:r>
      <w:r>
        <w:rPr>
          <w:sz w:val="24"/>
          <w:szCs w:val="24"/>
          <w:highlight w:val="none"/>
        </w:rPr>
        <w:fldChar w:fldCharType="end"/>
      </w:r>
      <w:r>
        <w:rPr>
          <w:rFonts w:hint="eastAsia"/>
          <w:color w:val="auto"/>
          <w:sz w:val="24"/>
          <w:szCs w:val="24"/>
          <w:highlight w:val="none"/>
        </w:rPr>
        <w:fldChar w:fldCharType="end"/>
      </w:r>
    </w:p>
    <w:p w14:paraId="66287DD1">
      <w:pPr>
        <w:pStyle w:val="18"/>
        <w:tabs>
          <w:tab w:val="right" w:leader="dot" w:pos="8305"/>
        </w:tabs>
        <w:spacing w:line="480" w:lineRule="auto"/>
        <w:rPr>
          <w:sz w:val="24"/>
          <w:szCs w:val="24"/>
          <w:highlight w:val="none"/>
        </w:rPr>
      </w:pPr>
      <w:r>
        <w:rPr>
          <w:rFonts w:hint="eastAsia"/>
          <w:color w:val="auto"/>
          <w:sz w:val="24"/>
          <w:szCs w:val="24"/>
          <w:highlight w:val="none"/>
        </w:rPr>
        <w:fldChar w:fldCharType="begin"/>
      </w:r>
      <w:r>
        <w:rPr>
          <w:rFonts w:hint="eastAsia"/>
          <w:sz w:val="24"/>
          <w:szCs w:val="24"/>
          <w:highlight w:val="none"/>
        </w:rPr>
        <w:instrText xml:space="preserve"> HYPERLINK \l _Toc3340 </w:instrText>
      </w:r>
      <w:r>
        <w:rPr>
          <w:rFonts w:hint="eastAsia"/>
          <w:sz w:val="24"/>
          <w:szCs w:val="24"/>
          <w:highlight w:val="none"/>
        </w:rPr>
        <w:fldChar w:fldCharType="separate"/>
      </w:r>
      <w:r>
        <w:rPr>
          <w:rFonts w:hint="eastAsia"/>
          <w:bCs/>
          <w:sz w:val="24"/>
          <w:szCs w:val="24"/>
          <w:highlight w:val="none"/>
        </w:rPr>
        <w:t>第二章 供应商须知</w:t>
      </w:r>
      <w:r>
        <w:rPr>
          <w:sz w:val="24"/>
          <w:szCs w:val="24"/>
          <w:highlight w:val="none"/>
        </w:rPr>
        <w:tab/>
      </w:r>
      <w:r>
        <w:rPr>
          <w:sz w:val="24"/>
          <w:szCs w:val="24"/>
          <w:highlight w:val="none"/>
        </w:rPr>
        <w:fldChar w:fldCharType="begin"/>
      </w:r>
      <w:r>
        <w:rPr>
          <w:sz w:val="24"/>
          <w:szCs w:val="24"/>
          <w:highlight w:val="none"/>
        </w:rPr>
        <w:instrText xml:space="preserve"> PAGEREF _Toc3340 \h </w:instrText>
      </w:r>
      <w:r>
        <w:rPr>
          <w:sz w:val="24"/>
          <w:szCs w:val="24"/>
          <w:highlight w:val="none"/>
        </w:rPr>
        <w:fldChar w:fldCharType="separate"/>
      </w:r>
      <w:r>
        <w:rPr>
          <w:sz w:val="24"/>
          <w:szCs w:val="24"/>
          <w:highlight w:val="none"/>
        </w:rPr>
        <w:t>7</w:t>
      </w:r>
      <w:r>
        <w:rPr>
          <w:sz w:val="24"/>
          <w:szCs w:val="24"/>
          <w:highlight w:val="none"/>
        </w:rPr>
        <w:fldChar w:fldCharType="end"/>
      </w:r>
      <w:r>
        <w:rPr>
          <w:rFonts w:hint="eastAsia"/>
          <w:color w:val="auto"/>
          <w:sz w:val="24"/>
          <w:szCs w:val="24"/>
          <w:highlight w:val="none"/>
        </w:rPr>
        <w:fldChar w:fldCharType="end"/>
      </w:r>
    </w:p>
    <w:p w14:paraId="548C4334">
      <w:pPr>
        <w:pStyle w:val="18"/>
        <w:tabs>
          <w:tab w:val="right" w:leader="dot" w:pos="8305"/>
        </w:tabs>
        <w:spacing w:line="480" w:lineRule="auto"/>
        <w:rPr>
          <w:sz w:val="24"/>
          <w:szCs w:val="24"/>
          <w:highlight w:val="none"/>
        </w:rPr>
      </w:pPr>
      <w:r>
        <w:rPr>
          <w:rFonts w:hint="eastAsia"/>
          <w:color w:val="auto"/>
          <w:sz w:val="24"/>
          <w:szCs w:val="24"/>
          <w:highlight w:val="none"/>
        </w:rPr>
        <w:fldChar w:fldCharType="begin"/>
      </w:r>
      <w:r>
        <w:rPr>
          <w:rFonts w:hint="eastAsia"/>
          <w:sz w:val="24"/>
          <w:szCs w:val="24"/>
          <w:highlight w:val="none"/>
        </w:rPr>
        <w:instrText xml:space="preserve"> HYPERLINK \l _Toc17864 </w:instrText>
      </w:r>
      <w:r>
        <w:rPr>
          <w:rFonts w:hint="eastAsia"/>
          <w:sz w:val="24"/>
          <w:szCs w:val="24"/>
          <w:highlight w:val="none"/>
        </w:rPr>
        <w:fldChar w:fldCharType="separate"/>
      </w:r>
      <w:r>
        <w:rPr>
          <w:rFonts w:hint="eastAsia"/>
          <w:bCs/>
          <w:sz w:val="24"/>
          <w:szCs w:val="24"/>
          <w:highlight w:val="none"/>
        </w:rPr>
        <w:t>第三章 磋商程序及办法（综合评分法）</w:t>
      </w:r>
      <w:r>
        <w:rPr>
          <w:sz w:val="24"/>
          <w:szCs w:val="24"/>
          <w:highlight w:val="none"/>
        </w:rPr>
        <w:tab/>
      </w:r>
      <w:r>
        <w:rPr>
          <w:sz w:val="24"/>
          <w:szCs w:val="24"/>
          <w:highlight w:val="none"/>
        </w:rPr>
        <w:fldChar w:fldCharType="begin"/>
      </w:r>
      <w:r>
        <w:rPr>
          <w:sz w:val="24"/>
          <w:szCs w:val="24"/>
          <w:highlight w:val="none"/>
        </w:rPr>
        <w:instrText xml:space="preserve"> PAGEREF _Toc17864 \h </w:instrText>
      </w:r>
      <w:r>
        <w:rPr>
          <w:sz w:val="24"/>
          <w:szCs w:val="24"/>
          <w:highlight w:val="none"/>
        </w:rPr>
        <w:fldChar w:fldCharType="separate"/>
      </w:r>
      <w:r>
        <w:rPr>
          <w:sz w:val="24"/>
          <w:szCs w:val="24"/>
          <w:highlight w:val="none"/>
        </w:rPr>
        <w:t>21</w:t>
      </w:r>
      <w:r>
        <w:rPr>
          <w:sz w:val="24"/>
          <w:szCs w:val="24"/>
          <w:highlight w:val="none"/>
        </w:rPr>
        <w:fldChar w:fldCharType="end"/>
      </w:r>
      <w:r>
        <w:rPr>
          <w:rFonts w:hint="eastAsia"/>
          <w:color w:val="auto"/>
          <w:sz w:val="24"/>
          <w:szCs w:val="24"/>
          <w:highlight w:val="none"/>
        </w:rPr>
        <w:fldChar w:fldCharType="end"/>
      </w:r>
    </w:p>
    <w:p w14:paraId="4A926064">
      <w:pPr>
        <w:pStyle w:val="13"/>
        <w:tabs>
          <w:tab w:val="right" w:leader="dot" w:pos="8305"/>
        </w:tabs>
        <w:spacing w:line="480" w:lineRule="auto"/>
        <w:rPr>
          <w:sz w:val="24"/>
          <w:szCs w:val="24"/>
          <w:highlight w:val="none"/>
        </w:rPr>
      </w:pPr>
      <w:r>
        <w:rPr>
          <w:rFonts w:hint="eastAsia"/>
          <w:color w:val="auto"/>
          <w:sz w:val="24"/>
          <w:szCs w:val="24"/>
          <w:highlight w:val="none"/>
        </w:rPr>
        <w:fldChar w:fldCharType="begin"/>
      </w:r>
      <w:r>
        <w:rPr>
          <w:rFonts w:hint="eastAsia"/>
          <w:sz w:val="24"/>
          <w:szCs w:val="24"/>
          <w:highlight w:val="none"/>
        </w:rPr>
        <w:instrText xml:space="preserve"> HYPERLINK \l _Toc9950 </w:instrText>
      </w:r>
      <w:r>
        <w:rPr>
          <w:rFonts w:hint="eastAsia"/>
          <w:sz w:val="24"/>
          <w:szCs w:val="24"/>
          <w:highlight w:val="none"/>
        </w:rPr>
        <w:fldChar w:fldCharType="separate"/>
      </w:r>
      <w:r>
        <w:rPr>
          <w:rFonts w:hint="eastAsia" w:ascii="宋体" w:hAnsi="宋体"/>
          <w:bCs w:val="0"/>
          <w:sz w:val="24"/>
          <w:szCs w:val="24"/>
          <w:highlight w:val="none"/>
        </w:rPr>
        <w:t>1.磋商程序及方法</w:t>
      </w:r>
      <w:r>
        <w:rPr>
          <w:sz w:val="24"/>
          <w:szCs w:val="24"/>
          <w:highlight w:val="none"/>
        </w:rPr>
        <w:tab/>
      </w:r>
      <w:r>
        <w:rPr>
          <w:sz w:val="24"/>
          <w:szCs w:val="24"/>
          <w:highlight w:val="none"/>
        </w:rPr>
        <w:fldChar w:fldCharType="begin"/>
      </w:r>
      <w:r>
        <w:rPr>
          <w:sz w:val="24"/>
          <w:szCs w:val="24"/>
          <w:highlight w:val="none"/>
        </w:rPr>
        <w:instrText xml:space="preserve"> PAGEREF _Toc9950 \h </w:instrText>
      </w:r>
      <w:r>
        <w:rPr>
          <w:sz w:val="24"/>
          <w:szCs w:val="24"/>
          <w:highlight w:val="none"/>
        </w:rPr>
        <w:fldChar w:fldCharType="separate"/>
      </w:r>
      <w:r>
        <w:rPr>
          <w:sz w:val="24"/>
          <w:szCs w:val="24"/>
          <w:highlight w:val="none"/>
        </w:rPr>
        <w:t>26</w:t>
      </w:r>
      <w:r>
        <w:rPr>
          <w:sz w:val="24"/>
          <w:szCs w:val="24"/>
          <w:highlight w:val="none"/>
        </w:rPr>
        <w:fldChar w:fldCharType="end"/>
      </w:r>
      <w:r>
        <w:rPr>
          <w:rFonts w:hint="eastAsia"/>
          <w:color w:val="auto"/>
          <w:sz w:val="24"/>
          <w:szCs w:val="24"/>
          <w:highlight w:val="none"/>
        </w:rPr>
        <w:fldChar w:fldCharType="end"/>
      </w:r>
    </w:p>
    <w:p w14:paraId="5551F3E9">
      <w:pPr>
        <w:pStyle w:val="13"/>
        <w:tabs>
          <w:tab w:val="right" w:leader="dot" w:pos="8305"/>
        </w:tabs>
        <w:spacing w:line="480" w:lineRule="auto"/>
        <w:rPr>
          <w:sz w:val="24"/>
          <w:szCs w:val="24"/>
          <w:highlight w:val="none"/>
        </w:rPr>
      </w:pPr>
      <w:r>
        <w:rPr>
          <w:rFonts w:hint="eastAsia"/>
          <w:color w:val="auto"/>
          <w:sz w:val="24"/>
          <w:szCs w:val="24"/>
          <w:highlight w:val="none"/>
        </w:rPr>
        <w:fldChar w:fldCharType="begin"/>
      </w:r>
      <w:r>
        <w:rPr>
          <w:rFonts w:hint="eastAsia"/>
          <w:sz w:val="24"/>
          <w:szCs w:val="24"/>
          <w:highlight w:val="none"/>
        </w:rPr>
        <w:instrText xml:space="preserve"> HYPERLINK \l _Toc26584 </w:instrText>
      </w:r>
      <w:r>
        <w:rPr>
          <w:rFonts w:hint="eastAsia"/>
          <w:sz w:val="24"/>
          <w:szCs w:val="24"/>
          <w:highlight w:val="none"/>
        </w:rPr>
        <w:fldChar w:fldCharType="separate"/>
      </w:r>
      <w:r>
        <w:rPr>
          <w:rFonts w:hint="eastAsia" w:ascii="宋体" w:hAnsi="宋体"/>
          <w:bCs w:val="0"/>
          <w:sz w:val="24"/>
          <w:szCs w:val="24"/>
          <w:highlight w:val="none"/>
        </w:rPr>
        <w:t>2.确定成交供应商原则</w:t>
      </w:r>
      <w:r>
        <w:rPr>
          <w:sz w:val="24"/>
          <w:szCs w:val="24"/>
          <w:highlight w:val="none"/>
        </w:rPr>
        <w:tab/>
      </w:r>
      <w:r>
        <w:rPr>
          <w:sz w:val="24"/>
          <w:szCs w:val="24"/>
          <w:highlight w:val="none"/>
        </w:rPr>
        <w:fldChar w:fldCharType="begin"/>
      </w:r>
      <w:r>
        <w:rPr>
          <w:sz w:val="24"/>
          <w:szCs w:val="24"/>
          <w:highlight w:val="none"/>
        </w:rPr>
        <w:instrText xml:space="preserve"> PAGEREF _Toc26584 \h </w:instrText>
      </w:r>
      <w:r>
        <w:rPr>
          <w:sz w:val="24"/>
          <w:szCs w:val="24"/>
          <w:highlight w:val="none"/>
        </w:rPr>
        <w:fldChar w:fldCharType="separate"/>
      </w:r>
      <w:r>
        <w:rPr>
          <w:sz w:val="24"/>
          <w:szCs w:val="24"/>
          <w:highlight w:val="none"/>
        </w:rPr>
        <w:t>26</w:t>
      </w:r>
      <w:r>
        <w:rPr>
          <w:sz w:val="24"/>
          <w:szCs w:val="24"/>
          <w:highlight w:val="none"/>
        </w:rPr>
        <w:fldChar w:fldCharType="end"/>
      </w:r>
      <w:r>
        <w:rPr>
          <w:rFonts w:hint="eastAsia"/>
          <w:color w:val="auto"/>
          <w:sz w:val="24"/>
          <w:szCs w:val="24"/>
          <w:highlight w:val="none"/>
        </w:rPr>
        <w:fldChar w:fldCharType="end"/>
      </w:r>
    </w:p>
    <w:p w14:paraId="50DD4535">
      <w:pPr>
        <w:pStyle w:val="13"/>
        <w:tabs>
          <w:tab w:val="right" w:leader="dot" w:pos="8305"/>
        </w:tabs>
        <w:spacing w:line="480" w:lineRule="auto"/>
        <w:rPr>
          <w:sz w:val="24"/>
          <w:szCs w:val="24"/>
          <w:highlight w:val="none"/>
        </w:rPr>
      </w:pPr>
      <w:r>
        <w:rPr>
          <w:rFonts w:hint="eastAsia"/>
          <w:color w:val="auto"/>
          <w:sz w:val="24"/>
          <w:szCs w:val="24"/>
          <w:highlight w:val="none"/>
        </w:rPr>
        <w:fldChar w:fldCharType="begin"/>
      </w:r>
      <w:r>
        <w:rPr>
          <w:rFonts w:hint="eastAsia"/>
          <w:sz w:val="24"/>
          <w:szCs w:val="24"/>
          <w:highlight w:val="none"/>
        </w:rPr>
        <w:instrText xml:space="preserve"> HYPERLINK \l _Toc2600 </w:instrText>
      </w:r>
      <w:r>
        <w:rPr>
          <w:rFonts w:hint="eastAsia"/>
          <w:sz w:val="24"/>
          <w:szCs w:val="24"/>
          <w:highlight w:val="none"/>
        </w:rPr>
        <w:fldChar w:fldCharType="separate"/>
      </w:r>
      <w:r>
        <w:rPr>
          <w:rFonts w:hint="eastAsia" w:ascii="宋体" w:hAnsi="宋体"/>
          <w:bCs w:val="0"/>
          <w:sz w:val="24"/>
          <w:szCs w:val="24"/>
          <w:highlight w:val="none"/>
        </w:rPr>
        <w:t>3.初步评审</w:t>
      </w:r>
      <w:r>
        <w:rPr>
          <w:sz w:val="24"/>
          <w:szCs w:val="24"/>
          <w:highlight w:val="none"/>
        </w:rPr>
        <w:tab/>
      </w:r>
      <w:r>
        <w:rPr>
          <w:sz w:val="24"/>
          <w:szCs w:val="24"/>
          <w:highlight w:val="none"/>
        </w:rPr>
        <w:fldChar w:fldCharType="begin"/>
      </w:r>
      <w:r>
        <w:rPr>
          <w:sz w:val="24"/>
          <w:szCs w:val="24"/>
          <w:highlight w:val="none"/>
        </w:rPr>
        <w:instrText xml:space="preserve"> PAGEREF _Toc2600 \h </w:instrText>
      </w:r>
      <w:r>
        <w:rPr>
          <w:sz w:val="24"/>
          <w:szCs w:val="24"/>
          <w:highlight w:val="none"/>
        </w:rPr>
        <w:fldChar w:fldCharType="separate"/>
      </w:r>
      <w:r>
        <w:rPr>
          <w:sz w:val="24"/>
          <w:szCs w:val="24"/>
          <w:highlight w:val="none"/>
        </w:rPr>
        <w:t>26</w:t>
      </w:r>
      <w:r>
        <w:rPr>
          <w:sz w:val="24"/>
          <w:szCs w:val="24"/>
          <w:highlight w:val="none"/>
        </w:rPr>
        <w:fldChar w:fldCharType="end"/>
      </w:r>
      <w:r>
        <w:rPr>
          <w:rFonts w:hint="eastAsia"/>
          <w:color w:val="auto"/>
          <w:sz w:val="24"/>
          <w:szCs w:val="24"/>
          <w:highlight w:val="none"/>
        </w:rPr>
        <w:fldChar w:fldCharType="end"/>
      </w:r>
    </w:p>
    <w:p w14:paraId="719A6BDE">
      <w:pPr>
        <w:pStyle w:val="13"/>
        <w:tabs>
          <w:tab w:val="right" w:leader="dot" w:pos="8305"/>
        </w:tabs>
        <w:spacing w:line="480" w:lineRule="auto"/>
        <w:rPr>
          <w:sz w:val="24"/>
          <w:szCs w:val="24"/>
          <w:highlight w:val="none"/>
        </w:rPr>
      </w:pPr>
      <w:r>
        <w:rPr>
          <w:rFonts w:hint="eastAsia"/>
          <w:color w:val="auto"/>
          <w:sz w:val="24"/>
          <w:szCs w:val="24"/>
          <w:highlight w:val="none"/>
        </w:rPr>
        <w:fldChar w:fldCharType="begin"/>
      </w:r>
      <w:r>
        <w:rPr>
          <w:rFonts w:hint="eastAsia"/>
          <w:sz w:val="24"/>
          <w:szCs w:val="24"/>
          <w:highlight w:val="none"/>
        </w:rPr>
        <w:instrText xml:space="preserve"> HYPERLINK \l _Toc32178 </w:instrText>
      </w:r>
      <w:r>
        <w:rPr>
          <w:rFonts w:hint="eastAsia"/>
          <w:sz w:val="24"/>
          <w:szCs w:val="24"/>
          <w:highlight w:val="none"/>
        </w:rPr>
        <w:fldChar w:fldCharType="separate"/>
      </w:r>
      <w:r>
        <w:rPr>
          <w:rFonts w:hint="eastAsia" w:ascii="宋体" w:hAnsi="宋体"/>
          <w:bCs w:val="0"/>
          <w:sz w:val="24"/>
          <w:szCs w:val="24"/>
          <w:highlight w:val="none"/>
        </w:rPr>
        <w:t>4.磋商</w:t>
      </w:r>
      <w:r>
        <w:rPr>
          <w:sz w:val="24"/>
          <w:szCs w:val="24"/>
          <w:highlight w:val="none"/>
        </w:rPr>
        <w:tab/>
      </w:r>
      <w:r>
        <w:rPr>
          <w:sz w:val="24"/>
          <w:szCs w:val="24"/>
          <w:highlight w:val="none"/>
        </w:rPr>
        <w:fldChar w:fldCharType="begin"/>
      </w:r>
      <w:r>
        <w:rPr>
          <w:sz w:val="24"/>
          <w:szCs w:val="24"/>
          <w:highlight w:val="none"/>
        </w:rPr>
        <w:instrText xml:space="preserve"> PAGEREF _Toc32178 \h </w:instrText>
      </w:r>
      <w:r>
        <w:rPr>
          <w:sz w:val="24"/>
          <w:szCs w:val="24"/>
          <w:highlight w:val="none"/>
        </w:rPr>
        <w:fldChar w:fldCharType="separate"/>
      </w:r>
      <w:r>
        <w:rPr>
          <w:sz w:val="24"/>
          <w:szCs w:val="24"/>
          <w:highlight w:val="none"/>
        </w:rPr>
        <w:t>27</w:t>
      </w:r>
      <w:r>
        <w:rPr>
          <w:sz w:val="24"/>
          <w:szCs w:val="24"/>
          <w:highlight w:val="none"/>
        </w:rPr>
        <w:fldChar w:fldCharType="end"/>
      </w:r>
      <w:r>
        <w:rPr>
          <w:rFonts w:hint="eastAsia"/>
          <w:color w:val="auto"/>
          <w:sz w:val="24"/>
          <w:szCs w:val="24"/>
          <w:highlight w:val="none"/>
        </w:rPr>
        <w:fldChar w:fldCharType="end"/>
      </w:r>
    </w:p>
    <w:p w14:paraId="6F2F731F">
      <w:pPr>
        <w:pStyle w:val="13"/>
        <w:tabs>
          <w:tab w:val="right" w:leader="dot" w:pos="8305"/>
        </w:tabs>
        <w:spacing w:line="480" w:lineRule="auto"/>
        <w:rPr>
          <w:sz w:val="24"/>
          <w:szCs w:val="24"/>
          <w:highlight w:val="none"/>
        </w:rPr>
      </w:pPr>
      <w:r>
        <w:rPr>
          <w:rFonts w:hint="eastAsia"/>
          <w:color w:val="auto"/>
          <w:sz w:val="24"/>
          <w:szCs w:val="24"/>
          <w:highlight w:val="none"/>
        </w:rPr>
        <w:fldChar w:fldCharType="begin"/>
      </w:r>
      <w:r>
        <w:rPr>
          <w:rFonts w:hint="eastAsia"/>
          <w:sz w:val="24"/>
          <w:szCs w:val="24"/>
          <w:highlight w:val="none"/>
        </w:rPr>
        <w:instrText xml:space="preserve"> HYPERLINK \l _Toc13590 </w:instrText>
      </w:r>
      <w:r>
        <w:rPr>
          <w:rFonts w:hint="eastAsia"/>
          <w:sz w:val="24"/>
          <w:szCs w:val="24"/>
          <w:highlight w:val="none"/>
        </w:rPr>
        <w:fldChar w:fldCharType="separate"/>
      </w:r>
      <w:r>
        <w:rPr>
          <w:rFonts w:hint="eastAsia" w:ascii="宋体" w:hAnsi="宋体"/>
          <w:bCs w:val="0"/>
          <w:sz w:val="24"/>
          <w:szCs w:val="24"/>
          <w:highlight w:val="none"/>
        </w:rPr>
        <w:t>5.综合评分</w:t>
      </w:r>
      <w:r>
        <w:rPr>
          <w:sz w:val="24"/>
          <w:szCs w:val="24"/>
          <w:highlight w:val="none"/>
        </w:rPr>
        <w:tab/>
      </w:r>
      <w:r>
        <w:rPr>
          <w:sz w:val="24"/>
          <w:szCs w:val="24"/>
          <w:highlight w:val="none"/>
        </w:rPr>
        <w:fldChar w:fldCharType="begin"/>
      </w:r>
      <w:r>
        <w:rPr>
          <w:sz w:val="24"/>
          <w:szCs w:val="24"/>
          <w:highlight w:val="none"/>
        </w:rPr>
        <w:instrText xml:space="preserve"> PAGEREF _Toc13590 \h </w:instrText>
      </w:r>
      <w:r>
        <w:rPr>
          <w:sz w:val="24"/>
          <w:szCs w:val="24"/>
          <w:highlight w:val="none"/>
        </w:rPr>
        <w:fldChar w:fldCharType="separate"/>
      </w:r>
      <w:r>
        <w:rPr>
          <w:sz w:val="24"/>
          <w:szCs w:val="24"/>
          <w:highlight w:val="none"/>
        </w:rPr>
        <w:t>27</w:t>
      </w:r>
      <w:r>
        <w:rPr>
          <w:sz w:val="24"/>
          <w:szCs w:val="24"/>
          <w:highlight w:val="none"/>
        </w:rPr>
        <w:fldChar w:fldCharType="end"/>
      </w:r>
      <w:r>
        <w:rPr>
          <w:rFonts w:hint="eastAsia"/>
          <w:color w:val="auto"/>
          <w:sz w:val="24"/>
          <w:szCs w:val="24"/>
          <w:highlight w:val="none"/>
        </w:rPr>
        <w:fldChar w:fldCharType="end"/>
      </w:r>
    </w:p>
    <w:p w14:paraId="5881F7A8">
      <w:pPr>
        <w:pStyle w:val="13"/>
        <w:tabs>
          <w:tab w:val="right" w:leader="dot" w:pos="8305"/>
        </w:tabs>
        <w:spacing w:line="480" w:lineRule="auto"/>
        <w:rPr>
          <w:sz w:val="24"/>
          <w:szCs w:val="24"/>
          <w:highlight w:val="none"/>
        </w:rPr>
      </w:pPr>
      <w:r>
        <w:rPr>
          <w:rFonts w:hint="eastAsia"/>
          <w:color w:val="auto"/>
          <w:sz w:val="24"/>
          <w:szCs w:val="24"/>
          <w:highlight w:val="none"/>
        </w:rPr>
        <w:fldChar w:fldCharType="begin"/>
      </w:r>
      <w:r>
        <w:rPr>
          <w:rFonts w:hint="eastAsia"/>
          <w:sz w:val="24"/>
          <w:szCs w:val="24"/>
          <w:highlight w:val="none"/>
        </w:rPr>
        <w:instrText xml:space="preserve"> HYPERLINK \l _Toc13457 </w:instrText>
      </w:r>
      <w:r>
        <w:rPr>
          <w:rFonts w:hint="eastAsia"/>
          <w:sz w:val="24"/>
          <w:szCs w:val="24"/>
          <w:highlight w:val="none"/>
        </w:rPr>
        <w:fldChar w:fldCharType="separate"/>
      </w:r>
      <w:r>
        <w:rPr>
          <w:rFonts w:hint="eastAsia" w:ascii="宋体" w:hAnsi="宋体"/>
          <w:bCs w:val="0"/>
          <w:sz w:val="24"/>
          <w:szCs w:val="24"/>
          <w:highlight w:val="none"/>
        </w:rPr>
        <w:t>6.磋商结果</w:t>
      </w:r>
      <w:r>
        <w:rPr>
          <w:sz w:val="24"/>
          <w:szCs w:val="24"/>
          <w:highlight w:val="none"/>
        </w:rPr>
        <w:tab/>
      </w:r>
      <w:r>
        <w:rPr>
          <w:sz w:val="24"/>
          <w:szCs w:val="24"/>
          <w:highlight w:val="none"/>
        </w:rPr>
        <w:fldChar w:fldCharType="begin"/>
      </w:r>
      <w:r>
        <w:rPr>
          <w:sz w:val="24"/>
          <w:szCs w:val="24"/>
          <w:highlight w:val="none"/>
        </w:rPr>
        <w:instrText xml:space="preserve"> PAGEREF _Toc13457 \h </w:instrText>
      </w:r>
      <w:r>
        <w:rPr>
          <w:sz w:val="24"/>
          <w:szCs w:val="24"/>
          <w:highlight w:val="none"/>
        </w:rPr>
        <w:fldChar w:fldCharType="separate"/>
      </w:r>
      <w:r>
        <w:rPr>
          <w:sz w:val="24"/>
          <w:szCs w:val="24"/>
          <w:highlight w:val="none"/>
        </w:rPr>
        <w:t>27</w:t>
      </w:r>
      <w:r>
        <w:rPr>
          <w:sz w:val="24"/>
          <w:szCs w:val="24"/>
          <w:highlight w:val="none"/>
        </w:rPr>
        <w:fldChar w:fldCharType="end"/>
      </w:r>
      <w:r>
        <w:rPr>
          <w:rFonts w:hint="eastAsia"/>
          <w:color w:val="auto"/>
          <w:sz w:val="24"/>
          <w:szCs w:val="24"/>
          <w:highlight w:val="none"/>
        </w:rPr>
        <w:fldChar w:fldCharType="end"/>
      </w:r>
    </w:p>
    <w:p w14:paraId="3170DE57">
      <w:pPr>
        <w:pStyle w:val="18"/>
        <w:tabs>
          <w:tab w:val="right" w:leader="dot" w:pos="8305"/>
        </w:tabs>
        <w:spacing w:line="480" w:lineRule="auto"/>
        <w:rPr>
          <w:sz w:val="24"/>
          <w:szCs w:val="24"/>
          <w:highlight w:val="none"/>
        </w:rPr>
      </w:pPr>
      <w:r>
        <w:rPr>
          <w:rFonts w:hint="eastAsia"/>
          <w:color w:val="auto"/>
          <w:sz w:val="24"/>
          <w:szCs w:val="24"/>
          <w:highlight w:val="none"/>
        </w:rPr>
        <w:fldChar w:fldCharType="begin"/>
      </w:r>
      <w:r>
        <w:rPr>
          <w:rFonts w:hint="eastAsia"/>
          <w:sz w:val="24"/>
          <w:szCs w:val="24"/>
          <w:highlight w:val="none"/>
        </w:rPr>
        <w:instrText xml:space="preserve"> HYPERLINK \l _Toc29213 </w:instrText>
      </w:r>
      <w:r>
        <w:rPr>
          <w:rFonts w:hint="eastAsia"/>
          <w:sz w:val="24"/>
          <w:szCs w:val="24"/>
          <w:highlight w:val="none"/>
        </w:rPr>
        <w:fldChar w:fldCharType="separate"/>
      </w:r>
      <w:r>
        <w:rPr>
          <w:rFonts w:hint="eastAsia"/>
          <w:bCs/>
          <w:sz w:val="24"/>
          <w:szCs w:val="24"/>
          <w:highlight w:val="none"/>
        </w:rPr>
        <w:t xml:space="preserve">第四章 </w:t>
      </w:r>
      <w:r>
        <w:rPr>
          <w:rFonts w:hint="eastAsia"/>
          <w:bCs/>
          <w:sz w:val="24"/>
          <w:szCs w:val="24"/>
          <w:highlight w:val="none"/>
          <w:lang w:eastAsia="zh-CN"/>
        </w:rPr>
        <w:t>工程量清单</w:t>
      </w:r>
      <w:r>
        <w:rPr>
          <w:sz w:val="24"/>
          <w:szCs w:val="24"/>
          <w:highlight w:val="none"/>
        </w:rPr>
        <w:tab/>
      </w:r>
      <w:r>
        <w:rPr>
          <w:sz w:val="24"/>
          <w:szCs w:val="24"/>
          <w:highlight w:val="none"/>
        </w:rPr>
        <w:fldChar w:fldCharType="begin"/>
      </w:r>
      <w:r>
        <w:rPr>
          <w:sz w:val="24"/>
          <w:szCs w:val="24"/>
          <w:highlight w:val="none"/>
        </w:rPr>
        <w:instrText xml:space="preserve"> PAGEREF _Toc29213 \h </w:instrText>
      </w:r>
      <w:r>
        <w:rPr>
          <w:sz w:val="24"/>
          <w:szCs w:val="24"/>
          <w:highlight w:val="none"/>
        </w:rPr>
        <w:fldChar w:fldCharType="separate"/>
      </w:r>
      <w:r>
        <w:rPr>
          <w:sz w:val="24"/>
          <w:szCs w:val="24"/>
          <w:highlight w:val="none"/>
        </w:rPr>
        <w:t>28</w:t>
      </w:r>
      <w:r>
        <w:rPr>
          <w:sz w:val="24"/>
          <w:szCs w:val="24"/>
          <w:highlight w:val="none"/>
        </w:rPr>
        <w:fldChar w:fldCharType="end"/>
      </w:r>
      <w:r>
        <w:rPr>
          <w:rFonts w:hint="eastAsia"/>
          <w:color w:val="auto"/>
          <w:sz w:val="24"/>
          <w:szCs w:val="24"/>
          <w:highlight w:val="none"/>
        </w:rPr>
        <w:fldChar w:fldCharType="end"/>
      </w:r>
    </w:p>
    <w:p w14:paraId="2953C086">
      <w:pPr>
        <w:pStyle w:val="18"/>
        <w:tabs>
          <w:tab w:val="right" w:leader="dot" w:pos="8305"/>
        </w:tabs>
        <w:spacing w:line="480" w:lineRule="auto"/>
        <w:rPr>
          <w:sz w:val="24"/>
          <w:szCs w:val="24"/>
          <w:highlight w:val="none"/>
        </w:rPr>
      </w:pPr>
      <w:r>
        <w:rPr>
          <w:rFonts w:hint="eastAsia"/>
          <w:color w:val="auto"/>
          <w:sz w:val="24"/>
          <w:szCs w:val="24"/>
          <w:highlight w:val="none"/>
        </w:rPr>
        <w:fldChar w:fldCharType="begin"/>
      </w:r>
      <w:r>
        <w:rPr>
          <w:rFonts w:hint="eastAsia"/>
          <w:sz w:val="24"/>
          <w:szCs w:val="24"/>
          <w:highlight w:val="none"/>
        </w:rPr>
        <w:instrText xml:space="preserve"> HYPERLINK \l _Toc16051 </w:instrText>
      </w:r>
      <w:r>
        <w:rPr>
          <w:rFonts w:hint="eastAsia"/>
          <w:sz w:val="24"/>
          <w:szCs w:val="24"/>
          <w:highlight w:val="none"/>
        </w:rPr>
        <w:fldChar w:fldCharType="separate"/>
      </w:r>
      <w:r>
        <w:rPr>
          <w:rFonts w:hint="eastAsia"/>
          <w:bCs/>
          <w:sz w:val="24"/>
          <w:szCs w:val="24"/>
          <w:highlight w:val="none"/>
        </w:rPr>
        <w:t xml:space="preserve">第五章 </w:t>
      </w:r>
      <w:r>
        <w:rPr>
          <w:rFonts w:hint="eastAsia"/>
          <w:bCs/>
          <w:sz w:val="24"/>
          <w:szCs w:val="24"/>
          <w:highlight w:val="none"/>
          <w:lang w:val="en-US" w:eastAsia="zh-CN"/>
        </w:rPr>
        <w:t>图纸</w:t>
      </w:r>
      <w:r>
        <w:rPr>
          <w:sz w:val="24"/>
          <w:szCs w:val="24"/>
          <w:highlight w:val="none"/>
        </w:rPr>
        <w:tab/>
      </w:r>
      <w:r>
        <w:rPr>
          <w:sz w:val="24"/>
          <w:szCs w:val="24"/>
          <w:highlight w:val="none"/>
        </w:rPr>
        <w:fldChar w:fldCharType="begin"/>
      </w:r>
      <w:r>
        <w:rPr>
          <w:sz w:val="24"/>
          <w:szCs w:val="24"/>
          <w:highlight w:val="none"/>
        </w:rPr>
        <w:instrText xml:space="preserve"> PAGEREF _Toc16051 \h </w:instrText>
      </w:r>
      <w:r>
        <w:rPr>
          <w:sz w:val="24"/>
          <w:szCs w:val="24"/>
          <w:highlight w:val="none"/>
        </w:rPr>
        <w:fldChar w:fldCharType="separate"/>
      </w:r>
      <w:r>
        <w:rPr>
          <w:sz w:val="24"/>
          <w:szCs w:val="24"/>
          <w:highlight w:val="none"/>
        </w:rPr>
        <w:t>29</w:t>
      </w:r>
      <w:r>
        <w:rPr>
          <w:sz w:val="24"/>
          <w:szCs w:val="24"/>
          <w:highlight w:val="none"/>
        </w:rPr>
        <w:fldChar w:fldCharType="end"/>
      </w:r>
      <w:r>
        <w:rPr>
          <w:rFonts w:hint="eastAsia"/>
          <w:color w:val="auto"/>
          <w:sz w:val="24"/>
          <w:szCs w:val="24"/>
          <w:highlight w:val="none"/>
        </w:rPr>
        <w:fldChar w:fldCharType="end"/>
      </w:r>
    </w:p>
    <w:p w14:paraId="1613686C">
      <w:pPr>
        <w:pStyle w:val="18"/>
        <w:tabs>
          <w:tab w:val="right" w:leader="dot" w:pos="8305"/>
        </w:tabs>
        <w:spacing w:line="480" w:lineRule="auto"/>
        <w:rPr>
          <w:sz w:val="24"/>
          <w:szCs w:val="24"/>
          <w:highlight w:val="none"/>
        </w:rPr>
      </w:pPr>
      <w:r>
        <w:rPr>
          <w:rFonts w:hint="eastAsia"/>
          <w:color w:val="auto"/>
          <w:sz w:val="24"/>
          <w:szCs w:val="24"/>
          <w:highlight w:val="none"/>
        </w:rPr>
        <w:fldChar w:fldCharType="begin"/>
      </w:r>
      <w:r>
        <w:rPr>
          <w:rFonts w:hint="eastAsia"/>
          <w:sz w:val="24"/>
          <w:szCs w:val="24"/>
          <w:highlight w:val="none"/>
        </w:rPr>
        <w:instrText xml:space="preserve"> HYPERLINK \l _Toc29990 </w:instrText>
      </w:r>
      <w:r>
        <w:rPr>
          <w:rFonts w:hint="eastAsia"/>
          <w:sz w:val="24"/>
          <w:szCs w:val="24"/>
          <w:highlight w:val="none"/>
        </w:rPr>
        <w:fldChar w:fldCharType="separate"/>
      </w:r>
      <w:r>
        <w:rPr>
          <w:rFonts w:hint="eastAsia"/>
          <w:bCs/>
          <w:sz w:val="24"/>
          <w:szCs w:val="24"/>
          <w:highlight w:val="none"/>
        </w:rPr>
        <w:t>第六章 合同条款</w:t>
      </w:r>
      <w:r>
        <w:rPr>
          <w:sz w:val="24"/>
          <w:szCs w:val="24"/>
          <w:highlight w:val="none"/>
        </w:rPr>
        <w:tab/>
      </w:r>
      <w:r>
        <w:rPr>
          <w:sz w:val="24"/>
          <w:szCs w:val="24"/>
          <w:highlight w:val="none"/>
        </w:rPr>
        <w:fldChar w:fldCharType="begin"/>
      </w:r>
      <w:r>
        <w:rPr>
          <w:sz w:val="24"/>
          <w:szCs w:val="24"/>
          <w:highlight w:val="none"/>
        </w:rPr>
        <w:instrText xml:space="preserve"> PAGEREF _Toc29990 \h </w:instrText>
      </w:r>
      <w:r>
        <w:rPr>
          <w:sz w:val="24"/>
          <w:szCs w:val="24"/>
          <w:highlight w:val="none"/>
        </w:rPr>
        <w:fldChar w:fldCharType="separate"/>
      </w:r>
      <w:r>
        <w:rPr>
          <w:sz w:val="24"/>
          <w:szCs w:val="24"/>
          <w:highlight w:val="none"/>
        </w:rPr>
        <w:t>30</w:t>
      </w:r>
      <w:r>
        <w:rPr>
          <w:sz w:val="24"/>
          <w:szCs w:val="24"/>
          <w:highlight w:val="none"/>
        </w:rPr>
        <w:fldChar w:fldCharType="end"/>
      </w:r>
      <w:r>
        <w:rPr>
          <w:rFonts w:hint="eastAsia"/>
          <w:color w:val="auto"/>
          <w:sz w:val="24"/>
          <w:szCs w:val="24"/>
          <w:highlight w:val="none"/>
        </w:rPr>
        <w:fldChar w:fldCharType="end"/>
      </w:r>
    </w:p>
    <w:p w14:paraId="558251FA">
      <w:pPr>
        <w:pStyle w:val="18"/>
        <w:tabs>
          <w:tab w:val="right" w:pos="3200"/>
          <w:tab w:val="right" w:leader="dot" w:pos="8305"/>
        </w:tabs>
        <w:spacing w:line="480" w:lineRule="auto"/>
        <w:rPr>
          <w:sz w:val="24"/>
          <w:szCs w:val="24"/>
          <w:highlight w:val="none"/>
        </w:rPr>
      </w:pPr>
      <w:r>
        <w:rPr>
          <w:rFonts w:hint="eastAsia"/>
          <w:color w:val="auto"/>
          <w:sz w:val="24"/>
          <w:szCs w:val="24"/>
          <w:highlight w:val="none"/>
        </w:rPr>
        <w:fldChar w:fldCharType="begin"/>
      </w:r>
      <w:r>
        <w:rPr>
          <w:rFonts w:hint="eastAsia"/>
          <w:sz w:val="24"/>
          <w:szCs w:val="24"/>
          <w:highlight w:val="none"/>
        </w:rPr>
        <w:instrText xml:space="preserve"> HYPERLINK \l _Toc5546 </w:instrText>
      </w:r>
      <w:r>
        <w:rPr>
          <w:rFonts w:hint="eastAsia"/>
          <w:sz w:val="24"/>
          <w:szCs w:val="24"/>
          <w:highlight w:val="none"/>
        </w:rPr>
        <w:fldChar w:fldCharType="separate"/>
      </w:r>
      <w:r>
        <w:rPr>
          <w:rFonts w:hint="eastAsia"/>
          <w:bCs/>
          <w:sz w:val="24"/>
          <w:szCs w:val="24"/>
          <w:highlight w:val="none"/>
        </w:rPr>
        <w:t>第</w:t>
      </w:r>
      <w:r>
        <w:rPr>
          <w:rFonts w:hint="eastAsia"/>
          <w:bCs/>
          <w:sz w:val="24"/>
          <w:szCs w:val="24"/>
          <w:highlight w:val="none"/>
          <w:lang w:val="en-US" w:eastAsia="zh-CN"/>
        </w:rPr>
        <w:t>七</w:t>
      </w:r>
      <w:r>
        <w:rPr>
          <w:rFonts w:hint="eastAsia"/>
          <w:bCs/>
          <w:sz w:val="24"/>
          <w:szCs w:val="24"/>
          <w:highlight w:val="none"/>
        </w:rPr>
        <w:t>章</w:t>
      </w:r>
      <w:r>
        <w:rPr>
          <w:rFonts w:hint="eastAsia"/>
          <w:bCs/>
          <w:sz w:val="24"/>
          <w:szCs w:val="24"/>
          <w:highlight w:val="none"/>
          <w:lang w:val="en-US" w:eastAsia="zh-CN"/>
        </w:rPr>
        <w:t xml:space="preserve"> </w:t>
      </w:r>
      <w:r>
        <w:rPr>
          <w:rFonts w:hint="eastAsia"/>
          <w:bCs/>
          <w:sz w:val="24"/>
          <w:szCs w:val="24"/>
          <w:highlight w:val="none"/>
        </w:rPr>
        <w:tab/>
      </w:r>
      <w:r>
        <w:rPr>
          <w:rFonts w:hint="eastAsia"/>
          <w:bCs/>
          <w:sz w:val="24"/>
          <w:szCs w:val="24"/>
          <w:highlight w:val="none"/>
        </w:rPr>
        <w:t>竞争性磋商响应文件格式</w:t>
      </w:r>
      <w:r>
        <w:rPr>
          <w:sz w:val="24"/>
          <w:szCs w:val="24"/>
          <w:highlight w:val="none"/>
        </w:rPr>
        <w:tab/>
      </w:r>
      <w:r>
        <w:rPr>
          <w:sz w:val="24"/>
          <w:szCs w:val="24"/>
          <w:highlight w:val="none"/>
        </w:rPr>
        <w:fldChar w:fldCharType="begin"/>
      </w:r>
      <w:r>
        <w:rPr>
          <w:sz w:val="24"/>
          <w:szCs w:val="24"/>
          <w:highlight w:val="none"/>
        </w:rPr>
        <w:instrText xml:space="preserve"> PAGEREF _Toc5546 \h </w:instrText>
      </w:r>
      <w:r>
        <w:rPr>
          <w:sz w:val="24"/>
          <w:szCs w:val="24"/>
          <w:highlight w:val="none"/>
        </w:rPr>
        <w:fldChar w:fldCharType="separate"/>
      </w:r>
      <w:r>
        <w:rPr>
          <w:sz w:val="24"/>
          <w:szCs w:val="24"/>
          <w:highlight w:val="none"/>
        </w:rPr>
        <w:t>34</w:t>
      </w:r>
      <w:r>
        <w:rPr>
          <w:sz w:val="24"/>
          <w:szCs w:val="24"/>
          <w:highlight w:val="none"/>
        </w:rPr>
        <w:fldChar w:fldCharType="end"/>
      </w:r>
      <w:r>
        <w:rPr>
          <w:rFonts w:hint="eastAsia"/>
          <w:color w:val="auto"/>
          <w:sz w:val="24"/>
          <w:szCs w:val="24"/>
          <w:highlight w:val="none"/>
        </w:rPr>
        <w:fldChar w:fldCharType="end"/>
      </w:r>
    </w:p>
    <w:p w14:paraId="018F9062">
      <w:pPr>
        <w:widowControl w:val="0"/>
        <w:wordWrap/>
        <w:adjustRightInd/>
        <w:snapToGrid/>
        <w:spacing w:line="480" w:lineRule="auto"/>
        <w:textAlignment w:val="auto"/>
        <w:rPr>
          <w:color w:val="auto"/>
          <w:sz w:val="32"/>
          <w:szCs w:val="32"/>
          <w:highlight w:val="none"/>
        </w:rPr>
        <w:sectPr>
          <w:headerReference r:id="rId3" w:type="default"/>
          <w:footerReference r:id="rId4" w:type="default"/>
          <w:pgSz w:w="11911" w:h="16838"/>
          <w:pgMar w:top="1440" w:right="1803" w:bottom="1440" w:left="1803" w:header="720" w:footer="720" w:gutter="0"/>
          <w:pgNumType w:fmt="decimal" w:start="1"/>
          <w:cols w:space="720" w:num="1"/>
        </w:sectPr>
      </w:pPr>
      <w:r>
        <w:rPr>
          <w:rFonts w:hint="eastAsia"/>
          <w:color w:val="auto"/>
          <w:sz w:val="24"/>
          <w:szCs w:val="24"/>
          <w:highlight w:val="none"/>
        </w:rPr>
        <w:fldChar w:fldCharType="end"/>
      </w:r>
    </w:p>
    <w:p w14:paraId="693A5685">
      <w:pPr>
        <w:rPr>
          <w:color w:val="auto"/>
          <w:highlight w:val="none"/>
        </w:rPr>
      </w:pPr>
    </w:p>
    <w:p w14:paraId="4FED3C3E">
      <w:pPr>
        <w:pStyle w:val="4"/>
        <w:rPr>
          <w:b/>
          <w:bCs/>
          <w:color w:val="auto"/>
          <w:highlight w:val="none"/>
        </w:rPr>
      </w:pPr>
      <w:bookmarkStart w:id="0" w:name="_Toc4807"/>
      <w:bookmarkStart w:id="1" w:name="_Toc30284"/>
      <w:bookmarkStart w:id="2" w:name="_Toc32635"/>
      <w:r>
        <w:rPr>
          <w:rFonts w:hint="eastAsia"/>
          <w:b/>
          <w:bCs/>
          <w:color w:val="auto"/>
          <w:highlight w:val="none"/>
        </w:rPr>
        <w:t>第一章 竞争性磋商公告</w:t>
      </w:r>
      <w:bookmarkEnd w:id="0"/>
      <w:bookmarkEnd w:id="1"/>
      <w:bookmarkEnd w:id="2"/>
    </w:p>
    <w:p w14:paraId="1E2447D2">
      <w:pPr>
        <w:keepNext w:val="0"/>
        <w:keepLines w:val="0"/>
        <w:pageBreakBefore w:val="0"/>
        <w:widowControl w:val="0"/>
        <w:kinsoku/>
        <w:wordWrap/>
        <w:overflowPunct/>
        <w:topLinePunct w:val="0"/>
        <w:autoSpaceDE/>
        <w:autoSpaceDN/>
        <w:bidi w:val="0"/>
        <w:adjustRightInd/>
        <w:snapToGrid/>
        <w:spacing w:line="473" w:lineRule="exact"/>
        <w:jc w:val="center"/>
        <w:textAlignment w:val="auto"/>
        <w:rPr>
          <w:rFonts w:hint="eastAsia" w:ascii="宋体" w:hAnsi="宋体" w:cs="宋体"/>
          <w:b/>
          <w:bCs/>
          <w:color w:val="auto"/>
          <w:sz w:val="21"/>
          <w:szCs w:val="21"/>
          <w:highlight w:val="none"/>
          <w:lang w:eastAsia="zh-CN"/>
        </w:rPr>
      </w:pPr>
      <w:bookmarkStart w:id="3" w:name="_Toc20030"/>
      <w:bookmarkStart w:id="4" w:name="_Toc7265"/>
      <w:r>
        <w:rPr>
          <w:rFonts w:hint="eastAsia" w:ascii="宋体" w:hAnsi="宋体" w:cs="宋体"/>
          <w:b/>
          <w:bCs/>
          <w:color w:val="auto"/>
          <w:sz w:val="21"/>
          <w:szCs w:val="21"/>
          <w:highlight w:val="none"/>
          <w:lang w:eastAsia="zh-CN"/>
        </w:rPr>
        <w:t>荥阳市农业农村局2024年度财政衔接乡村振兴基础设施项目(结余)</w:t>
      </w:r>
    </w:p>
    <w:p w14:paraId="4D925BAA">
      <w:pPr>
        <w:keepNext w:val="0"/>
        <w:keepLines w:val="0"/>
        <w:pageBreakBefore w:val="0"/>
        <w:widowControl w:val="0"/>
        <w:kinsoku/>
        <w:wordWrap/>
        <w:overflowPunct/>
        <w:topLinePunct w:val="0"/>
        <w:autoSpaceDE/>
        <w:autoSpaceDN/>
        <w:bidi w:val="0"/>
        <w:adjustRightInd/>
        <w:snapToGrid/>
        <w:spacing w:line="473"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竞争性磋商</w:t>
      </w:r>
      <w:r>
        <w:rPr>
          <w:rFonts w:hint="eastAsia" w:ascii="宋体" w:hAnsi="宋体" w:eastAsia="宋体" w:cs="宋体"/>
          <w:b/>
          <w:bCs/>
          <w:color w:val="auto"/>
          <w:sz w:val="21"/>
          <w:szCs w:val="21"/>
          <w:highlight w:val="none"/>
        </w:rPr>
        <w:t>公告</w:t>
      </w:r>
    </w:p>
    <w:p w14:paraId="7F50209B">
      <w:pPr>
        <w:keepNext w:val="0"/>
        <w:keepLines w:val="0"/>
        <w:pageBreakBefore w:val="0"/>
        <w:widowControl w:val="0"/>
        <w:kinsoku/>
        <w:wordWrap/>
        <w:overflowPunct/>
        <w:topLinePunct w:val="0"/>
        <w:autoSpaceDE/>
        <w:autoSpaceDN/>
        <w:bidi w:val="0"/>
        <w:adjustRightInd/>
        <w:snapToGrid/>
        <w:spacing w:line="473"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项目概况</w:t>
      </w:r>
    </w:p>
    <w:p w14:paraId="42F92168">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荥阳市农业农村局2024年度财政衔接乡村振兴基础设施项目(结余)招标项目的潜在投标人应在荥阳市公共资源交易平台获取招标文件，并于2024年12月</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时00分（北京时间）前递交响应文件。</w:t>
      </w:r>
    </w:p>
    <w:p w14:paraId="01CDF080">
      <w:pPr>
        <w:widowControl w:val="0"/>
        <w:wordWrap/>
        <w:adjustRightInd/>
        <w:snapToGrid/>
        <w:spacing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w:t>
      </w:r>
      <w:r>
        <w:rPr>
          <w:rFonts w:hint="eastAsia" w:ascii="宋体" w:hAnsi="宋体" w:eastAsia="宋体" w:cs="宋体"/>
          <w:b/>
          <w:bCs/>
          <w:color w:val="auto"/>
          <w:sz w:val="21"/>
          <w:szCs w:val="21"/>
          <w:highlight w:val="none"/>
          <w:lang w:eastAsia="zh-CN"/>
        </w:rPr>
        <w:t>基本情况</w:t>
      </w:r>
    </w:p>
    <w:p w14:paraId="5C42CD55">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项目编号</w:t>
      </w:r>
      <w:r>
        <w:rPr>
          <w:rFonts w:hint="eastAsia" w:ascii="宋体" w:hAnsi="宋体" w:eastAsia="宋体" w:cs="宋体"/>
          <w:color w:val="auto"/>
          <w:sz w:val="21"/>
          <w:szCs w:val="21"/>
          <w:highlight w:val="none"/>
          <w:lang w:eastAsia="zh-CN"/>
        </w:rPr>
        <w:t>：荥财磋商-2024-68</w:t>
      </w:r>
      <w:r>
        <w:rPr>
          <w:rFonts w:hint="eastAsia" w:ascii="宋体" w:hAnsi="宋体" w:eastAsia="宋体" w:cs="宋体"/>
          <w:color w:val="auto"/>
          <w:sz w:val="21"/>
          <w:szCs w:val="21"/>
          <w:highlight w:val="none"/>
          <w:lang w:val="en-US" w:eastAsia="zh-CN"/>
        </w:rPr>
        <w:t>；</w:t>
      </w:r>
    </w:p>
    <w:p w14:paraId="48D3FBBE">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项目名称：荥阳市农业农村局2024年度财政衔接乡村振兴基础设施项目(结余)</w:t>
      </w:r>
      <w:r>
        <w:rPr>
          <w:rFonts w:hint="eastAsia" w:ascii="宋体" w:hAnsi="宋体" w:cs="宋体"/>
          <w:color w:val="auto"/>
          <w:sz w:val="21"/>
          <w:szCs w:val="21"/>
          <w:highlight w:val="none"/>
          <w:lang w:eastAsia="zh-CN"/>
        </w:rPr>
        <w:t>；</w:t>
      </w:r>
    </w:p>
    <w:p w14:paraId="5196C4AF">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采购方式：竞争性磋商</w:t>
      </w:r>
      <w:r>
        <w:rPr>
          <w:rFonts w:hint="eastAsia" w:ascii="宋体" w:hAnsi="宋体" w:cs="宋体"/>
          <w:color w:val="auto"/>
          <w:sz w:val="21"/>
          <w:szCs w:val="21"/>
          <w:highlight w:val="none"/>
          <w:lang w:eastAsia="zh-CN"/>
        </w:rPr>
        <w:t>；</w:t>
      </w:r>
    </w:p>
    <w:p w14:paraId="330BA541">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预算金额：</w:t>
      </w:r>
      <w:r>
        <w:rPr>
          <w:rFonts w:hint="eastAsia" w:ascii="宋体" w:hAnsi="宋体" w:cs="宋体"/>
          <w:color w:val="auto"/>
          <w:sz w:val="21"/>
          <w:szCs w:val="21"/>
          <w:highlight w:val="none"/>
          <w:lang w:val="en-US" w:eastAsia="zh-CN"/>
        </w:rPr>
        <w:t>1197666.66</w:t>
      </w:r>
      <w:r>
        <w:rPr>
          <w:rFonts w:hint="eastAsia" w:ascii="宋体" w:hAnsi="宋体" w:eastAsia="宋体" w:cs="宋体"/>
          <w:color w:val="auto"/>
          <w:sz w:val="21"/>
          <w:szCs w:val="21"/>
          <w:highlight w:val="none"/>
          <w:lang w:val="en-US" w:eastAsia="zh-CN"/>
        </w:rPr>
        <w:t>元</w:t>
      </w:r>
    </w:p>
    <w:p w14:paraId="782432BE">
      <w:pPr>
        <w:widowControl w:val="0"/>
        <w:wordWrap/>
        <w:adjustRightInd/>
        <w:snapToGrid/>
        <w:spacing w:line="360" w:lineRule="auto"/>
        <w:ind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最高限价：1197666.66元</w:t>
      </w:r>
      <w:r>
        <w:rPr>
          <w:rFonts w:hint="eastAsia" w:ascii="宋体" w:hAnsi="宋体" w:cs="宋体"/>
          <w:color w:val="auto"/>
          <w:sz w:val="21"/>
          <w:szCs w:val="21"/>
          <w:highlight w:val="none"/>
          <w:lang w:val="en-US" w:eastAsia="zh-CN"/>
        </w:rPr>
        <w:t>；</w:t>
      </w:r>
    </w:p>
    <w:tbl>
      <w:tblPr>
        <w:tblStyle w:val="27"/>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75"/>
        <w:gridCol w:w="2663"/>
        <w:gridCol w:w="1263"/>
        <w:gridCol w:w="1509"/>
        <w:gridCol w:w="1370"/>
        <w:gridCol w:w="1440"/>
      </w:tblGrid>
      <w:tr w14:paraId="5637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715" w:type="dxa"/>
            <w:vAlign w:val="center"/>
          </w:tcPr>
          <w:p w14:paraId="609BA438">
            <w:pPr>
              <w:widowControl/>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Times New Roman" w:cs="宋体"/>
                <w:i w:val="0"/>
                <w:iCs w:val="0"/>
                <w:snapToGrid w:val="0"/>
                <w:color w:val="auto"/>
                <w:kern w:val="0"/>
                <w:sz w:val="21"/>
                <w:szCs w:val="21"/>
                <w:highlight w:val="none"/>
                <w:u w:val="none"/>
                <w:lang w:val="en-US" w:eastAsia="zh-CN"/>
              </w:rPr>
              <w:t>序号</w:t>
            </w:r>
          </w:p>
        </w:tc>
        <w:tc>
          <w:tcPr>
            <w:tcW w:w="1275" w:type="dxa"/>
            <w:vAlign w:val="center"/>
          </w:tcPr>
          <w:p w14:paraId="458560D8">
            <w:pPr>
              <w:widowControl/>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Times New Roman" w:cs="宋体"/>
                <w:i w:val="0"/>
                <w:iCs w:val="0"/>
                <w:snapToGrid w:val="0"/>
                <w:color w:val="auto"/>
                <w:kern w:val="0"/>
                <w:sz w:val="21"/>
                <w:szCs w:val="21"/>
                <w:highlight w:val="none"/>
                <w:u w:val="none"/>
                <w:lang w:val="en-US" w:eastAsia="zh-CN"/>
              </w:rPr>
              <w:t>包号</w:t>
            </w:r>
          </w:p>
        </w:tc>
        <w:tc>
          <w:tcPr>
            <w:tcW w:w="2663" w:type="dxa"/>
            <w:vAlign w:val="center"/>
          </w:tcPr>
          <w:p w14:paraId="62D1158A">
            <w:pPr>
              <w:widowControl/>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Times New Roman" w:cs="宋体"/>
                <w:i w:val="0"/>
                <w:iCs w:val="0"/>
                <w:snapToGrid w:val="0"/>
                <w:color w:val="auto"/>
                <w:kern w:val="0"/>
                <w:sz w:val="21"/>
                <w:szCs w:val="21"/>
                <w:highlight w:val="none"/>
                <w:u w:val="none"/>
                <w:lang w:val="en-US" w:eastAsia="zh-CN"/>
              </w:rPr>
              <w:t>包名称</w:t>
            </w:r>
          </w:p>
        </w:tc>
        <w:tc>
          <w:tcPr>
            <w:tcW w:w="1263" w:type="dxa"/>
            <w:vAlign w:val="center"/>
          </w:tcPr>
          <w:p w14:paraId="47D86F65">
            <w:pPr>
              <w:spacing w:before="0" w:beforeAutospacing="0" w:after="0" w:afterAutospacing="0"/>
              <w:ind w:left="0" w:right="0"/>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Times New Roman" w:cs="宋体"/>
                <w:i w:val="0"/>
                <w:iCs w:val="0"/>
                <w:color w:val="auto"/>
                <w:sz w:val="21"/>
                <w:szCs w:val="21"/>
                <w:highlight w:val="none"/>
                <w:u w:val="none"/>
                <w:lang w:eastAsia="zh-CN"/>
              </w:rPr>
              <w:t>包预算（元）</w:t>
            </w:r>
          </w:p>
        </w:tc>
        <w:tc>
          <w:tcPr>
            <w:tcW w:w="1509" w:type="dxa"/>
            <w:vAlign w:val="center"/>
          </w:tcPr>
          <w:p w14:paraId="04CA9974">
            <w:pPr>
              <w:widowControl/>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Times New Roman" w:cs="宋体"/>
                <w:i w:val="0"/>
                <w:iCs w:val="0"/>
                <w:color w:val="auto"/>
                <w:sz w:val="21"/>
                <w:szCs w:val="21"/>
                <w:highlight w:val="none"/>
                <w:u w:val="none"/>
                <w:lang w:eastAsia="zh-CN"/>
              </w:rPr>
              <w:t>最高限价（元）</w:t>
            </w:r>
          </w:p>
        </w:tc>
        <w:tc>
          <w:tcPr>
            <w:tcW w:w="1370" w:type="dxa"/>
            <w:vAlign w:val="center"/>
          </w:tcPr>
          <w:p w14:paraId="7FB780D9">
            <w:pPr>
              <w:keepNext w:val="0"/>
              <w:keepLines w:val="0"/>
              <w:widowControl/>
              <w:suppressLineNumbers w:val="0"/>
              <w:wordWrap w:val="0"/>
              <w:spacing w:before="0" w:beforeAutospacing="0" w:after="0" w:afterAutospacing="0"/>
              <w:ind w:left="0" w:leftChars="0" w:right="0" w:rightChars="0"/>
              <w:jc w:val="center"/>
              <w:rPr>
                <w:rFonts w:hint="eastAsia" w:ascii="宋体" w:hAnsi="宋体" w:eastAsia="Times New Roman" w:cs="宋体"/>
                <w:i w:val="0"/>
                <w:iCs w:val="0"/>
                <w:color w:val="auto"/>
                <w:sz w:val="21"/>
                <w:szCs w:val="21"/>
                <w:highlight w:val="none"/>
                <w:u w:val="none"/>
                <w:lang w:eastAsia="zh-CN"/>
              </w:rPr>
            </w:pPr>
            <w:r>
              <w:rPr>
                <w:rFonts w:hint="eastAsia" w:ascii="宋体" w:hAnsi="宋体" w:eastAsia="宋体" w:cs="宋体"/>
                <w:b w:val="0"/>
                <w:bCs w:val="0"/>
                <w:i w:val="0"/>
                <w:iCs w:val="0"/>
                <w:color w:val="000000"/>
                <w:kern w:val="0"/>
                <w:sz w:val="21"/>
                <w:szCs w:val="21"/>
                <w:highlight w:val="none"/>
                <w:lang w:val="en-US" w:eastAsia="zh-CN" w:bidi="ar"/>
              </w:rPr>
              <w:t>是否专门面向中小企业</w:t>
            </w:r>
          </w:p>
        </w:tc>
        <w:tc>
          <w:tcPr>
            <w:tcW w:w="1440" w:type="dxa"/>
            <w:vAlign w:val="center"/>
          </w:tcPr>
          <w:p w14:paraId="702DC6A9">
            <w:pPr>
              <w:keepNext w:val="0"/>
              <w:keepLines w:val="0"/>
              <w:widowControl/>
              <w:suppressLineNumbers w:val="0"/>
              <w:wordWrap w:val="0"/>
              <w:spacing w:before="0" w:beforeAutospacing="0" w:after="0" w:afterAutospacing="0"/>
              <w:ind w:left="0" w:leftChars="0" w:right="0" w:rightChars="0"/>
              <w:jc w:val="center"/>
              <w:rPr>
                <w:rFonts w:hint="eastAsia" w:ascii="宋体" w:hAnsi="宋体" w:eastAsia="Times New Roman" w:cs="宋体"/>
                <w:i w:val="0"/>
                <w:iCs w:val="0"/>
                <w:color w:val="auto"/>
                <w:sz w:val="21"/>
                <w:szCs w:val="21"/>
                <w:highlight w:val="none"/>
                <w:u w:val="none"/>
                <w:lang w:eastAsia="zh-CN"/>
              </w:rPr>
            </w:pPr>
            <w:r>
              <w:rPr>
                <w:rFonts w:hint="eastAsia" w:ascii="宋体" w:hAnsi="宋体" w:eastAsia="宋体" w:cs="宋体"/>
                <w:b w:val="0"/>
                <w:bCs w:val="0"/>
                <w:i w:val="0"/>
                <w:iCs w:val="0"/>
                <w:color w:val="000000"/>
                <w:kern w:val="0"/>
                <w:sz w:val="21"/>
                <w:szCs w:val="21"/>
                <w:highlight w:val="none"/>
                <w:lang w:val="en-US" w:eastAsia="zh-CN" w:bidi="ar"/>
              </w:rPr>
              <w:t>采购预留金额（元）</w:t>
            </w:r>
          </w:p>
        </w:tc>
      </w:tr>
      <w:tr w14:paraId="66F8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715" w:type="dxa"/>
            <w:vAlign w:val="center"/>
          </w:tcPr>
          <w:p w14:paraId="530A2972">
            <w:pPr>
              <w:widowControl/>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rPr>
              <w:t>1</w:t>
            </w:r>
          </w:p>
        </w:tc>
        <w:tc>
          <w:tcPr>
            <w:tcW w:w="1275" w:type="dxa"/>
            <w:vAlign w:val="center"/>
          </w:tcPr>
          <w:p w14:paraId="142CD8C0">
            <w:pPr>
              <w:widowControl/>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lang w:val="en-US" w:eastAsia="zh-CN"/>
              </w:rPr>
            </w:pPr>
            <w:r>
              <w:rPr>
                <w:rFonts w:hint="default" w:ascii="宋体" w:hAnsi="宋体" w:eastAsia="宋体" w:cs="宋体"/>
                <w:i w:val="0"/>
                <w:iCs w:val="0"/>
                <w:color w:val="auto"/>
                <w:sz w:val="21"/>
                <w:szCs w:val="21"/>
                <w:highlight w:val="none"/>
                <w:u w:val="none"/>
                <w:lang w:val="en-US" w:eastAsia="zh-CN"/>
              </w:rPr>
              <w:t>荥财磋商-2024-</w:t>
            </w:r>
            <w:r>
              <w:rPr>
                <w:rFonts w:hint="eastAsia" w:ascii="宋体" w:hAnsi="宋体" w:cs="宋体"/>
                <w:i w:val="0"/>
                <w:iCs w:val="0"/>
                <w:color w:val="auto"/>
                <w:sz w:val="21"/>
                <w:szCs w:val="21"/>
                <w:highlight w:val="none"/>
                <w:u w:val="none"/>
                <w:lang w:val="en-US" w:eastAsia="zh-CN"/>
              </w:rPr>
              <w:t>68-1</w:t>
            </w:r>
          </w:p>
        </w:tc>
        <w:tc>
          <w:tcPr>
            <w:tcW w:w="2663" w:type="dxa"/>
            <w:vAlign w:val="center"/>
          </w:tcPr>
          <w:p w14:paraId="046B4A17">
            <w:pPr>
              <w:widowControl/>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Times New Roman" w:cs="宋体"/>
                <w:color w:val="auto"/>
                <w:sz w:val="21"/>
                <w:szCs w:val="21"/>
                <w:highlight w:val="none"/>
                <w:lang w:eastAsia="zh-CN"/>
              </w:rPr>
              <w:t>荥阳市农业农村局2024年度财政衔接乡村振兴基础设施项目(结余)一标段</w:t>
            </w:r>
          </w:p>
        </w:tc>
        <w:tc>
          <w:tcPr>
            <w:tcW w:w="1263" w:type="dxa"/>
            <w:vAlign w:val="center"/>
          </w:tcPr>
          <w:p w14:paraId="1A565913">
            <w:pPr>
              <w:spacing w:before="0" w:beforeAutospacing="0" w:after="0" w:afterAutospacing="0"/>
              <w:ind w:left="0" w:right="0"/>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919162.67</w:t>
            </w:r>
          </w:p>
        </w:tc>
        <w:tc>
          <w:tcPr>
            <w:tcW w:w="1509" w:type="dxa"/>
            <w:shd w:val="clear" w:color="auto" w:fill="auto"/>
            <w:vAlign w:val="center"/>
          </w:tcPr>
          <w:p w14:paraId="72BE1037">
            <w:pPr>
              <w:spacing w:before="0" w:beforeAutospacing="0" w:after="0" w:afterAutospacing="0"/>
              <w:ind w:left="0" w:leftChars="0" w:right="0" w:rightChars="0"/>
              <w:jc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919162.67</w:t>
            </w:r>
          </w:p>
        </w:tc>
        <w:tc>
          <w:tcPr>
            <w:tcW w:w="1370" w:type="dxa"/>
            <w:vAlign w:val="center"/>
          </w:tcPr>
          <w:p w14:paraId="5C0D681F">
            <w:pPr>
              <w:widowControl/>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是</w:t>
            </w:r>
          </w:p>
        </w:tc>
        <w:tc>
          <w:tcPr>
            <w:tcW w:w="1440" w:type="dxa"/>
            <w:shd w:val="clear" w:color="auto" w:fill="auto"/>
            <w:vAlign w:val="center"/>
          </w:tcPr>
          <w:p w14:paraId="0952A8F5">
            <w:pPr>
              <w:spacing w:before="0" w:beforeAutospacing="0" w:after="0" w:afterAutospacing="0"/>
              <w:ind w:left="0" w:leftChars="0" w:right="0" w:rightChars="0"/>
              <w:jc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919162.67</w:t>
            </w:r>
          </w:p>
        </w:tc>
      </w:tr>
      <w:tr w14:paraId="3312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715" w:type="dxa"/>
            <w:vAlign w:val="center"/>
          </w:tcPr>
          <w:p w14:paraId="6BA88A01">
            <w:pPr>
              <w:widowControl/>
              <w:spacing w:before="0" w:beforeAutospacing="0" w:after="0" w:afterAutospacing="0"/>
              <w:ind w:left="0" w:right="0"/>
              <w:jc w:val="center"/>
              <w:textAlignment w:val="center"/>
              <w:rPr>
                <w:rFonts w:hint="default" w:ascii="宋体" w:hAnsi="宋体" w:eastAsia="宋体" w:cs="宋体"/>
                <w:i w:val="0"/>
                <w:iCs w:val="0"/>
                <w:snapToGrid w:val="0"/>
                <w:color w:val="auto"/>
                <w:kern w:val="0"/>
                <w:sz w:val="21"/>
                <w:szCs w:val="21"/>
                <w:highlight w:val="none"/>
                <w:u w:val="none"/>
                <w:lang w:val="en-US" w:eastAsia="zh-CN"/>
              </w:rPr>
            </w:pPr>
            <w:r>
              <w:rPr>
                <w:rFonts w:hint="eastAsia" w:ascii="宋体" w:hAnsi="宋体" w:cs="宋体"/>
                <w:i w:val="0"/>
                <w:iCs w:val="0"/>
                <w:snapToGrid w:val="0"/>
                <w:color w:val="auto"/>
                <w:kern w:val="0"/>
                <w:sz w:val="21"/>
                <w:szCs w:val="21"/>
                <w:highlight w:val="none"/>
                <w:u w:val="none"/>
                <w:lang w:val="en-US" w:eastAsia="zh-CN"/>
              </w:rPr>
              <w:t>2</w:t>
            </w:r>
          </w:p>
        </w:tc>
        <w:tc>
          <w:tcPr>
            <w:tcW w:w="1275" w:type="dxa"/>
            <w:vAlign w:val="center"/>
          </w:tcPr>
          <w:p w14:paraId="69663256">
            <w:pPr>
              <w:widowControl/>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lang w:val="en-US" w:eastAsia="zh-CN"/>
              </w:rPr>
            </w:pPr>
            <w:r>
              <w:rPr>
                <w:rFonts w:hint="default" w:ascii="宋体" w:hAnsi="宋体" w:eastAsia="宋体" w:cs="宋体"/>
                <w:i w:val="0"/>
                <w:iCs w:val="0"/>
                <w:color w:val="auto"/>
                <w:sz w:val="21"/>
                <w:szCs w:val="21"/>
                <w:highlight w:val="none"/>
                <w:u w:val="none"/>
                <w:lang w:val="en-US" w:eastAsia="zh-CN"/>
              </w:rPr>
              <w:t>荥财磋商-2024-</w:t>
            </w:r>
            <w:r>
              <w:rPr>
                <w:rFonts w:hint="eastAsia" w:ascii="宋体" w:hAnsi="宋体" w:cs="宋体"/>
                <w:i w:val="0"/>
                <w:iCs w:val="0"/>
                <w:color w:val="auto"/>
                <w:sz w:val="21"/>
                <w:szCs w:val="21"/>
                <w:highlight w:val="none"/>
                <w:u w:val="none"/>
                <w:lang w:val="en-US" w:eastAsia="zh-CN"/>
              </w:rPr>
              <w:t>68-2</w:t>
            </w:r>
          </w:p>
        </w:tc>
        <w:tc>
          <w:tcPr>
            <w:tcW w:w="2663" w:type="dxa"/>
            <w:vAlign w:val="center"/>
          </w:tcPr>
          <w:p w14:paraId="0BE282D7">
            <w:pPr>
              <w:widowControl/>
              <w:spacing w:before="0" w:beforeAutospacing="0" w:after="0" w:afterAutospacing="0"/>
              <w:ind w:left="0" w:right="0"/>
              <w:jc w:val="center"/>
              <w:textAlignment w:val="center"/>
              <w:rPr>
                <w:rFonts w:hint="eastAsia" w:ascii="宋体" w:hAnsi="宋体" w:eastAsia="Times New Roman" w:cs="宋体"/>
                <w:color w:val="auto"/>
                <w:sz w:val="21"/>
                <w:szCs w:val="21"/>
                <w:highlight w:val="none"/>
                <w:lang w:eastAsia="zh-CN"/>
              </w:rPr>
            </w:pPr>
            <w:r>
              <w:rPr>
                <w:rFonts w:hint="eastAsia" w:ascii="宋体" w:hAnsi="宋体" w:eastAsia="Times New Roman" w:cs="宋体"/>
                <w:color w:val="auto"/>
                <w:sz w:val="21"/>
                <w:szCs w:val="21"/>
                <w:highlight w:val="none"/>
                <w:lang w:eastAsia="zh-CN"/>
              </w:rPr>
              <w:t>荥阳市农业农村局2024年度财政衔接乡村振兴基础设施项目(结余)二标段</w:t>
            </w:r>
          </w:p>
        </w:tc>
        <w:tc>
          <w:tcPr>
            <w:tcW w:w="1263" w:type="dxa"/>
            <w:vAlign w:val="center"/>
          </w:tcPr>
          <w:p w14:paraId="45EB7F8B">
            <w:pPr>
              <w:spacing w:before="0" w:beforeAutospacing="0" w:after="0" w:afterAutospacing="0"/>
              <w:ind w:left="0" w:right="0"/>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278503.99</w:t>
            </w:r>
          </w:p>
        </w:tc>
        <w:tc>
          <w:tcPr>
            <w:tcW w:w="1509" w:type="dxa"/>
            <w:shd w:val="clear" w:color="auto" w:fill="auto"/>
            <w:vAlign w:val="center"/>
          </w:tcPr>
          <w:p w14:paraId="50A7D5AA">
            <w:pPr>
              <w:spacing w:before="0" w:beforeAutospacing="0" w:after="0" w:afterAutospacing="0"/>
              <w:ind w:left="0" w:leftChars="0" w:right="0" w:rightChars="0"/>
              <w:jc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278503.99</w:t>
            </w:r>
          </w:p>
        </w:tc>
        <w:tc>
          <w:tcPr>
            <w:tcW w:w="1370" w:type="dxa"/>
            <w:vAlign w:val="center"/>
          </w:tcPr>
          <w:p w14:paraId="68481013">
            <w:pPr>
              <w:widowControl/>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是</w:t>
            </w:r>
          </w:p>
        </w:tc>
        <w:tc>
          <w:tcPr>
            <w:tcW w:w="1440" w:type="dxa"/>
            <w:shd w:val="clear" w:color="auto" w:fill="auto"/>
            <w:vAlign w:val="center"/>
          </w:tcPr>
          <w:p w14:paraId="0299DC3B">
            <w:pPr>
              <w:spacing w:before="0" w:beforeAutospacing="0" w:after="0" w:afterAutospacing="0"/>
              <w:ind w:left="0" w:leftChars="0" w:right="0" w:rightChars="0"/>
              <w:jc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278503.99</w:t>
            </w:r>
          </w:p>
        </w:tc>
      </w:tr>
    </w:tbl>
    <w:p w14:paraId="015D81FE">
      <w:pPr>
        <w:pStyle w:val="43"/>
        <w:rPr>
          <w:rFonts w:hint="eastAsia"/>
          <w:color w:val="auto"/>
          <w:highlight w:val="none"/>
          <w:lang w:val="en-US" w:eastAsia="zh-CN"/>
        </w:rPr>
      </w:pPr>
    </w:p>
    <w:p w14:paraId="233E2E44">
      <w:pPr>
        <w:widowControl w:val="0"/>
        <w:numPr>
          <w:ilvl w:val="0"/>
          <w:numId w:val="0"/>
        </w:numPr>
        <w:wordWrap/>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lang w:val="en-US" w:eastAsia="zh-CN"/>
        </w:rPr>
        <w:t>5、采购需求（包括但不限于标的的名称、数量、简要技术需求或服务要求等）</w:t>
      </w:r>
    </w:p>
    <w:p w14:paraId="22F7465D">
      <w:pPr>
        <w:widowControl w:val="0"/>
        <w:wordWrap/>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.1采购内容：</w:t>
      </w:r>
    </w:p>
    <w:p w14:paraId="5F668751">
      <w:pPr>
        <w:widowControl w:val="0"/>
        <w:wordWrap/>
        <w:adjustRightInd/>
        <w:snapToGrid/>
        <w:spacing w:line="360" w:lineRule="auto"/>
        <w:ind w:firstLine="420" w:firstLineChars="200"/>
        <w:textAlignment w:val="auto"/>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一标段：2024年索河办槐树洼村机井建设项目-新打500米机井1眼及配套，配套30吨压力罐1套，电缆线500米，地埋φ90PE管道300米，新建9平方管理房1间；</w:t>
      </w:r>
    </w:p>
    <w:p w14:paraId="7D16CC9D">
      <w:pPr>
        <w:widowControl w:val="0"/>
        <w:wordWrap/>
        <w:adjustRightInd/>
        <w:snapToGrid/>
        <w:spacing w:line="360" w:lineRule="auto"/>
        <w:ind w:firstLine="420" w:firstLineChars="200"/>
        <w:textAlignment w:val="auto"/>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二标段：2024年高村乡荆寨村道路建设项目-新修道路804米，宽3米，厚15厘米；</w:t>
      </w:r>
    </w:p>
    <w:p w14:paraId="7EF7507C">
      <w:pPr>
        <w:widowControl w:val="0"/>
        <w:wordWrap/>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（详见采购文件、图纸、工程量清单）；</w:t>
      </w:r>
    </w:p>
    <w:p w14:paraId="2CA9AD00">
      <w:pPr>
        <w:widowControl w:val="0"/>
        <w:wordWrap/>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5.2.</w:t>
      </w:r>
      <w:r>
        <w:rPr>
          <w:rFonts w:hint="eastAsia" w:ascii="宋体" w:hAnsi="宋体" w:cs="宋体"/>
          <w:color w:val="auto"/>
          <w:highlight w:val="none"/>
          <w:lang w:eastAsia="zh-CN"/>
        </w:rPr>
        <w:t>建设地点</w:t>
      </w:r>
      <w:r>
        <w:rPr>
          <w:rFonts w:hint="eastAsia" w:ascii="宋体" w:hAnsi="宋体" w:eastAsia="宋体" w:cs="宋体"/>
          <w:color w:val="auto"/>
          <w:highlight w:val="none"/>
        </w:rPr>
        <w:t>：</w:t>
      </w:r>
      <w:r>
        <w:rPr>
          <w:rFonts w:hint="eastAsia" w:ascii="宋体" w:hAnsi="宋体" w:cs="宋体"/>
          <w:color w:val="auto"/>
          <w:highlight w:val="none"/>
          <w:lang w:eastAsia="zh-CN"/>
        </w:rPr>
        <w:t>荥阳市</w:t>
      </w:r>
      <w:r>
        <w:rPr>
          <w:rFonts w:hint="eastAsia" w:ascii="宋体" w:hAnsi="宋体" w:cs="宋体"/>
          <w:color w:val="auto"/>
          <w:highlight w:val="none"/>
          <w:lang w:val="en-US" w:eastAsia="zh-CN"/>
        </w:rPr>
        <w:t>索河办槐树洼村</w:t>
      </w:r>
      <w:r>
        <w:rPr>
          <w:rFonts w:hint="eastAsia" w:ascii="宋体" w:hAnsi="宋体" w:cs="宋体"/>
          <w:b w:val="0"/>
          <w:bCs w:val="0"/>
          <w:color w:val="auto"/>
          <w:kern w:val="2"/>
          <w:sz w:val="21"/>
          <w:szCs w:val="21"/>
          <w:highlight w:val="none"/>
          <w:lang w:val="en-US" w:eastAsia="zh-CN" w:bidi="ar-SA"/>
        </w:rPr>
        <w:t>，高村乡荆寨村</w:t>
      </w:r>
      <w:r>
        <w:rPr>
          <w:rFonts w:hint="eastAsia" w:ascii="宋体" w:hAnsi="宋体" w:eastAsia="宋体" w:cs="宋体"/>
          <w:color w:val="auto"/>
          <w:highlight w:val="none"/>
        </w:rPr>
        <w:t>；</w:t>
      </w:r>
    </w:p>
    <w:p w14:paraId="7AD87D10">
      <w:pPr>
        <w:widowControl w:val="0"/>
        <w:wordWrap/>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5.3.工期</w:t>
      </w:r>
      <w:r>
        <w:rPr>
          <w:rFonts w:hint="eastAsia" w:ascii="宋体" w:hAnsi="宋体" w:eastAsia="宋体" w:cs="宋体"/>
          <w:color w:val="auto"/>
          <w:highlight w:val="none"/>
        </w:rPr>
        <w:t>：合同签订后</w:t>
      </w:r>
      <w:r>
        <w:rPr>
          <w:rFonts w:hint="eastAsia" w:ascii="宋体" w:hAnsi="宋体" w:cs="宋体"/>
          <w:color w:val="auto"/>
          <w:highlight w:val="none"/>
          <w:lang w:val="en-US" w:eastAsia="zh-CN"/>
        </w:rPr>
        <w:t>60日历天</w:t>
      </w:r>
      <w:r>
        <w:rPr>
          <w:rFonts w:hint="eastAsia" w:ascii="宋体" w:hAnsi="宋体" w:eastAsia="宋体" w:cs="宋体"/>
          <w:color w:val="auto"/>
          <w:highlight w:val="none"/>
        </w:rPr>
        <w:t>内完成；</w:t>
      </w:r>
    </w:p>
    <w:p w14:paraId="095114E0">
      <w:pPr>
        <w:widowControl w:val="0"/>
        <w:wordWrap/>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5.4.</w:t>
      </w:r>
      <w:r>
        <w:rPr>
          <w:rFonts w:hint="eastAsia" w:ascii="宋体" w:hAnsi="宋体" w:eastAsia="宋体" w:cs="宋体"/>
          <w:color w:val="auto"/>
          <w:highlight w:val="none"/>
        </w:rPr>
        <w:t>质量</w:t>
      </w:r>
      <w:r>
        <w:rPr>
          <w:rFonts w:hint="eastAsia" w:ascii="宋体" w:hAnsi="宋体" w:cs="宋体"/>
          <w:color w:val="auto"/>
          <w:highlight w:val="none"/>
          <w:lang w:val="en-US" w:eastAsia="zh-CN"/>
        </w:rPr>
        <w:t>标准</w:t>
      </w:r>
      <w:r>
        <w:rPr>
          <w:rFonts w:hint="eastAsia" w:ascii="宋体" w:hAnsi="宋体" w:eastAsia="宋体" w:cs="宋体"/>
          <w:color w:val="auto"/>
          <w:highlight w:val="none"/>
        </w:rPr>
        <w:t>：</w:t>
      </w:r>
      <w:r>
        <w:rPr>
          <w:rFonts w:hint="eastAsia" w:ascii="宋体" w:hAnsi="宋体" w:eastAsia="宋体" w:cs="宋体"/>
          <w:bCs/>
          <w:color w:val="auto"/>
          <w:szCs w:val="21"/>
          <w:highlight w:val="none"/>
        </w:rPr>
        <w:t>符合国家或行业规定的合格标准，满足采购人提出的技术标准及要求</w:t>
      </w:r>
      <w:r>
        <w:rPr>
          <w:rFonts w:hint="eastAsia" w:ascii="宋体" w:hAnsi="宋体" w:eastAsia="宋体" w:cs="宋体"/>
          <w:color w:val="auto"/>
          <w:highlight w:val="none"/>
        </w:rPr>
        <w:t>；</w:t>
      </w:r>
    </w:p>
    <w:p w14:paraId="666050AD">
      <w:pPr>
        <w:widowControl w:val="0"/>
        <w:wordWrap/>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5.5.验收标准：满足采购人的验收标准及要求；</w:t>
      </w:r>
    </w:p>
    <w:p w14:paraId="1A6F6670">
      <w:pPr>
        <w:widowControl w:val="0"/>
        <w:wordWrap/>
        <w:adjustRightInd/>
        <w:snapToGrid/>
        <w:spacing w:line="360" w:lineRule="auto"/>
        <w:ind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6、合同履行期限：60日历天；</w:t>
      </w:r>
    </w:p>
    <w:p w14:paraId="6BBF1B45">
      <w:pPr>
        <w:widowControl w:val="0"/>
        <w:wordWrap/>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7、本项目是否接受联合体投标：否  </w:t>
      </w:r>
    </w:p>
    <w:p w14:paraId="5D92659B">
      <w:pPr>
        <w:widowControl w:val="0"/>
        <w:wordWrap/>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8、是否接受进口产品：否</w:t>
      </w:r>
    </w:p>
    <w:p w14:paraId="6E325E9E">
      <w:pPr>
        <w:widowControl w:val="0"/>
        <w:wordWrap/>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9、是否专门面向中小企业：是</w:t>
      </w:r>
    </w:p>
    <w:p w14:paraId="1F1F1A8F">
      <w:pPr>
        <w:widowControl w:val="0"/>
        <w:wordWrap/>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、申请人的资格要求</w:t>
      </w:r>
    </w:p>
    <w:p w14:paraId="165F819A">
      <w:pPr>
        <w:widowControl w:val="0"/>
        <w:wordWrap/>
        <w:adjustRightInd/>
        <w:snapToGrid/>
        <w:spacing w:line="360" w:lineRule="auto"/>
        <w:ind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1.满足《中华人民共和国政府采购法》第二十二条规定：</w:t>
      </w:r>
    </w:p>
    <w:p w14:paraId="2536C612">
      <w:pPr>
        <w:widowControl w:val="0"/>
        <w:wordWrap/>
        <w:adjustRightInd/>
        <w:snapToGrid/>
        <w:spacing w:line="360" w:lineRule="auto"/>
        <w:ind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2.落实政府采购政策满足的资格要求：</w:t>
      </w:r>
    </w:p>
    <w:p w14:paraId="17E02AE5">
      <w:pPr>
        <w:widowControl w:val="0"/>
        <w:wordWrap/>
        <w:adjustRightInd/>
        <w:snapToGrid/>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rPr>
        <w:t>本项目落实促进中小型企业发展政策（监狱企业、残疾人福利性企业视同小微企业），优先采购节能环保产品，政府强制采购节能产品等</w:t>
      </w:r>
      <w:r>
        <w:rPr>
          <w:rFonts w:hint="eastAsia" w:ascii="宋体" w:hAnsi="宋体" w:cs="宋体"/>
          <w:color w:val="auto"/>
          <w:sz w:val="21"/>
          <w:szCs w:val="21"/>
          <w:highlight w:val="none"/>
          <w:lang w:val="en-US" w:eastAsia="zh-CN"/>
        </w:rPr>
        <w:t>。</w:t>
      </w:r>
    </w:p>
    <w:p w14:paraId="41F11444">
      <w:pPr>
        <w:widowControl w:val="0"/>
        <w:wordWrap/>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3.本项目的特定资格要求：</w:t>
      </w:r>
    </w:p>
    <w:p w14:paraId="2606EC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一标段供应商须具有水利水电工程施工总承包叁级及以上资质；具有有效的安全生产许可证；拟派项目经理须具有水利水电专业二级及以上注册建造师资格（不含临时）及有效的安全生产考核合格证，项目经理未在其他在建工程中担任项目经理并出具无在建承诺书，拟派的项目经理（建造师）提供在本单位缴纳的近三个月任意一个月的社保证明（新成立企业从成立之日起算）；</w:t>
      </w:r>
    </w:p>
    <w:p w14:paraId="726521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二标段供应商须具有市政公用工程施工总承包叁级及以上资质，具备有效的安全生产许可证；拟派项目经理须具有市政专业贰级及以上注册建造师资格（不含临时）及有效的安全生产考核合格证，项目经理未在其他在建工程中担任项目经理并出具无在建承诺书，拟派的项目经理（建造师）提供在本单位缴纳的近三个月任意一个月的社保证明（新成立企业从成立之日起算）；</w:t>
      </w:r>
    </w:p>
    <w:p w14:paraId="4EAF60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注：采购代理机构在开标当天将对所有参与本项目投标的供应商的信用情况（失信被执行人、重大税收违法失信主体、政府采购严重违法失信行为记录名单）进行查询。若在开标当天查询到供应商有相关负面信息的，则该供应商为无效供应商。</w:t>
      </w:r>
    </w:p>
    <w:p w14:paraId="0B7015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（3）须提供《中小企业声明函》（详见采购文件格式）；</w:t>
      </w:r>
    </w:p>
    <w:p w14:paraId="3174E1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单位负责人为同一人或者存在直接控股、管理关系的不同单位，不得同时参加同一合同项下的政府采购活动【提供“国家企业信用信息公示系统”中公示的公司基础信息包含股东及出资信息截图，查询时间在公告发布之后投标截止时间之前。】</w:t>
      </w:r>
    </w:p>
    <w:p w14:paraId="5624909E">
      <w:pPr>
        <w:spacing w:line="360" w:lineRule="auto"/>
        <w:rPr>
          <w:rFonts w:hint="eastAsia"/>
          <w:b/>
          <w:bCs/>
          <w:szCs w:val="21"/>
          <w:highlight w:val="none"/>
        </w:rPr>
      </w:pPr>
      <w:bookmarkStart w:id="5" w:name="_Toc16669"/>
      <w:bookmarkStart w:id="6" w:name="_Toc6523"/>
      <w:bookmarkStart w:id="7" w:name="_Toc30918"/>
      <w:bookmarkStart w:id="8" w:name="_Toc29784"/>
      <w:bookmarkStart w:id="9" w:name="_Toc6878"/>
      <w:bookmarkStart w:id="10" w:name="_Toc20287"/>
      <w:r>
        <w:rPr>
          <w:rFonts w:hint="eastAsia"/>
          <w:b/>
          <w:bCs/>
          <w:szCs w:val="21"/>
          <w:highlight w:val="none"/>
        </w:rPr>
        <w:t>三、获取采购文件</w:t>
      </w:r>
    </w:p>
    <w:p w14:paraId="032189A1">
      <w:pPr>
        <w:spacing w:line="360" w:lineRule="auto"/>
        <w:ind w:firstLine="420" w:firstLineChars="200"/>
        <w:rPr>
          <w:rFonts w:hint="eastAsia"/>
          <w:szCs w:val="21"/>
          <w:highlight w:val="none"/>
        </w:rPr>
      </w:pPr>
      <w:r>
        <w:rPr>
          <w:rFonts w:hint="eastAsia"/>
          <w:szCs w:val="21"/>
          <w:highlight w:val="none"/>
        </w:rPr>
        <w:t>1.时间：2024年12月05日 至 2024年12月11日，每天上午00:00至11:59，下午12:00至23:59（北京时间，法定节假日除外。）</w:t>
      </w:r>
    </w:p>
    <w:p w14:paraId="2564273F">
      <w:pPr>
        <w:spacing w:line="360" w:lineRule="auto"/>
        <w:ind w:firstLine="420" w:firstLineChars="200"/>
        <w:rPr>
          <w:rFonts w:hint="eastAsia"/>
          <w:szCs w:val="21"/>
          <w:highlight w:val="none"/>
        </w:rPr>
      </w:pPr>
      <w:r>
        <w:rPr>
          <w:rFonts w:hint="eastAsia"/>
          <w:szCs w:val="21"/>
          <w:highlight w:val="none"/>
        </w:rPr>
        <w:t>2.地点：荥阳市公共资源交易平台。</w:t>
      </w:r>
    </w:p>
    <w:p w14:paraId="4988BC90">
      <w:pPr>
        <w:spacing w:line="360" w:lineRule="auto"/>
        <w:ind w:firstLine="420" w:firstLineChars="200"/>
        <w:rPr>
          <w:rFonts w:hint="eastAsia"/>
          <w:szCs w:val="21"/>
          <w:highlight w:val="none"/>
        </w:rPr>
      </w:pPr>
      <w:r>
        <w:rPr>
          <w:rFonts w:hint="eastAsia"/>
          <w:szCs w:val="21"/>
          <w:highlight w:val="none"/>
        </w:rPr>
        <w:t>3.方式：凡有意参加供应商，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采购文件（具体办理事宜请登陆交易中心网站-办事指南-《投标人操作指南》）。</w:t>
      </w:r>
    </w:p>
    <w:p w14:paraId="4B0B9E63">
      <w:pPr>
        <w:spacing w:line="360" w:lineRule="auto"/>
        <w:ind w:firstLine="420" w:firstLineChars="200"/>
        <w:rPr>
          <w:rFonts w:hint="eastAsia"/>
          <w:szCs w:val="21"/>
          <w:highlight w:val="none"/>
        </w:rPr>
      </w:pPr>
      <w:r>
        <w:rPr>
          <w:rFonts w:hint="eastAsia"/>
          <w:szCs w:val="21"/>
          <w:highlight w:val="none"/>
        </w:rPr>
        <w:t>4.售价：0元</w:t>
      </w:r>
    </w:p>
    <w:p w14:paraId="19519224">
      <w:pPr>
        <w:spacing w:line="360" w:lineRule="auto"/>
        <w:rPr>
          <w:rFonts w:hint="eastAsia"/>
          <w:b/>
          <w:bCs/>
          <w:szCs w:val="21"/>
          <w:highlight w:val="none"/>
        </w:rPr>
      </w:pPr>
      <w:r>
        <w:rPr>
          <w:rFonts w:hint="eastAsia"/>
          <w:b/>
          <w:bCs/>
          <w:szCs w:val="21"/>
          <w:highlight w:val="none"/>
        </w:rPr>
        <w:t>四、响应文件提交</w:t>
      </w:r>
    </w:p>
    <w:p w14:paraId="798FAD92">
      <w:pPr>
        <w:spacing w:line="360" w:lineRule="auto"/>
        <w:ind w:firstLine="420" w:firstLineChars="200"/>
        <w:rPr>
          <w:rFonts w:hint="eastAsia"/>
          <w:szCs w:val="21"/>
          <w:highlight w:val="none"/>
        </w:rPr>
      </w:pPr>
      <w:r>
        <w:rPr>
          <w:rFonts w:hint="eastAsia"/>
          <w:szCs w:val="21"/>
          <w:highlight w:val="none"/>
        </w:rPr>
        <w:t>1.截止时间：2024年12月</w:t>
      </w:r>
      <w:r>
        <w:rPr>
          <w:rFonts w:hint="eastAsia"/>
          <w:szCs w:val="21"/>
          <w:highlight w:val="none"/>
          <w:lang w:val="en-US" w:eastAsia="zh-CN"/>
        </w:rPr>
        <w:t>16</w:t>
      </w:r>
      <w:r>
        <w:rPr>
          <w:rFonts w:hint="eastAsia"/>
          <w:szCs w:val="21"/>
          <w:highlight w:val="none"/>
        </w:rPr>
        <w:t>日</w:t>
      </w:r>
      <w:r>
        <w:rPr>
          <w:rFonts w:hint="eastAsia"/>
          <w:szCs w:val="21"/>
          <w:highlight w:val="none"/>
          <w:lang w:val="en-US" w:eastAsia="zh-CN"/>
        </w:rPr>
        <w:t>10</w:t>
      </w:r>
      <w:r>
        <w:rPr>
          <w:rFonts w:hint="eastAsia"/>
          <w:szCs w:val="21"/>
          <w:highlight w:val="none"/>
        </w:rPr>
        <w:t>时00分（北京时间）</w:t>
      </w:r>
    </w:p>
    <w:p w14:paraId="1D0478C1">
      <w:pPr>
        <w:spacing w:line="360" w:lineRule="auto"/>
        <w:ind w:firstLine="420" w:firstLineChars="200"/>
        <w:rPr>
          <w:rFonts w:hint="eastAsia"/>
          <w:szCs w:val="21"/>
          <w:highlight w:val="none"/>
        </w:rPr>
      </w:pPr>
      <w:r>
        <w:rPr>
          <w:rFonts w:hint="eastAsia"/>
          <w:szCs w:val="21"/>
          <w:highlight w:val="none"/>
        </w:rPr>
        <w:t>2.地点：荥阳市公共资源交易平台</w:t>
      </w:r>
    </w:p>
    <w:p w14:paraId="41EC142B">
      <w:pPr>
        <w:spacing w:line="360" w:lineRule="auto"/>
        <w:rPr>
          <w:rFonts w:hint="eastAsia"/>
          <w:b/>
          <w:bCs/>
          <w:szCs w:val="21"/>
          <w:highlight w:val="none"/>
        </w:rPr>
      </w:pPr>
      <w:r>
        <w:rPr>
          <w:rFonts w:hint="eastAsia"/>
          <w:b/>
          <w:bCs/>
          <w:szCs w:val="21"/>
          <w:highlight w:val="none"/>
        </w:rPr>
        <w:t>五、响应文件开启</w:t>
      </w:r>
    </w:p>
    <w:p w14:paraId="7C35FB04">
      <w:pPr>
        <w:spacing w:line="360" w:lineRule="auto"/>
        <w:ind w:firstLine="420" w:firstLineChars="200"/>
        <w:rPr>
          <w:rFonts w:hint="eastAsia"/>
          <w:szCs w:val="21"/>
          <w:highlight w:val="none"/>
        </w:rPr>
      </w:pPr>
      <w:r>
        <w:rPr>
          <w:rFonts w:hint="eastAsia"/>
          <w:szCs w:val="21"/>
          <w:highlight w:val="none"/>
        </w:rPr>
        <w:t>1.时间：2024年</w:t>
      </w:r>
      <w:r>
        <w:rPr>
          <w:rFonts w:hint="eastAsia"/>
          <w:szCs w:val="21"/>
          <w:highlight w:val="none"/>
          <w:lang w:val="en-US" w:eastAsia="zh-CN"/>
        </w:rPr>
        <w:t>12</w:t>
      </w:r>
      <w:r>
        <w:rPr>
          <w:rFonts w:hint="eastAsia"/>
          <w:szCs w:val="21"/>
          <w:highlight w:val="none"/>
        </w:rPr>
        <w:t>月</w:t>
      </w:r>
      <w:r>
        <w:rPr>
          <w:rFonts w:hint="eastAsia"/>
          <w:szCs w:val="21"/>
          <w:highlight w:val="none"/>
          <w:lang w:val="en-US" w:eastAsia="zh-CN"/>
        </w:rPr>
        <w:t>16</w:t>
      </w:r>
      <w:r>
        <w:rPr>
          <w:rFonts w:hint="eastAsia"/>
          <w:szCs w:val="21"/>
          <w:highlight w:val="none"/>
        </w:rPr>
        <w:t>日</w:t>
      </w:r>
      <w:r>
        <w:rPr>
          <w:rFonts w:hint="eastAsia"/>
          <w:szCs w:val="21"/>
          <w:highlight w:val="none"/>
          <w:lang w:val="en-US" w:eastAsia="zh-CN"/>
        </w:rPr>
        <w:t>10</w:t>
      </w:r>
      <w:r>
        <w:rPr>
          <w:rFonts w:hint="eastAsia"/>
          <w:szCs w:val="21"/>
          <w:highlight w:val="none"/>
        </w:rPr>
        <w:t>时00分（北京时间）</w:t>
      </w:r>
    </w:p>
    <w:p w14:paraId="6E483C95">
      <w:pPr>
        <w:spacing w:line="360" w:lineRule="auto"/>
        <w:ind w:firstLine="420" w:firstLineChars="200"/>
        <w:rPr>
          <w:rFonts w:hint="eastAsia"/>
          <w:szCs w:val="21"/>
          <w:highlight w:val="none"/>
        </w:rPr>
      </w:pPr>
      <w:r>
        <w:rPr>
          <w:rFonts w:hint="eastAsia"/>
          <w:szCs w:val="21"/>
          <w:highlight w:val="none"/>
        </w:rPr>
        <w:t>2.地点：荥阳市公共资源交易中心（荥阳市中原路与飞龙路西北角政务服务中心七楼）第</w:t>
      </w:r>
      <w:r>
        <w:rPr>
          <w:rFonts w:hint="eastAsia"/>
          <w:szCs w:val="21"/>
          <w:highlight w:val="none"/>
          <w:lang w:val="en-US" w:eastAsia="zh-CN"/>
        </w:rPr>
        <w:t>二</w:t>
      </w:r>
      <w:r>
        <w:rPr>
          <w:rFonts w:hint="eastAsia"/>
          <w:szCs w:val="21"/>
          <w:highlight w:val="none"/>
        </w:rPr>
        <w:t>开标室。</w:t>
      </w:r>
    </w:p>
    <w:p w14:paraId="18346DBE">
      <w:pPr>
        <w:spacing w:line="360" w:lineRule="auto"/>
        <w:rPr>
          <w:rFonts w:hint="eastAsia"/>
          <w:b/>
          <w:bCs/>
          <w:szCs w:val="21"/>
          <w:highlight w:val="none"/>
        </w:rPr>
      </w:pPr>
      <w:r>
        <w:rPr>
          <w:rFonts w:hint="eastAsia"/>
          <w:b/>
          <w:bCs/>
          <w:szCs w:val="21"/>
          <w:highlight w:val="none"/>
        </w:rPr>
        <w:t>六、发布公告的媒介及招标公告期限</w:t>
      </w:r>
    </w:p>
    <w:p w14:paraId="6BFC4104">
      <w:pPr>
        <w:spacing w:line="360" w:lineRule="auto"/>
        <w:ind w:firstLine="420" w:firstLineChars="200"/>
        <w:rPr>
          <w:rFonts w:hint="eastAsia"/>
          <w:szCs w:val="21"/>
          <w:highlight w:val="none"/>
        </w:rPr>
      </w:pPr>
      <w:r>
        <w:rPr>
          <w:rFonts w:hint="eastAsia"/>
          <w:szCs w:val="21"/>
          <w:highlight w:val="none"/>
        </w:rPr>
        <w:t>本次公告在</w:t>
      </w:r>
      <w:r>
        <w:rPr>
          <w:rFonts w:hint="eastAsia"/>
          <w:szCs w:val="21"/>
          <w:highlight w:val="none"/>
          <w:lang w:val="en-US" w:eastAsia="zh-CN"/>
        </w:rPr>
        <w:t>《河南省政府采购网》、《荥阳市政府采购网》、《荥阳市公共资源交易中心网站》、《中国招标投标公共服务平台》</w:t>
      </w:r>
      <w:r>
        <w:rPr>
          <w:rFonts w:hint="eastAsia"/>
          <w:szCs w:val="21"/>
          <w:highlight w:val="none"/>
        </w:rPr>
        <w:t>上发布，招标公告期限为</w:t>
      </w:r>
      <w:r>
        <w:rPr>
          <w:rFonts w:hint="eastAsia"/>
          <w:szCs w:val="21"/>
          <w:highlight w:val="none"/>
          <w:lang w:val="en-US" w:eastAsia="zh-CN"/>
        </w:rPr>
        <w:t>三</w:t>
      </w:r>
      <w:r>
        <w:rPr>
          <w:rFonts w:hint="eastAsia"/>
          <w:szCs w:val="21"/>
          <w:highlight w:val="none"/>
        </w:rPr>
        <w:t>个工作日。</w:t>
      </w:r>
    </w:p>
    <w:bookmarkEnd w:id="5"/>
    <w:bookmarkEnd w:id="6"/>
    <w:bookmarkEnd w:id="7"/>
    <w:bookmarkEnd w:id="8"/>
    <w:bookmarkEnd w:id="9"/>
    <w:bookmarkEnd w:id="10"/>
    <w:p w14:paraId="5A30A528">
      <w:pPr>
        <w:widowControl w:val="0"/>
        <w:numPr>
          <w:ilvl w:val="0"/>
          <w:numId w:val="0"/>
        </w:numPr>
        <w:wordWrap/>
        <w:adjustRightInd/>
        <w:snapToGrid/>
        <w:spacing w:line="360" w:lineRule="auto"/>
        <w:textAlignment w:val="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七</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其他补充事宜</w:t>
      </w:r>
    </w:p>
    <w:p w14:paraId="60F4DC07">
      <w:pPr>
        <w:pStyle w:val="23"/>
        <w:spacing w:before="0" w:beforeAutospacing="0" w:after="0" w:afterAutospacing="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1、投标文件制作及上传：</w:t>
      </w:r>
    </w:p>
    <w:p w14:paraId="0AD36C30">
      <w:pPr>
        <w:pStyle w:val="23"/>
        <w:spacing w:before="0" w:beforeAutospacing="0" w:after="0" w:afterAutospacing="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获取招标文件后，投标人（供应商）请登陆荥阳市公共资源交易中心网站—下载中心—下载最新版本“投标文件制作软件”制作电子投标文件（具体制作手册请查询交易中心网站-办事指南-《投标文件制作操作手册》）。</w:t>
      </w:r>
    </w:p>
    <w:p w14:paraId="5E1E0B8A">
      <w:pPr>
        <w:pStyle w:val="23"/>
        <w:spacing w:before="0" w:beforeAutospacing="0" w:after="0" w:afterAutospacing="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1.2、投标人（供应商）须在投标截止时间前登陆荥阳市公共资源交易平台上传加密的电子投标文件。</w:t>
      </w:r>
    </w:p>
    <w:p w14:paraId="766CA959">
      <w:pPr>
        <w:pStyle w:val="23"/>
        <w:spacing w:before="0" w:beforeAutospacing="0" w:after="0" w:afterAutospacing="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p>
    <w:p w14:paraId="418A674B">
      <w:pPr>
        <w:pStyle w:val="23"/>
        <w:spacing w:before="0" w:beforeAutospacing="0" w:after="0" w:afterAutospacing="0" w:line="360" w:lineRule="auto"/>
        <w:ind w:firstLine="420" w:firstLineChars="200"/>
        <w:jc w:val="both"/>
        <w:rPr>
          <w:rFonts w:hint="eastAsia" w:ascii="宋体" w:hAnsi="宋体" w:eastAsia="宋体" w:cs="宋体"/>
          <w:color w:val="auto"/>
          <w:kern w:val="2"/>
          <w:sz w:val="21"/>
          <w:szCs w:val="21"/>
          <w:highlight w:val="none"/>
        </w:rPr>
      </w:pPr>
      <w:r>
        <w:rPr>
          <w:rFonts w:hint="eastAsia" w:cs="宋体"/>
          <w:kern w:val="2"/>
          <w:sz w:val="21"/>
          <w:szCs w:val="21"/>
          <w:highlight w:val="none"/>
          <w:lang w:val="en-US" w:eastAsia="zh-CN"/>
        </w:rPr>
        <w:t>3、供应商可同时响应多个标段，但只能中一个标段。若出现两个或两个以上标段同时被推荐为第一候选人，则只能选择标段顺序最靠前的作为成交供应商。</w:t>
      </w:r>
    </w:p>
    <w:p w14:paraId="1E41612E">
      <w:pPr>
        <w:pStyle w:val="23"/>
        <w:spacing w:before="0" w:beforeAutospacing="0" w:after="0" w:afterAutospacing="0" w:line="360" w:lineRule="auto"/>
        <w:ind w:firstLine="420" w:firstLineChars="200"/>
        <w:jc w:val="both"/>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w:t>
      </w:r>
      <w:r>
        <w:rPr>
          <w:rFonts w:hint="eastAsia" w:eastAsia="宋体" w:cs="宋体"/>
          <w:b w:val="0"/>
          <w:bCs/>
          <w:color w:val="auto"/>
          <w:sz w:val="21"/>
          <w:szCs w:val="21"/>
          <w:highlight w:val="none"/>
          <w:lang w:val="en-US" w:eastAsia="zh-CN"/>
        </w:rPr>
        <w:t>本次采购招标代理服务费，参考河南省招标投标协会（豫招协[2023]002号）文规定的计费方式，向成交供应商收取代理服务费</w:t>
      </w:r>
      <w:r>
        <w:rPr>
          <w:rFonts w:hint="eastAsia" w:ascii="宋体" w:hAnsi="宋体" w:cs="宋体"/>
          <w:color w:val="auto"/>
          <w:kern w:val="2"/>
          <w:sz w:val="21"/>
          <w:szCs w:val="21"/>
          <w:highlight w:val="none"/>
          <w:lang w:val="en-US" w:eastAsia="zh-CN"/>
        </w:rPr>
        <w:t>。</w:t>
      </w:r>
    </w:p>
    <w:p w14:paraId="5E6B6E4B">
      <w:pPr>
        <w:pStyle w:val="23"/>
        <w:spacing w:before="0" w:beforeAutospacing="0" w:after="0" w:afterAutospacing="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r>
        <w:rPr>
          <w:rFonts w:hint="eastAsia" w:ascii="宋体" w:hAnsi="宋体" w:eastAsia="宋体" w:cs="宋体"/>
          <w:b w:val="0"/>
          <w:bCs w:val="0"/>
          <w:kern w:val="2"/>
          <w:sz w:val="21"/>
          <w:szCs w:val="21"/>
          <w:highlight w:val="none"/>
        </w:rPr>
        <w:t>本项目采购</w:t>
      </w:r>
      <w:r>
        <w:rPr>
          <w:rFonts w:hint="eastAsia" w:ascii="宋体" w:hAnsi="宋体" w:cs="宋体"/>
          <w:color w:val="auto"/>
          <w:kern w:val="2"/>
          <w:sz w:val="21"/>
          <w:szCs w:val="21"/>
          <w:highlight w:val="none"/>
          <w:lang w:val="en-US" w:eastAsia="zh-CN"/>
        </w:rPr>
        <w:t>监督部门：荥阳市财政局</w:t>
      </w:r>
    </w:p>
    <w:p w14:paraId="24001C24">
      <w:pPr>
        <w:widowControl w:val="0"/>
        <w:wordWrap/>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、凡对本次招标提出询问，请按照以下方式联系</w:t>
      </w:r>
    </w:p>
    <w:p w14:paraId="62C0D2B5">
      <w:pPr>
        <w:spacing w:line="360" w:lineRule="auto"/>
        <w:ind w:leftChars="1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 采购人信息</w:t>
      </w:r>
    </w:p>
    <w:p w14:paraId="584E57E1">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名称：荥阳市农业农村局</w:t>
      </w:r>
    </w:p>
    <w:p w14:paraId="15AEA6B2">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地址：河南省荥阳市福民路中段</w:t>
      </w:r>
    </w:p>
    <w:p w14:paraId="1C1D08B3">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联系人：郑晓川</w:t>
      </w:r>
    </w:p>
    <w:p w14:paraId="5207E330">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联系方式：0371-64671166</w:t>
      </w:r>
    </w:p>
    <w:p w14:paraId="70AF60BD">
      <w:pPr>
        <w:spacing w:line="360" w:lineRule="auto"/>
        <w:ind w:leftChars="1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2.采购代理机构信息（如有）</w:t>
      </w:r>
    </w:p>
    <w:p w14:paraId="3E2634CB">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名称：河南守恒建设工程咨询有限公司</w:t>
      </w:r>
    </w:p>
    <w:p w14:paraId="740568C4">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地址：河南省郑州市荥阳市索河路与工业路交叉口向南100米路西</w:t>
      </w:r>
    </w:p>
    <w:p w14:paraId="5716D708">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联系人：张聪</w:t>
      </w:r>
    </w:p>
    <w:p w14:paraId="28F343F0">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联系方式：13027780287</w:t>
      </w:r>
    </w:p>
    <w:p w14:paraId="65519CEF">
      <w:pPr>
        <w:spacing w:line="360" w:lineRule="auto"/>
        <w:ind w:leftChars="1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3.项目联系方式</w:t>
      </w:r>
    </w:p>
    <w:p w14:paraId="3AA42399">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项目联系人：张聪</w:t>
      </w:r>
    </w:p>
    <w:p w14:paraId="2BFE0164">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联系方式：13027780287　</w:t>
      </w:r>
      <w:r>
        <w:rPr>
          <w:rFonts w:hint="eastAsia" w:ascii="宋体" w:hAnsi="宋体" w:eastAsia="宋体" w:cs="宋体"/>
          <w:szCs w:val="21"/>
          <w:highlight w:val="none"/>
          <w:lang w:eastAsia="zh-CN"/>
        </w:rPr>
        <w:t>　</w:t>
      </w:r>
    </w:p>
    <w:p w14:paraId="5224EDA1">
      <w:pPr>
        <w:pStyle w:val="4"/>
        <w:rPr>
          <w:b/>
          <w:bCs/>
          <w:color w:val="auto"/>
          <w:highlight w:val="none"/>
        </w:rPr>
      </w:pPr>
      <w:bookmarkStart w:id="11" w:name="_Toc3340"/>
    </w:p>
    <w:p w14:paraId="3D03354B">
      <w:pPr>
        <w:rPr>
          <w:b/>
          <w:bCs/>
          <w:color w:val="auto"/>
          <w:highlight w:val="none"/>
        </w:rPr>
      </w:pPr>
    </w:p>
    <w:p w14:paraId="6213B23D">
      <w:pPr>
        <w:pStyle w:val="2"/>
        <w:rPr>
          <w:b/>
          <w:bCs/>
          <w:color w:val="auto"/>
          <w:highlight w:val="none"/>
        </w:rPr>
      </w:pPr>
    </w:p>
    <w:p w14:paraId="09C30A38">
      <w:pPr>
        <w:pStyle w:val="2"/>
        <w:rPr>
          <w:b/>
          <w:bCs/>
          <w:color w:val="auto"/>
          <w:highlight w:val="none"/>
        </w:rPr>
      </w:pPr>
    </w:p>
    <w:p w14:paraId="520A356C">
      <w:pPr>
        <w:pStyle w:val="2"/>
        <w:rPr>
          <w:b/>
          <w:bCs/>
          <w:color w:val="auto"/>
          <w:highlight w:val="none"/>
        </w:rPr>
      </w:pPr>
    </w:p>
    <w:p w14:paraId="3C27DB85">
      <w:pPr>
        <w:pStyle w:val="2"/>
        <w:rPr>
          <w:b/>
          <w:bCs/>
          <w:color w:val="auto"/>
          <w:highlight w:val="none"/>
        </w:rPr>
      </w:pPr>
    </w:p>
    <w:p w14:paraId="1E0BC0AB">
      <w:pPr>
        <w:pStyle w:val="2"/>
        <w:rPr>
          <w:b/>
          <w:bCs/>
          <w:color w:val="auto"/>
          <w:highlight w:val="none"/>
        </w:rPr>
      </w:pPr>
    </w:p>
    <w:p w14:paraId="16B4BCE8">
      <w:pPr>
        <w:pStyle w:val="2"/>
        <w:rPr>
          <w:b/>
          <w:bCs/>
          <w:color w:val="auto"/>
          <w:highlight w:val="none"/>
        </w:rPr>
      </w:pPr>
    </w:p>
    <w:p w14:paraId="45C759A7">
      <w:pPr>
        <w:pStyle w:val="2"/>
        <w:rPr>
          <w:b/>
          <w:bCs/>
          <w:color w:val="auto"/>
          <w:highlight w:val="none"/>
        </w:rPr>
      </w:pPr>
    </w:p>
    <w:p w14:paraId="4560B162">
      <w:pPr>
        <w:pStyle w:val="2"/>
        <w:rPr>
          <w:b/>
          <w:bCs/>
          <w:color w:val="auto"/>
          <w:highlight w:val="none"/>
        </w:rPr>
      </w:pPr>
    </w:p>
    <w:p w14:paraId="04802042">
      <w:pPr>
        <w:pStyle w:val="2"/>
        <w:rPr>
          <w:b/>
          <w:bCs/>
          <w:color w:val="auto"/>
          <w:highlight w:val="none"/>
        </w:rPr>
      </w:pPr>
    </w:p>
    <w:p w14:paraId="47D68838">
      <w:pPr>
        <w:pStyle w:val="2"/>
        <w:rPr>
          <w:b/>
          <w:bCs/>
          <w:color w:val="auto"/>
          <w:highlight w:val="none"/>
        </w:rPr>
      </w:pPr>
    </w:p>
    <w:p w14:paraId="42B4BFBB">
      <w:pPr>
        <w:pStyle w:val="2"/>
        <w:rPr>
          <w:b/>
          <w:bCs/>
          <w:color w:val="auto"/>
          <w:highlight w:val="none"/>
        </w:rPr>
      </w:pPr>
    </w:p>
    <w:p w14:paraId="47E53AF9">
      <w:pPr>
        <w:pStyle w:val="2"/>
        <w:rPr>
          <w:b/>
          <w:bCs/>
          <w:color w:val="auto"/>
          <w:highlight w:val="none"/>
        </w:rPr>
      </w:pPr>
    </w:p>
    <w:p w14:paraId="37C2BFF4">
      <w:pPr>
        <w:pStyle w:val="2"/>
        <w:rPr>
          <w:b/>
          <w:bCs/>
          <w:color w:val="auto"/>
          <w:highlight w:val="none"/>
        </w:rPr>
      </w:pPr>
    </w:p>
    <w:p w14:paraId="5A5B312B">
      <w:pPr>
        <w:pStyle w:val="2"/>
        <w:rPr>
          <w:b/>
          <w:bCs/>
          <w:color w:val="auto"/>
          <w:highlight w:val="none"/>
        </w:rPr>
      </w:pPr>
    </w:p>
    <w:p w14:paraId="1996F883">
      <w:pPr>
        <w:pStyle w:val="2"/>
        <w:rPr>
          <w:b/>
          <w:bCs/>
          <w:color w:val="auto"/>
          <w:highlight w:val="none"/>
        </w:rPr>
      </w:pPr>
    </w:p>
    <w:p w14:paraId="2ED2E7FF">
      <w:pPr>
        <w:pStyle w:val="2"/>
        <w:rPr>
          <w:b/>
          <w:bCs/>
          <w:color w:val="auto"/>
          <w:highlight w:val="none"/>
        </w:rPr>
      </w:pPr>
    </w:p>
    <w:p w14:paraId="41F98CEC">
      <w:pPr>
        <w:pStyle w:val="2"/>
        <w:rPr>
          <w:b/>
          <w:bCs/>
          <w:color w:val="auto"/>
          <w:highlight w:val="none"/>
        </w:rPr>
      </w:pPr>
    </w:p>
    <w:p w14:paraId="581000DE">
      <w:pPr>
        <w:pStyle w:val="2"/>
        <w:rPr>
          <w:b/>
          <w:bCs/>
          <w:color w:val="auto"/>
          <w:highlight w:val="none"/>
        </w:rPr>
      </w:pPr>
    </w:p>
    <w:p w14:paraId="1591AAF2">
      <w:pPr>
        <w:pStyle w:val="2"/>
        <w:rPr>
          <w:b/>
          <w:bCs/>
          <w:color w:val="auto"/>
          <w:highlight w:val="none"/>
        </w:rPr>
      </w:pPr>
    </w:p>
    <w:p w14:paraId="73E28450">
      <w:pPr>
        <w:pStyle w:val="2"/>
        <w:rPr>
          <w:b/>
          <w:bCs/>
          <w:color w:val="auto"/>
          <w:highlight w:val="none"/>
        </w:rPr>
      </w:pPr>
    </w:p>
    <w:p w14:paraId="0C70AE38">
      <w:pPr>
        <w:pStyle w:val="2"/>
        <w:rPr>
          <w:b/>
          <w:bCs/>
          <w:color w:val="auto"/>
          <w:highlight w:val="none"/>
        </w:rPr>
      </w:pPr>
    </w:p>
    <w:p w14:paraId="27DB88FF">
      <w:pPr>
        <w:pStyle w:val="2"/>
        <w:rPr>
          <w:b/>
          <w:bCs/>
          <w:color w:val="auto"/>
          <w:highlight w:val="none"/>
        </w:rPr>
      </w:pPr>
    </w:p>
    <w:p w14:paraId="0178348B">
      <w:pPr>
        <w:pStyle w:val="2"/>
        <w:rPr>
          <w:b/>
          <w:bCs/>
          <w:color w:val="auto"/>
          <w:highlight w:val="none"/>
        </w:rPr>
      </w:pPr>
    </w:p>
    <w:p w14:paraId="390110A8">
      <w:pPr>
        <w:pStyle w:val="2"/>
        <w:rPr>
          <w:b/>
          <w:bCs/>
          <w:color w:val="auto"/>
          <w:highlight w:val="none"/>
        </w:rPr>
      </w:pPr>
    </w:p>
    <w:p w14:paraId="60055A8D">
      <w:pPr>
        <w:pStyle w:val="2"/>
        <w:rPr>
          <w:b/>
          <w:bCs/>
          <w:color w:val="auto"/>
          <w:highlight w:val="none"/>
        </w:rPr>
      </w:pPr>
    </w:p>
    <w:p w14:paraId="4DDDD4E8">
      <w:pPr>
        <w:pStyle w:val="2"/>
        <w:rPr>
          <w:b/>
          <w:bCs/>
          <w:color w:val="auto"/>
          <w:highlight w:val="none"/>
        </w:rPr>
      </w:pPr>
    </w:p>
    <w:p w14:paraId="7ED0515B">
      <w:pPr>
        <w:pStyle w:val="4"/>
        <w:rPr>
          <w:b/>
          <w:bCs/>
          <w:color w:val="auto"/>
          <w:highlight w:val="none"/>
        </w:rPr>
      </w:pPr>
      <w:r>
        <w:rPr>
          <w:rFonts w:hint="eastAsia"/>
          <w:b/>
          <w:bCs/>
          <w:color w:val="auto"/>
          <w:highlight w:val="none"/>
        </w:rPr>
        <w:t>第二章 供应商须知</w:t>
      </w:r>
      <w:bookmarkEnd w:id="3"/>
      <w:bookmarkEnd w:id="4"/>
      <w:bookmarkEnd w:id="11"/>
    </w:p>
    <w:p w14:paraId="713ACEC3">
      <w:pPr>
        <w:pStyle w:val="5"/>
        <w:rPr>
          <w:rFonts w:ascii="宋体" w:hAnsi="宋体"/>
          <w:color w:val="auto"/>
          <w:sz w:val="30"/>
          <w:szCs w:val="30"/>
          <w:highlight w:val="none"/>
        </w:rPr>
      </w:pPr>
      <w:bookmarkStart w:id="12" w:name="_Toc433093353"/>
      <w:bookmarkStart w:id="13" w:name="_Toc18496"/>
      <w:bookmarkStart w:id="14" w:name="_Toc320521148"/>
      <w:bookmarkStart w:id="15" w:name="_Toc4965"/>
      <w:bookmarkStart w:id="16" w:name="_Toc19399"/>
      <w:bookmarkStart w:id="17" w:name="_Toc23377"/>
      <w:bookmarkStart w:id="18" w:name="_Toc5272"/>
      <w:bookmarkStart w:id="19" w:name="_Toc5269840"/>
      <w:bookmarkStart w:id="20" w:name="_Toc9693"/>
      <w:r>
        <w:rPr>
          <w:rFonts w:hint="eastAsia" w:ascii="宋体" w:hAnsi="宋体"/>
          <w:color w:val="auto"/>
          <w:sz w:val="30"/>
          <w:szCs w:val="30"/>
          <w:highlight w:val="none"/>
        </w:rPr>
        <w:t>供应商须知前附表</w:t>
      </w:r>
      <w:bookmarkEnd w:id="12"/>
      <w:bookmarkEnd w:id="13"/>
      <w:bookmarkEnd w:id="14"/>
      <w:bookmarkEnd w:id="15"/>
      <w:bookmarkEnd w:id="16"/>
      <w:bookmarkEnd w:id="17"/>
      <w:bookmarkEnd w:id="18"/>
      <w:bookmarkEnd w:id="19"/>
      <w:bookmarkEnd w:id="20"/>
    </w:p>
    <w:tbl>
      <w:tblPr>
        <w:tblStyle w:val="27"/>
        <w:tblW w:w="10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899"/>
        <w:gridCol w:w="8136"/>
      </w:tblGrid>
      <w:tr w14:paraId="3359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43" w:type="dxa"/>
            <w:tcBorders>
              <w:tl2br w:val="nil"/>
              <w:tr2bl w:val="nil"/>
            </w:tcBorders>
            <w:vAlign w:val="center"/>
          </w:tcPr>
          <w:p w14:paraId="69D98A45">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899" w:type="dxa"/>
            <w:tcBorders>
              <w:tl2br w:val="nil"/>
              <w:tr2bl w:val="nil"/>
            </w:tcBorders>
            <w:vAlign w:val="center"/>
          </w:tcPr>
          <w:p w14:paraId="130F2C2C">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8136" w:type="dxa"/>
            <w:tcBorders>
              <w:tl2br w:val="nil"/>
              <w:tr2bl w:val="nil"/>
            </w:tcBorders>
            <w:vAlign w:val="center"/>
          </w:tcPr>
          <w:p w14:paraId="0EB18EE8">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  列  内  容</w:t>
            </w:r>
          </w:p>
        </w:tc>
      </w:tr>
      <w:tr w14:paraId="77DC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943" w:type="dxa"/>
            <w:tcBorders>
              <w:tl2br w:val="nil"/>
              <w:tr2bl w:val="nil"/>
            </w:tcBorders>
            <w:vAlign w:val="center"/>
          </w:tcPr>
          <w:p w14:paraId="3A6C10A0">
            <w:pPr>
              <w:spacing w:before="0" w:beforeAutospacing="0" w:after="0" w:afterAutospacing="0" w:line="360" w:lineRule="exact"/>
              <w:ind w:left="-86" w:leftChars="-41" w:right="0" w:firstLine="86" w:firstLineChars="4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899" w:type="dxa"/>
            <w:tcBorders>
              <w:tl2br w:val="nil"/>
              <w:tr2bl w:val="nil"/>
            </w:tcBorders>
            <w:vAlign w:val="center"/>
          </w:tcPr>
          <w:p w14:paraId="047C27F3">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8136" w:type="dxa"/>
            <w:tcBorders>
              <w:tl2br w:val="nil"/>
              <w:tr2bl w:val="nil"/>
            </w:tcBorders>
            <w:vAlign w:val="center"/>
          </w:tcPr>
          <w:p w14:paraId="2038DDB2">
            <w:pPr>
              <w:spacing w:before="0" w:beforeAutospacing="0" w:after="0" w:afterAutospacing="0" w:line="360" w:lineRule="auto"/>
              <w:ind w:left="0" w:right="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 xml:space="preserve">采购人名称：荥阳市农业农村局  </w:t>
            </w:r>
          </w:p>
          <w:p w14:paraId="7C3D5151">
            <w:pPr>
              <w:spacing w:before="0" w:beforeAutospacing="0" w:after="0" w:afterAutospacing="0" w:line="360" w:lineRule="auto"/>
              <w:ind w:left="0" w:right="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    址：河南省荥阳市福民路中段</w:t>
            </w:r>
          </w:p>
          <w:p w14:paraId="608B2FB4">
            <w:pPr>
              <w:spacing w:before="0" w:beforeAutospacing="0" w:after="0" w:afterAutospacing="0" w:line="360" w:lineRule="auto"/>
              <w:ind w:left="0" w:right="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 系 人：郑晓川</w:t>
            </w:r>
          </w:p>
          <w:p w14:paraId="40EB5978">
            <w:pPr>
              <w:spacing w:before="0" w:beforeAutospacing="0" w:after="0" w:afterAutospacing="0" w:line="360" w:lineRule="auto"/>
              <w:ind w:left="0" w:right="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电    话：0371-64671166</w:t>
            </w:r>
          </w:p>
        </w:tc>
      </w:tr>
      <w:tr w14:paraId="1852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943" w:type="dxa"/>
            <w:tcBorders>
              <w:tl2br w:val="nil"/>
              <w:tr2bl w:val="nil"/>
            </w:tcBorders>
            <w:vAlign w:val="center"/>
          </w:tcPr>
          <w:p w14:paraId="0E2836D2">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899" w:type="dxa"/>
            <w:tcBorders>
              <w:tl2br w:val="nil"/>
              <w:tr2bl w:val="nil"/>
            </w:tcBorders>
            <w:vAlign w:val="center"/>
          </w:tcPr>
          <w:p w14:paraId="64D8642C">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8136" w:type="dxa"/>
            <w:tcBorders>
              <w:tl2br w:val="nil"/>
              <w:tr2bl w:val="nil"/>
            </w:tcBorders>
            <w:vAlign w:val="center"/>
          </w:tcPr>
          <w:p w14:paraId="7AEA1D41">
            <w:pPr>
              <w:widowControl/>
              <w:spacing w:before="0" w:beforeAutospacing="0" w:after="0" w:afterAutospacing="0" w:line="440" w:lineRule="exact"/>
              <w:ind w:left="0" w:right="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采购代理机构名称：河南守恒建设工程咨询有限公司　</w:t>
            </w:r>
          </w:p>
          <w:p w14:paraId="1782FA18">
            <w:pPr>
              <w:widowControl/>
              <w:spacing w:before="0" w:beforeAutospacing="0" w:after="0" w:afterAutospacing="0" w:line="440" w:lineRule="exact"/>
              <w:ind w:left="0" w:right="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　址：河南省郑州市荥阳市索河路与工业路交叉口向南100米路西　</w:t>
            </w:r>
          </w:p>
          <w:p w14:paraId="6859F1C3">
            <w:pPr>
              <w:widowControl/>
              <w:spacing w:before="0" w:beforeAutospacing="0" w:after="0" w:afterAutospacing="0" w:line="440" w:lineRule="exact"/>
              <w:ind w:left="0" w:right="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联系人：张聪</w:t>
            </w:r>
          </w:p>
          <w:p w14:paraId="1692064E">
            <w:pPr>
              <w:widowControl/>
              <w:spacing w:before="0" w:beforeAutospacing="0" w:after="0" w:afterAutospacing="0" w:line="440" w:lineRule="exact"/>
              <w:ind w:left="0" w:right="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联系方式：13027780287　</w:t>
            </w:r>
          </w:p>
        </w:tc>
      </w:tr>
      <w:tr w14:paraId="482A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43" w:type="dxa"/>
            <w:tcBorders>
              <w:tl2br w:val="nil"/>
              <w:tr2bl w:val="nil"/>
            </w:tcBorders>
            <w:vAlign w:val="center"/>
          </w:tcPr>
          <w:p w14:paraId="16D5F3F1">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899" w:type="dxa"/>
            <w:tcBorders>
              <w:tl2br w:val="nil"/>
              <w:tr2bl w:val="nil"/>
            </w:tcBorders>
            <w:vAlign w:val="center"/>
          </w:tcPr>
          <w:p w14:paraId="7054F5D2">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8136" w:type="dxa"/>
            <w:tcBorders>
              <w:tl2br w:val="nil"/>
              <w:tr2bl w:val="nil"/>
            </w:tcBorders>
            <w:vAlign w:val="center"/>
          </w:tcPr>
          <w:p w14:paraId="44245A61">
            <w:pPr>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Times New Roman" w:cs="宋体"/>
                <w:color w:val="auto"/>
                <w:sz w:val="21"/>
                <w:szCs w:val="21"/>
                <w:highlight w:val="none"/>
                <w:lang w:eastAsia="zh-CN"/>
              </w:rPr>
              <w:t>荥阳市农业农村局2024年度财政衔接乡村振兴基础设施项目(结余)</w:t>
            </w:r>
          </w:p>
        </w:tc>
      </w:tr>
      <w:tr w14:paraId="6C77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43" w:type="dxa"/>
            <w:tcBorders>
              <w:tl2br w:val="nil"/>
              <w:tr2bl w:val="nil"/>
            </w:tcBorders>
            <w:vAlign w:val="center"/>
          </w:tcPr>
          <w:p w14:paraId="769585DE">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1899" w:type="dxa"/>
            <w:tcBorders>
              <w:tl2br w:val="nil"/>
              <w:tr2bl w:val="nil"/>
            </w:tcBorders>
            <w:vAlign w:val="center"/>
          </w:tcPr>
          <w:p w14:paraId="51140002">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Times New Roman" w:cs="宋体"/>
                <w:color w:val="auto"/>
                <w:sz w:val="21"/>
                <w:szCs w:val="21"/>
                <w:highlight w:val="none"/>
                <w:lang w:eastAsia="zh-CN"/>
              </w:rPr>
              <w:t>建设地点</w:t>
            </w:r>
          </w:p>
        </w:tc>
        <w:tc>
          <w:tcPr>
            <w:tcW w:w="8136" w:type="dxa"/>
            <w:tcBorders>
              <w:tl2br w:val="nil"/>
              <w:tr2bl w:val="nil"/>
            </w:tcBorders>
            <w:vAlign w:val="center"/>
          </w:tcPr>
          <w:p w14:paraId="05411400">
            <w:pPr>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荥阳市</w:t>
            </w:r>
            <w:r>
              <w:rPr>
                <w:rFonts w:hint="eastAsia" w:ascii="宋体" w:hAnsi="宋体" w:eastAsia="宋体" w:cs="宋体"/>
                <w:color w:val="auto"/>
                <w:sz w:val="21"/>
                <w:szCs w:val="21"/>
                <w:highlight w:val="none"/>
                <w:lang w:val="en-US" w:eastAsia="zh-CN"/>
              </w:rPr>
              <w:t>索河办槐树洼村，高村乡荆寨村</w:t>
            </w:r>
          </w:p>
        </w:tc>
      </w:tr>
      <w:tr w14:paraId="147A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43" w:type="dxa"/>
            <w:tcBorders>
              <w:tl2br w:val="nil"/>
              <w:tr2bl w:val="nil"/>
            </w:tcBorders>
            <w:vAlign w:val="center"/>
          </w:tcPr>
          <w:p w14:paraId="54CF581E">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1899" w:type="dxa"/>
            <w:tcBorders>
              <w:tl2br w:val="nil"/>
              <w:tr2bl w:val="nil"/>
            </w:tcBorders>
            <w:vAlign w:val="center"/>
          </w:tcPr>
          <w:p w14:paraId="4B296A3A">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8136" w:type="dxa"/>
            <w:tcBorders>
              <w:tl2br w:val="nil"/>
              <w:tr2bl w:val="nil"/>
            </w:tcBorders>
            <w:vAlign w:val="center"/>
          </w:tcPr>
          <w:p w14:paraId="762185EF">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财政资金</w:t>
            </w:r>
          </w:p>
        </w:tc>
      </w:tr>
      <w:tr w14:paraId="0A6E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43" w:type="dxa"/>
            <w:tcBorders>
              <w:tl2br w:val="nil"/>
              <w:tr2bl w:val="nil"/>
            </w:tcBorders>
            <w:vAlign w:val="center"/>
          </w:tcPr>
          <w:p w14:paraId="1563175A">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1899" w:type="dxa"/>
            <w:tcBorders>
              <w:tl2br w:val="nil"/>
              <w:tr2bl w:val="nil"/>
            </w:tcBorders>
            <w:vAlign w:val="center"/>
          </w:tcPr>
          <w:p w14:paraId="0099519F">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8136" w:type="dxa"/>
            <w:tcBorders>
              <w:tl2br w:val="nil"/>
              <w:tr2bl w:val="nil"/>
            </w:tcBorders>
            <w:vAlign w:val="center"/>
          </w:tcPr>
          <w:p w14:paraId="63CC859B">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14:paraId="6CBD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943" w:type="dxa"/>
            <w:tcBorders>
              <w:tl2br w:val="nil"/>
              <w:tr2bl w:val="nil"/>
            </w:tcBorders>
            <w:vAlign w:val="center"/>
          </w:tcPr>
          <w:p w14:paraId="5FA73BE2">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899" w:type="dxa"/>
            <w:tcBorders>
              <w:tl2br w:val="nil"/>
              <w:tr2bl w:val="nil"/>
            </w:tcBorders>
            <w:vAlign w:val="center"/>
          </w:tcPr>
          <w:p w14:paraId="744D1EB7">
            <w:pPr>
              <w:spacing w:before="0" w:beforeAutospacing="0" w:after="0" w:afterAutospacing="0" w:line="240" w:lineRule="atLeast"/>
              <w:ind w:left="0" w:righ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采购内容</w:t>
            </w:r>
          </w:p>
        </w:tc>
        <w:tc>
          <w:tcPr>
            <w:tcW w:w="8136" w:type="dxa"/>
            <w:tcBorders>
              <w:tl2br w:val="nil"/>
              <w:tr2bl w:val="nil"/>
            </w:tcBorders>
            <w:vAlign w:val="center"/>
          </w:tcPr>
          <w:p w14:paraId="5EB02CE1">
            <w:pPr>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一标段：2024年索河办槐树洼村机井建设项目-新打500米机井1眼及配套，配套30吨压力罐1套，电缆线500米，地埋φ90PE管道300米，新建9平方管理房1间；</w:t>
            </w:r>
          </w:p>
          <w:p w14:paraId="2A667859">
            <w:pP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二标段：2024年高村乡荆寨村道路建设项目-新修道路804米，宽3米，厚15厘米；（详见采购文件、图纸、工程量清单）；</w:t>
            </w:r>
          </w:p>
        </w:tc>
      </w:tr>
      <w:tr w14:paraId="7E3B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43" w:type="dxa"/>
            <w:tcBorders>
              <w:tl2br w:val="nil"/>
              <w:tr2bl w:val="nil"/>
            </w:tcBorders>
            <w:vAlign w:val="center"/>
          </w:tcPr>
          <w:p w14:paraId="43B281F0">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1899" w:type="dxa"/>
            <w:tcBorders>
              <w:tl2br w:val="nil"/>
              <w:tr2bl w:val="nil"/>
            </w:tcBorders>
            <w:vAlign w:val="center"/>
          </w:tcPr>
          <w:p w14:paraId="67AC68C6">
            <w:pPr>
              <w:spacing w:before="0" w:beforeAutospacing="0" w:after="0" w:afterAutospacing="0" w:line="240" w:lineRule="atLeast"/>
              <w:ind w:left="0" w:right="0"/>
              <w:jc w:val="center"/>
              <w:rPr>
                <w:rFonts w:hint="eastAsia" w:ascii="宋体" w:hAnsi="宋体" w:eastAsia="宋体" w:cs="宋体"/>
                <w:color w:val="auto"/>
                <w:sz w:val="21"/>
                <w:szCs w:val="21"/>
                <w:highlight w:val="none"/>
                <w:lang w:eastAsia="zh-CN"/>
              </w:rPr>
            </w:pPr>
            <w:r>
              <w:rPr>
                <w:rFonts w:hint="eastAsia" w:ascii="宋体" w:hAnsi="宋体" w:eastAsia="Times New Roman" w:cs="宋体"/>
                <w:color w:val="auto"/>
                <w:sz w:val="21"/>
                <w:szCs w:val="21"/>
                <w:highlight w:val="none"/>
                <w:lang w:eastAsia="zh-CN"/>
              </w:rPr>
              <w:t>工期</w:t>
            </w:r>
          </w:p>
        </w:tc>
        <w:tc>
          <w:tcPr>
            <w:tcW w:w="8136" w:type="dxa"/>
            <w:tcBorders>
              <w:tl2br w:val="nil"/>
              <w:tr2bl w:val="nil"/>
            </w:tcBorders>
            <w:vAlign w:val="center"/>
          </w:tcPr>
          <w:p w14:paraId="691363B1">
            <w:pPr>
              <w:spacing w:before="0" w:beforeAutospacing="0" w:after="0" w:afterAutospacing="0" w:line="240" w:lineRule="atLeast"/>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合同签订后</w:t>
            </w:r>
            <w:r>
              <w:rPr>
                <w:rFonts w:hint="eastAsia" w:ascii="宋体" w:hAnsi="宋体" w:cs="宋体"/>
                <w:color w:val="auto"/>
                <w:sz w:val="21"/>
                <w:szCs w:val="21"/>
                <w:highlight w:val="none"/>
                <w:lang w:val="en-US" w:eastAsia="zh-CN"/>
              </w:rPr>
              <w:t>60日历天</w:t>
            </w:r>
            <w:r>
              <w:rPr>
                <w:rFonts w:hint="eastAsia" w:ascii="宋体" w:hAnsi="宋体" w:eastAsia="宋体" w:cs="宋体"/>
                <w:color w:val="auto"/>
                <w:sz w:val="21"/>
                <w:szCs w:val="21"/>
                <w:highlight w:val="none"/>
                <w:lang w:eastAsia="zh-CN"/>
              </w:rPr>
              <w:t>内完成</w:t>
            </w:r>
          </w:p>
        </w:tc>
      </w:tr>
      <w:tr w14:paraId="7DF5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43" w:type="dxa"/>
            <w:tcBorders>
              <w:tl2br w:val="nil"/>
              <w:tr2bl w:val="nil"/>
            </w:tcBorders>
            <w:vAlign w:val="center"/>
          </w:tcPr>
          <w:p w14:paraId="27FF4665">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1899" w:type="dxa"/>
            <w:tcBorders>
              <w:tl2br w:val="nil"/>
              <w:tr2bl w:val="nil"/>
            </w:tcBorders>
            <w:vAlign w:val="center"/>
          </w:tcPr>
          <w:p w14:paraId="55CC8A00">
            <w:pPr>
              <w:spacing w:before="0" w:beforeAutospacing="0" w:after="0" w:afterAutospacing="0" w:line="240" w:lineRule="atLeas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质量要求</w:t>
            </w:r>
          </w:p>
        </w:tc>
        <w:tc>
          <w:tcPr>
            <w:tcW w:w="8136" w:type="dxa"/>
            <w:tcBorders>
              <w:tl2br w:val="nil"/>
              <w:tr2bl w:val="nil"/>
            </w:tcBorders>
            <w:vAlign w:val="center"/>
          </w:tcPr>
          <w:p w14:paraId="3257A0F1">
            <w:pPr>
              <w:spacing w:before="0" w:beforeAutospacing="0" w:after="0" w:afterAutospacing="0" w:line="240" w:lineRule="atLeast"/>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符合国家或行业规定的合格标准，满足采购人提出的技术标准及要求</w:t>
            </w:r>
          </w:p>
        </w:tc>
      </w:tr>
      <w:tr w14:paraId="4F1A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3" w:type="dxa"/>
            <w:tcBorders>
              <w:tl2br w:val="nil"/>
              <w:tr2bl w:val="nil"/>
            </w:tcBorders>
            <w:vAlign w:val="center"/>
          </w:tcPr>
          <w:p w14:paraId="7223CC64">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1899" w:type="dxa"/>
            <w:tcBorders>
              <w:tl2br w:val="nil"/>
              <w:tr2bl w:val="nil"/>
            </w:tcBorders>
            <w:vAlign w:val="center"/>
          </w:tcPr>
          <w:p w14:paraId="44289029">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申请人的资格要求</w:t>
            </w:r>
          </w:p>
        </w:tc>
        <w:tc>
          <w:tcPr>
            <w:tcW w:w="8136" w:type="dxa"/>
            <w:tcBorders>
              <w:tl2br w:val="nil"/>
              <w:tr2bl w:val="nil"/>
            </w:tcBorders>
            <w:vAlign w:val="center"/>
          </w:tcPr>
          <w:p w14:paraId="6805D010">
            <w:pPr>
              <w:widowControl w:val="0"/>
              <w:numPr>
                <w:ilvl w:val="0"/>
                <w:numId w:val="3"/>
              </w:numPr>
              <w:wordWrap/>
              <w:adjustRightInd/>
              <w:snapToGrid/>
              <w:spacing w:before="0" w:beforeAutospacing="0" w:after="0" w:afterAutospacing="0" w:line="360" w:lineRule="auto"/>
              <w:ind w:left="0" w:right="0"/>
              <w:textAlignment w:val="auto"/>
              <w:rPr>
                <w:rFonts w:hint="eastAsia" w:ascii="宋体" w:hAnsi="宋体" w:cs="宋体"/>
                <w:b/>
                <w:bCs/>
                <w:color w:val="auto"/>
                <w:sz w:val="21"/>
                <w:szCs w:val="21"/>
                <w:highlight w:val="none"/>
                <w:lang w:eastAsia="zh-CN"/>
              </w:rPr>
            </w:pPr>
            <w:r>
              <w:rPr>
                <w:rFonts w:hint="eastAsia" w:ascii="宋体" w:hAnsi="宋体" w:eastAsia="宋体" w:cs="宋体"/>
                <w:b/>
                <w:bCs/>
                <w:color w:val="auto"/>
                <w:sz w:val="21"/>
                <w:szCs w:val="21"/>
                <w:highlight w:val="none"/>
              </w:rPr>
              <w:t>满足《中华人民共和国政府采购法》第二十二条规定</w:t>
            </w:r>
            <w:r>
              <w:rPr>
                <w:rFonts w:hint="eastAsia" w:ascii="宋体" w:hAnsi="宋体" w:cs="宋体"/>
                <w:b/>
                <w:bCs/>
                <w:color w:val="auto"/>
                <w:sz w:val="21"/>
                <w:szCs w:val="21"/>
                <w:highlight w:val="none"/>
                <w:lang w:eastAsia="zh-CN"/>
              </w:rPr>
              <w:t>：</w:t>
            </w:r>
          </w:p>
          <w:p w14:paraId="7BE03CE4">
            <w:pPr>
              <w:widowControl w:val="0"/>
              <w:numPr>
                <w:ilvl w:val="0"/>
                <w:numId w:val="0"/>
              </w:numPr>
              <w:wordWrap/>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（1）具有独立承担民事责任的能力</w:t>
            </w:r>
            <w:r>
              <w:rPr>
                <w:rFonts w:hint="eastAsia" w:ascii="宋体" w:hAnsi="宋体" w:cs="宋体"/>
                <w:color w:val="auto"/>
                <w:sz w:val="21"/>
                <w:szCs w:val="21"/>
                <w:highlight w:val="none"/>
                <w:lang w:val="en-US" w:eastAsia="zh-CN"/>
              </w:rPr>
              <w:t>，需提供有效的营业执照</w:t>
            </w:r>
            <w:r>
              <w:rPr>
                <w:rFonts w:hint="eastAsia" w:ascii="宋体" w:hAnsi="宋体" w:eastAsia="宋体" w:cs="宋体"/>
                <w:color w:val="auto"/>
                <w:sz w:val="21"/>
                <w:szCs w:val="21"/>
                <w:highlight w:val="none"/>
                <w:lang w:val="en-US" w:eastAsia="zh-CN"/>
              </w:rPr>
              <w:t>；</w:t>
            </w:r>
          </w:p>
          <w:p w14:paraId="09A4B3BE">
            <w:pPr>
              <w:widowControl w:val="0"/>
              <w:wordWrap/>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）具有良好的商业信誉和健全的财务会计制度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供应商</w:t>
            </w:r>
            <w:r>
              <w:rPr>
                <w:rFonts w:hint="eastAsia" w:ascii="宋体" w:hAnsi="宋体" w:cs="宋体"/>
                <w:color w:val="auto"/>
                <w:sz w:val="21"/>
                <w:szCs w:val="21"/>
                <w:highlight w:val="none"/>
                <w:lang w:val="en-US" w:eastAsia="zh-CN"/>
              </w:rPr>
              <w:t>需出具承诺书</w:t>
            </w:r>
            <w:r>
              <w:rPr>
                <w:rFonts w:hint="eastAsia" w:ascii="宋体" w:hAnsi="宋体" w:eastAsia="宋体" w:cs="宋体"/>
                <w:color w:val="auto"/>
                <w:sz w:val="21"/>
                <w:szCs w:val="21"/>
                <w:highlight w:val="none"/>
                <w:lang w:val="en-US" w:eastAsia="zh-CN"/>
              </w:rPr>
              <w:t>，格式自拟</w:t>
            </w:r>
            <w:r>
              <w:rPr>
                <w:rFonts w:hint="eastAsia" w:ascii="宋体" w:hAnsi="宋体" w:cs="宋体"/>
                <w:color w:val="auto"/>
                <w:sz w:val="21"/>
                <w:szCs w:val="21"/>
                <w:highlight w:val="none"/>
                <w:lang w:val="en-US" w:eastAsia="zh-CN"/>
              </w:rPr>
              <w:t>）；</w:t>
            </w:r>
          </w:p>
          <w:p w14:paraId="046D8336">
            <w:pPr>
              <w:widowControl w:val="0"/>
              <w:wordWrap/>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）具有履行合同所必需的设备和专业技术能力</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供应商</w:t>
            </w:r>
            <w:r>
              <w:rPr>
                <w:rFonts w:hint="eastAsia" w:ascii="宋体" w:hAnsi="宋体" w:cs="宋体"/>
                <w:color w:val="auto"/>
                <w:sz w:val="21"/>
                <w:szCs w:val="21"/>
                <w:highlight w:val="none"/>
                <w:lang w:val="en-US" w:eastAsia="zh-CN"/>
              </w:rPr>
              <w:t>需出具承诺书</w:t>
            </w:r>
            <w:r>
              <w:rPr>
                <w:rFonts w:hint="eastAsia" w:ascii="宋体" w:hAnsi="宋体" w:eastAsia="宋体" w:cs="宋体"/>
                <w:color w:val="auto"/>
                <w:sz w:val="21"/>
                <w:szCs w:val="21"/>
                <w:highlight w:val="none"/>
                <w:lang w:val="en-US" w:eastAsia="zh-CN"/>
              </w:rPr>
              <w:t>，格式自拟</w:t>
            </w:r>
            <w:r>
              <w:rPr>
                <w:rFonts w:hint="eastAsia" w:ascii="宋体" w:hAnsi="宋体" w:cs="宋体"/>
                <w:color w:val="auto"/>
                <w:sz w:val="21"/>
                <w:szCs w:val="21"/>
                <w:highlight w:val="none"/>
                <w:lang w:val="en-US" w:eastAsia="zh-CN"/>
              </w:rPr>
              <w:t>）；</w:t>
            </w:r>
          </w:p>
          <w:p w14:paraId="55BC732F">
            <w:pPr>
              <w:widowControl w:val="0"/>
              <w:wordWrap/>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）具有依法缴纳税收和社会保障资金的良好记录</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供应商</w:t>
            </w:r>
            <w:r>
              <w:rPr>
                <w:rFonts w:hint="eastAsia" w:ascii="宋体" w:hAnsi="宋体" w:cs="宋体"/>
                <w:color w:val="auto"/>
                <w:sz w:val="21"/>
                <w:szCs w:val="21"/>
                <w:highlight w:val="none"/>
                <w:lang w:val="en-US" w:eastAsia="zh-CN"/>
              </w:rPr>
              <w:t>需出具承诺书</w:t>
            </w:r>
            <w:r>
              <w:rPr>
                <w:rFonts w:hint="eastAsia" w:ascii="宋体" w:hAnsi="宋体" w:eastAsia="宋体" w:cs="宋体"/>
                <w:color w:val="auto"/>
                <w:sz w:val="21"/>
                <w:szCs w:val="21"/>
                <w:highlight w:val="none"/>
                <w:lang w:val="en-US" w:eastAsia="zh-CN"/>
              </w:rPr>
              <w:t>，格式自拟</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）参加政府采购活动前三年内，在经营活动中没有重大违法记录</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供应商</w:t>
            </w:r>
            <w:r>
              <w:rPr>
                <w:rFonts w:hint="eastAsia" w:ascii="宋体" w:hAnsi="宋体" w:cs="宋体"/>
                <w:color w:val="auto"/>
                <w:sz w:val="21"/>
                <w:szCs w:val="21"/>
                <w:highlight w:val="none"/>
                <w:lang w:val="en-US" w:eastAsia="zh-CN"/>
              </w:rPr>
              <w:t>需出具承诺书</w:t>
            </w:r>
            <w:r>
              <w:rPr>
                <w:rFonts w:hint="eastAsia" w:ascii="宋体" w:hAnsi="宋体" w:eastAsia="宋体" w:cs="宋体"/>
                <w:color w:val="auto"/>
                <w:sz w:val="21"/>
                <w:szCs w:val="21"/>
                <w:highlight w:val="none"/>
                <w:lang w:val="en-US" w:eastAsia="zh-CN"/>
              </w:rPr>
              <w:t>，格式自拟</w:t>
            </w:r>
            <w:r>
              <w:rPr>
                <w:rFonts w:hint="eastAsia" w:ascii="宋体" w:hAnsi="宋体" w:cs="宋体"/>
                <w:color w:val="auto"/>
                <w:sz w:val="21"/>
                <w:szCs w:val="21"/>
                <w:highlight w:val="none"/>
                <w:lang w:val="en-US" w:eastAsia="zh-CN"/>
              </w:rPr>
              <w:t>）。</w:t>
            </w:r>
          </w:p>
          <w:p w14:paraId="4F782683">
            <w:pPr>
              <w:widowControl w:val="0"/>
              <w:wordWrap/>
              <w:adjustRightInd/>
              <w:snapToGrid/>
              <w:spacing w:before="0" w:beforeAutospacing="0" w:after="0" w:afterAutospacing="0" w:line="360" w:lineRule="auto"/>
              <w:ind w:left="0" w:right="0"/>
              <w:textAlignment w:val="auto"/>
              <w:rPr>
                <w:rFonts w:hint="default" w:ascii="宋体" w:hAnsi="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需落实政府采购的政策要求</w:t>
            </w:r>
            <w:r>
              <w:rPr>
                <w:rFonts w:hint="eastAsia" w:ascii="宋体" w:hAnsi="宋体" w:eastAsia="宋体" w:cs="宋体"/>
                <w:b/>
                <w:bCs/>
                <w:color w:val="auto"/>
                <w:sz w:val="21"/>
                <w:szCs w:val="21"/>
                <w:highlight w:val="none"/>
                <w:lang w:val="en-US" w:eastAsia="zh-CN"/>
              </w:rPr>
              <w:t>：</w:t>
            </w:r>
            <w:r>
              <w:rPr>
                <w:rFonts w:hint="eastAsia" w:ascii="宋体" w:hAnsi="宋体" w:cs="宋体"/>
                <w:color w:val="auto"/>
                <w:kern w:val="2"/>
                <w:sz w:val="21"/>
                <w:szCs w:val="21"/>
                <w:highlight w:val="none"/>
                <w:lang w:val="en-US" w:eastAsia="zh-CN"/>
              </w:rPr>
              <w:t>本项目落实促进中小型企业发展政策（监狱企业、残疾人福利性企业视同小微企业），优先采购节能环保产品，政府强制采购节能产品等</w:t>
            </w:r>
            <w:r>
              <w:rPr>
                <w:rFonts w:hint="eastAsia" w:ascii="宋体" w:hAnsi="宋体" w:cs="宋体"/>
                <w:color w:val="auto"/>
                <w:sz w:val="21"/>
                <w:szCs w:val="21"/>
                <w:highlight w:val="none"/>
                <w:lang w:val="en-US" w:eastAsia="zh-CN"/>
              </w:rPr>
              <w:t>。</w:t>
            </w:r>
          </w:p>
          <w:p w14:paraId="6FB4BF2C">
            <w:pPr>
              <w:widowControl w:val="0"/>
              <w:wordWrap/>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3.本项目的特定资格要求：</w:t>
            </w:r>
          </w:p>
          <w:p w14:paraId="6C787CD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lang w:val="en-US" w:eastAsia="zh-CN"/>
              </w:rPr>
            </w:pPr>
            <w:r>
              <w:rPr>
                <w:rFonts w:hint="eastAsia"/>
                <w:lang w:val="en-US" w:eastAsia="zh-CN"/>
              </w:rPr>
              <w:t>（1）一标段供应商须具有水利水电工程施工总承包叁级及以上资质；具有有效的安全生产许可证；拟派项目经理须具有水利水电专业二级及以上注册建造师资格（不含临时）及有效的安全生产考核合格证，项目经理未在其他在建工程中担任项目经理并出具无在建承诺书，拟派的项目经理（建造师）提供在本单位缴纳的近三个月任意一个月的社保证明（新成立企业从成立之日起算）；</w:t>
            </w:r>
          </w:p>
          <w:p w14:paraId="72B2B7F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lang w:val="en-US" w:eastAsia="zh-CN"/>
              </w:rPr>
            </w:pPr>
            <w:r>
              <w:rPr>
                <w:rFonts w:hint="eastAsia"/>
                <w:lang w:val="en-US" w:eastAsia="zh-CN"/>
              </w:rPr>
              <w:t>二标段供应商须具有市政公用工程施工总承包叁级及以上资质，具备有效的安全生产许可证；拟派项目经理须具有市政专业贰级及以上注册建造师资格（不含临时）及有效的安全生产考核合格证，项目经理未在其他在建工程中担任项目经理并出具无在建承诺书，拟派的项目经理（建造师）提供在本单位缴纳的近三个月任意一个月的社保证明（新成立企业从成立之日起算）；</w:t>
            </w:r>
          </w:p>
          <w:p w14:paraId="5D28A8E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注：采购代理机构在开标当天将对所有参与本项目投标的供应商的信用情况（失信被执行人、重大税收违法失信主体、政府采购严重违法失信行为记录名单）进行查询。若在开标当天查询到供应商有相关负面信息的，则该供应商为无效供应商。</w:t>
            </w:r>
          </w:p>
          <w:p w14:paraId="172B5B7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lang w:val="en-US" w:eastAsia="zh-CN"/>
              </w:rPr>
            </w:pPr>
            <w:r>
              <w:rPr>
                <w:rFonts w:hint="eastAsia"/>
                <w:lang w:val="en-US" w:eastAsia="zh-CN"/>
              </w:rPr>
              <w:t>（3）须提供《中小企业声明函》（详见采购文件格式）；</w:t>
            </w:r>
          </w:p>
          <w:p w14:paraId="07F1301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b w:val="0"/>
                <w:bCs w:val="0"/>
                <w:color w:val="auto"/>
                <w:kern w:val="0"/>
                <w:sz w:val="21"/>
                <w:szCs w:val="21"/>
                <w:highlight w:val="none"/>
                <w:lang w:val="en-US" w:eastAsia="zh-CN" w:bidi="ar"/>
              </w:rPr>
            </w:pPr>
            <w:r>
              <w:rPr>
                <w:rFonts w:hint="eastAsia"/>
                <w:lang w:val="en-US" w:eastAsia="zh-CN"/>
              </w:rPr>
              <w:t>（4）单位负责人为同一人或者存在直接控股、管理关系的不同单位，不得同时参加同一合同项下的政府采购活动【提供“国家企业信用信息公示系统”中公示的公司基础信息包含股东及出资信息截图，查询时间在公告发布之后投标截止时间之前。】</w:t>
            </w:r>
          </w:p>
        </w:tc>
      </w:tr>
      <w:tr w14:paraId="4DD3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43" w:type="dxa"/>
            <w:tcBorders>
              <w:tl2br w:val="nil"/>
              <w:tr2bl w:val="nil"/>
            </w:tcBorders>
            <w:vAlign w:val="center"/>
          </w:tcPr>
          <w:p w14:paraId="4E76EED0">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899" w:type="dxa"/>
            <w:tcBorders>
              <w:tl2br w:val="nil"/>
              <w:tr2bl w:val="nil"/>
            </w:tcBorders>
            <w:vAlign w:val="center"/>
          </w:tcPr>
          <w:p w14:paraId="7F189247">
            <w:pPr>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w:t>
            </w:r>
          </w:p>
        </w:tc>
        <w:tc>
          <w:tcPr>
            <w:tcW w:w="8136" w:type="dxa"/>
            <w:tcBorders>
              <w:tl2br w:val="nil"/>
              <w:tr2bl w:val="nil"/>
            </w:tcBorders>
            <w:vAlign w:val="center"/>
          </w:tcPr>
          <w:p w14:paraId="66B7CAEA">
            <w:pPr>
              <w:spacing w:before="0" w:beforeAutospacing="0" w:after="0" w:afterAutospacing="0" w:line="240" w:lineRule="atLeas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663D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43" w:type="dxa"/>
            <w:tcBorders>
              <w:tl2br w:val="nil"/>
              <w:tr2bl w:val="nil"/>
            </w:tcBorders>
            <w:vAlign w:val="center"/>
          </w:tcPr>
          <w:p w14:paraId="51BFD5DA">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899" w:type="dxa"/>
            <w:tcBorders>
              <w:tl2br w:val="nil"/>
              <w:tr2bl w:val="nil"/>
            </w:tcBorders>
            <w:vAlign w:val="center"/>
          </w:tcPr>
          <w:p w14:paraId="28F40F41">
            <w:pPr>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8136" w:type="dxa"/>
            <w:tcBorders>
              <w:tl2br w:val="nil"/>
              <w:tr2bl w:val="nil"/>
            </w:tcBorders>
            <w:vAlign w:val="center"/>
          </w:tcPr>
          <w:p w14:paraId="086C7631">
            <w:pPr>
              <w:spacing w:before="0" w:beforeAutospacing="0" w:after="0" w:afterAutospacing="0" w:line="240" w:lineRule="atLeast"/>
              <w:ind w:left="0" w:right="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不组织</w:t>
            </w:r>
          </w:p>
        </w:tc>
      </w:tr>
      <w:tr w14:paraId="2071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43" w:type="dxa"/>
            <w:tcBorders>
              <w:tl2br w:val="nil"/>
              <w:tr2bl w:val="nil"/>
            </w:tcBorders>
            <w:vAlign w:val="center"/>
          </w:tcPr>
          <w:p w14:paraId="7870802A">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899" w:type="dxa"/>
            <w:tcBorders>
              <w:tl2br w:val="nil"/>
              <w:tr2bl w:val="nil"/>
            </w:tcBorders>
            <w:vAlign w:val="center"/>
          </w:tcPr>
          <w:p w14:paraId="4E5BEB57">
            <w:pPr>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8136" w:type="dxa"/>
            <w:tcBorders>
              <w:tl2br w:val="nil"/>
              <w:tr2bl w:val="nil"/>
            </w:tcBorders>
            <w:vAlign w:val="center"/>
          </w:tcPr>
          <w:p w14:paraId="1A904B89">
            <w:pPr>
              <w:spacing w:before="0" w:beforeAutospacing="0" w:after="0" w:afterAutospacing="0" w:line="240" w:lineRule="atLeas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14:paraId="606E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43" w:type="dxa"/>
            <w:tcBorders>
              <w:tl2br w:val="nil"/>
              <w:tr2bl w:val="nil"/>
            </w:tcBorders>
            <w:vAlign w:val="center"/>
          </w:tcPr>
          <w:p w14:paraId="575449F2">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899" w:type="dxa"/>
            <w:tcBorders>
              <w:tl2br w:val="nil"/>
              <w:tr2bl w:val="nil"/>
            </w:tcBorders>
            <w:vAlign w:val="center"/>
          </w:tcPr>
          <w:p w14:paraId="719EE15F">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构成竞争性磋商文件的其他材料</w:t>
            </w:r>
          </w:p>
        </w:tc>
        <w:tc>
          <w:tcPr>
            <w:tcW w:w="8136" w:type="dxa"/>
            <w:tcBorders>
              <w:tl2br w:val="nil"/>
              <w:tr2bl w:val="nil"/>
            </w:tcBorders>
            <w:vAlign w:val="center"/>
          </w:tcPr>
          <w:p w14:paraId="37E96DC0">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补充、答疑文件（如有）</w:t>
            </w:r>
          </w:p>
        </w:tc>
      </w:tr>
      <w:tr w14:paraId="613B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43" w:type="dxa"/>
            <w:tcBorders>
              <w:tl2br w:val="nil"/>
              <w:tr2bl w:val="nil"/>
            </w:tcBorders>
            <w:vAlign w:val="center"/>
          </w:tcPr>
          <w:p w14:paraId="6A8F8E23">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899" w:type="dxa"/>
            <w:tcBorders>
              <w:tl2br w:val="nil"/>
              <w:tr2bl w:val="nil"/>
            </w:tcBorders>
            <w:vAlign w:val="center"/>
          </w:tcPr>
          <w:p w14:paraId="699A59A4">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供应商要求澄清</w:t>
            </w:r>
          </w:p>
          <w:p w14:paraId="4852A1FD">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磋商文件的截止时间</w:t>
            </w:r>
          </w:p>
        </w:tc>
        <w:tc>
          <w:tcPr>
            <w:tcW w:w="8136" w:type="dxa"/>
            <w:tcBorders>
              <w:tl2br w:val="nil"/>
              <w:tr2bl w:val="nil"/>
            </w:tcBorders>
            <w:vAlign w:val="center"/>
          </w:tcPr>
          <w:p w14:paraId="6DE3A7E6">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磋商截止时间五日前</w:t>
            </w:r>
          </w:p>
        </w:tc>
      </w:tr>
      <w:tr w14:paraId="0047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43" w:type="dxa"/>
            <w:tcBorders>
              <w:tl2br w:val="nil"/>
              <w:tr2bl w:val="nil"/>
            </w:tcBorders>
            <w:vAlign w:val="center"/>
          </w:tcPr>
          <w:p w14:paraId="7F6FF7E8">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899" w:type="dxa"/>
            <w:tcBorders>
              <w:tl2br w:val="nil"/>
              <w:tr2bl w:val="nil"/>
            </w:tcBorders>
            <w:vAlign w:val="center"/>
          </w:tcPr>
          <w:p w14:paraId="5E0C6415">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提交响应文件截止时间及磋商开始时间</w:t>
            </w:r>
          </w:p>
        </w:tc>
        <w:tc>
          <w:tcPr>
            <w:tcW w:w="8136" w:type="dxa"/>
            <w:tcBorders>
              <w:tl2br w:val="nil"/>
              <w:tr2bl w:val="nil"/>
            </w:tcBorders>
            <w:vAlign w:val="center"/>
          </w:tcPr>
          <w:p w14:paraId="1A63EDB7">
            <w:pPr>
              <w:spacing w:before="0" w:beforeAutospacing="0" w:after="0" w:afterAutospacing="0" w:line="360" w:lineRule="auto"/>
              <w:ind w:left="0" w:right="0"/>
              <w:rPr>
                <w:rFonts w:hint="eastAsia" w:ascii="宋体" w:hAnsi="宋体" w:eastAsia="宋体" w:cs="宋体"/>
                <w:b/>
                <w:color w:val="auto"/>
                <w:sz w:val="21"/>
                <w:szCs w:val="21"/>
                <w:highlight w:val="none"/>
              </w:rPr>
            </w:pPr>
            <w:r>
              <w:rPr>
                <w:rFonts w:hint="eastAsia" w:ascii="宋体" w:hAnsi="宋体" w:eastAsia="Times New Roman" w:cs="宋体"/>
                <w:b/>
                <w:color w:val="auto"/>
                <w:sz w:val="21"/>
                <w:szCs w:val="21"/>
                <w:highlight w:val="none"/>
                <w:lang w:val="en-US" w:eastAsia="zh-CN"/>
              </w:rPr>
              <w:t>2024年12</w:t>
            </w:r>
            <w:r>
              <w:rPr>
                <w:rFonts w:hint="eastAsia" w:ascii="宋体" w:hAnsi="宋体" w:eastAsia="宋体" w:cs="宋体"/>
                <w:b/>
                <w:color w:val="auto"/>
                <w:sz w:val="21"/>
                <w:szCs w:val="21"/>
                <w:highlight w:val="none"/>
              </w:rPr>
              <w:t>月</w:t>
            </w:r>
            <w:r>
              <w:rPr>
                <w:rFonts w:hint="eastAsia" w:ascii="宋体" w:hAnsi="宋体" w:cs="宋体"/>
                <w:b/>
                <w:color w:val="auto"/>
                <w:sz w:val="21"/>
                <w:szCs w:val="21"/>
                <w:highlight w:val="none"/>
                <w:lang w:val="en-US" w:eastAsia="zh-CN"/>
              </w:rPr>
              <w:t>16</w:t>
            </w:r>
            <w:r>
              <w:rPr>
                <w:rFonts w:hint="eastAsia" w:ascii="宋体" w:hAnsi="宋体" w:eastAsia="宋体" w:cs="宋体"/>
                <w:b/>
                <w:color w:val="auto"/>
                <w:sz w:val="21"/>
                <w:szCs w:val="21"/>
                <w:highlight w:val="none"/>
              </w:rPr>
              <w:t>日</w:t>
            </w:r>
            <w:r>
              <w:rPr>
                <w:rFonts w:hint="eastAsia" w:ascii="宋体" w:hAnsi="宋体" w:eastAsia="Times New Roman" w:cs="宋体"/>
                <w:b/>
                <w:color w:val="auto"/>
                <w:sz w:val="21"/>
                <w:szCs w:val="21"/>
                <w:highlight w:val="none"/>
                <w:lang w:val="en-US" w:eastAsia="zh-CN"/>
              </w:rPr>
              <w:t>10</w:t>
            </w:r>
            <w:r>
              <w:rPr>
                <w:rFonts w:hint="eastAsia" w:ascii="宋体" w:hAnsi="宋体" w:eastAsia="宋体" w:cs="宋体"/>
                <w:b/>
                <w:color w:val="auto"/>
                <w:sz w:val="21"/>
                <w:szCs w:val="21"/>
                <w:highlight w:val="none"/>
              </w:rPr>
              <w:t>时</w:t>
            </w:r>
            <w:r>
              <w:rPr>
                <w:rFonts w:hint="eastAsia" w:ascii="宋体" w:hAnsi="宋体" w:eastAsia="Times New Roman" w:cs="宋体"/>
                <w:b/>
                <w:color w:val="auto"/>
                <w:sz w:val="21"/>
                <w:szCs w:val="21"/>
                <w:highlight w:val="none"/>
                <w:lang w:val="en-US" w:eastAsia="zh-CN"/>
              </w:rPr>
              <w:t>00</w:t>
            </w:r>
            <w:r>
              <w:rPr>
                <w:rFonts w:hint="eastAsia" w:ascii="宋体" w:hAnsi="宋体" w:eastAsia="宋体" w:cs="宋体"/>
                <w:b/>
                <w:color w:val="auto"/>
                <w:sz w:val="21"/>
                <w:szCs w:val="21"/>
                <w:highlight w:val="none"/>
              </w:rPr>
              <w:t>分（北京时间，下同）</w:t>
            </w:r>
          </w:p>
        </w:tc>
      </w:tr>
      <w:tr w14:paraId="2B54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43" w:type="dxa"/>
            <w:tcBorders>
              <w:tl2br w:val="nil"/>
              <w:tr2bl w:val="nil"/>
            </w:tcBorders>
            <w:vAlign w:val="center"/>
          </w:tcPr>
          <w:p w14:paraId="6CB4B838">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1899" w:type="dxa"/>
            <w:tcBorders>
              <w:tl2br w:val="nil"/>
              <w:tr2bl w:val="nil"/>
            </w:tcBorders>
            <w:vAlign w:val="center"/>
          </w:tcPr>
          <w:p w14:paraId="6163E90F">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供应商确认收到</w:t>
            </w:r>
          </w:p>
          <w:p w14:paraId="4CABF5D2">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磋商文件澄清的时间</w:t>
            </w:r>
          </w:p>
        </w:tc>
        <w:tc>
          <w:tcPr>
            <w:tcW w:w="8136" w:type="dxa"/>
            <w:tcBorders>
              <w:tl2br w:val="nil"/>
              <w:tr2bl w:val="nil"/>
            </w:tcBorders>
            <w:vAlign w:val="center"/>
          </w:tcPr>
          <w:p w14:paraId="71CD4294">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在收到相应澄清文件后24小时内</w:t>
            </w:r>
          </w:p>
        </w:tc>
      </w:tr>
      <w:tr w14:paraId="0CBF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43" w:type="dxa"/>
            <w:tcBorders>
              <w:tl2br w:val="nil"/>
              <w:tr2bl w:val="nil"/>
            </w:tcBorders>
            <w:vAlign w:val="center"/>
          </w:tcPr>
          <w:p w14:paraId="514DFC0E">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1899" w:type="dxa"/>
            <w:tcBorders>
              <w:tl2br w:val="nil"/>
              <w:tr2bl w:val="nil"/>
            </w:tcBorders>
            <w:vAlign w:val="center"/>
          </w:tcPr>
          <w:p w14:paraId="6C7AECA6">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供应商确认收到</w:t>
            </w:r>
          </w:p>
          <w:p w14:paraId="2D6E63C3">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磋商文件修改的时间</w:t>
            </w:r>
          </w:p>
        </w:tc>
        <w:tc>
          <w:tcPr>
            <w:tcW w:w="8136" w:type="dxa"/>
            <w:tcBorders>
              <w:tl2br w:val="nil"/>
              <w:tr2bl w:val="nil"/>
            </w:tcBorders>
            <w:vAlign w:val="center"/>
          </w:tcPr>
          <w:p w14:paraId="689D8C90">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在收到相应修改文件后24小时内</w:t>
            </w:r>
          </w:p>
        </w:tc>
      </w:tr>
      <w:tr w14:paraId="5F51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43" w:type="dxa"/>
            <w:tcBorders>
              <w:tl2br w:val="nil"/>
              <w:tr2bl w:val="nil"/>
            </w:tcBorders>
            <w:vAlign w:val="center"/>
          </w:tcPr>
          <w:p w14:paraId="6C6BFB21">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1899" w:type="dxa"/>
            <w:tcBorders>
              <w:tl2br w:val="nil"/>
              <w:tr2bl w:val="nil"/>
            </w:tcBorders>
            <w:vAlign w:val="center"/>
          </w:tcPr>
          <w:p w14:paraId="06AABB09">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构成磋商响应文件的其他材料</w:t>
            </w:r>
          </w:p>
        </w:tc>
        <w:tc>
          <w:tcPr>
            <w:tcW w:w="8136" w:type="dxa"/>
            <w:tcBorders>
              <w:tl2br w:val="nil"/>
              <w:tr2bl w:val="nil"/>
            </w:tcBorders>
            <w:vAlign w:val="center"/>
          </w:tcPr>
          <w:p w14:paraId="45E1D0D1">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磋商文件中要求提交的其他资料以及供应商认为有利于其投标的其他资料。 </w:t>
            </w:r>
          </w:p>
        </w:tc>
      </w:tr>
      <w:tr w14:paraId="4643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43" w:type="dxa"/>
            <w:tcBorders>
              <w:tl2br w:val="nil"/>
              <w:tr2bl w:val="nil"/>
            </w:tcBorders>
            <w:vAlign w:val="center"/>
          </w:tcPr>
          <w:p w14:paraId="12E52265">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tc>
        <w:tc>
          <w:tcPr>
            <w:tcW w:w="1899" w:type="dxa"/>
            <w:tcBorders>
              <w:tl2br w:val="nil"/>
              <w:tr2bl w:val="nil"/>
            </w:tcBorders>
            <w:vAlign w:val="center"/>
          </w:tcPr>
          <w:p w14:paraId="30C1EFD5">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tc>
        <w:tc>
          <w:tcPr>
            <w:tcW w:w="8136" w:type="dxa"/>
            <w:tcBorders>
              <w:tl2br w:val="nil"/>
              <w:tr2bl w:val="nil"/>
            </w:tcBorders>
            <w:vAlign w:val="center"/>
          </w:tcPr>
          <w:p w14:paraId="063F0B17">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供应商在应当在竞争性谈判文件确定的</w:t>
            </w:r>
            <w:r>
              <w:rPr>
                <w:rFonts w:hint="eastAsia" w:ascii="宋体" w:hAnsi="宋体" w:eastAsia="Times New Roman" w:cs="宋体"/>
                <w:color w:val="auto"/>
                <w:sz w:val="21"/>
                <w:szCs w:val="21"/>
                <w:highlight w:val="none"/>
                <w:lang w:eastAsia="zh-CN"/>
              </w:rPr>
              <w:t>磋商</w:t>
            </w:r>
            <w:r>
              <w:rPr>
                <w:rFonts w:hint="eastAsia" w:ascii="宋体" w:hAnsi="宋体" w:eastAsia="宋体" w:cs="宋体"/>
                <w:color w:val="auto"/>
                <w:sz w:val="21"/>
                <w:szCs w:val="21"/>
                <w:highlight w:val="none"/>
              </w:rPr>
              <w:t>截止时间前,准时到达</w:t>
            </w:r>
            <w:r>
              <w:rPr>
                <w:rFonts w:hint="eastAsia" w:ascii="宋体" w:hAnsi="宋体" w:eastAsia="Times New Roman" w:cs="宋体"/>
                <w:color w:val="auto"/>
                <w:sz w:val="21"/>
                <w:szCs w:val="21"/>
                <w:highlight w:val="none"/>
                <w:lang w:eastAsia="zh-CN"/>
              </w:rPr>
              <w:t>磋商</w:t>
            </w:r>
            <w:r>
              <w:rPr>
                <w:rFonts w:hint="eastAsia" w:ascii="宋体" w:hAnsi="宋体" w:eastAsia="宋体" w:cs="宋体"/>
                <w:color w:val="auto"/>
                <w:sz w:val="21"/>
                <w:szCs w:val="21"/>
                <w:highlight w:val="none"/>
              </w:rPr>
              <w:t>地点参加</w:t>
            </w:r>
            <w:r>
              <w:rPr>
                <w:rFonts w:hint="eastAsia" w:ascii="宋体" w:hAnsi="宋体" w:eastAsia="Times New Roman" w:cs="宋体"/>
                <w:color w:val="auto"/>
                <w:sz w:val="21"/>
                <w:szCs w:val="21"/>
                <w:highlight w:val="none"/>
                <w:lang w:eastAsia="zh-CN"/>
              </w:rPr>
              <w:t>磋商</w:t>
            </w:r>
            <w:r>
              <w:rPr>
                <w:rFonts w:hint="eastAsia" w:ascii="宋体" w:hAnsi="宋体" w:eastAsia="宋体" w:cs="宋体"/>
                <w:color w:val="auto"/>
                <w:sz w:val="21"/>
                <w:szCs w:val="21"/>
                <w:highlight w:val="none"/>
              </w:rPr>
              <w:t>活动并进行文件解密、答疑澄清、二次报价等，逾期送达的响应文件，采购人不予受理。</w:t>
            </w:r>
          </w:p>
        </w:tc>
      </w:tr>
      <w:tr w14:paraId="0E2E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943" w:type="dxa"/>
            <w:tcBorders>
              <w:tl2br w:val="nil"/>
              <w:tr2bl w:val="nil"/>
            </w:tcBorders>
            <w:vAlign w:val="center"/>
          </w:tcPr>
          <w:p w14:paraId="4B6D33D9">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1899" w:type="dxa"/>
            <w:tcBorders>
              <w:tl2br w:val="nil"/>
              <w:tr2bl w:val="nil"/>
            </w:tcBorders>
            <w:vAlign w:val="center"/>
          </w:tcPr>
          <w:p w14:paraId="368ABFF0">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磋商有效期</w:t>
            </w:r>
          </w:p>
        </w:tc>
        <w:tc>
          <w:tcPr>
            <w:tcW w:w="8136" w:type="dxa"/>
            <w:tcBorders>
              <w:tl2br w:val="nil"/>
              <w:tr2bl w:val="nil"/>
            </w:tcBorders>
            <w:vAlign w:val="center"/>
          </w:tcPr>
          <w:p w14:paraId="30D30512">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自响应文件递交的截止时间起计算</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日历天</w:t>
            </w:r>
          </w:p>
        </w:tc>
      </w:tr>
      <w:tr w14:paraId="6627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943" w:type="dxa"/>
            <w:tcBorders>
              <w:tl2br w:val="nil"/>
              <w:tr2bl w:val="nil"/>
            </w:tcBorders>
            <w:vAlign w:val="center"/>
          </w:tcPr>
          <w:p w14:paraId="6F1654D1">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899" w:type="dxa"/>
            <w:tcBorders>
              <w:tl2br w:val="nil"/>
              <w:tr2bl w:val="nil"/>
            </w:tcBorders>
            <w:vAlign w:val="center"/>
          </w:tcPr>
          <w:p w14:paraId="2D24BED1">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w:t>
            </w:r>
          </w:p>
          <w:p w14:paraId="621C2319">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备选磋商方案</w:t>
            </w:r>
          </w:p>
        </w:tc>
        <w:tc>
          <w:tcPr>
            <w:tcW w:w="8136" w:type="dxa"/>
            <w:tcBorders>
              <w:tl2br w:val="nil"/>
              <w:tr2bl w:val="nil"/>
            </w:tcBorders>
            <w:vAlign w:val="center"/>
          </w:tcPr>
          <w:p w14:paraId="3BD21BD3">
            <w:pPr>
              <w:spacing w:before="0" w:beforeAutospacing="0" w:after="0" w:afterAutospacing="0" w:line="360" w:lineRule="auto"/>
              <w:ind w:left="0" w:right="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不允许</w:t>
            </w:r>
          </w:p>
        </w:tc>
      </w:tr>
      <w:tr w14:paraId="7244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943" w:type="dxa"/>
            <w:tcBorders>
              <w:tl2br w:val="nil"/>
              <w:tr2bl w:val="nil"/>
            </w:tcBorders>
            <w:vAlign w:val="center"/>
          </w:tcPr>
          <w:p w14:paraId="2589803E">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w:t>
            </w:r>
          </w:p>
        </w:tc>
        <w:tc>
          <w:tcPr>
            <w:tcW w:w="1899" w:type="dxa"/>
            <w:tcBorders>
              <w:tl2br w:val="nil"/>
              <w:tr2bl w:val="nil"/>
            </w:tcBorders>
            <w:vAlign w:val="center"/>
          </w:tcPr>
          <w:p w14:paraId="0FC48E6F">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签字和盖章要求</w:t>
            </w:r>
          </w:p>
        </w:tc>
        <w:tc>
          <w:tcPr>
            <w:tcW w:w="8136" w:type="dxa"/>
            <w:tcBorders>
              <w:tl2br w:val="nil"/>
              <w:tr2bl w:val="nil"/>
            </w:tcBorders>
            <w:vAlign w:val="center"/>
          </w:tcPr>
          <w:p w14:paraId="2AC01890">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r>
              <w:rPr>
                <w:rFonts w:hint="eastAsia" w:ascii="宋体" w:hAnsi="宋体" w:eastAsia="Times New Roman" w:cs="宋体"/>
                <w:color w:val="auto"/>
                <w:sz w:val="21"/>
                <w:szCs w:val="21"/>
                <w:highlight w:val="none"/>
                <w:lang w:eastAsia="zh-CN"/>
              </w:rPr>
              <w:t>磋商响应文件</w:t>
            </w:r>
            <w:r>
              <w:rPr>
                <w:rFonts w:hint="eastAsia" w:ascii="宋体" w:hAnsi="宋体" w:eastAsia="宋体" w:cs="宋体"/>
                <w:color w:val="auto"/>
                <w:sz w:val="21"/>
                <w:szCs w:val="21"/>
                <w:highlight w:val="none"/>
              </w:rPr>
              <w:t>的格式要求</w:t>
            </w:r>
          </w:p>
        </w:tc>
      </w:tr>
      <w:tr w14:paraId="718F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943" w:type="dxa"/>
            <w:tcBorders>
              <w:tl2br w:val="nil"/>
              <w:tr2bl w:val="nil"/>
            </w:tcBorders>
            <w:vAlign w:val="center"/>
          </w:tcPr>
          <w:p w14:paraId="2EDC6276">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899" w:type="dxa"/>
            <w:tcBorders>
              <w:tl2br w:val="nil"/>
              <w:tr2bl w:val="nil"/>
            </w:tcBorders>
            <w:vAlign w:val="center"/>
          </w:tcPr>
          <w:p w14:paraId="0142BC71">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递交磋商响应文件</w:t>
            </w:r>
          </w:p>
          <w:p w14:paraId="77C84A5D">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8136" w:type="dxa"/>
            <w:tcBorders>
              <w:tl2br w:val="nil"/>
              <w:tr2bl w:val="nil"/>
            </w:tcBorders>
            <w:vAlign w:val="center"/>
          </w:tcPr>
          <w:p w14:paraId="5D38603A">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Times New Roman" w:cs="宋体"/>
                <w:bCs/>
                <w:color w:val="auto"/>
                <w:sz w:val="21"/>
                <w:szCs w:val="21"/>
                <w:highlight w:val="none"/>
                <w:lang w:eastAsia="zh-CN"/>
              </w:rPr>
              <w:t>递交地点：</w:t>
            </w:r>
            <w:r>
              <w:rPr>
                <w:rFonts w:hint="eastAsia" w:ascii="宋体" w:hAnsi="宋体" w:eastAsia="宋体" w:cs="宋体"/>
                <w:bCs/>
                <w:color w:val="auto"/>
                <w:sz w:val="21"/>
                <w:szCs w:val="21"/>
                <w:highlight w:val="none"/>
              </w:rPr>
              <w:t>荥阳市公共资源交易中心</w:t>
            </w:r>
            <w:r>
              <w:rPr>
                <w:rFonts w:hint="eastAsia" w:ascii="宋体" w:hAnsi="宋体" w:eastAsia="Times New Roman" w:cs="宋体"/>
                <w:bCs/>
                <w:color w:val="auto"/>
                <w:sz w:val="21"/>
                <w:szCs w:val="21"/>
                <w:highlight w:val="none"/>
                <w:lang w:eastAsia="zh-CN"/>
              </w:rPr>
              <w:t>平台</w:t>
            </w:r>
          </w:p>
        </w:tc>
      </w:tr>
      <w:tr w14:paraId="568F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943" w:type="dxa"/>
            <w:tcBorders>
              <w:tl2br w:val="nil"/>
              <w:tr2bl w:val="nil"/>
            </w:tcBorders>
            <w:vAlign w:val="center"/>
          </w:tcPr>
          <w:p w14:paraId="3D1C16F1">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1899" w:type="dxa"/>
            <w:tcBorders>
              <w:tl2br w:val="nil"/>
              <w:tr2bl w:val="nil"/>
            </w:tcBorders>
            <w:vAlign w:val="center"/>
          </w:tcPr>
          <w:p w14:paraId="08915A0A">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是否退还磋商</w:t>
            </w:r>
          </w:p>
          <w:p w14:paraId="2CF64714">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w:t>
            </w:r>
          </w:p>
        </w:tc>
        <w:tc>
          <w:tcPr>
            <w:tcW w:w="8136" w:type="dxa"/>
            <w:tcBorders>
              <w:tl2br w:val="nil"/>
              <w:tr2bl w:val="nil"/>
            </w:tcBorders>
            <w:vAlign w:val="center"/>
          </w:tcPr>
          <w:p w14:paraId="545076E8">
            <w:pPr>
              <w:spacing w:before="0" w:beforeAutospacing="0" w:after="0" w:afterAutospacing="0" w:line="360" w:lineRule="auto"/>
              <w:ind w:left="0" w:right="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否</w:t>
            </w:r>
          </w:p>
        </w:tc>
      </w:tr>
      <w:tr w14:paraId="5270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43" w:type="dxa"/>
            <w:tcBorders>
              <w:tl2br w:val="nil"/>
              <w:tr2bl w:val="nil"/>
            </w:tcBorders>
            <w:vAlign w:val="center"/>
          </w:tcPr>
          <w:p w14:paraId="64D374DE">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899" w:type="dxa"/>
            <w:tcBorders>
              <w:tl2br w:val="nil"/>
              <w:tr2bl w:val="nil"/>
            </w:tcBorders>
            <w:vAlign w:val="center"/>
          </w:tcPr>
          <w:p w14:paraId="1C4AE1FC">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磋商时间和地点</w:t>
            </w:r>
          </w:p>
        </w:tc>
        <w:tc>
          <w:tcPr>
            <w:tcW w:w="8136" w:type="dxa"/>
            <w:tcBorders>
              <w:tl2br w:val="nil"/>
              <w:tr2bl w:val="nil"/>
            </w:tcBorders>
            <w:vAlign w:val="center"/>
          </w:tcPr>
          <w:p w14:paraId="0B638B00">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磋商时间：同磋商截止时间</w:t>
            </w:r>
          </w:p>
          <w:p w14:paraId="415A6A24">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磋商地点：</w:t>
            </w:r>
            <w:r>
              <w:rPr>
                <w:rFonts w:hint="eastAsia" w:ascii="宋体" w:hAnsi="宋体" w:eastAsia="宋体" w:cs="宋体"/>
                <w:bCs/>
                <w:color w:val="auto"/>
                <w:sz w:val="21"/>
                <w:szCs w:val="21"/>
                <w:highlight w:val="none"/>
              </w:rPr>
              <w:t>荥阳市公共资源交易中心（荥阳市中原路与飞龙路西北角政务服务中心七楼）第</w:t>
            </w:r>
            <w:r>
              <w:rPr>
                <w:rFonts w:hint="eastAsia" w:ascii="宋体" w:hAnsi="宋体" w:eastAsia="Times New Roman" w:cs="宋体"/>
                <w:bCs/>
                <w:color w:val="auto"/>
                <w:sz w:val="21"/>
                <w:szCs w:val="21"/>
                <w:highlight w:val="none"/>
                <w:lang w:val="en-US" w:eastAsia="zh-CN"/>
              </w:rPr>
              <w:t>二</w:t>
            </w:r>
            <w:r>
              <w:rPr>
                <w:rFonts w:hint="eastAsia" w:ascii="宋体" w:hAnsi="宋体" w:eastAsia="Times New Roman" w:cs="宋体"/>
                <w:bCs/>
                <w:color w:val="auto"/>
                <w:sz w:val="21"/>
                <w:szCs w:val="21"/>
                <w:highlight w:val="none"/>
                <w:lang w:eastAsia="zh-CN"/>
              </w:rPr>
              <w:t>开标</w:t>
            </w:r>
            <w:r>
              <w:rPr>
                <w:rFonts w:hint="eastAsia" w:ascii="宋体" w:hAnsi="宋体" w:eastAsia="宋体" w:cs="宋体"/>
                <w:bCs/>
                <w:color w:val="auto"/>
                <w:sz w:val="21"/>
                <w:szCs w:val="21"/>
                <w:highlight w:val="none"/>
              </w:rPr>
              <w:t>室；</w:t>
            </w:r>
          </w:p>
        </w:tc>
      </w:tr>
      <w:tr w14:paraId="71A2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3" w:type="dxa"/>
            <w:tcBorders>
              <w:tl2br w:val="nil"/>
              <w:tr2bl w:val="nil"/>
            </w:tcBorders>
            <w:vAlign w:val="center"/>
          </w:tcPr>
          <w:p w14:paraId="49EAF231">
            <w:pPr>
              <w:spacing w:before="0" w:beforeAutospacing="0" w:after="0" w:afterAutospacing="0" w:line="36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Times New Roman" w:cs="宋体"/>
                <w:color w:val="auto"/>
                <w:sz w:val="21"/>
                <w:szCs w:val="21"/>
                <w:highlight w:val="none"/>
                <w:lang w:val="en-US" w:eastAsia="zh-CN"/>
              </w:rPr>
              <w:t>5.2</w:t>
            </w:r>
          </w:p>
        </w:tc>
        <w:tc>
          <w:tcPr>
            <w:tcW w:w="1899" w:type="dxa"/>
            <w:tcBorders>
              <w:tl2br w:val="nil"/>
              <w:tr2bl w:val="nil"/>
            </w:tcBorders>
            <w:vAlign w:val="center"/>
          </w:tcPr>
          <w:p w14:paraId="28E6E942">
            <w:pPr>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Times New Roman" w:cs="宋体"/>
                <w:color w:val="auto"/>
                <w:sz w:val="21"/>
                <w:szCs w:val="21"/>
                <w:highlight w:val="none"/>
                <w:lang w:eastAsia="zh-CN"/>
              </w:rPr>
              <w:t>磋商程序</w:t>
            </w:r>
          </w:p>
        </w:tc>
        <w:tc>
          <w:tcPr>
            <w:tcW w:w="8136" w:type="dxa"/>
            <w:tcBorders>
              <w:tl2br w:val="nil"/>
              <w:tr2bl w:val="nil"/>
            </w:tcBorders>
            <w:vAlign w:val="center"/>
          </w:tcPr>
          <w:p w14:paraId="38FAE7F1">
            <w:pPr>
              <w:pStyle w:val="54"/>
              <w:numPr>
                <w:ilvl w:val="0"/>
                <w:numId w:val="0"/>
              </w:numPr>
              <w:spacing w:before="0" w:beforeAutospacing="0" w:after="0" w:afterAutospacing="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本项目采用“远程不见面”磋商方式</w:t>
            </w:r>
            <w:r>
              <w:rPr>
                <w:rFonts w:hint="eastAsia" w:ascii="宋体" w:hAnsi="宋体" w:eastAsia="Times New Roman" w:cs="宋体"/>
                <w:color w:val="auto"/>
                <w:sz w:val="21"/>
                <w:szCs w:val="21"/>
                <w:highlight w:val="none"/>
                <w:lang w:eastAsia="zh-CN"/>
              </w:rPr>
              <w:t>，</w:t>
            </w:r>
            <w:r>
              <w:rPr>
                <w:rFonts w:hint="eastAsia" w:ascii="宋体" w:hAnsi="宋体" w:eastAsia="宋体" w:cs="宋体"/>
                <w:color w:val="auto"/>
                <w:sz w:val="21"/>
                <w:szCs w:val="21"/>
                <w:highlight w:val="none"/>
              </w:rPr>
              <w:t>供应商无需到荥阳市公共资源交易中心现场参加磋商会议，供应商无需到现场提交原件资料，供应商应当在响应截止时间前,登录远程开标大厅，在线准时参加磋商活动并进行文件解密、答疑澄清等。</w:t>
            </w:r>
          </w:p>
        </w:tc>
      </w:tr>
      <w:tr w14:paraId="1B93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43" w:type="dxa"/>
            <w:tcBorders>
              <w:tl2br w:val="nil"/>
              <w:tr2bl w:val="nil"/>
            </w:tcBorders>
            <w:vAlign w:val="center"/>
          </w:tcPr>
          <w:p w14:paraId="4B416C86">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899" w:type="dxa"/>
            <w:tcBorders>
              <w:tl2br w:val="nil"/>
              <w:tr2bl w:val="nil"/>
            </w:tcBorders>
            <w:vAlign w:val="center"/>
          </w:tcPr>
          <w:p w14:paraId="0508A55E">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磋商办法</w:t>
            </w:r>
          </w:p>
        </w:tc>
        <w:tc>
          <w:tcPr>
            <w:tcW w:w="8136" w:type="dxa"/>
            <w:tcBorders>
              <w:tl2br w:val="nil"/>
              <w:tr2bl w:val="nil"/>
            </w:tcBorders>
            <w:vAlign w:val="center"/>
          </w:tcPr>
          <w:p w14:paraId="667B8388">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所有成员应当集中与单一供应商分别进行磋商，并给与所有参加磋商的供应商平等的磋商机会。磋商结束后，磋商小组要求所有实质性响应的供应商在规定时间内提交最后报价，最后报价必须在磋商小组要求的时间内提交，不得以口头形式报价。后次报价</w:t>
            </w:r>
            <w:r>
              <w:rPr>
                <w:rFonts w:hint="eastAsia" w:ascii="宋体" w:hAnsi="宋体" w:eastAsia="Times New Roman" w:cs="宋体"/>
                <w:color w:val="auto"/>
                <w:sz w:val="21"/>
                <w:szCs w:val="21"/>
                <w:highlight w:val="none"/>
                <w:lang w:eastAsia="zh-CN"/>
              </w:rPr>
              <w:t>可以小于等于</w:t>
            </w:r>
            <w:r>
              <w:rPr>
                <w:rFonts w:hint="eastAsia" w:ascii="宋体" w:hAnsi="宋体" w:eastAsia="宋体" w:cs="宋体"/>
                <w:color w:val="auto"/>
                <w:sz w:val="21"/>
                <w:szCs w:val="21"/>
                <w:highlight w:val="none"/>
              </w:rPr>
              <w:t>前次报价，</w:t>
            </w:r>
            <w:r>
              <w:rPr>
                <w:rFonts w:hint="eastAsia" w:ascii="宋体" w:hAnsi="宋体" w:eastAsia="Times New Roman" w:cs="宋体"/>
                <w:color w:val="auto"/>
                <w:sz w:val="21"/>
                <w:szCs w:val="21"/>
                <w:highlight w:val="none"/>
                <w:lang w:eastAsia="zh-CN"/>
              </w:rPr>
              <w:t>如遇特殊情况不能完成二次报价的，则以第一次报价为准。</w:t>
            </w:r>
          </w:p>
          <w:p w14:paraId="63113ED5">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磋商确定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供应商的评审办法。</w:t>
            </w:r>
          </w:p>
          <w:p w14:paraId="35DCB3DF">
            <w:pPr>
              <w:spacing w:before="0" w:beforeAutospacing="0" w:after="0" w:afterAutospacing="0" w:line="360" w:lineRule="auto"/>
              <w:ind w:left="0" w:right="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3.磋商结束之前，请竞标供应商</w:t>
            </w:r>
            <w:r>
              <w:rPr>
                <w:rFonts w:hint="eastAsia" w:ascii="宋体" w:hAnsi="宋体" w:eastAsia="Times New Roman" w:cs="宋体"/>
                <w:b w:val="0"/>
                <w:bCs w:val="0"/>
                <w:color w:val="auto"/>
                <w:sz w:val="21"/>
                <w:szCs w:val="21"/>
                <w:highlight w:val="none"/>
                <w:lang w:eastAsia="zh-CN"/>
              </w:rPr>
              <w:t>一直保持在线状态</w:t>
            </w:r>
            <w:r>
              <w:rPr>
                <w:rFonts w:hint="eastAsia" w:ascii="宋体" w:hAnsi="宋体" w:eastAsia="宋体" w:cs="宋体"/>
                <w:color w:val="auto"/>
                <w:sz w:val="21"/>
                <w:szCs w:val="21"/>
                <w:highlight w:val="none"/>
              </w:rPr>
              <w:t>，等待答疑澄清、二次报价等磋商活动。</w:t>
            </w:r>
          </w:p>
        </w:tc>
      </w:tr>
      <w:tr w14:paraId="25D5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943" w:type="dxa"/>
            <w:tcBorders>
              <w:tl2br w:val="nil"/>
              <w:tr2bl w:val="nil"/>
            </w:tcBorders>
            <w:vAlign w:val="center"/>
          </w:tcPr>
          <w:p w14:paraId="7A78A416">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1899" w:type="dxa"/>
            <w:tcBorders>
              <w:tl2br w:val="nil"/>
              <w:tr2bl w:val="nil"/>
            </w:tcBorders>
            <w:vAlign w:val="center"/>
          </w:tcPr>
          <w:p w14:paraId="56CF6056">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磋商小组的组建</w:t>
            </w:r>
          </w:p>
        </w:tc>
        <w:tc>
          <w:tcPr>
            <w:tcW w:w="8136" w:type="dxa"/>
            <w:tcBorders>
              <w:tl2br w:val="nil"/>
              <w:tr2bl w:val="nil"/>
            </w:tcBorders>
            <w:vAlign w:val="center"/>
          </w:tcPr>
          <w:p w14:paraId="120C6020">
            <w:pPr>
              <w:pStyle w:val="47"/>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磋商小组构成：由 3 人组成，其中采购人代表 1 人，经济、技术专家 2 人。</w:t>
            </w:r>
          </w:p>
          <w:p w14:paraId="25BA5DDD">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经济、技术专家确定方式：</w:t>
            </w:r>
            <w:r>
              <w:rPr>
                <w:rFonts w:hint="eastAsia" w:ascii="宋体" w:hAnsi="宋体" w:eastAsia="Times New Roman" w:cs="宋体"/>
                <w:color w:val="auto"/>
                <w:sz w:val="21"/>
                <w:szCs w:val="21"/>
                <w:highlight w:val="none"/>
                <w:lang w:eastAsia="zh-CN"/>
              </w:rPr>
              <w:t>磋商</w:t>
            </w:r>
            <w:r>
              <w:rPr>
                <w:rFonts w:hint="eastAsia" w:ascii="宋体" w:hAnsi="宋体" w:eastAsia="宋体" w:cs="宋体"/>
                <w:color w:val="auto"/>
                <w:sz w:val="21"/>
                <w:szCs w:val="21"/>
                <w:highlight w:val="none"/>
              </w:rPr>
              <w:t>前24小时内从</w:t>
            </w:r>
            <w:r>
              <w:rPr>
                <w:rFonts w:hint="eastAsia" w:ascii="宋体" w:hAnsi="宋体" w:cs="宋体"/>
                <w:color w:val="auto"/>
                <w:sz w:val="21"/>
                <w:szCs w:val="21"/>
                <w:highlight w:val="none"/>
                <w:lang w:eastAsia="zh-CN"/>
              </w:rPr>
              <w:t>相关</w:t>
            </w:r>
            <w:r>
              <w:rPr>
                <w:rFonts w:hint="eastAsia" w:ascii="宋体" w:hAnsi="宋体" w:eastAsia="宋体" w:cs="宋体"/>
                <w:color w:val="auto"/>
                <w:sz w:val="21"/>
                <w:szCs w:val="21"/>
                <w:highlight w:val="none"/>
              </w:rPr>
              <w:t>评标专家库中随机抽取。</w:t>
            </w:r>
          </w:p>
        </w:tc>
      </w:tr>
      <w:tr w14:paraId="14C8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43" w:type="dxa"/>
            <w:tcBorders>
              <w:tl2br w:val="nil"/>
              <w:tr2bl w:val="nil"/>
            </w:tcBorders>
            <w:vAlign w:val="center"/>
          </w:tcPr>
          <w:p w14:paraId="5ADDAACC">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899" w:type="dxa"/>
            <w:tcBorders>
              <w:tl2br w:val="nil"/>
              <w:tr2bl w:val="nil"/>
            </w:tcBorders>
            <w:vAlign w:val="center"/>
          </w:tcPr>
          <w:p w14:paraId="20FB0F18">
            <w:pPr>
              <w:spacing w:before="0" w:beforeAutospacing="0" w:after="0" w:afterAutospacing="0" w:line="360" w:lineRule="auto"/>
              <w:ind w:left="420" w:right="0" w:hanging="420" w:hanging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是否授权磋商小组</w:t>
            </w:r>
          </w:p>
          <w:p w14:paraId="4F25FABD">
            <w:pPr>
              <w:spacing w:before="0" w:beforeAutospacing="0" w:after="0" w:afterAutospacing="0" w:line="360" w:lineRule="auto"/>
              <w:ind w:left="420" w:right="0" w:hanging="420" w:hanging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确定成交供应商</w:t>
            </w:r>
          </w:p>
        </w:tc>
        <w:tc>
          <w:tcPr>
            <w:tcW w:w="8136" w:type="dxa"/>
            <w:tcBorders>
              <w:tl2br w:val="nil"/>
              <w:tr2bl w:val="nil"/>
            </w:tcBorders>
            <w:vAlign w:val="center"/>
          </w:tcPr>
          <w:p w14:paraId="49ABF939">
            <w:pPr>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否，推荐的成交候选人数：</w:t>
            </w:r>
            <w:r>
              <w:rPr>
                <w:rFonts w:hint="eastAsia" w:ascii="宋体" w:hAnsi="宋体" w:eastAsia="Times New Roman" w:cs="宋体"/>
                <w:color w:val="auto"/>
                <w:sz w:val="21"/>
                <w:szCs w:val="21"/>
                <w:highlight w:val="none"/>
                <w:lang w:val="en-US" w:eastAsia="zh-CN"/>
              </w:rPr>
              <w:t>3</w:t>
            </w:r>
            <w:r>
              <w:rPr>
                <w:rFonts w:hint="eastAsia" w:ascii="宋体" w:hAnsi="宋体" w:eastAsia="宋体" w:cs="宋体"/>
                <w:color w:val="auto"/>
                <w:sz w:val="21"/>
                <w:szCs w:val="21"/>
                <w:highlight w:val="none"/>
              </w:rPr>
              <w:t>名</w:t>
            </w:r>
            <w:r>
              <w:rPr>
                <w:rFonts w:hint="eastAsia" w:ascii="宋体" w:hAnsi="宋体" w:cs="宋体"/>
                <w:color w:val="auto"/>
                <w:sz w:val="21"/>
                <w:szCs w:val="21"/>
                <w:highlight w:val="none"/>
                <w:lang w:eastAsia="zh-CN"/>
              </w:rPr>
              <w:t>。</w:t>
            </w:r>
          </w:p>
        </w:tc>
      </w:tr>
      <w:tr w14:paraId="1C51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43" w:type="dxa"/>
            <w:tcBorders>
              <w:tl2br w:val="nil"/>
              <w:tr2bl w:val="nil"/>
            </w:tcBorders>
            <w:vAlign w:val="center"/>
          </w:tcPr>
          <w:p w14:paraId="6D1ABD91">
            <w:pPr>
              <w:spacing w:before="0" w:beforeAutospacing="0" w:after="0" w:afterAutospacing="0" w:line="36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7.</w:t>
            </w:r>
            <w:r>
              <w:rPr>
                <w:rFonts w:hint="eastAsia" w:ascii="宋体" w:hAnsi="宋体" w:eastAsia="Times New Roman" w:cs="宋体"/>
                <w:color w:val="auto"/>
                <w:sz w:val="21"/>
                <w:szCs w:val="21"/>
                <w:highlight w:val="none"/>
                <w:lang w:val="en-US" w:eastAsia="zh-CN"/>
              </w:rPr>
              <w:t>3.1</w:t>
            </w:r>
          </w:p>
        </w:tc>
        <w:tc>
          <w:tcPr>
            <w:tcW w:w="1899" w:type="dxa"/>
            <w:tcBorders>
              <w:tl2br w:val="nil"/>
              <w:tr2bl w:val="nil"/>
            </w:tcBorders>
            <w:vAlign w:val="center"/>
          </w:tcPr>
          <w:p w14:paraId="7AA63A24">
            <w:pPr>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8136" w:type="dxa"/>
            <w:tcBorders>
              <w:tl2br w:val="nil"/>
              <w:tr2bl w:val="nil"/>
            </w:tcBorders>
            <w:vAlign w:val="center"/>
          </w:tcPr>
          <w:p w14:paraId="5D504408">
            <w:pPr>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Times New Roman" w:cs="宋体"/>
                <w:color w:val="auto"/>
                <w:sz w:val="21"/>
                <w:szCs w:val="21"/>
                <w:highlight w:val="none"/>
                <w:lang w:eastAsia="zh-CN"/>
              </w:rPr>
              <w:t>无</w:t>
            </w:r>
          </w:p>
        </w:tc>
      </w:tr>
      <w:tr w14:paraId="5ED0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43" w:type="dxa"/>
            <w:tcBorders>
              <w:tl2br w:val="nil"/>
              <w:tr2bl w:val="nil"/>
            </w:tcBorders>
            <w:vAlign w:val="center"/>
          </w:tcPr>
          <w:p w14:paraId="04BE240B">
            <w:pPr>
              <w:spacing w:before="0" w:beforeAutospacing="0" w:after="0" w:afterAutospacing="0" w:line="36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7.</w:t>
            </w:r>
            <w:r>
              <w:rPr>
                <w:rFonts w:hint="eastAsia" w:ascii="宋体" w:hAnsi="宋体" w:eastAsia="Times New Roman" w:cs="宋体"/>
                <w:color w:val="auto"/>
                <w:sz w:val="21"/>
                <w:szCs w:val="21"/>
                <w:highlight w:val="none"/>
                <w:lang w:val="en-US" w:eastAsia="zh-CN"/>
              </w:rPr>
              <w:t>4.1</w:t>
            </w:r>
          </w:p>
        </w:tc>
        <w:tc>
          <w:tcPr>
            <w:tcW w:w="1899" w:type="dxa"/>
            <w:tcBorders>
              <w:tl2br w:val="nil"/>
              <w:tr2bl w:val="nil"/>
            </w:tcBorders>
            <w:vAlign w:val="center"/>
          </w:tcPr>
          <w:p w14:paraId="071E87E4">
            <w:pPr>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签订合同</w:t>
            </w:r>
          </w:p>
        </w:tc>
        <w:tc>
          <w:tcPr>
            <w:tcW w:w="8136" w:type="dxa"/>
            <w:tcBorders>
              <w:tl2br w:val="nil"/>
              <w:tr2bl w:val="nil"/>
            </w:tcBorders>
            <w:vAlign w:val="center"/>
          </w:tcPr>
          <w:p w14:paraId="7A5DD814">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成交供应商须在成交通知书发出之日起</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日内与采购人签订合同，否则视为放弃成交供应商资格。</w:t>
            </w:r>
          </w:p>
          <w:p w14:paraId="1CFD7BF9">
            <w:pPr>
              <w:pStyle w:val="15"/>
              <w:spacing w:before="0" w:beforeAutospacing="0" w:after="0" w:afterAutospacing="0" w:line="360" w:lineRule="auto"/>
              <w:ind w:left="0" w:right="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付款方式：合同生效后乙方即可进入现场施工。甲方按照工程进度支付乙方工程款。原则上支付形式采取预付工程款、阶段性报账、完工报账支付；根据实际工程进度，可直接采取阶段性报账、完工报账方式，也可直接采取完工后一次性报账。</w:t>
            </w:r>
          </w:p>
          <w:p w14:paraId="5B4C59B1">
            <w:pPr>
              <w:pStyle w:val="15"/>
              <w:spacing w:before="0" w:beforeAutospacing="0" w:after="0" w:afterAutospacing="0" w:line="360" w:lineRule="auto"/>
              <w:ind w:left="0" w:right="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1、预付工程款，甲乙双方签订施工合同后，甲方根据监理单位提交的已开工等相关资料为依据支付预付工程款，金额不超过中标价格的50%</w:t>
            </w:r>
            <w:r>
              <w:rPr>
                <w:rFonts w:hint="eastAsia" w:ascii="宋体" w:hAnsi="宋体" w:cs="宋体"/>
                <w:sz w:val="21"/>
                <w:szCs w:val="21"/>
                <w:highlight w:val="none"/>
                <w:lang w:val="en-US" w:eastAsia="zh-CN"/>
              </w:rPr>
              <w:t>.</w:t>
            </w:r>
          </w:p>
          <w:p w14:paraId="4F506BDA">
            <w:pPr>
              <w:pStyle w:val="15"/>
              <w:spacing w:before="0" w:beforeAutospacing="0" w:after="0" w:afterAutospacing="0" w:line="360" w:lineRule="auto"/>
              <w:ind w:left="0" w:right="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2、阶段性报账和完工报账，根据实际工程进度，结合项目监理提交的工程进度等相关资料进行阶段性报账；工程完工经甲方验收合格，经竣工结算后进行完工报账。</w:t>
            </w:r>
          </w:p>
          <w:p w14:paraId="4A855181">
            <w:pPr>
              <w:pStyle w:val="15"/>
              <w:spacing w:before="0" w:beforeAutospacing="0" w:after="0" w:afterAutospacing="0" w:line="360" w:lineRule="auto"/>
              <w:ind w:left="0" w:right="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3、扣除竣工结算审核报告金额的3%，满一年后，经甲方复验合格，一次性无息退还。</w:t>
            </w:r>
          </w:p>
          <w:p w14:paraId="4081B2DB">
            <w:pPr>
              <w:pStyle w:val="15"/>
              <w:spacing w:before="0" w:beforeAutospacing="0" w:after="0" w:afterAutospacing="0" w:line="360" w:lineRule="auto"/>
              <w:ind w:left="0" w:right="0"/>
              <w:rPr>
                <w:rFonts w:hint="eastAsia"/>
                <w:highlight w:val="none"/>
              </w:rPr>
            </w:pPr>
            <w:r>
              <w:rPr>
                <w:rFonts w:hint="eastAsia" w:ascii="宋体" w:hAnsi="宋体" w:eastAsia="宋体" w:cs="宋体"/>
                <w:sz w:val="21"/>
                <w:szCs w:val="21"/>
                <w:highlight w:val="none"/>
                <w:lang w:eastAsia="zh-CN"/>
              </w:rPr>
              <w:t>4、乙方在向甲方递交竣工验收报告的同时，需向甲方递交竣工结算报告及完整的竣工结算资料和财政报账等相关资料；若乙方没有提供，甲方可拒付工程款，审定后的结算审核报告作为结算工程款的依据。</w:t>
            </w:r>
          </w:p>
        </w:tc>
      </w:tr>
      <w:tr w14:paraId="7440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978" w:type="dxa"/>
            <w:gridSpan w:val="3"/>
            <w:tcBorders>
              <w:tl2br w:val="nil"/>
              <w:tr2bl w:val="nil"/>
            </w:tcBorders>
            <w:vAlign w:val="center"/>
          </w:tcPr>
          <w:p w14:paraId="33D40D16">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需要补充的其他内容</w:t>
            </w:r>
          </w:p>
        </w:tc>
      </w:tr>
      <w:tr w14:paraId="7C4B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43" w:type="dxa"/>
            <w:tcBorders>
              <w:tl2br w:val="nil"/>
              <w:tr2bl w:val="nil"/>
            </w:tcBorders>
            <w:vAlign w:val="center"/>
          </w:tcPr>
          <w:p w14:paraId="7347C37A">
            <w:pPr>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1899" w:type="dxa"/>
            <w:tcBorders>
              <w:tl2br w:val="nil"/>
              <w:tr2bl w:val="nil"/>
            </w:tcBorders>
            <w:vAlign w:val="center"/>
          </w:tcPr>
          <w:p w14:paraId="1FA7F8B4">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w:t>
            </w:r>
          </w:p>
          <w:p w14:paraId="27ADD266">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最高限价</w:t>
            </w:r>
            <w:r>
              <w:rPr>
                <w:rFonts w:hint="eastAsia" w:ascii="宋体" w:hAnsi="宋体" w:eastAsia="宋体" w:cs="宋体"/>
                <w:color w:val="auto"/>
                <w:sz w:val="21"/>
                <w:szCs w:val="21"/>
                <w:highlight w:val="none"/>
              </w:rPr>
              <w:t>）</w:t>
            </w:r>
          </w:p>
        </w:tc>
        <w:tc>
          <w:tcPr>
            <w:tcW w:w="8136" w:type="dxa"/>
            <w:tcBorders>
              <w:tl2br w:val="nil"/>
              <w:tr2bl w:val="nil"/>
            </w:tcBorders>
            <w:vAlign w:val="center"/>
          </w:tcPr>
          <w:p w14:paraId="559E0E2F">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本项目采购预算（</w:t>
            </w:r>
            <w:r>
              <w:rPr>
                <w:rFonts w:hint="eastAsia" w:ascii="宋体" w:hAnsi="宋体" w:cs="宋体"/>
                <w:color w:val="auto"/>
                <w:sz w:val="21"/>
                <w:szCs w:val="21"/>
                <w:highlight w:val="none"/>
                <w:lang w:eastAsia="zh-CN"/>
              </w:rPr>
              <w:t>最高限价</w:t>
            </w:r>
            <w:r>
              <w:rPr>
                <w:rFonts w:hint="eastAsia" w:ascii="宋体" w:hAnsi="宋体" w:eastAsia="宋体" w:cs="宋体"/>
                <w:color w:val="auto"/>
                <w:sz w:val="21"/>
                <w:szCs w:val="21"/>
                <w:highlight w:val="none"/>
              </w:rPr>
              <w:t>）为：</w:t>
            </w:r>
          </w:p>
          <w:p w14:paraId="1A5C2218">
            <w:pPr>
              <w:spacing w:before="0" w:beforeAutospacing="0" w:after="0" w:afterAutospacing="0" w:line="360" w:lineRule="auto"/>
              <w:ind w:left="0" w:right="0"/>
              <w:rPr>
                <w:rFonts w:hint="default" w:ascii="宋体" w:hAnsi="宋体" w:eastAsia="Times New Roman" w:cs="宋体"/>
                <w:b/>
                <w:bCs/>
                <w:color w:val="auto"/>
                <w:sz w:val="21"/>
                <w:szCs w:val="21"/>
                <w:highlight w:val="none"/>
                <w:lang w:val="en-US" w:eastAsia="zh-CN"/>
              </w:rPr>
            </w:pPr>
            <w:r>
              <w:rPr>
                <w:rFonts w:hint="eastAsia" w:ascii="宋体" w:hAnsi="宋体" w:eastAsia="Times New Roman" w:cs="宋体"/>
                <w:b/>
                <w:bCs/>
                <w:color w:val="auto"/>
                <w:sz w:val="21"/>
                <w:szCs w:val="21"/>
                <w:highlight w:val="none"/>
                <w:lang w:eastAsia="zh-CN"/>
              </w:rPr>
              <w:t>一标段</w:t>
            </w:r>
            <w:r>
              <w:rPr>
                <w:rFonts w:hint="eastAsia" w:ascii="宋体" w:hAnsi="宋体" w:eastAsia="Times New Roman" w:cs="宋体"/>
                <w:b/>
                <w:bCs/>
                <w:color w:val="auto"/>
                <w:sz w:val="21"/>
                <w:szCs w:val="21"/>
                <w:highlight w:val="none"/>
                <w:lang w:val="en-US" w:eastAsia="zh-CN"/>
              </w:rPr>
              <w:t>:</w:t>
            </w:r>
          </w:p>
          <w:p w14:paraId="0F26A7B7">
            <w:pPr>
              <w:spacing w:before="0" w:beforeAutospacing="0" w:after="0" w:afterAutospacing="0" w:line="360" w:lineRule="auto"/>
              <w:ind w:left="0" w:right="0"/>
              <w:rPr>
                <w:rFonts w:hint="default" w:ascii="宋体" w:hAnsi="宋体" w:eastAsia="Times New Roman" w:cs="宋体"/>
                <w:color w:val="auto"/>
                <w:sz w:val="21"/>
                <w:szCs w:val="21"/>
                <w:highlight w:val="none"/>
                <w:lang w:val="en-US" w:eastAsia="zh-CN"/>
              </w:rPr>
            </w:pPr>
            <w:r>
              <w:rPr>
                <w:rFonts w:hint="eastAsia" w:ascii="宋体" w:hAnsi="宋体" w:eastAsia="Times New Roman" w:cs="宋体"/>
                <w:color w:val="auto"/>
                <w:sz w:val="21"/>
                <w:szCs w:val="21"/>
                <w:highlight w:val="none"/>
                <w:lang w:val="en-US" w:eastAsia="zh-CN"/>
              </w:rPr>
              <w:t>小</w:t>
            </w:r>
            <w:r>
              <w:rPr>
                <w:rFonts w:hint="eastAsia" w:ascii="宋体" w:hAnsi="宋体" w:eastAsia="Times New Roman" w:cs="宋体"/>
                <w:color w:val="auto"/>
                <w:sz w:val="21"/>
                <w:szCs w:val="21"/>
                <w:highlight w:val="none"/>
                <w:lang w:eastAsia="zh-CN"/>
              </w:rPr>
              <w:t>写：￥</w:t>
            </w:r>
            <w:r>
              <w:rPr>
                <w:rFonts w:hint="eastAsia" w:ascii="宋体" w:hAnsi="宋体" w:eastAsia="Times New Roman" w:cs="宋体"/>
                <w:color w:val="auto"/>
                <w:sz w:val="21"/>
                <w:szCs w:val="21"/>
                <w:highlight w:val="none"/>
                <w:lang w:val="en-US" w:eastAsia="zh-CN"/>
              </w:rPr>
              <w:t>919162.67</w:t>
            </w:r>
            <w:r>
              <w:rPr>
                <w:rFonts w:hint="eastAsia" w:ascii="宋体" w:hAnsi="宋体" w:eastAsia="Times New Roman" w:cs="宋体"/>
                <w:color w:val="auto"/>
                <w:sz w:val="21"/>
                <w:szCs w:val="21"/>
                <w:highlight w:val="none"/>
                <w:lang w:eastAsia="zh-CN"/>
              </w:rPr>
              <w:t>；</w:t>
            </w:r>
            <w:r>
              <w:rPr>
                <w:rFonts w:hint="eastAsia" w:ascii="宋体" w:hAnsi="宋体" w:eastAsia="Times New Roman" w:cs="宋体"/>
                <w:color w:val="auto"/>
                <w:sz w:val="21"/>
                <w:szCs w:val="21"/>
                <w:highlight w:val="none"/>
                <w:lang w:val="en-US" w:eastAsia="zh-CN"/>
              </w:rPr>
              <w:t xml:space="preserve"> </w:t>
            </w:r>
          </w:p>
          <w:p w14:paraId="3C54901F">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Times New Roman" w:cs="宋体"/>
                <w:color w:val="auto"/>
                <w:sz w:val="21"/>
                <w:szCs w:val="21"/>
                <w:highlight w:val="none"/>
                <w:lang w:val="en-US" w:eastAsia="zh-CN"/>
              </w:rPr>
              <w:t>大</w:t>
            </w:r>
            <w:r>
              <w:rPr>
                <w:rFonts w:hint="eastAsia" w:ascii="宋体" w:hAnsi="宋体" w:eastAsia="Times New Roman" w:cs="宋体"/>
                <w:color w:val="auto"/>
                <w:sz w:val="21"/>
                <w:szCs w:val="21"/>
                <w:highlight w:val="none"/>
                <w:lang w:eastAsia="zh-CN"/>
              </w:rPr>
              <w:t>写：</w:t>
            </w:r>
            <w:r>
              <w:rPr>
                <w:rFonts w:hint="eastAsia" w:ascii="宋体" w:hAnsi="宋体" w:cs="宋体"/>
                <w:color w:val="auto"/>
                <w:sz w:val="21"/>
                <w:szCs w:val="21"/>
                <w:highlight w:val="none"/>
                <w:lang w:val="en-US" w:eastAsia="zh-CN"/>
              </w:rPr>
              <w:t>玖拾壹万玖仟壹佰陆拾贰元陆角柒分</w:t>
            </w:r>
            <w:r>
              <w:rPr>
                <w:rFonts w:hint="eastAsia" w:ascii="宋体" w:hAnsi="宋体" w:eastAsia="宋体" w:cs="宋体"/>
                <w:color w:val="auto"/>
                <w:sz w:val="21"/>
                <w:szCs w:val="21"/>
                <w:highlight w:val="none"/>
              </w:rPr>
              <w:t>。</w:t>
            </w:r>
          </w:p>
          <w:p w14:paraId="12462908">
            <w:pPr>
              <w:spacing w:before="0" w:beforeAutospacing="0" w:after="0" w:afterAutospacing="0" w:line="360" w:lineRule="auto"/>
              <w:ind w:left="0" w:right="0"/>
              <w:rPr>
                <w:rFonts w:hint="default" w:ascii="宋体" w:hAnsi="宋体" w:eastAsia="Times New Roman" w:cs="宋体"/>
                <w:b/>
                <w:bCs/>
                <w:color w:val="auto"/>
                <w:sz w:val="21"/>
                <w:szCs w:val="21"/>
                <w:highlight w:val="none"/>
                <w:lang w:val="en-US" w:eastAsia="zh-CN"/>
              </w:rPr>
            </w:pPr>
            <w:r>
              <w:rPr>
                <w:rFonts w:hint="eastAsia" w:ascii="宋体" w:hAnsi="宋体" w:eastAsia="Times New Roman" w:cs="宋体"/>
                <w:b/>
                <w:bCs/>
                <w:color w:val="auto"/>
                <w:sz w:val="21"/>
                <w:szCs w:val="21"/>
                <w:highlight w:val="none"/>
                <w:lang w:eastAsia="zh-CN"/>
              </w:rPr>
              <w:t>二标段</w:t>
            </w:r>
            <w:r>
              <w:rPr>
                <w:rFonts w:hint="eastAsia" w:ascii="宋体" w:hAnsi="宋体" w:eastAsia="Times New Roman" w:cs="宋体"/>
                <w:b/>
                <w:bCs/>
                <w:color w:val="auto"/>
                <w:sz w:val="21"/>
                <w:szCs w:val="21"/>
                <w:highlight w:val="none"/>
                <w:lang w:val="en-US" w:eastAsia="zh-CN"/>
              </w:rPr>
              <w:t>:</w:t>
            </w:r>
          </w:p>
          <w:p w14:paraId="289E6BE5">
            <w:pPr>
              <w:spacing w:before="0" w:beforeAutospacing="0" w:after="0" w:afterAutospacing="0" w:line="360" w:lineRule="auto"/>
              <w:ind w:left="0" w:right="0"/>
              <w:rPr>
                <w:rFonts w:hint="default" w:ascii="宋体" w:hAnsi="宋体" w:eastAsia="Times New Roman" w:cs="宋体"/>
                <w:color w:val="auto"/>
                <w:sz w:val="21"/>
                <w:szCs w:val="21"/>
                <w:highlight w:val="none"/>
                <w:lang w:val="en-US" w:eastAsia="zh-CN"/>
              </w:rPr>
            </w:pPr>
            <w:r>
              <w:rPr>
                <w:rFonts w:hint="eastAsia" w:ascii="宋体" w:hAnsi="宋体" w:eastAsia="Times New Roman" w:cs="宋体"/>
                <w:color w:val="auto"/>
                <w:sz w:val="21"/>
                <w:szCs w:val="21"/>
                <w:highlight w:val="none"/>
                <w:lang w:val="en-US" w:eastAsia="zh-CN"/>
              </w:rPr>
              <w:t>小</w:t>
            </w:r>
            <w:r>
              <w:rPr>
                <w:rFonts w:hint="eastAsia" w:ascii="宋体" w:hAnsi="宋体" w:eastAsia="Times New Roman" w:cs="宋体"/>
                <w:color w:val="auto"/>
                <w:sz w:val="21"/>
                <w:szCs w:val="21"/>
                <w:highlight w:val="none"/>
                <w:lang w:eastAsia="zh-CN"/>
              </w:rPr>
              <w:t>写：￥</w:t>
            </w:r>
            <w:r>
              <w:rPr>
                <w:rFonts w:hint="eastAsia" w:ascii="宋体" w:hAnsi="宋体" w:cs="宋体"/>
                <w:i w:val="0"/>
                <w:iCs w:val="0"/>
                <w:color w:val="auto"/>
                <w:sz w:val="21"/>
                <w:szCs w:val="21"/>
                <w:highlight w:val="none"/>
                <w:u w:val="none"/>
                <w:lang w:val="en-US" w:eastAsia="zh-CN"/>
              </w:rPr>
              <w:t>278503.99</w:t>
            </w:r>
            <w:r>
              <w:rPr>
                <w:rFonts w:hint="eastAsia" w:ascii="宋体" w:hAnsi="宋体" w:eastAsia="Times New Roman" w:cs="宋体"/>
                <w:color w:val="auto"/>
                <w:sz w:val="21"/>
                <w:szCs w:val="21"/>
                <w:highlight w:val="none"/>
                <w:lang w:eastAsia="zh-CN"/>
              </w:rPr>
              <w:t>；</w:t>
            </w:r>
            <w:r>
              <w:rPr>
                <w:rFonts w:hint="eastAsia" w:ascii="宋体" w:hAnsi="宋体" w:eastAsia="Times New Roman" w:cs="宋体"/>
                <w:color w:val="auto"/>
                <w:sz w:val="21"/>
                <w:szCs w:val="21"/>
                <w:highlight w:val="none"/>
                <w:lang w:val="en-US" w:eastAsia="zh-CN"/>
              </w:rPr>
              <w:t xml:space="preserve"> </w:t>
            </w:r>
          </w:p>
          <w:p w14:paraId="4BD6BAAB">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Times New Roman" w:cs="宋体"/>
                <w:color w:val="auto"/>
                <w:sz w:val="21"/>
                <w:szCs w:val="21"/>
                <w:highlight w:val="none"/>
                <w:lang w:val="en-US" w:eastAsia="zh-CN"/>
              </w:rPr>
              <w:t>大</w:t>
            </w:r>
            <w:r>
              <w:rPr>
                <w:rFonts w:hint="eastAsia" w:ascii="宋体" w:hAnsi="宋体" w:eastAsia="Times New Roman" w:cs="宋体"/>
                <w:color w:val="auto"/>
                <w:sz w:val="21"/>
                <w:szCs w:val="21"/>
                <w:highlight w:val="none"/>
                <w:lang w:eastAsia="zh-CN"/>
              </w:rPr>
              <w:t>写：</w:t>
            </w:r>
            <w:r>
              <w:rPr>
                <w:rFonts w:hint="eastAsia" w:ascii="宋体" w:hAnsi="宋体" w:cs="宋体"/>
                <w:color w:val="auto"/>
                <w:sz w:val="21"/>
                <w:szCs w:val="21"/>
                <w:highlight w:val="none"/>
                <w:lang w:val="en-US" w:eastAsia="zh-CN"/>
              </w:rPr>
              <w:t>贰拾柒万捌仟伍佰零叁元玖角玖分</w:t>
            </w:r>
            <w:r>
              <w:rPr>
                <w:rFonts w:hint="eastAsia" w:ascii="宋体" w:hAnsi="宋体" w:eastAsia="宋体" w:cs="宋体"/>
                <w:color w:val="auto"/>
                <w:sz w:val="21"/>
                <w:szCs w:val="21"/>
                <w:highlight w:val="none"/>
              </w:rPr>
              <w:t>。</w:t>
            </w:r>
          </w:p>
          <w:p w14:paraId="32AAF61D">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供应商的磋商报价超过采购预算（</w:t>
            </w:r>
            <w:r>
              <w:rPr>
                <w:rFonts w:hint="eastAsia" w:ascii="宋体" w:hAnsi="宋体" w:cs="宋体"/>
                <w:color w:val="auto"/>
                <w:sz w:val="21"/>
                <w:szCs w:val="21"/>
                <w:highlight w:val="none"/>
                <w:lang w:eastAsia="zh-CN"/>
              </w:rPr>
              <w:t>最高限价</w:t>
            </w:r>
            <w:r>
              <w:rPr>
                <w:rFonts w:hint="eastAsia" w:ascii="宋体" w:hAnsi="宋体" w:eastAsia="宋体" w:cs="宋体"/>
                <w:color w:val="auto"/>
                <w:sz w:val="21"/>
                <w:szCs w:val="21"/>
                <w:highlight w:val="none"/>
              </w:rPr>
              <w:t>）的，按废标处理。</w:t>
            </w:r>
          </w:p>
        </w:tc>
      </w:tr>
      <w:tr w14:paraId="7C9E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43" w:type="dxa"/>
            <w:tcBorders>
              <w:tl2br w:val="nil"/>
              <w:tr2bl w:val="nil"/>
            </w:tcBorders>
            <w:vAlign w:val="center"/>
          </w:tcPr>
          <w:p w14:paraId="66434B50">
            <w:pPr>
              <w:spacing w:before="0" w:beforeAutospacing="0" w:after="0" w:afterAutospacing="0" w:line="36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Times New Roman" w:cs="宋体"/>
                <w:color w:val="auto"/>
                <w:sz w:val="21"/>
                <w:szCs w:val="21"/>
                <w:highlight w:val="none"/>
                <w:lang w:val="en-US" w:eastAsia="zh-CN"/>
              </w:rPr>
              <w:t>10.2</w:t>
            </w:r>
          </w:p>
        </w:tc>
        <w:tc>
          <w:tcPr>
            <w:tcW w:w="1899" w:type="dxa"/>
            <w:tcBorders>
              <w:tl2br w:val="nil"/>
              <w:tr2bl w:val="nil"/>
            </w:tcBorders>
            <w:vAlign w:val="center"/>
          </w:tcPr>
          <w:p w14:paraId="6FCB3372">
            <w:pPr>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Times New Roman" w:cs="宋体"/>
                <w:color w:val="auto"/>
                <w:sz w:val="21"/>
                <w:szCs w:val="21"/>
                <w:highlight w:val="none"/>
                <w:lang w:eastAsia="zh-CN"/>
              </w:rPr>
              <w:t>结果公示</w:t>
            </w:r>
          </w:p>
        </w:tc>
        <w:tc>
          <w:tcPr>
            <w:tcW w:w="8136" w:type="dxa"/>
            <w:tcBorders>
              <w:tl2br w:val="nil"/>
              <w:tr2bl w:val="nil"/>
            </w:tcBorders>
            <w:vAlign w:val="center"/>
          </w:tcPr>
          <w:p w14:paraId="519235ED">
            <w:pPr>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在确定成交供应商后，采购人或采购代理机构将成交结果情况在本项目竞争性磋商公告发布的同一媒介予以公示。</w:t>
            </w:r>
          </w:p>
        </w:tc>
      </w:tr>
      <w:tr w14:paraId="64EF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43" w:type="dxa"/>
            <w:tcBorders>
              <w:tl2br w:val="nil"/>
              <w:tr2bl w:val="nil"/>
            </w:tcBorders>
            <w:vAlign w:val="center"/>
          </w:tcPr>
          <w:p w14:paraId="5ABF237D">
            <w:pPr>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1899" w:type="dxa"/>
            <w:tcBorders>
              <w:tl2br w:val="nil"/>
              <w:tr2bl w:val="nil"/>
            </w:tcBorders>
            <w:vAlign w:val="center"/>
          </w:tcPr>
          <w:p w14:paraId="5D308F1F">
            <w:pP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Times New Roman"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c>
          <w:tcPr>
            <w:tcW w:w="8136" w:type="dxa"/>
            <w:tcBorders>
              <w:tl2br w:val="nil"/>
              <w:tr2bl w:val="nil"/>
            </w:tcBorders>
            <w:vAlign w:val="center"/>
          </w:tcPr>
          <w:p w14:paraId="5277B192">
            <w:pPr>
              <w:spacing w:before="0" w:beforeAutospacing="0" w:after="0" w:afterAutospacing="0" w:line="360" w:lineRule="auto"/>
              <w:ind w:left="0" w:right="0"/>
              <w:rPr>
                <w:rFonts w:hint="eastAsia" w:ascii="Times New Roman" w:hAnsi="Times New Roman" w:eastAsia="Times New Roman" w:cs="Times New Roman"/>
                <w:color w:val="auto"/>
                <w:sz w:val="20"/>
                <w:szCs w:val="20"/>
                <w:highlight w:val="none"/>
                <w:lang w:eastAsia="zh-CN"/>
              </w:rPr>
            </w:pPr>
            <w:r>
              <w:rPr>
                <w:rFonts w:hint="eastAsia" w:ascii="Times New Roman" w:hAnsi="Times New Roman" w:eastAsia="Times New Roman" w:cs="Times New Roman"/>
                <w:color w:val="auto"/>
                <w:sz w:val="21"/>
                <w:szCs w:val="21"/>
                <w:highlight w:val="none"/>
                <w:lang w:eastAsia="zh-CN"/>
              </w:rPr>
              <w:t>参考河南省招标投标协会（豫招协[2023]002号）文规定的计费方式，向成交人收取代理服务费。</w:t>
            </w:r>
          </w:p>
        </w:tc>
      </w:tr>
      <w:tr w14:paraId="52C4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6" w:hRule="atLeast"/>
          <w:jc w:val="center"/>
        </w:trPr>
        <w:tc>
          <w:tcPr>
            <w:tcW w:w="943" w:type="dxa"/>
            <w:tcBorders>
              <w:tl2br w:val="nil"/>
              <w:tr2bl w:val="nil"/>
            </w:tcBorders>
            <w:vAlign w:val="center"/>
          </w:tcPr>
          <w:p w14:paraId="3A937FDA">
            <w:pPr>
              <w:spacing w:before="0" w:beforeAutospacing="0" w:after="0" w:afterAutospacing="0"/>
              <w:ind w:left="0" w:right="0"/>
              <w:jc w:val="center"/>
              <w:rPr>
                <w:rFonts w:hint="eastAsia" w:ascii="宋体" w:hAnsi="宋体" w:eastAsia="宋体" w:cs="宋体"/>
                <w:szCs w:val="21"/>
                <w:highlight w:val="none"/>
              </w:rPr>
            </w:pPr>
            <w:bookmarkStart w:id="21" w:name="_Toc29830"/>
            <w:bookmarkStart w:id="22" w:name="_Toc17679"/>
            <w:bookmarkStart w:id="23" w:name="_Toc5269841"/>
            <w:bookmarkStart w:id="24" w:name="_Toc29926"/>
            <w:r>
              <w:rPr>
                <w:rFonts w:hint="eastAsia" w:ascii="宋体" w:hAnsi="宋体"/>
                <w:color w:val="auto"/>
                <w:szCs w:val="21"/>
                <w:highlight w:val="none"/>
                <w:lang w:val="en-US" w:eastAsia="zh-CN"/>
              </w:rPr>
              <w:t>10.4</w:t>
            </w:r>
          </w:p>
        </w:tc>
        <w:tc>
          <w:tcPr>
            <w:tcW w:w="10035" w:type="dxa"/>
            <w:gridSpan w:val="2"/>
            <w:tcBorders>
              <w:tl2br w:val="nil"/>
              <w:tr2bl w:val="nil"/>
            </w:tcBorders>
            <w:vAlign w:val="center"/>
          </w:tcPr>
          <w:p w14:paraId="48F38F7C">
            <w:pPr>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本项目采用“远程不见面”开标方式,</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无需到开标现场，</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不再提供资质原件及纸质</w:t>
            </w:r>
            <w:r>
              <w:rPr>
                <w:rFonts w:hint="eastAsia" w:ascii="宋体" w:hAnsi="宋体" w:eastAsia="宋体" w:cs="宋体"/>
                <w:color w:val="auto"/>
                <w:szCs w:val="21"/>
                <w:highlight w:val="none"/>
                <w:lang w:eastAsia="zh-CN"/>
              </w:rPr>
              <w:t>供应商响应</w:t>
            </w:r>
            <w:r>
              <w:rPr>
                <w:rFonts w:hint="eastAsia" w:ascii="宋体" w:hAnsi="宋体" w:eastAsia="宋体" w:cs="宋体"/>
                <w:color w:val="auto"/>
                <w:szCs w:val="21"/>
                <w:highlight w:val="none"/>
              </w:rPr>
              <w:t>文件，以电子</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文件为准；</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活动全部采用电子评审系统评审电子</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登录“荥阳市公共资源交易中心不见面开标大厅”，</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应当在</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确定的投标截止时间前,登录开标大厅,在线准时参加开标活动并进行文件解密、答疑澄清等。具体操作手册详见“荥阳市公共资源交易中心网站-办事指南-荥阳市公共资源交易中心不见面开标大厅操作手册（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p>
          <w:p w14:paraId="2D480854">
            <w:pPr>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不再提供</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电子版（不加密）。</w:t>
            </w:r>
          </w:p>
          <w:p w14:paraId="1EBB9A31">
            <w:pPr>
              <w:spacing w:before="0" w:beforeAutospacing="0" w:after="0" w:afterAutospacing="0" w:line="360" w:lineRule="auto"/>
              <w:ind w:left="0" w:right="0" w:firstLine="0" w:firstLineChars="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备注：</w:t>
            </w:r>
          </w:p>
          <w:p w14:paraId="5FD66380">
            <w:pPr>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应认真学习“荥阳市公共资源交易中心网站-办事指南-荥阳市公共资源交易中心不见面开标大厅操作手册（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）”，根据手册要求做好不见面开标的准备工作。</w:t>
            </w:r>
          </w:p>
          <w:p w14:paraId="589B01FB">
            <w:pPr>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（2）请</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务必按照“荥阳市公共资源交易中心不见面开标大厅操作手册（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）”的要求设置参与不见面开标的电脑环境，否则由此可能引起的签到失败、解密失败或无法解密等问题由</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自行承担。</w:t>
            </w:r>
          </w:p>
          <w:p w14:paraId="563D4AD0">
            <w:pPr>
              <w:widowControl/>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（3）所有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应提前30分钟，登录“荥阳市公共资源交易中心不见面开标大厅”进行不见面开标准备工作。</w:t>
            </w:r>
          </w:p>
          <w:p w14:paraId="3ADB45CE">
            <w:pPr>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（4）所有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登录“荥阳市公共资源交易中心不见面开标大厅”后，须先进行签到，其后应一直保持在线状态，保证能准时参加开标大会、</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的解密、现场答疑澄清等活动。</w:t>
            </w:r>
          </w:p>
          <w:p w14:paraId="52074B41">
            <w:pPr>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应在解密时间内插入CA锁，输入密码，进行解密，如在解密时间内解密失败，可再次解密，</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应在规定时间内完成解密，否则</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不予受理。</w:t>
            </w:r>
          </w:p>
        </w:tc>
      </w:tr>
      <w:tr w14:paraId="4910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3" w:type="dxa"/>
            <w:tcBorders>
              <w:tl2br w:val="nil"/>
              <w:tr2bl w:val="nil"/>
            </w:tcBorders>
            <w:vAlign w:val="center"/>
          </w:tcPr>
          <w:p w14:paraId="3FE60E53">
            <w:pPr>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color w:val="auto"/>
                <w:szCs w:val="21"/>
                <w:highlight w:val="none"/>
                <w:lang w:val="en-US" w:eastAsia="zh-CN"/>
              </w:rPr>
              <w:t>10.5</w:t>
            </w:r>
          </w:p>
        </w:tc>
        <w:tc>
          <w:tcPr>
            <w:tcW w:w="10035" w:type="dxa"/>
            <w:gridSpan w:val="2"/>
            <w:tcBorders>
              <w:tl2br w:val="nil"/>
              <w:tr2bl w:val="nil"/>
            </w:tcBorders>
            <w:vAlign w:val="center"/>
          </w:tcPr>
          <w:p w14:paraId="54477309">
            <w:pPr>
              <w:pStyle w:val="4"/>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1"/>
                <w:szCs w:val="21"/>
                <w:highlight w:val="none"/>
                <w:lang w:val="en-US" w:eastAsia="zh-CN" w:bidi="ar"/>
              </w:rPr>
            </w:pPr>
            <w:bookmarkStart w:id="25" w:name="_Toc22300"/>
            <w:r>
              <w:rPr>
                <w:rFonts w:hint="eastAsia" w:ascii="宋体" w:hAnsi="宋体" w:eastAsia="宋体" w:cs="宋体"/>
                <w:b/>
                <w:bCs/>
                <w:color w:val="auto"/>
                <w:kern w:val="0"/>
                <w:sz w:val="21"/>
                <w:szCs w:val="21"/>
                <w:highlight w:val="none"/>
                <w:lang w:val="en-US" w:eastAsia="zh-CN" w:bidi="ar"/>
              </w:rPr>
              <w:t>荥阳市政府采购合同融资政策告知函</w:t>
            </w:r>
            <w:bookmarkEnd w:id="25"/>
          </w:p>
          <w:p w14:paraId="207C2256">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1"/>
                <w:szCs w:val="21"/>
                <w:highlight w:val="none"/>
              </w:rPr>
            </w:pPr>
            <w:bookmarkStart w:id="26" w:name="_Toc2567"/>
            <w:r>
              <w:rPr>
                <w:rFonts w:hint="eastAsia" w:ascii="宋体" w:hAnsi="宋体" w:eastAsia="宋体" w:cs="宋体"/>
                <w:b w:val="0"/>
                <w:bCs w:val="0"/>
                <w:color w:val="auto"/>
                <w:kern w:val="0"/>
                <w:sz w:val="21"/>
                <w:szCs w:val="21"/>
                <w:highlight w:val="none"/>
                <w:lang w:val="en-US" w:eastAsia="zh-CN" w:bidi="ar"/>
              </w:rPr>
              <w:t>各供应商：</w:t>
            </w:r>
            <w:bookmarkEnd w:id="26"/>
          </w:p>
          <w:p w14:paraId="25E2BC69">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欢迎贵公司参与荥阳市政府采购活动！</w:t>
            </w:r>
          </w:p>
          <w:p w14:paraId="6611EA7A">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号）和《郑州市财政局关于加强和推进政府采购合同融资工作的通知》（郑财购〔2018〕4 号），按照双方自愿的原则提供便捷、优惠的贷款服务。</w:t>
            </w:r>
          </w:p>
          <w:p w14:paraId="680DD939">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贷款渠道和提供贷款的金融机构，可在荥阳市政府采购网“荥阳市政府采购合同融资入口”或工作动态栏查询联系。</w:t>
            </w:r>
          </w:p>
        </w:tc>
      </w:tr>
      <w:tr w14:paraId="6C25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7" w:hRule="atLeast"/>
          <w:jc w:val="center"/>
        </w:trPr>
        <w:tc>
          <w:tcPr>
            <w:tcW w:w="943" w:type="dxa"/>
            <w:tcBorders>
              <w:tl2br w:val="nil"/>
              <w:tr2bl w:val="nil"/>
            </w:tcBorders>
            <w:vAlign w:val="center"/>
          </w:tcPr>
          <w:p w14:paraId="1D8274A2">
            <w:pPr>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cs="宋体"/>
                <w:color w:val="auto"/>
                <w:kern w:val="2"/>
                <w:sz w:val="21"/>
                <w:szCs w:val="21"/>
                <w:highlight w:val="none"/>
                <w:lang w:val="en-US" w:eastAsia="zh-CN"/>
              </w:rPr>
              <w:t>10.6</w:t>
            </w:r>
          </w:p>
        </w:tc>
        <w:tc>
          <w:tcPr>
            <w:tcW w:w="10035" w:type="dxa"/>
            <w:gridSpan w:val="2"/>
            <w:tcBorders>
              <w:tl2br w:val="nil"/>
              <w:tr2bl w:val="nil"/>
            </w:tcBorders>
            <w:vAlign w:val="center"/>
          </w:tcPr>
          <w:p w14:paraId="7EDFC450">
            <w:pPr>
              <w:pStyle w:val="23"/>
              <w:keepNext w:val="0"/>
              <w:keepLines w:val="0"/>
              <w:pageBreakBefore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rPr>
              <w:t>质</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rPr>
              <w:t>疑</w:t>
            </w:r>
          </w:p>
          <w:p w14:paraId="6C2C7FDE">
            <w:pPr>
              <w:pStyle w:val="23"/>
              <w:keepNext w:val="0"/>
              <w:keepLines w:val="0"/>
              <w:pageBreakBefore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文件、采购过程和</w:t>
            </w:r>
            <w:r>
              <w:rPr>
                <w:rFonts w:hint="eastAsia" w:cs="宋体"/>
                <w:color w:val="auto"/>
                <w:sz w:val="21"/>
                <w:szCs w:val="21"/>
                <w:highlight w:val="none"/>
                <w:lang w:val="en-US" w:eastAsia="zh-CN"/>
              </w:rPr>
              <w:t>中标</w:t>
            </w:r>
            <w:r>
              <w:rPr>
                <w:rFonts w:hint="eastAsia" w:ascii="宋体" w:hAnsi="宋体" w:eastAsia="宋体" w:cs="宋体"/>
                <w:color w:val="auto"/>
                <w:sz w:val="21"/>
                <w:szCs w:val="21"/>
                <w:highlight w:val="none"/>
              </w:rPr>
              <w:t>结果使自己的权益受到损害的，可以在知道或者应知其权益受到损害之日起七个工作日内，按照《政府采购质疑和投诉办法》（财政部令第 94 号）</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规定以书面形式向采购人或采购代理机构提出质疑（邮寄件、传真件不予受理），逾期不再接收。</w:t>
            </w:r>
          </w:p>
          <w:p w14:paraId="0D57A91C">
            <w:pPr>
              <w:pStyle w:val="23"/>
              <w:keepNext w:val="0"/>
              <w:keepLines w:val="0"/>
              <w:pageBreakBefore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1、接收质疑函的方式：接收加盖单位公章的书面纸质质疑函</w:t>
            </w:r>
          </w:p>
          <w:p w14:paraId="6960909B">
            <w:pPr>
              <w:pStyle w:val="23"/>
              <w:keepNext w:val="0"/>
              <w:keepLines w:val="0"/>
              <w:pageBreakBefore w:val="0"/>
              <w:kinsoku/>
              <w:wordWrap/>
              <w:overflowPunct/>
              <w:topLinePunct w:val="0"/>
              <w:autoSpaceDE/>
              <w:autoSpaceDN/>
              <w:bidi w:val="0"/>
              <w:adjustRightInd/>
              <w:snapToGrid/>
              <w:spacing w:before="0" w:beforeAutospacing="0" w:after="0" w:afterAutospacing="0" w:line="440" w:lineRule="exact"/>
              <w:ind w:left="0" w:right="0" w:firstLine="210" w:firstLineChars="1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采购代理机构名称：河南守恒建设工程咨询有限公司　</w:t>
            </w:r>
          </w:p>
          <w:p w14:paraId="12BF0C0A">
            <w:pPr>
              <w:pStyle w:val="23"/>
              <w:keepNext w:val="0"/>
              <w:keepLines w:val="0"/>
              <w:pageBreakBefore w:val="0"/>
              <w:kinsoku/>
              <w:wordWrap/>
              <w:overflowPunct/>
              <w:topLinePunct w:val="0"/>
              <w:autoSpaceDE/>
              <w:autoSpaceDN/>
              <w:bidi w:val="0"/>
              <w:adjustRightInd/>
              <w:snapToGrid/>
              <w:spacing w:before="0" w:beforeAutospacing="0" w:after="0" w:afterAutospacing="0" w:line="440" w:lineRule="exact"/>
              <w:ind w:left="0" w:right="0" w:firstLine="210" w:firstLineChars="1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地　址：河南省郑州市荥阳市索河路与工业路交叉口向南100米路西　</w:t>
            </w:r>
          </w:p>
          <w:p w14:paraId="200EED4D">
            <w:pPr>
              <w:pStyle w:val="23"/>
              <w:keepNext w:val="0"/>
              <w:keepLines w:val="0"/>
              <w:pageBreakBefore w:val="0"/>
              <w:kinsoku/>
              <w:wordWrap/>
              <w:overflowPunct/>
              <w:topLinePunct w:val="0"/>
              <w:autoSpaceDE/>
              <w:autoSpaceDN/>
              <w:bidi w:val="0"/>
              <w:adjustRightInd/>
              <w:snapToGrid/>
              <w:spacing w:before="0" w:beforeAutospacing="0" w:after="0" w:afterAutospacing="0" w:line="440" w:lineRule="exact"/>
              <w:ind w:left="0" w:right="0" w:firstLine="210" w:firstLineChars="1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联系人：张聪</w:t>
            </w:r>
          </w:p>
          <w:p w14:paraId="316143AD">
            <w:pPr>
              <w:pStyle w:val="23"/>
              <w:keepNext w:val="0"/>
              <w:keepLines w:val="0"/>
              <w:pageBreakBefore w:val="0"/>
              <w:kinsoku/>
              <w:wordWrap/>
              <w:overflowPunct/>
              <w:topLinePunct w:val="0"/>
              <w:autoSpaceDE/>
              <w:autoSpaceDN/>
              <w:bidi w:val="0"/>
              <w:adjustRightInd/>
              <w:snapToGrid/>
              <w:spacing w:before="0" w:beforeAutospacing="0" w:after="0" w:afterAutospacing="0" w:line="440" w:lineRule="exact"/>
              <w:ind w:left="0" w:right="0" w:firstLine="210" w:firstLineChars="1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联系方式：13027780287　　</w:t>
            </w:r>
          </w:p>
          <w:p w14:paraId="490C1AEB">
            <w:pPr>
              <w:pStyle w:val="23"/>
              <w:keepNext w:val="0"/>
              <w:keepLines w:val="0"/>
              <w:pageBreakBefore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2、质疑函的内容、格式：应符合《政府采购质疑和投诉办法》相关规定和财政部门制定的《政府采购质疑函范本》格式。 </w:t>
            </w:r>
          </w:p>
          <w:p w14:paraId="0C548FA5">
            <w:pPr>
              <w:pStyle w:val="2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Times New Roman"/>
                <w:color w:val="auto"/>
                <w:kern w:val="0"/>
                <w:sz w:val="24"/>
                <w:szCs w:val="21"/>
                <w:highlight w:val="none"/>
                <w:lang w:val="en-US" w:eastAsia="zh-CN" w:bidi="ar-SA"/>
              </w:rPr>
            </w:pPr>
            <w:r>
              <w:rPr>
                <w:rFonts w:hint="eastAsia" w:ascii="宋体" w:hAnsi="宋体" w:eastAsia="宋体" w:cs="宋体"/>
                <w:color w:val="auto"/>
                <w:kern w:val="2"/>
                <w:sz w:val="21"/>
                <w:szCs w:val="21"/>
                <w:highlight w:val="none"/>
              </w:rPr>
              <w:t>二、</w:t>
            </w:r>
            <w:r>
              <w:rPr>
                <w:rFonts w:hint="eastAsia" w:cs="宋体"/>
                <w:b/>
                <w:bCs/>
                <w:color w:val="auto"/>
                <w:kern w:val="2"/>
                <w:sz w:val="21"/>
                <w:szCs w:val="21"/>
                <w:highlight w:val="none"/>
                <w:lang w:eastAsia="zh-CN"/>
              </w:rPr>
              <w:t>供应商</w:t>
            </w:r>
            <w:r>
              <w:rPr>
                <w:rFonts w:hint="eastAsia" w:ascii="宋体" w:hAnsi="宋体" w:eastAsia="宋体" w:cs="宋体"/>
                <w:b/>
                <w:bCs/>
                <w:color w:val="auto"/>
                <w:kern w:val="2"/>
                <w:sz w:val="21"/>
                <w:szCs w:val="21"/>
                <w:highlight w:val="none"/>
              </w:rPr>
              <w:t>应在法定质疑期内一次性针对同一采购程序环节提出质疑，否则针对再次提出质疑将不予接收</w:t>
            </w:r>
            <w:r>
              <w:rPr>
                <w:rFonts w:hint="eastAsia" w:ascii="宋体" w:hAnsi="宋体" w:eastAsia="宋体" w:cs="宋体"/>
                <w:color w:val="auto"/>
                <w:kern w:val="2"/>
                <w:sz w:val="21"/>
                <w:szCs w:val="21"/>
                <w:highlight w:val="none"/>
              </w:rPr>
              <w:t>。（采购程序环节分为：</w:t>
            </w:r>
            <w:r>
              <w:rPr>
                <w:rFonts w:hint="eastAsia" w:cs="宋体"/>
                <w:color w:val="auto"/>
                <w:kern w:val="2"/>
                <w:sz w:val="21"/>
                <w:szCs w:val="21"/>
                <w:highlight w:val="none"/>
                <w:lang w:val="en-US" w:eastAsia="zh-CN"/>
              </w:rPr>
              <w:t>采购公告、</w:t>
            </w:r>
            <w:r>
              <w:rPr>
                <w:rFonts w:hint="eastAsia" w:ascii="宋体" w:hAnsi="宋体" w:eastAsia="宋体" w:cs="宋体"/>
                <w:color w:val="auto"/>
                <w:kern w:val="2"/>
                <w:sz w:val="21"/>
                <w:szCs w:val="21"/>
                <w:highlight w:val="none"/>
              </w:rPr>
              <w:t>采购文件、采购过程、</w:t>
            </w:r>
            <w:r>
              <w:rPr>
                <w:rFonts w:hint="eastAsia" w:cs="宋体"/>
                <w:color w:val="auto"/>
                <w:kern w:val="2"/>
                <w:sz w:val="21"/>
                <w:szCs w:val="21"/>
                <w:highlight w:val="none"/>
                <w:lang w:val="en-US" w:eastAsia="zh-CN"/>
              </w:rPr>
              <w:t>中标</w:t>
            </w:r>
            <w:r>
              <w:rPr>
                <w:rFonts w:hint="eastAsia" w:ascii="宋体" w:hAnsi="宋体" w:eastAsia="宋体" w:cs="宋体"/>
                <w:color w:val="auto"/>
                <w:kern w:val="2"/>
                <w:sz w:val="21"/>
                <w:szCs w:val="21"/>
                <w:highlight w:val="none"/>
              </w:rPr>
              <w:t>结果）</w:t>
            </w:r>
          </w:p>
        </w:tc>
      </w:tr>
      <w:tr w14:paraId="4CF5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943" w:type="dxa"/>
            <w:vAlign w:val="center"/>
          </w:tcPr>
          <w:p w14:paraId="3DD6B717">
            <w:pPr>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10.7</w:t>
            </w:r>
          </w:p>
          <w:p w14:paraId="07A833DA">
            <w:pPr>
              <w:spacing w:before="0" w:beforeAutospacing="0" w:after="0" w:afterAutospacing="0"/>
              <w:ind w:left="0" w:right="0"/>
              <w:jc w:val="center"/>
              <w:rPr>
                <w:rFonts w:hint="eastAsia" w:ascii="宋体" w:hAnsi="宋体" w:eastAsia="宋体" w:cs="宋体"/>
                <w:szCs w:val="21"/>
                <w:highlight w:val="none"/>
              </w:rPr>
            </w:pPr>
          </w:p>
        </w:tc>
        <w:tc>
          <w:tcPr>
            <w:tcW w:w="10035" w:type="dxa"/>
            <w:gridSpan w:val="2"/>
            <w:vAlign w:val="top"/>
          </w:tcPr>
          <w:p w14:paraId="2E00456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bCs/>
                <w:color w:val="auto"/>
                <w:kern w:val="2"/>
                <w:sz w:val="21"/>
                <w:szCs w:val="21"/>
                <w:highlight w:val="none"/>
                <w:lang w:val="en-US" w:eastAsia="zh-CN" w:bidi="zh-CN"/>
              </w:rPr>
            </w:pPr>
            <w:r>
              <w:rPr>
                <w:rFonts w:hint="eastAsia" w:ascii="宋体" w:hAnsi="宋体" w:eastAsia="宋体" w:cs="宋体"/>
                <w:b/>
                <w:bCs/>
                <w:color w:val="auto"/>
                <w:kern w:val="2"/>
                <w:sz w:val="21"/>
                <w:szCs w:val="21"/>
                <w:highlight w:val="none"/>
                <w:lang w:val="en-US" w:eastAsia="zh-CN" w:bidi="zh-CN"/>
              </w:rPr>
              <w:t>1.采购标的所属行业为：</w:t>
            </w:r>
            <w:r>
              <w:rPr>
                <w:rFonts w:hint="eastAsia" w:ascii="宋体" w:hAnsi="宋体" w:cs="宋体"/>
                <w:b/>
                <w:bCs/>
                <w:color w:val="auto"/>
                <w:kern w:val="0"/>
                <w:sz w:val="21"/>
                <w:szCs w:val="21"/>
                <w:highlight w:val="none"/>
                <w:lang w:val="en-US" w:eastAsia="zh-CN" w:bidi="ar"/>
              </w:rPr>
              <w:t>建筑业</w:t>
            </w:r>
          </w:p>
          <w:p w14:paraId="48BC3332">
            <w:pPr>
              <w:keepNext w:val="0"/>
              <w:keepLines w:val="0"/>
              <w:pageBreakBefore w:val="0"/>
              <w:widowControl/>
              <w:kinsoku/>
              <w:wordWrap/>
              <w:overflowPunct/>
              <w:topLinePunct w:val="0"/>
              <w:autoSpaceDE w:val="0"/>
              <w:autoSpaceDN w:val="0"/>
              <w:bidi w:val="0"/>
              <w:adjustRightInd/>
              <w:snapToGrid/>
              <w:spacing w:before="0" w:beforeAutospacing="0" w:after="0" w:afterAutospacing="0" w:line="440" w:lineRule="exact"/>
              <w:ind w:left="0" w:leftChars="0" w:right="0" w:rightChars="0" w:firstLine="420" w:firstLineChars="200"/>
              <w:jc w:val="both"/>
              <w:textAlignment w:val="auto"/>
              <w:rPr>
                <w:rFonts w:hint="eastAsia"/>
                <w:highlight w:val="none"/>
                <w:lang w:val="en-US" w:eastAsia="zh-CN"/>
              </w:rPr>
            </w:pPr>
            <w:r>
              <w:rPr>
                <w:rFonts w:hint="eastAsia" w:ascii="宋体" w:hAnsi="宋体" w:eastAsia="宋体" w:cs="宋体"/>
                <w:color w:val="auto"/>
                <w:kern w:val="0"/>
                <w:sz w:val="21"/>
                <w:szCs w:val="21"/>
                <w:highlight w:val="none"/>
                <w:lang w:val="en-US" w:eastAsia="zh-CN" w:bidi="ar"/>
              </w:rPr>
              <w:t>划定标准为：中小微企业划分按照《国家统计局关于印发&lt;统计上大中小微企业划分办法（2017）&gt;的通知》国统字{2017}213 号文件及《工业和信息化部、国家统计局、国家发展和改革委员会、财政部关于印发&lt;中小企业划型标准规定&gt;的通知》（工信部联企业【2011】300号）规定的划分标准为依据。</w:t>
            </w:r>
          </w:p>
        </w:tc>
      </w:tr>
    </w:tbl>
    <w:p w14:paraId="40ECBF54">
      <w:pPr>
        <w:widowControl/>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27"/>
        <w:tblW w:w="10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750"/>
        <w:gridCol w:w="684"/>
        <w:gridCol w:w="1220"/>
        <w:gridCol w:w="1770"/>
        <w:gridCol w:w="1743"/>
        <w:gridCol w:w="1486"/>
      </w:tblGrid>
      <w:tr w14:paraId="2BBD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930" w:type="dxa"/>
            <w:noWrap w:val="0"/>
            <w:vAlign w:val="center"/>
          </w:tcPr>
          <w:p w14:paraId="192D8E15">
            <w:pPr>
              <w:widowControl/>
              <w:spacing w:before="0" w:beforeAutospacing="0" w:after="0" w:afterAutospacing="0" w:line="240" w:lineRule="exact"/>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1750" w:type="dxa"/>
            <w:noWrap w:val="0"/>
            <w:vAlign w:val="center"/>
          </w:tcPr>
          <w:p w14:paraId="15AA28A3">
            <w:pPr>
              <w:widowControl/>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684" w:type="dxa"/>
            <w:noWrap w:val="0"/>
            <w:vAlign w:val="center"/>
          </w:tcPr>
          <w:p w14:paraId="76821D9F">
            <w:pPr>
              <w:widowControl/>
              <w:spacing w:before="0" w:beforeAutospacing="0" w:after="0" w:afterAutospacing="0"/>
              <w:ind w:left="0" w:right="0"/>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计量</w:t>
            </w:r>
          </w:p>
          <w:p w14:paraId="7263479D">
            <w:pPr>
              <w:widowControl/>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1220" w:type="dxa"/>
            <w:noWrap w:val="0"/>
            <w:vAlign w:val="center"/>
          </w:tcPr>
          <w:p w14:paraId="4EAFC958">
            <w:pPr>
              <w:widowControl/>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1770" w:type="dxa"/>
            <w:noWrap w:val="0"/>
            <w:vAlign w:val="center"/>
          </w:tcPr>
          <w:p w14:paraId="781B5ADD">
            <w:pPr>
              <w:widowControl/>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1743" w:type="dxa"/>
            <w:noWrap w:val="0"/>
            <w:vAlign w:val="center"/>
          </w:tcPr>
          <w:p w14:paraId="699A8929">
            <w:pPr>
              <w:widowControl/>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1486" w:type="dxa"/>
            <w:noWrap w:val="0"/>
            <w:vAlign w:val="center"/>
          </w:tcPr>
          <w:p w14:paraId="4189B9A9">
            <w:pPr>
              <w:widowControl/>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14:paraId="51ED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930" w:type="dxa"/>
            <w:noWrap w:val="0"/>
            <w:vAlign w:val="center"/>
          </w:tcPr>
          <w:p w14:paraId="4B68D6F3">
            <w:pPr>
              <w:widowControl/>
              <w:spacing w:before="0" w:beforeAutospacing="0" w:after="0" w:afterAutospacing="0" w:line="2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1750" w:type="dxa"/>
            <w:noWrap w:val="0"/>
            <w:vAlign w:val="center"/>
          </w:tcPr>
          <w:p w14:paraId="1E040839">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noWrap w:val="0"/>
            <w:vAlign w:val="center"/>
          </w:tcPr>
          <w:p w14:paraId="31F8ECB9">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0" w:type="dxa"/>
            <w:noWrap w:val="0"/>
            <w:vAlign w:val="center"/>
          </w:tcPr>
          <w:p w14:paraId="08498629">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770" w:type="dxa"/>
            <w:noWrap w:val="0"/>
            <w:vAlign w:val="center"/>
          </w:tcPr>
          <w:p w14:paraId="19B3337A">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500≤Y＜20000</w:t>
            </w:r>
          </w:p>
        </w:tc>
        <w:tc>
          <w:tcPr>
            <w:tcW w:w="1743" w:type="dxa"/>
            <w:noWrap w:val="0"/>
            <w:vAlign w:val="center"/>
          </w:tcPr>
          <w:p w14:paraId="1C047C57">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50≤Y＜500</w:t>
            </w:r>
          </w:p>
        </w:tc>
        <w:tc>
          <w:tcPr>
            <w:tcW w:w="1486" w:type="dxa"/>
            <w:noWrap w:val="0"/>
            <w:vAlign w:val="center"/>
          </w:tcPr>
          <w:p w14:paraId="253A5654">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183A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30" w:type="dxa"/>
            <w:vMerge w:val="restart"/>
            <w:noWrap w:val="0"/>
            <w:vAlign w:val="center"/>
          </w:tcPr>
          <w:p w14:paraId="00BB3CBB">
            <w:pPr>
              <w:widowControl/>
              <w:spacing w:before="0" w:beforeAutospacing="0" w:after="0" w:afterAutospacing="0" w:line="2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 *</w:t>
            </w:r>
          </w:p>
        </w:tc>
        <w:tc>
          <w:tcPr>
            <w:tcW w:w="1750" w:type="dxa"/>
            <w:noWrap w:val="0"/>
            <w:vAlign w:val="center"/>
          </w:tcPr>
          <w:p w14:paraId="4A1B0BC7">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noWrap w:val="0"/>
            <w:vAlign w:val="center"/>
          </w:tcPr>
          <w:p w14:paraId="73AF5FAA">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0" w:type="dxa"/>
            <w:noWrap w:val="0"/>
            <w:vAlign w:val="center"/>
          </w:tcPr>
          <w:p w14:paraId="3943D4B7">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70" w:type="dxa"/>
            <w:noWrap w:val="0"/>
            <w:vAlign w:val="center"/>
          </w:tcPr>
          <w:p w14:paraId="4B0D996A">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43" w:type="dxa"/>
            <w:noWrap w:val="0"/>
            <w:vAlign w:val="center"/>
          </w:tcPr>
          <w:p w14:paraId="69BBE157">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1486" w:type="dxa"/>
            <w:noWrap w:val="0"/>
            <w:vAlign w:val="center"/>
          </w:tcPr>
          <w:p w14:paraId="319511BA">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11A4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30" w:type="dxa"/>
            <w:vMerge w:val="continue"/>
            <w:noWrap w:val="0"/>
            <w:vAlign w:val="center"/>
          </w:tcPr>
          <w:p w14:paraId="1331BD61">
            <w:pPr>
              <w:widowControl/>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1750" w:type="dxa"/>
            <w:noWrap w:val="0"/>
            <w:vAlign w:val="center"/>
          </w:tcPr>
          <w:p w14:paraId="45750320">
            <w:pPr>
              <w:widowControl/>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noWrap w:val="0"/>
            <w:vAlign w:val="center"/>
          </w:tcPr>
          <w:p w14:paraId="58F62B8E">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0" w:type="dxa"/>
            <w:noWrap w:val="0"/>
            <w:vAlign w:val="center"/>
          </w:tcPr>
          <w:p w14:paraId="6C2FBC69">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770" w:type="dxa"/>
            <w:noWrap w:val="0"/>
            <w:vAlign w:val="center"/>
          </w:tcPr>
          <w:p w14:paraId="2912A3D6">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743" w:type="dxa"/>
            <w:noWrap w:val="0"/>
            <w:vAlign w:val="center"/>
          </w:tcPr>
          <w:p w14:paraId="5AED8028">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300≤Y＜2000</w:t>
            </w:r>
          </w:p>
        </w:tc>
        <w:tc>
          <w:tcPr>
            <w:tcW w:w="1486" w:type="dxa"/>
            <w:noWrap w:val="0"/>
            <w:vAlign w:val="center"/>
          </w:tcPr>
          <w:p w14:paraId="36179246">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1EE5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930" w:type="dxa"/>
            <w:vMerge w:val="restart"/>
            <w:noWrap w:val="0"/>
            <w:vAlign w:val="center"/>
          </w:tcPr>
          <w:p w14:paraId="25CB7D0A">
            <w:pPr>
              <w:widowControl/>
              <w:spacing w:before="0" w:beforeAutospacing="0" w:after="0" w:afterAutospacing="0" w:line="2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1750" w:type="dxa"/>
            <w:noWrap w:val="0"/>
            <w:vAlign w:val="center"/>
          </w:tcPr>
          <w:p w14:paraId="20C03894">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noWrap w:val="0"/>
            <w:vAlign w:val="center"/>
          </w:tcPr>
          <w:p w14:paraId="55E6B796">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0" w:type="dxa"/>
            <w:noWrap w:val="0"/>
            <w:vAlign w:val="center"/>
          </w:tcPr>
          <w:p w14:paraId="44051D60">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1770" w:type="dxa"/>
            <w:noWrap w:val="0"/>
            <w:vAlign w:val="center"/>
          </w:tcPr>
          <w:p w14:paraId="75AEBEA7">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743" w:type="dxa"/>
            <w:noWrap w:val="0"/>
            <w:vAlign w:val="center"/>
          </w:tcPr>
          <w:p w14:paraId="2131C801">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300≤Y＜6000</w:t>
            </w:r>
          </w:p>
        </w:tc>
        <w:tc>
          <w:tcPr>
            <w:tcW w:w="1486" w:type="dxa"/>
            <w:noWrap w:val="0"/>
            <w:vAlign w:val="center"/>
          </w:tcPr>
          <w:p w14:paraId="41BEC1D0">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1293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930" w:type="dxa"/>
            <w:vMerge w:val="continue"/>
            <w:noWrap w:val="0"/>
            <w:vAlign w:val="center"/>
          </w:tcPr>
          <w:p w14:paraId="2BE27971">
            <w:pPr>
              <w:widowControl/>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1750" w:type="dxa"/>
            <w:noWrap w:val="0"/>
            <w:vAlign w:val="center"/>
          </w:tcPr>
          <w:p w14:paraId="37C80254">
            <w:pPr>
              <w:widowControl/>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84" w:type="dxa"/>
            <w:noWrap w:val="0"/>
            <w:vAlign w:val="center"/>
          </w:tcPr>
          <w:p w14:paraId="02F14AA5">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0" w:type="dxa"/>
            <w:noWrap w:val="0"/>
            <w:vAlign w:val="center"/>
          </w:tcPr>
          <w:p w14:paraId="7C5E745B">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1770" w:type="dxa"/>
            <w:noWrap w:val="0"/>
            <w:vAlign w:val="center"/>
          </w:tcPr>
          <w:p w14:paraId="770B4F9A">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743" w:type="dxa"/>
            <w:noWrap w:val="0"/>
            <w:vAlign w:val="center"/>
          </w:tcPr>
          <w:p w14:paraId="2D0990F7">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300≤Z＜5000</w:t>
            </w:r>
          </w:p>
        </w:tc>
        <w:tc>
          <w:tcPr>
            <w:tcW w:w="1486" w:type="dxa"/>
            <w:noWrap w:val="0"/>
            <w:vAlign w:val="center"/>
          </w:tcPr>
          <w:p w14:paraId="3415E398">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070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30" w:type="dxa"/>
            <w:vMerge w:val="restart"/>
            <w:noWrap w:val="0"/>
            <w:vAlign w:val="center"/>
          </w:tcPr>
          <w:p w14:paraId="61C7E8B7">
            <w:pPr>
              <w:widowControl/>
              <w:spacing w:before="0" w:beforeAutospacing="0" w:after="0" w:afterAutospacing="0" w:line="2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1750" w:type="dxa"/>
            <w:noWrap w:val="0"/>
            <w:vAlign w:val="center"/>
          </w:tcPr>
          <w:p w14:paraId="43D28358">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noWrap w:val="0"/>
            <w:vAlign w:val="center"/>
          </w:tcPr>
          <w:p w14:paraId="06AF9E70">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0" w:type="dxa"/>
            <w:noWrap w:val="0"/>
            <w:vAlign w:val="center"/>
          </w:tcPr>
          <w:p w14:paraId="019373F1">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770" w:type="dxa"/>
            <w:noWrap w:val="0"/>
            <w:vAlign w:val="center"/>
          </w:tcPr>
          <w:p w14:paraId="4C13D3AC">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743" w:type="dxa"/>
            <w:noWrap w:val="0"/>
            <w:vAlign w:val="center"/>
          </w:tcPr>
          <w:p w14:paraId="08473D21">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5≤X＜20</w:t>
            </w:r>
          </w:p>
        </w:tc>
        <w:tc>
          <w:tcPr>
            <w:tcW w:w="1486" w:type="dxa"/>
            <w:noWrap w:val="0"/>
            <w:vAlign w:val="center"/>
          </w:tcPr>
          <w:p w14:paraId="1C9DC14B">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4FAC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30" w:type="dxa"/>
            <w:vMerge w:val="continue"/>
            <w:noWrap w:val="0"/>
            <w:vAlign w:val="center"/>
          </w:tcPr>
          <w:p w14:paraId="5CDDDA31">
            <w:pPr>
              <w:widowControl/>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1750" w:type="dxa"/>
            <w:noWrap w:val="0"/>
            <w:vAlign w:val="center"/>
          </w:tcPr>
          <w:p w14:paraId="41768194">
            <w:pPr>
              <w:widowControl/>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noWrap w:val="0"/>
            <w:vAlign w:val="center"/>
          </w:tcPr>
          <w:p w14:paraId="56AD6468">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0" w:type="dxa"/>
            <w:noWrap w:val="0"/>
            <w:vAlign w:val="center"/>
          </w:tcPr>
          <w:p w14:paraId="60A33D91">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770" w:type="dxa"/>
            <w:noWrap w:val="0"/>
            <w:vAlign w:val="center"/>
          </w:tcPr>
          <w:p w14:paraId="7923A32A">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743" w:type="dxa"/>
            <w:noWrap w:val="0"/>
            <w:vAlign w:val="center"/>
          </w:tcPr>
          <w:p w14:paraId="2E983946">
            <w:pPr>
              <w:widowControl/>
              <w:spacing w:before="0" w:beforeAutospacing="0" w:after="0" w:afterAutospacing="0"/>
              <w:ind w:left="-1" w:leftChars="-1" w:right="0"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486" w:type="dxa"/>
            <w:noWrap w:val="0"/>
            <w:vAlign w:val="center"/>
          </w:tcPr>
          <w:p w14:paraId="4176C3A5">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6880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30" w:type="dxa"/>
            <w:vMerge w:val="restart"/>
            <w:noWrap w:val="0"/>
            <w:vAlign w:val="center"/>
          </w:tcPr>
          <w:p w14:paraId="6CD8E174">
            <w:pPr>
              <w:widowControl/>
              <w:spacing w:before="0" w:beforeAutospacing="0" w:after="0" w:afterAutospacing="0" w:line="2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1750" w:type="dxa"/>
            <w:noWrap w:val="0"/>
            <w:vAlign w:val="center"/>
          </w:tcPr>
          <w:p w14:paraId="4E51C265">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noWrap w:val="0"/>
            <w:vAlign w:val="center"/>
          </w:tcPr>
          <w:p w14:paraId="2C992B10">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0" w:type="dxa"/>
            <w:noWrap w:val="0"/>
            <w:vAlign w:val="center"/>
          </w:tcPr>
          <w:p w14:paraId="627D292A">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70" w:type="dxa"/>
            <w:noWrap w:val="0"/>
            <w:vAlign w:val="center"/>
          </w:tcPr>
          <w:p w14:paraId="48D56722">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743" w:type="dxa"/>
            <w:noWrap w:val="0"/>
            <w:vAlign w:val="center"/>
          </w:tcPr>
          <w:p w14:paraId="022A2CCD">
            <w:pPr>
              <w:widowControl/>
              <w:spacing w:before="0" w:beforeAutospacing="0" w:after="0" w:afterAutospacing="0"/>
              <w:ind w:left="-1" w:leftChars="-1" w:right="0"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10≤X＜50 </w:t>
            </w:r>
          </w:p>
        </w:tc>
        <w:tc>
          <w:tcPr>
            <w:tcW w:w="1486" w:type="dxa"/>
            <w:noWrap w:val="0"/>
            <w:vAlign w:val="center"/>
          </w:tcPr>
          <w:p w14:paraId="7792B193">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12BA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30" w:type="dxa"/>
            <w:vMerge w:val="continue"/>
            <w:noWrap w:val="0"/>
            <w:vAlign w:val="center"/>
          </w:tcPr>
          <w:p w14:paraId="14A52DD8">
            <w:pPr>
              <w:widowControl/>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1750" w:type="dxa"/>
            <w:noWrap w:val="0"/>
            <w:vAlign w:val="center"/>
          </w:tcPr>
          <w:p w14:paraId="2ABCF765">
            <w:pPr>
              <w:widowControl/>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noWrap w:val="0"/>
            <w:vAlign w:val="center"/>
          </w:tcPr>
          <w:p w14:paraId="74B84ACB">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0" w:type="dxa"/>
            <w:noWrap w:val="0"/>
            <w:vAlign w:val="center"/>
          </w:tcPr>
          <w:p w14:paraId="0B55036C">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770" w:type="dxa"/>
            <w:noWrap w:val="0"/>
            <w:vAlign w:val="center"/>
          </w:tcPr>
          <w:p w14:paraId="02285B1B">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500≤Y＜20000</w:t>
            </w:r>
          </w:p>
        </w:tc>
        <w:tc>
          <w:tcPr>
            <w:tcW w:w="1743" w:type="dxa"/>
            <w:noWrap w:val="0"/>
            <w:vAlign w:val="center"/>
          </w:tcPr>
          <w:p w14:paraId="1A7D945C">
            <w:pPr>
              <w:widowControl/>
              <w:spacing w:before="0" w:beforeAutospacing="0" w:after="0" w:afterAutospacing="0"/>
              <w:ind w:left="-1" w:leftChars="-1" w:right="0"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100≤Y＜500 </w:t>
            </w:r>
          </w:p>
        </w:tc>
        <w:tc>
          <w:tcPr>
            <w:tcW w:w="1486" w:type="dxa"/>
            <w:noWrap w:val="0"/>
            <w:vAlign w:val="center"/>
          </w:tcPr>
          <w:p w14:paraId="5BE20F5D">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18C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30" w:type="dxa"/>
            <w:vMerge w:val="restart"/>
            <w:noWrap w:val="0"/>
            <w:vAlign w:val="center"/>
          </w:tcPr>
          <w:p w14:paraId="6498C0B0">
            <w:pPr>
              <w:widowControl/>
              <w:spacing w:before="0" w:beforeAutospacing="0" w:after="0" w:afterAutospacing="0" w:line="2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 *</w:t>
            </w:r>
          </w:p>
        </w:tc>
        <w:tc>
          <w:tcPr>
            <w:tcW w:w="1750" w:type="dxa"/>
            <w:noWrap w:val="0"/>
            <w:vAlign w:val="center"/>
          </w:tcPr>
          <w:p w14:paraId="70564017">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noWrap w:val="0"/>
            <w:vAlign w:val="center"/>
          </w:tcPr>
          <w:p w14:paraId="38DAB38A">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0" w:type="dxa"/>
            <w:noWrap w:val="0"/>
            <w:vAlign w:val="center"/>
          </w:tcPr>
          <w:p w14:paraId="568B35B2">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70" w:type="dxa"/>
            <w:noWrap w:val="0"/>
            <w:vAlign w:val="center"/>
          </w:tcPr>
          <w:p w14:paraId="08E08581">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43" w:type="dxa"/>
            <w:noWrap w:val="0"/>
            <w:vAlign w:val="center"/>
          </w:tcPr>
          <w:p w14:paraId="5F348CDC">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1486" w:type="dxa"/>
            <w:noWrap w:val="0"/>
            <w:vAlign w:val="center"/>
          </w:tcPr>
          <w:p w14:paraId="595076BA">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30AE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30" w:type="dxa"/>
            <w:vMerge w:val="continue"/>
            <w:noWrap w:val="0"/>
            <w:vAlign w:val="center"/>
          </w:tcPr>
          <w:p w14:paraId="0AF8CDFC">
            <w:pPr>
              <w:widowControl/>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1750" w:type="dxa"/>
            <w:noWrap w:val="0"/>
            <w:vAlign w:val="center"/>
          </w:tcPr>
          <w:p w14:paraId="3835CA21">
            <w:pPr>
              <w:widowControl/>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noWrap w:val="0"/>
            <w:vAlign w:val="center"/>
          </w:tcPr>
          <w:p w14:paraId="56B086E8">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0" w:type="dxa"/>
            <w:noWrap w:val="0"/>
            <w:vAlign w:val="center"/>
          </w:tcPr>
          <w:p w14:paraId="08564DFB">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70" w:type="dxa"/>
            <w:noWrap w:val="0"/>
            <w:vAlign w:val="center"/>
          </w:tcPr>
          <w:p w14:paraId="4C704872">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743" w:type="dxa"/>
            <w:noWrap w:val="0"/>
            <w:vAlign w:val="center"/>
          </w:tcPr>
          <w:p w14:paraId="74C5943C">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200≤Y＜3000</w:t>
            </w:r>
          </w:p>
        </w:tc>
        <w:tc>
          <w:tcPr>
            <w:tcW w:w="1486" w:type="dxa"/>
            <w:noWrap w:val="0"/>
            <w:vAlign w:val="center"/>
          </w:tcPr>
          <w:p w14:paraId="3A33C582">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151B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30" w:type="dxa"/>
            <w:vMerge w:val="restart"/>
            <w:noWrap w:val="0"/>
            <w:vAlign w:val="center"/>
          </w:tcPr>
          <w:p w14:paraId="757A87EF">
            <w:pPr>
              <w:widowControl/>
              <w:spacing w:before="0" w:beforeAutospacing="0" w:after="0" w:afterAutospacing="0" w:line="2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1750" w:type="dxa"/>
            <w:noWrap w:val="0"/>
            <w:vAlign w:val="center"/>
          </w:tcPr>
          <w:p w14:paraId="7D61F7AF">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noWrap w:val="0"/>
            <w:vAlign w:val="center"/>
          </w:tcPr>
          <w:p w14:paraId="11212068">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0" w:type="dxa"/>
            <w:noWrap w:val="0"/>
            <w:vAlign w:val="center"/>
          </w:tcPr>
          <w:p w14:paraId="510DA685">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770" w:type="dxa"/>
            <w:noWrap w:val="0"/>
            <w:vAlign w:val="center"/>
          </w:tcPr>
          <w:p w14:paraId="313F6692">
            <w:pPr>
              <w:widowControl/>
              <w:spacing w:before="0" w:beforeAutospacing="0" w:after="0" w:afterAutospacing="0"/>
              <w:ind w:left="19" w:leftChars="-51" w:right="0"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743" w:type="dxa"/>
            <w:noWrap w:val="0"/>
            <w:vAlign w:val="center"/>
          </w:tcPr>
          <w:p w14:paraId="126609E0">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20≤X＜100</w:t>
            </w:r>
          </w:p>
        </w:tc>
        <w:tc>
          <w:tcPr>
            <w:tcW w:w="1486" w:type="dxa"/>
            <w:noWrap w:val="0"/>
            <w:vAlign w:val="center"/>
          </w:tcPr>
          <w:p w14:paraId="19BAEAB3">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7608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930" w:type="dxa"/>
            <w:vMerge w:val="continue"/>
            <w:noWrap w:val="0"/>
            <w:vAlign w:val="center"/>
          </w:tcPr>
          <w:p w14:paraId="28F8CC09">
            <w:pPr>
              <w:widowControl/>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1750" w:type="dxa"/>
            <w:noWrap w:val="0"/>
            <w:vAlign w:val="center"/>
          </w:tcPr>
          <w:p w14:paraId="49D38B2E">
            <w:pPr>
              <w:widowControl/>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noWrap w:val="0"/>
            <w:vAlign w:val="center"/>
          </w:tcPr>
          <w:p w14:paraId="2731206A">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0" w:type="dxa"/>
            <w:noWrap w:val="0"/>
            <w:vAlign w:val="center"/>
          </w:tcPr>
          <w:p w14:paraId="372B16DB">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70" w:type="dxa"/>
            <w:noWrap w:val="0"/>
            <w:vAlign w:val="center"/>
          </w:tcPr>
          <w:p w14:paraId="0E023285">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743" w:type="dxa"/>
            <w:noWrap w:val="0"/>
            <w:vAlign w:val="center"/>
          </w:tcPr>
          <w:p w14:paraId="15F9BBC3">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1486" w:type="dxa"/>
            <w:noWrap w:val="0"/>
            <w:vAlign w:val="center"/>
          </w:tcPr>
          <w:p w14:paraId="2F31075F">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06B0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30" w:type="dxa"/>
            <w:vMerge w:val="restart"/>
            <w:noWrap w:val="0"/>
            <w:vAlign w:val="center"/>
          </w:tcPr>
          <w:p w14:paraId="7548F7DE">
            <w:pPr>
              <w:widowControl/>
              <w:spacing w:before="0" w:beforeAutospacing="0" w:after="0" w:afterAutospacing="0" w:line="2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1750" w:type="dxa"/>
            <w:noWrap w:val="0"/>
            <w:vAlign w:val="center"/>
          </w:tcPr>
          <w:p w14:paraId="1D2C4988">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noWrap w:val="0"/>
            <w:vAlign w:val="center"/>
          </w:tcPr>
          <w:p w14:paraId="0ABE3DF7">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0" w:type="dxa"/>
            <w:noWrap w:val="0"/>
            <w:vAlign w:val="center"/>
          </w:tcPr>
          <w:p w14:paraId="0E78BA52">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70" w:type="dxa"/>
            <w:noWrap w:val="0"/>
            <w:vAlign w:val="center"/>
          </w:tcPr>
          <w:p w14:paraId="7382DA60">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43" w:type="dxa"/>
            <w:noWrap w:val="0"/>
            <w:vAlign w:val="center"/>
          </w:tcPr>
          <w:p w14:paraId="38B75608">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1486" w:type="dxa"/>
            <w:noWrap w:val="0"/>
            <w:vAlign w:val="center"/>
          </w:tcPr>
          <w:p w14:paraId="5FE6F67F">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2A3C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1930" w:type="dxa"/>
            <w:vMerge w:val="continue"/>
            <w:noWrap w:val="0"/>
            <w:vAlign w:val="center"/>
          </w:tcPr>
          <w:p w14:paraId="44763AAB">
            <w:pPr>
              <w:widowControl/>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1750" w:type="dxa"/>
            <w:noWrap w:val="0"/>
            <w:vAlign w:val="center"/>
          </w:tcPr>
          <w:p w14:paraId="06DC5359">
            <w:pPr>
              <w:widowControl/>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noWrap w:val="0"/>
            <w:vAlign w:val="center"/>
          </w:tcPr>
          <w:p w14:paraId="3E69BA66">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0" w:type="dxa"/>
            <w:noWrap w:val="0"/>
            <w:vAlign w:val="center"/>
          </w:tcPr>
          <w:p w14:paraId="765780BF">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70" w:type="dxa"/>
            <w:noWrap w:val="0"/>
            <w:vAlign w:val="center"/>
          </w:tcPr>
          <w:p w14:paraId="55A7FAD2">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743" w:type="dxa"/>
            <w:noWrap w:val="0"/>
            <w:vAlign w:val="center"/>
          </w:tcPr>
          <w:p w14:paraId="349EE83B">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1486" w:type="dxa"/>
            <w:noWrap w:val="0"/>
            <w:vAlign w:val="center"/>
          </w:tcPr>
          <w:p w14:paraId="62264DA2">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4970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30" w:type="dxa"/>
            <w:vMerge w:val="restart"/>
            <w:noWrap w:val="0"/>
            <w:vAlign w:val="center"/>
          </w:tcPr>
          <w:p w14:paraId="38ECB7BA">
            <w:pPr>
              <w:widowControl/>
              <w:spacing w:before="0" w:beforeAutospacing="0" w:after="0" w:afterAutospacing="0" w:line="2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1750" w:type="dxa"/>
            <w:noWrap w:val="0"/>
            <w:vAlign w:val="center"/>
          </w:tcPr>
          <w:p w14:paraId="2E42A414">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noWrap w:val="0"/>
            <w:vAlign w:val="center"/>
          </w:tcPr>
          <w:p w14:paraId="04EFB353">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0" w:type="dxa"/>
            <w:noWrap w:val="0"/>
            <w:vAlign w:val="center"/>
          </w:tcPr>
          <w:p w14:paraId="3CAE10CD">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70" w:type="dxa"/>
            <w:noWrap w:val="0"/>
            <w:vAlign w:val="center"/>
          </w:tcPr>
          <w:p w14:paraId="055BB99E">
            <w:pPr>
              <w:widowControl/>
              <w:spacing w:before="0" w:beforeAutospacing="0" w:after="0" w:afterAutospacing="0"/>
              <w:ind w:left="19" w:leftChars="-51" w:right="0"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743" w:type="dxa"/>
            <w:noWrap w:val="0"/>
            <w:vAlign w:val="center"/>
          </w:tcPr>
          <w:p w14:paraId="6210EEBC">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486" w:type="dxa"/>
            <w:noWrap w:val="0"/>
            <w:vAlign w:val="center"/>
          </w:tcPr>
          <w:p w14:paraId="5AEB0D91">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177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930" w:type="dxa"/>
            <w:vMerge w:val="continue"/>
            <w:noWrap w:val="0"/>
            <w:vAlign w:val="center"/>
          </w:tcPr>
          <w:p w14:paraId="18E30210">
            <w:pPr>
              <w:widowControl/>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1750" w:type="dxa"/>
            <w:noWrap w:val="0"/>
            <w:vAlign w:val="center"/>
          </w:tcPr>
          <w:p w14:paraId="62BFDC0C">
            <w:pPr>
              <w:widowControl/>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noWrap w:val="0"/>
            <w:vAlign w:val="center"/>
          </w:tcPr>
          <w:p w14:paraId="32E4F832">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0" w:type="dxa"/>
            <w:noWrap w:val="0"/>
            <w:vAlign w:val="center"/>
          </w:tcPr>
          <w:p w14:paraId="26AADCA8">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70" w:type="dxa"/>
            <w:noWrap w:val="0"/>
            <w:vAlign w:val="center"/>
          </w:tcPr>
          <w:p w14:paraId="53A48977">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43" w:type="dxa"/>
            <w:noWrap w:val="0"/>
            <w:vAlign w:val="center"/>
          </w:tcPr>
          <w:p w14:paraId="10F9D066">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1486" w:type="dxa"/>
            <w:noWrap w:val="0"/>
            <w:vAlign w:val="center"/>
          </w:tcPr>
          <w:p w14:paraId="077D1C81">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49D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30" w:type="dxa"/>
            <w:vMerge w:val="restart"/>
            <w:noWrap w:val="0"/>
            <w:vAlign w:val="center"/>
          </w:tcPr>
          <w:p w14:paraId="4A49A1EE">
            <w:pPr>
              <w:widowControl/>
              <w:spacing w:before="0" w:beforeAutospacing="0" w:after="0" w:afterAutospacing="0" w:line="2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1750" w:type="dxa"/>
            <w:noWrap w:val="0"/>
            <w:vAlign w:val="center"/>
          </w:tcPr>
          <w:p w14:paraId="20378579">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noWrap w:val="0"/>
            <w:vAlign w:val="center"/>
          </w:tcPr>
          <w:p w14:paraId="1239366A">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0" w:type="dxa"/>
            <w:noWrap w:val="0"/>
            <w:vAlign w:val="center"/>
          </w:tcPr>
          <w:p w14:paraId="5F8658A3">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70" w:type="dxa"/>
            <w:noWrap w:val="0"/>
            <w:vAlign w:val="center"/>
          </w:tcPr>
          <w:p w14:paraId="49DAC117">
            <w:pPr>
              <w:widowControl/>
              <w:spacing w:before="0" w:beforeAutospacing="0" w:after="0" w:afterAutospacing="0"/>
              <w:ind w:left="19" w:leftChars="-51" w:right="0"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743" w:type="dxa"/>
            <w:noWrap w:val="0"/>
            <w:vAlign w:val="center"/>
          </w:tcPr>
          <w:p w14:paraId="27B03C44">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486" w:type="dxa"/>
            <w:noWrap w:val="0"/>
            <w:vAlign w:val="center"/>
          </w:tcPr>
          <w:p w14:paraId="4924C013">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2FE8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930" w:type="dxa"/>
            <w:vMerge w:val="continue"/>
            <w:noWrap w:val="0"/>
            <w:vAlign w:val="center"/>
          </w:tcPr>
          <w:p w14:paraId="1CE9485C">
            <w:pPr>
              <w:widowControl/>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1750" w:type="dxa"/>
            <w:noWrap w:val="0"/>
            <w:vAlign w:val="center"/>
          </w:tcPr>
          <w:p w14:paraId="701C3D6A">
            <w:pPr>
              <w:widowControl/>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noWrap w:val="0"/>
            <w:vAlign w:val="center"/>
          </w:tcPr>
          <w:p w14:paraId="6710E73C">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0" w:type="dxa"/>
            <w:noWrap w:val="0"/>
            <w:vAlign w:val="center"/>
          </w:tcPr>
          <w:p w14:paraId="2EBFCF56">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70" w:type="dxa"/>
            <w:noWrap w:val="0"/>
            <w:vAlign w:val="center"/>
          </w:tcPr>
          <w:p w14:paraId="440F47BB">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43" w:type="dxa"/>
            <w:noWrap w:val="0"/>
            <w:vAlign w:val="center"/>
          </w:tcPr>
          <w:p w14:paraId="5845F413">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1486" w:type="dxa"/>
            <w:noWrap w:val="0"/>
            <w:vAlign w:val="center"/>
          </w:tcPr>
          <w:p w14:paraId="0C726ACA">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3DDA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30" w:type="dxa"/>
            <w:vMerge w:val="restart"/>
            <w:noWrap w:val="0"/>
            <w:vAlign w:val="center"/>
          </w:tcPr>
          <w:p w14:paraId="5D04BFF5">
            <w:pPr>
              <w:widowControl/>
              <w:spacing w:before="0" w:beforeAutospacing="0" w:after="0" w:afterAutospacing="0" w:line="2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 *</w:t>
            </w:r>
          </w:p>
        </w:tc>
        <w:tc>
          <w:tcPr>
            <w:tcW w:w="1750" w:type="dxa"/>
            <w:noWrap w:val="0"/>
            <w:vAlign w:val="center"/>
          </w:tcPr>
          <w:p w14:paraId="1B910AC1">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noWrap w:val="0"/>
            <w:vAlign w:val="center"/>
          </w:tcPr>
          <w:p w14:paraId="7C661B7E">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0" w:type="dxa"/>
            <w:noWrap w:val="0"/>
            <w:vAlign w:val="center"/>
          </w:tcPr>
          <w:p w14:paraId="27089B3D">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1770" w:type="dxa"/>
            <w:noWrap w:val="0"/>
            <w:vAlign w:val="center"/>
          </w:tcPr>
          <w:p w14:paraId="4840F3FB">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743" w:type="dxa"/>
            <w:noWrap w:val="0"/>
            <w:vAlign w:val="center"/>
          </w:tcPr>
          <w:p w14:paraId="7882D256">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486" w:type="dxa"/>
            <w:noWrap w:val="0"/>
            <w:vAlign w:val="center"/>
          </w:tcPr>
          <w:p w14:paraId="23ED1970">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08A5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1930" w:type="dxa"/>
            <w:vMerge w:val="continue"/>
            <w:noWrap w:val="0"/>
            <w:vAlign w:val="center"/>
          </w:tcPr>
          <w:p w14:paraId="34B9D9B1">
            <w:pPr>
              <w:widowControl/>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1750" w:type="dxa"/>
            <w:noWrap w:val="0"/>
            <w:vAlign w:val="center"/>
          </w:tcPr>
          <w:p w14:paraId="6419B02E">
            <w:pPr>
              <w:widowControl/>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noWrap w:val="0"/>
            <w:vAlign w:val="center"/>
          </w:tcPr>
          <w:p w14:paraId="00F0D20B">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0" w:type="dxa"/>
            <w:noWrap w:val="0"/>
            <w:vAlign w:val="center"/>
          </w:tcPr>
          <w:p w14:paraId="4BFCCF08">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1770" w:type="dxa"/>
            <w:noWrap w:val="0"/>
            <w:vAlign w:val="center"/>
          </w:tcPr>
          <w:p w14:paraId="0787C222">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1000≤Y＜100000</w:t>
            </w:r>
          </w:p>
        </w:tc>
        <w:tc>
          <w:tcPr>
            <w:tcW w:w="1743" w:type="dxa"/>
            <w:noWrap w:val="0"/>
            <w:vAlign w:val="center"/>
          </w:tcPr>
          <w:p w14:paraId="1A41B10E">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1486" w:type="dxa"/>
            <w:noWrap w:val="0"/>
            <w:vAlign w:val="center"/>
          </w:tcPr>
          <w:p w14:paraId="0AD2D17D">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5CEE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1930" w:type="dxa"/>
            <w:vMerge w:val="restart"/>
            <w:noWrap w:val="0"/>
            <w:vAlign w:val="center"/>
          </w:tcPr>
          <w:p w14:paraId="6ED32B5D">
            <w:pPr>
              <w:widowControl/>
              <w:spacing w:before="0" w:beforeAutospacing="0" w:after="0" w:afterAutospacing="0" w:line="240" w:lineRule="exact"/>
              <w:ind w:left="0" w:right="0"/>
              <w:jc w:val="left"/>
              <w:rPr>
                <w:rFonts w:hint="eastAsia" w:ascii="宋体" w:hAnsi="宋体" w:eastAsia="宋体" w:cs="宋体"/>
                <w:color w:val="auto"/>
                <w:spacing w:val="-12"/>
                <w:kern w:val="0"/>
                <w:sz w:val="21"/>
                <w:szCs w:val="21"/>
                <w:highlight w:val="none"/>
              </w:rPr>
            </w:pPr>
            <w:r>
              <w:rPr>
                <w:rFonts w:hint="eastAsia" w:ascii="宋体" w:hAnsi="宋体" w:eastAsia="宋体" w:cs="宋体"/>
                <w:color w:val="auto"/>
                <w:spacing w:val="-12"/>
                <w:kern w:val="0"/>
                <w:sz w:val="21"/>
                <w:szCs w:val="21"/>
                <w:highlight w:val="none"/>
              </w:rPr>
              <w:t>软件和信息技术服</w:t>
            </w:r>
            <w:r>
              <w:rPr>
                <w:rFonts w:hint="eastAsia" w:ascii="宋体" w:hAnsi="宋体" w:eastAsia="宋体" w:cs="宋体"/>
                <w:color w:val="auto"/>
                <w:kern w:val="0"/>
                <w:sz w:val="21"/>
                <w:szCs w:val="21"/>
                <w:highlight w:val="none"/>
              </w:rPr>
              <w:t>务业</w:t>
            </w:r>
          </w:p>
        </w:tc>
        <w:tc>
          <w:tcPr>
            <w:tcW w:w="1750" w:type="dxa"/>
            <w:noWrap w:val="0"/>
            <w:vAlign w:val="center"/>
          </w:tcPr>
          <w:p w14:paraId="501CE745">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noWrap w:val="0"/>
            <w:vAlign w:val="center"/>
          </w:tcPr>
          <w:p w14:paraId="3849E5A7">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0" w:type="dxa"/>
            <w:noWrap w:val="0"/>
            <w:vAlign w:val="center"/>
          </w:tcPr>
          <w:p w14:paraId="3F9BA999">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70" w:type="dxa"/>
            <w:noWrap w:val="0"/>
            <w:vAlign w:val="center"/>
          </w:tcPr>
          <w:p w14:paraId="56452D7F">
            <w:pPr>
              <w:widowControl/>
              <w:spacing w:before="0" w:beforeAutospacing="0" w:after="0" w:afterAutospacing="0"/>
              <w:ind w:left="19" w:leftChars="-51" w:right="0"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743" w:type="dxa"/>
            <w:noWrap w:val="0"/>
            <w:vAlign w:val="center"/>
          </w:tcPr>
          <w:p w14:paraId="24ECAABC">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486" w:type="dxa"/>
            <w:noWrap w:val="0"/>
            <w:vAlign w:val="center"/>
          </w:tcPr>
          <w:p w14:paraId="7FDFC846">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C62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1930" w:type="dxa"/>
            <w:vMerge w:val="continue"/>
            <w:noWrap w:val="0"/>
            <w:vAlign w:val="center"/>
          </w:tcPr>
          <w:p w14:paraId="3B13CBE4">
            <w:pPr>
              <w:widowControl/>
              <w:spacing w:before="0" w:beforeAutospacing="0" w:after="0" w:afterAutospacing="0"/>
              <w:ind w:left="0" w:right="0"/>
              <w:jc w:val="left"/>
              <w:rPr>
                <w:rFonts w:hint="eastAsia" w:ascii="宋体" w:hAnsi="宋体" w:eastAsia="宋体" w:cs="宋体"/>
                <w:color w:val="auto"/>
                <w:spacing w:val="-12"/>
                <w:kern w:val="0"/>
                <w:sz w:val="21"/>
                <w:szCs w:val="21"/>
                <w:highlight w:val="none"/>
              </w:rPr>
            </w:pPr>
          </w:p>
        </w:tc>
        <w:tc>
          <w:tcPr>
            <w:tcW w:w="1750" w:type="dxa"/>
            <w:noWrap w:val="0"/>
            <w:vAlign w:val="center"/>
          </w:tcPr>
          <w:p w14:paraId="1A3B1257">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noWrap w:val="0"/>
            <w:vAlign w:val="center"/>
          </w:tcPr>
          <w:p w14:paraId="7997703A">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0" w:type="dxa"/>
            <w:noWrap w:val="0"/>
            <w:vAlign w:val="center"/>
          </w:tcPr>
          <w:p w14:paraId="5EE3BAC1">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70" w:type="dxa"/>
            <w:noWrap w:val="0"/>
            <w:vAlign w:val="center"/>
          </w:tcPr>
          <w:p w14:paraId="5CF323B5">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743" w:type="dxa"/>
            <w:noWrap w:val="0"/>
            <w:vAlign w:val="center"/>
          </w:tcPr>
          <w:p w14:paraId="0F9266DA">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50≤Y＜1000</w:t>
            </w:r>
          </w:p>
        </w:tc>
        <w:tc>
          <w:tcPr>
            <w:tcW w:w="1486" w:type="dxa"/>
            <w:noWrap w:val="0"/>
            <w:vAlign w:val="center"/>
          </w:tcPr>
          <w:p w14:paraId="50693A9F">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46DF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930" w:type="dxa"/>
            <w:vMerge w:val="restart"/>
            <w:noWrap w:val="0"/>
            <w:vAlign w:val="center"/>
          </w:tcPr>
          <w:p w14:paraId="00C3D90A">
            <w:pPr>
              <w:widowControl/>
              <w:spacing w:before="0" w:beforeAutospacing="0" w:after="0" w:afterAutospacing="0" w:line="2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1750" w:type="dxa"/>
            <w:noWrap w:val="0"/>
            <w:vAlign w:val="center"/>
          </w:tcPr>
          <w:p w14:paraId="0F8D8E31">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noWrap w:val="0"/>
            <w:vAlign w:val="center"/>
          </w:tcPr>
          <w:p w14:paraId="76E5FF22">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0" w:type="dxa"/>
            <w:noWrap w:val="0"/>
            <w:vAlign w:val="center"/>
          </w:tcPr>
          <w:p w14:paraId="3A198DAB">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1770" w:type="dxa"/>
            <w:noWrap w:val="0"/>
            <w:vAlign w:val="center"/>
          </w:tcPr>
          <w:p w14:paraId="5299FDE2">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1000≤Y＜200000</w:t>
            </w:r>
          </w:p>
        </w:tc>
        <w:tc>
          <w:tcPr>
            <w:tcW w:w="1743" w:type="dxa"/>
            <w:noWrap w:val="0"/>
            <w:vAlign w:val="center"/>
          </w:tcPr>
          <w:p w14:paraId="40D12824">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1486" w:type="dxa"/>
            <w:noWrap w:val="0"/>
            <w:vAlign w:val="center"/>
          </w:tcPr>
          <w:p w14:paraId="1CE2254D">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17C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1930" w:type="dxa"/>
            <w:vMerge w:val="continue"/>
            <w:noWrap w:val="0"/>
            <w:vAlign w:val="center"/>
          </w:tcPr>
          <w:p w14:paraId="76D481C7">
            <w:pPr>
              <w:widowControl/>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1750" w:type="dxa"/>
            <w:noWrap w:val="0"/>
            <w:vAlign w:val="center"/>
          </w:tcPr>
          <w:p w14:paraId="02AA1C2B">
            <w:pPr>
              <w:widowControl/>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84" w:type="dxa"/>
            <w:noWrap w:val="0"/>
            <w:vAlign w:val="center"/>
          </w:tcPr>
          <w:p w14:paraId="00AFC179">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0" w:type="dxa"/>
            <w:noWrap w:val="0"/>
            <w:vAlign w:val="center"/>
          </w:tcPr>
          <w:p w14:paraId="19940358">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1770" w:type="dxa"/>
            <w:noWrap w:val="0"/>
            <w:vAlign w:val="center"/>
          </w:tcPr>
          <w:p w14:paraId="688FCF5D">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743" w:type="dxa"/>
            <w:noWrap w:val="0"/>
            <w:vAlign w:val="center"/>
          </w:tcPr>
          <w:p w14:paraId="55C84ACD">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2000≤Z＜5000   </w:t>
            </w:r>
          </w:p>
        </w:tc>
        <w:tc>
          <w:tcPr>
            <w:tcW w:w="1486" w:type="dxa"/>
            <w:noWrap w:val="0"/>
            <w:vAlign w:val="center"/>
          </w:tcPr>
          <w:p w14:paraId="04533B3A">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14:paraId="10E8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1930" w:type="dxa"/>
            <w:vMerge w:val="restart"/>
            <w:noWrap w:val="0"/>
            <w:vAlign w:val="center"/>
          </w:tcPr>
          <w:p w14:paraId="1FC8A721">
            <w:pPr>
              <w:widowControl/>
              <w:spacing w:before="0" w:beforeAutospacing="0" w:after="0" w:afterAutospacing="0" w:line="2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1750" w:type="dxa"/>
            <w:noWrap w:val="0"/>
            <w:vAlign w:val="center"/>
          </w:tcPr>
          <w:p w14:paraId="569D2B1C">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noWrap w:val="0"/>
            <w:vAlign w:val="center"/>
          </w:tcPr>
          <w:p w14:paraId="15C36513">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0" w:type="dxa"/>
            <w:noWrap w:val="0"/>
            <w:vAlign w:val="center"/>
          </w:tcPr>
          <w:p w14:paraId="1F2AE200">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70" w:type="dxa"/>
            <w:noWrap w:val="0"/>
            <w:vAlign w:val="center"/>
          </w:tcPr>
          <w:p w14:paraId="6A79F683">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43" w:type="dxa"/>
            <w:noWrap w:val="0"/>
            <w:vAlign w:val="center"/>
          </w:tcPr>
          <w:p w14:paraId="07C369FD">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486" w:type="dxa"/>
            <w:noWrap w:val="0"/>
            <w:vAlign w:val="center"/>
          </w:tcPr>
          <w:p w14:paraId="437899BB">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4BDD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1930" w:type="dxa"/>
            <w:vMerge w:val="continue"/>
            <w:noWrap w:val="0"/>
            <w:vAlign w:val="center"/>
          </w:tcPr>
          <w:p w14:paraId="653BD60C">
            <w:pPr>
              <w:widowControl/>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1750" w:type="dxa"/>
            <w:noWrap w:val="0"/>
            <w:vAlign w:val="center"/>
          </w:tcPr>
          <w:p w14:paraId="07981C14">
            <w:pPr>
              <w:widowControl/>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noWrap w:val="0"/>
            <w:vAlign w:val="center"/>
          </w:tcPr>
          <w:p w14:paraId="1F88AC78">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0" w:type="dxa"/>
            <w:noWrap w:val="0"/>
            <w:vAlign w:val="center"/>
          </w:tcPr>
          <w:p w14:paraId="3EC78348">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1770" w:type="dxa"/>
            <w:noWrap w:val="0"/>
            <w:vAlign w:val="center"/>
          </w:tcPr>
          <w:p w14:paraId="3420D4DA">
            <w:pPr>
              <w:widowControl/>
              <w:spacing w:before="0" w:beforeAutospacing="0" w:after="0" w:afterAutospacing="0"/>
              <w:ind w:left="19" w:leftChars="-51" w:right="0"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1000≤Y＜5000 </w:t>
            </w:r>
          </w:p>
        </w:tc>
        <w:tc>
          <w:tcPr>
            <w:tcW w:w="1743" w:type="dxa"/>
            <w:noWrap w:val="0"/>
            <w:vAlign w:val="center"/>
          </w:tcPr>
          <w:p w14:paraId="751B4F6A">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500≤Y＜1000</w:t>
            </w:r>
          </w:p>
        </w:tc>
        <w:tc>
          <w:tcPr>
            <w:tcW w:w="1486" w:type="dxa"/>
            <w:noWrap w:val="0"/>
            <w:vAlign w:val="center"/>
          </w:tcPr>
          <w:p w14:paraId="1BC5DE5D">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0616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930" w:type="dxa"/>
            <w:vMerge w:val="restart"/>
            <w:noWrap w:val="0"/>
            <w:vAlign w:val="center"/>
          </w:tcPr>
          <w:p w14:paraId="0CC389B8">
            <w:pPr>
              <w:widowControl/>
              <w:spacing w:before="0" w:beforeAutospacing="0" w:after="0" w:afterAutospacing="0" w:line="2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1750" w:type="dxa"/>
            <w:noWrap w:val="0"/>
            <w:vAlign w:val="center"/>
          </w:tcPr>
          <w:p w14:paraId="3CB0F734">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noWrap w:val="0"/>
            <w:vAlign w:val="center"/>
          </w:tcPr>
          <w:p w14:paraId="41D6ADB7">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0" w:type="dxa"/>
            <w:noWrap w:val="0"/>
            <w:vAlign w:val="center"/>
          </w:tcPr>
          <w:p w14:paraId="06DD69DB">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70" w:type="dxa"/>
            <w:noWrap w:val="0"/>
            <w:vAlign w:val="center"/>
          </w:tcPr>
          <w:p w14:paraId="3DABB74A">
            <w:pPr>
              <w:widowControl/>
              <w:spacing w:before="0" w:beforeAutospacing="0" w:after="0" w:afterAutospacing="0"/>
              <w:ind w:left="19" w:leftChars="-51" w:right="0"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743" w:type="dxa"/>
            <w:noWrap w:val="0"/>
            <w:vAlign w:val="center"/>
          </w:tcPr>
          <w:p w14:paraId="46136A92">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486" w:type="dxa"/>
            <w:noWrap w:val="0"/>
            <w:vAlign w:val="center"/>
          </w:tcPr>
          <w:p w14:paraId="05BDBD6F">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3F5B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930" w:type="dxa"/>
            <w:vMerge w:val="continue"/>
            <w:noWrap w:val="0"/>
            <w:vAlign w:val="center"/>
          </w:tcPr>
          <w:p w14:paraId="5114BC9A">
            <w:pPr>
              <w:widowControl/>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1750" w:type="dxa"/>
            <w:noWrap w:val="0"/>
            <w:vAlign w:val="center"/>
          </w:tcPr>
          <w:p w14:paraId="61B1988F">
            <w:pPr>
              <w:widowControl/>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84" w:type="dxa"/>
            <w:noWrap w:val="0"/>
            <w:vAlign w:val="center"/>
          </w:tcPr>
          <w:p w14:paraId="2511195E">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0" w:type="dxa"/>
            <w:noWrap w:val="0"/>
            <w:vAlign w:val="center"/>
          </w:tcPr>
          <w:p w14:paraId="7855C50B">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1770" w:type="dxa"/>
            <w:noWrap w:val="0"/>
            <w:vAlign w:val="center"/>
          </w:tcPr>
          <w:p w14:paraId="6350A948">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8000≤Z＜120000</w:t>
            </w:r>
          </w:p>
        </w:tc>
        <w:tc>
          <w:tcPr>
            <w:tcW w:w="1743" w:type="dxa"/>
            <w:noWrap w:val="0"/>
            <w:vAlign w:val="center"/>
          </w:tcPr>
          <w:p w14:paraId="1B98DE4B">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100≤Z＜8000</w:t>
            </w:r>
          </w:p>
        </w:tc>
        <w:tc>
          <w:tcPr>
            <w:tcW w:w="1486" w:type="dxa"/>
            <w:noWrap w:val="0"/>
            <w:vAlign w:val="center"/>
          </w:tcPr>
          <w:p w14:paraId="213E503C">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14:paraId="5682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30" w:type="dxa"/>
            <w:noWrap w:val="0"/>
            <w:vAlign w:val="center"/>
          </w:tcPr>
          <w:p w14:paraId="7FB4F96C">
            <w:pPr>
              <w:widowControl/>
              <w:spacing w:before="0" w:beforeAutospacing="0" w:after="0" w:afterAutospacing="0" w:line="2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其他未列明行业 *</w:t>
            </w:r>
          </w:p>
        </w:tc>
        <w:tc>
          <w:tcPr>
            <w:tcW w:w="1750" w:type="dxa"/>
            <w:noWrap w:val="0"/>
            <w:vAlign w:val="center"/>
          </w:tcPr>
          <w:p w14:paraId="6004AF5B">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noWrap w:val="0"/>
            <w:vAlign w:val="center"/>
          </w:tcPr>
          <w:p w14:paraId="1AE8FFD4">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0" w:type="dxa"/>
            <w:noWrap w:val="0"/>
            <w:vAlign w:val="center"/>
          </w:tcPr>
          <w:p w14:paraId="5758D2AA">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70" w:type="dxa"/>
            <w:noWrap w:val="0"/>
            <w:vAlign w:val="center"/>
          </w:tcPr>
          <w:p w14:paraId="47095375">
            <w:pPr>
              <w:widowControl/>
              <w:spacing w:before="0" w:beforeAutospacing="0" w:after="0" w:afterAutospacing="0"/>
              <w:ind w:left="19" w:leftChars="-51" w:right="0"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743" w:type="dxa"/>
            <w:noWrap w:val="0"/>
            <w:vAlign w:val="center"/>
          </w:tcPr>
          <w:p w14:paraId="44B28E4D">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486" w:type="dxa"/>
            <w:noWrap w:val="0"/>
            <w:vAlign w:val="center"/>
          </w:tcPr>
          <w:p w14:paraId="7D9797CC">
            <w:pPr>
              <w:widowControl/>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3F75D10D">
      <w:pPr>
        <w:widowControl/>
        <w:spacing w:line="540" w:lineRule="exact"/>
        <w:rPr>
          <w:rFonts w:hint="eastAsia" w:ascii="宋体" w:hAnsi="宋体" w:eastAsia="宋体" w:cs="宋体"/>
          <w:color w:val="auto"/>
          <w:spacing w:val="8"/>
          <w:kern w:val="0"/>
          <w:sz w:val="28"/>
          <w:szCs w:val="28"/>
          <w:highlight w:val="none"/>
        </w:rPr>
      </w:pPr>
      <w:r>
        <w:rPr>
          <w:rFonts w:hint="eastAsia" w:ascii="宋体" w:hAnsi="宋体" w:eastAsia="宋体" w:cs="宋体"/>
          <w:color w:val="auto"/>
          <w:spacing w:val="8"/>
          <w:kern w:val="0"/>
          <w:sz w:val="28"/>
          <w:szCs w:val="28"/>
          <w:highlight w:val="none"/>
        </w:rPr>
        <w:t>说明：</w:t>
      </w:r>
    </w:p>
    <w:p w14:paraId="0DA9449A">
      <w:pPr>
        <w:spacing w:line="540" w:lineRule="exac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1.大型、中型和小型企业须同时满足所列指标的下限，否则下划一档；微型企业只须满足所列指标中的一项即可。</w:t>
      </w:r>
    </w:p>
    <w:p w14:paraId="07E576C8">
      <w:pPr>
        <w:spacing w:line="540" w:lineRule="exac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86CCBC0">
      <w:pPr>
        <w:spacing w:line="540" w:lineRule="exact"/>
        <w:jc w:val="left"/>
        <w:rPr>
          <w:rFonts w:hint="eastAsia" w:ascii="宋体" w:hAnsi="宋体"/>
          <w:bCs w:val="0"/>
          <w:color w:val="auto"/>
          <w:sz w:val="21"/>
          <w:szCs w:val="21"/>
          <w:highlight w:val="none"/>
        </w:rPr>
      </w:pPr>
      <w:r>
        <w:rPr>
          <w:rFonts w:hint="eastAsia" w:ascii="宋体" w:hAnsi="宋体" w:eastAsia="宋体" w:cs="宋体"/>
          <w:color w:val="auto"/>
          <w:spacing w:val="8"/>
          <w:kern w:val="0"/>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104B03F">
      <w:pPr>
        <w:pStyle w:val="6"/>
        <w:spacing w:line="460" w:lineRule="exact"/>
        <w:jc w:val="both"/>
        <w:rPr>
          <w:rFonts w:ascii="宋体" w:hAnsi="宋体"/>
          <w:bCs w:val="0"/>
          <w:color w:val="auto"/>
          <w:sz w:val="21"/>
          <w:szCs w:val="21"/>
          <w:highlight w:val="none"/>
        </w:rPr>
      </w:pPr>
      <w:bookmarkStart w:id="27" w:name="_Toc12309"/>
      <w:r>
        <w:rPr>
          <w:rFonts w:hint="eastAsia" w:ascii="宋体" w:hAnsi="宋体"/>
          <w:bCs w:val="0"/>
          <w:color w:val="auto"/>
          <w:sz w:val="21"/>
          <w:szCs w:val="21"/>
          <w:highlight w:val="none"/>
        </w:rPr>
        <w:t>1.总则</w:t>
      </w:r>
      <w:bookmarkEnd w:id="21"/>
      <w:bookmarkEnd w:id="22"/>
      <w:bookmarkEnd w:id="23"/>
      <w:bookmarkEnd w:id="24"/>
      <w:bookmarkEnd w:id="27"/>
    </w:p>
    <w:p w14:paraId="1FB61B10">
      <w:pPr>
        <w:spacing w:line="460" w:lineRule="exact"/>
        <w:rPr>
          <w:rFonts w:ascii="宋体" w:hAnsi="宋体"/>
          <w:b/>
          <w:color w:val="auto"/>
          <w:szCs w:val="21"/>
          <w:highlight w:val="none"/>
        </w:rPr>
      </w:pPr>
      <w:r>
        <w:rPr>
          <w:rFonts w:hint="eastAsia" w:ascii="宋体" w:hAnsi="宋体"/>
          <w:b/>
          <w:color w:val="auto"/>
          <w:szCs w:val="21"/>
          <w:highlight w:val="none"/>
        </w:rPr>
        <w:t>1.1 项目概况</w:t>
      </w:r>
    </w:p>
    <w:p w14:paraId="334C813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1.1.1 根据《中华人民共和国政府采购法》等有关法律、法规和规章的规定，本采购项目已具备磋商条件，现对本项目进行磋商。</w:t>
      </w:r>
    </w:p>
    <w:p w14:paraId="44A806B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1.1.2 采 购 人：见供应商须知前附表。</w:t>
      </w:r>
    </w:p>
    <w:p w14:paraId="3D643E5F">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1.1.3 采购代理机构：见供应商须知前附表。</w:t>
      </w:r>
    </w:p>
    <w:p w14:paraId="174C672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1.1.4 项目名称：见供应商须知前附表。</w:t>
      </w:r>
    </w:p>
    <w:p w14:paraId="6CFF2D7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1.1.5 </w:t>
      </w:r>
      <w:r>
        <w:rPr>
          <w:rFonts w:hint="eastAsia" w:ascii="宋体" w:hAnsi="宋体"/>
          <w:color w:val="auto"/>
          <w:szCs w:val="21"/>
          <w:highlight w:val="none"/>
          <w:lang w:eastAsia="zh-CN"/>
        </w:rPr>
        <w:t>建设地点</w:t>
      </w:r>
      <w:r>
        <w:rPr>
          <w:rFonts w:hint="eastAsia" w:ascii="宋体" w:hAnsi="宋体"/>
          <w:color w:val="auto"/>
          <w:szCs w:val="21"/>
          <w:highlight w:val="none"/>
        </w:rPr>
        <w:t>：见供应商须知前附表。</w:t>
      </w:r>
    </w:p>
    <w:p w14:paraId="609437ED">
      <w:pPr>
        <w:spacing w:line="460" w:lineRule="exact"/>
        <w:rPr>
          <w:rFonts w:ascii="宋体" w:hAnsi="宋体"/>
          <w:b/>
          <w:color w:val="auto"/>
          <w:szCs w:val="21"/>
          <w:highlight w:val="none"/>
        </w:rPr>
      </w:pPr>
      <w:r>
        <w:rPr>
          <w:rFonts w:hint="eastAsia" w:ascii="宋体" w:hAnsi="宋体"/>
          <w:b/>
          <w:color w:val="auto"/>
          <w:szCs w:val="21"/>
          <w:highlight w:val="none"/>
        </w:rPr>
        <w:t>1.2 资金来源和落实情况</w:t>
      </w:r>
    </w:p>
    <w:p w14:paraId="5A062C7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1.2.1 资金来源：见供应商须知前附表。</w:t>
      </w:r>
    </w:p>
    <w:p w14:paraId="790C832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1.2.2资金落实情况：见供应商须知前附表。</w:t>
      </w:r>
    </w:p>
    <w:p w14:paraId="35F1E7CF">
      <w:pPr>
        <w:spacing w:line="460" w:lineRule="exact"/>
        <w:rPr>
          <w:rFonts w:hint="eastAsia" w:ascii="宋体" w:hAnsi="宋体" w:eastAsia="宋体"/>
          <w:b/>
          <w:color w:val="auto"/>
          <w:szCs w:val="21"/>
          <w:highlight w:val="none"/>
          <w:lang w:eastAsia="zh-CN"/>
        </w:rPr>
      </w:pPr>
      <w:r>
        <w:rPr>
          <w:rFonts w:hint="eastAsia" w:ascii="宋体" w:hAnsi="宋体"/>
          <w:b/>
          <w:color w:val="auto"/>
          <w:szCs w:val="21"/>
          <w:highlight w:val="none"/>
        </w:rPr>
        <w:t>1.3 采购内容和</w:t>
      </w:r>
      <w:r>
        <w:rPr>
          <w:rFonts w:hint="eastAsia" w:ascii="宋体" w:hAnsi="宋体"/>
          <w:b/>
          <w:color w:val="auto"/>
          <w:szCs w:val="21"/>
          <w:highlight w:val="none"/>
          <w:lang w:eastAsia="zh-CN"/>
        </w:rPr>
        <w:t>履约期限</w:t>
      </w:r>
    </w:p>
    <w:p w14:paraId="54D12BEC">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1.3.1 采购</w:t>
      </w:r>
      <w:r>
        <w:rPr>
          <w:rFonts w:hint="eastAsia" w:ascii="宋体" w:hAnsi="宋体"/>
          <w:color w:val="auto"/>
          <w:szCs w:val="21"/>
          <w:highlight w:val="none"/>
          <w:lang w:eastAsia="zh-CN"/>
        </w:rPr>
        <w:t>要求</w:t>
      </w:r>
      <w:r>
        <w:rPr>
          <w:rFonts w:hint="eastAsia" w:ascii="宋体" w:hAnsi="宋体"/>
          <w:color w:val="auto"/>
          <w:szCs w:val="21"/>
          <w:highlight w:val="none"/>
        </w:rPr>
        <w:t>：见供应商须知前附表。</w:t>
      </w:r>
    </w:p>
    <w:p w14:paraId="2774346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1.3.2 </w:t>
      </w:r>
      <w:r>
        <w:rPr>
          <w:rFonts w:hint="eastAsia" w:ascii="宋体" w:hAnsi="宋体"/>
          <w:color w:val="auto"/>
          <w:szCs w:val="21"/>
          <w:highlight w:val="none"/>
          <w:lang w:eastAsia="zh-CN"/>
        </w:rPr>
        <w:t>工期</w:t>
      </w:r>
      <w:r>
        <w:rPr>
          <w:rFonts w:hint="eastAsia" w:ascii="宋体" w:hAnsi="宋体"/>
          <w:color w:val="auto"/>
          <w:szCs w:val="21"/>
          <w:highlight w:val="none"/>
        </w:rPr>
        <w:t>：见供应商须知前附表。</w:t>
      </w:r>
    </w:p>
    <w:p w14:paraId="0E1F64B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1.3.3 质量要求：见供应商须知前附表。</w:t>
      </w:r>
    </w:p>
    <w:p w14:paraId="0EE77C0B">
      <w:pPr>
        <w:spacing w:line="460" w:lineRule="exact"/>
        <w:rPr>
          <w:rFonts w:ascii="宋体" w:hAnsi="宋体"/>
          <w:b/>
          <w:color w:val="auto"/>
          <w:szCs w:val="21"/>
          <w:highlight w:val="none"/>
        </w:rPr>
      </w:pPr>
      <w:r>
        <w:rPr>
          <w:rFonts w:hint="eastAsia" w:ascii="宋体" w:hAnsi="宋体"/>
          <w:b/>
          <w:color w:val="auto"/>
          <w:szCs w:val="21"/>
          <w:highlight w:val="none"/>
        </w:rPr>
        <w:t>1.4 供应商资格要求</w:t>
      </w:r>
    </w:p>
    <w:p w14:paraId="4C8E57B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1.4.1 供应商应具备承担本项目的资质条件。</w:t>
      </w:r>
    </w:p>
    <w:p w14:paraId="0BAC914E">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1.4.2 本项目不接受联合体磋商。</w:t>
      </w:r>
    </w:p>
    <w:p w14:paraId="387BAFF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1.4.3 供应商不得存在下列情形之一：</w:t>
      </w:r>
    </w:p>
    <w:p w14:paraId="107B258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）为采购人不具有独立法人资格的附属机构（单位）；</w:t>
      </w:r>
    </w:p>
    <w:p w14:paraId="1D8F80E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）与采购人存在利害关系且可能影响</w:t>
      </w:r>
      <w:r>
        <w:rPr>
          <w:rFonts w:hint="eastAsia" w:ascii="宋体" w:hAnsi="宋体"/>
          <w:color w:val="auto"/>
          <w:szCs w:val="21"/>
          <w:highlight w:val="none"/>
          <w:lang w:eastAsia="zh-CN"/>
        </w:rPr>
        <w:t>采购</w:t>
      </w:r>
      <w:r>
        <w:rPr>
          <w:rFonts w:hint="eastAsia" w:ascii="宋体" w:hAnsi="宋体"/>
          <w:color w:val="auto"/>
          <w:szCs w:val="21"/>
          <w:highlight w:val="none"/>
        </w:rPr>
        <w:t>公正性；</w:t>
      </w:r>
    </w:p>
    <w:p w14:paraId="1756FBD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）与本采购项目的其他供应商为同一个单位负责人；</w:t>
      </w:r>
    </w:p>
    <w:p w14:paraId="447C13CE">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）与本采购项目的其他供应商存在控股、管理关系；</w:t>
      </w:r>
    </w:p>
    <w:p w14:paraId="25B585B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（5）为本采购项目的采购代理机构；</w:t>
      </w:r>
    </w:p>
    <w:p w14:paraId="038550D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（6）与本采购项目的采购代理机构同为一个法定代表人；</w:t>
      </w:r>
    </w:p>
    <w:p w14:paraId="3760E32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（7）与本采购项目的采购代理机构存在控股或参股关系；</w:t>
      </w:r>
    </w:p>
    <w:p w14:paraId="66DB401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（8）被依法暂停或者取消投标资格；</w:t>
      </w:r>
    </w:p>
    <w:p w14:paraId="510AFE6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（9）被责令停产停业、暂扣或者吊销许可证、暂扣或者吊销执照；</w:t>
      </w:r>
    </w:p>
    <w:p w14:paraId="25E8333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0）进入清算程序，或被宣告破产，或其他丧失履约能力的情形；</w:t>
      </w:r>
    </w:p>
    <w:p w14:paraId="3959C8D3">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11</w:t>
      </w:r>
      <w:r>
        <w:rPr>
          <w:rFonts w:hint="eastAsia" w:ascii="宋体" w:hAnsi="宋体"/>
          <w:color w:val="auto"/>
          <w:szCs w:val="21"/>
          <w:highlight w:val="none"/>
        </w:rPr>
        <w:t>）法律法规或供应商须知前附表规定的其他情形。</w:t>
      </w:r>
    </w:p>
    <w:p w14:paraId="7554C7CA">
      <w:pPr>
        <w:spacing w:line="460" w:lineRule="exact"/>
        <w:rPr>
          <w:rFonts w:ascii="宋体" w:hAnsi="宋体"/>
          <w:b/>
          <w:color w:val="auto"/>
          <w:szCs w:val="21"/>
          <w:highlight w:val="none"/>
        </w:rPr>
      </w:pPr>
      <w:r>
        <w:rPr>
          <w:rFonts w:hint="eastAsia" w:ascii="宋体" w:hAnsi="宋体"/>
          <w:b/>
          <w:color w:val="auto"/>
          <w:szCs w:val="21"/>
          <w:highlight w:val="none"/>
        </w:rPr>
        <w:t>1.5 踏勘现场</w:t>
      </w:r>
    </w:p>
    <w:p w14:paraId="4012A47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.1采购人不统一组织，由供应商自行安排；</w:t>
      </w:r>
    </w:p>
    <w:p w14:paraId="6E1B966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.2 供应商踏勘现场发生的费用自理。</w:t>
      </w:r>
    </w:p>
    <w:p w14:paraId="19C0FD4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.3供应商自行负责在踏勘现场中所发生的人员伤亡和财产损失。</w:t>
      </w:r>
    </w:p>
    <w:p w14:paraId="235DAE75">
      <w:pPr>
        <w:spacing w:line="460" w:lineRule="exact"/>
        <w:rPr>
          <w:rFonts w:ascii="宋体" w:hAnsi="宋体"/>
          <w:b/>
          <w:color w:val="auto"/>
          <w:szCs w:val="21"/>
          <w:highlight w:val="none"/>
        </w:rPr>
      </w:pPr>
      <w:r>
        <w:rPr>
          <w:rFonts w:hint="eastAsia" w:ascii="宋体" w:hAnsi="宋体"/>
          <w:b/>
          <w:color w:val="auto"/>
          <w:szCs w:val="21"/>
          <w:highlight w:val="none"/>
        </w:rPr>
        <w:t>1.6投标预备会</w:t>
      </w:r>
    </w:p>
    <w:p w14:paraId="14A02FE7">
      <w:pPr>
        <w:spacing w:line="460" w:lineRule="exact"/>
        <w:ind w:firstLine="420" w:firstLineChars="200"/>
        <w:rPr>
          <w:color w:val="auto"/>
          <w:highlight w:val="none"/>
        </w:rPr>
      </w:pPr>
      <w:r>
        <w:rPr>
          <w:rFonts w:hint="eastAsia" w:ascii="宋体" w:hAnsi="宋体"/>
          <w:color w:val="auto"/>
          <w:szCs w:val="21"/>
          <w:highlight w:val="none"/>
        </w:rPr>
        <w:t>本项目不</w:t>
      </w:r>
      <w:r>
        <w:rPr>
          <w:rFonts w:ascii="宋体" w:hAnsi="宋体"/>
          <w:color w:val="auto"/>
          <w:szCs w:val="21"/>
          <w:highlight w:val="none"/>
        </w:rPr>
        <w:t>召开投标预备</w:t>
      </w:r>
      <w:r>
        <w:rPr>
          <w:rFonts w:hint="eastAsia" w:ascii="宋体" w:hAnsi="宋体"/>
          <w:color w:val="auto"/>
          <w:szCs w:val="21"/>
          <w:highlight w:val="none"/>
        </w:rPr>
        <w:t>会。</w:t>
      </w:r>
    </w:p>
    <w:p w14:paraId="4AFE4C8A">
      <w:pPr>
        <w:spacing w:line="460" w:lineRule="exact"/>
        <w:rPr>
          <w:rFonts w:ascii="宋体" w:hAnsi="宋体"/>
          <w:b/>
          <w:color w:val="auto"/>
          <w:szCs w:val="21"/>
          <w:highlight w:val="none"/>
        </w:rPr>
      </w:pPr>
      <w:r>
        <w:rPr>
          <w:rFonts w:hint="eastAsia" w:ascii="宋体" w:hAnsi="宋体"/>
          <w:b/>
          <w:color w:val="auto"/>
          <w:szCs w:val="21"/>
          <w:highlight w:val="none"/>
        </w:rPr>
        <w:t>1.7 费用承担</w:t>
      </w:r>
    </w:p>
    <w:p w14:paraId="3461FC8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供应商准备和参加磋商活动发生的费用自理。</w:t>
      </w:r>
    </w:p>
    <w:p w14:paraId="5F9BC167">
      <w:pPr>
        <w:spacing w:line="460" w:lineRule="exact"/>
        <w:rPr>
          <w:rFonts w:ascii="宋体" w:hAnsi="宋体"/>
          <w:b/>
          <w:color w:val="auto"/>
          <w:szCs w:val="21"/>
          <w:highlight w:val="none"/>
        </w:rPr>
      </w:pPr>
      <w:r>
        <w:rPr>
          <w:rFonts w:hint="eastAsia" w:ascii="宋体" w:hAnsi="宋体"/>
          <w:b/>
          <w:color w:val="auto"/>
          <w:szCs w:val="21"/>
          <w:highlight w:val="none"/>
        </w:rPr>
        <w:t>1.8 保密</w:t>
      </w:r>
    </w:p>
    <w:p w14:paraId="2A3A168E">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参与采购活动的各方应对磋商文件和磋商响应文件中的商业和技术等秘密保密，违者应对由此造成的后果承担法律责任。</w:t>
      </w:r>
    </w:p>
    <w:p w14:paraId="106483B9">
      <w:pPr>
        <w:spacing w:line="460" w:lineRule="exact"/>
        <w:rPr>
          <w:rFonts w:ascii="宋体" w:hAnsi="宋体"/>
          <w:b/>
          <w:color w:val="auto"/>
          <w:szCs w:val="21"/>
          <w:highlight w:val="none"/>
        </w:rPr>
      </w:pPr>
      <w:r>
        <w:rPr>
          <w:rFonts w:hint="eastAsia" w:ascii="宋体" w:hAnsi="宋体"/>
          <w:b/>
          <w:color w:val="auto"/>
          <w:szCs w:val="21"/>
          <w:highlight w:val="none"/>
        </w:rPr>
        <w:t>1.9 语言文字</w:t>
      </w:r>
    </w:p>
    <w:p w14:paraId="5596437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除专用术语外，与采购有关的语言均使用中文。必要时专用术语应附有中文注释。</w:t>
      </w:r>
    </w:p>
    <w:p w14:paraId="651A7127">
      <w:pPr>
        <w:spacing w:line="460" w:lineRule="exact"/>
        <w:rPr>
          <w:rFonts w:ascii="宋体" w:hAnsi="宋体"/>
          <w:b/>
          <w:color w:val="auto"/>
          <w:szCs w:val="21"/>
          <w:highlight w:val="none"/>
        </w:rPr>
      </w:pPr>
      <w:r>
        <w:rPr>
          <w:rFonts w:hint="eastAsia" w:ascii="宋体" w:hAnsi="宋体"/>
          <w:b/>
          <w:color w:val="auto"/>
          <w:szCs w:val="21"/>
          <w:highlight w:val="none"/>
        </w:rPr>
        <w:t>1.10 计量单位</w:t>
      </w:r>
    </w:p>
    <w:p w14:paraId="5FAB820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所有计量均采用中华人民共和国法定计量单位。</w:t>
      </w:r>
      <w:bookmarkStart w:id="28" w:name="_Toc10284"/>
      <w:bookmarkStart w:id="29" w:name="_Toc8031"/>
      <w:bookmarkStart w:id="30" w:name="_Toc19826"/>
      <w:bookmarkStart w:id="31" w:name="_Toc5269842"/>
    </w:p>
    <w:p w14:paraId="57415B73">
      <w:pPr>
        <w:pStyle w:val="6"/>
        <w:spacing w:line="460" w:lineRule="exact"/>
        <w:jc w:val="both"/>
        <w:rPr>
          <w:rFonts w:ascii="宋体" w:hAnsi="宋体"/>
          <w:bCs w:val="0"/>
          <w:color w:val="auto"/>
          <w:sz w:val="21"/>
          <w:szCs w:val="21"/>
          <w:highlight w:val="none"/>
        </w:rPr>
      </w:pPr>
      <w:bookmarkStart w:id="32" w:name="_Toc24310"/>
      <w:bookmarkStart w:id="33" w:name="_Toc7943"/>
      <w:bookmarkStart w:id="34" w:name="_Toc14062"/>
      <w:r>
        <w:rPr>
          <w:rFonts w:hint="eastAsia" w:ascii="宋体" w:hAnsi="宋体"/>
          <w:bCs w:val="0"/>
          <w:color w:val="auto"/>
          <w:sz w:val="21"/>
          <w:szCs w:val="21"/>
          <w:highlight w:val="none"/>
        </w:rPr>
        <w:t>2.磋商文件</w:t>
      </w:r>
      <w:bookmarkEnd w:id="28"/>
      <w:bookmarkEnd w:id="29"/>
      <w:bookmarkEnd w:id="30"/>
      <w:bookmarkEnd w:id="31"/>
      <w:bookmarkEnd w:id="32"/>
      <w:bookmarkEnd w:id="33"/>
      <w:bookmarkEnd w:id="34"/>
    </w:p>
    <w:p w14:paraId="1A6D5FFF">
      <w:pPr>
        <w:spacing w:line="460" w:lineRule="exact"/>
        <w:rPr>
          <w:rFonts w:ascii="宋体" w:hAnsi="宋体"/>
          <w:b/>
          <w:color w:val="auto"/>
          <w:szCs w:val="21"/>
          <w:highlight w:val="none"/>
        </w:rPr>
      </w:pPr>
      <w:r>
        <w:rPr>
          <w:rFonts w:hint="eastAsia" w:ascii="宋体" w:hAnsi="宋体"/>
          <w:b/>
          <w:color w:val="auto"/>
          <w:szCs w:val="21"/>
          <w:highlight w:val="none"/>
        </w:rPr>
        <w:t>2.1 磋商文件的组成</w:t>
      </w:r>
    </w:p>
    <w:p w14:paraId="06C7F04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2.1.1</w:t>
      </w:r>
      <w:r>
        <w:rPr>
          <w:rFonts w:hint="eastAsia" w:ascii="宋体" w:hAnsi="宋体"/>
          <w:color w:val="auto"/>
          <w:szCs w:val="21"/>
          <w:highlight w:val="none"/>
        </w:rPr>
        <w:t>本磋商文件包括：</w:t>
      </w:r>
    </w:p>
    <w:p w14:paraId="11651F3B">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（1）竞争性磋商公告</w:t>
      </w:r>
    </w:p>
    <w:p w14:paraId="79C0B51F">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（2）供应商须知</w:t>
      </w:r>
    </w:p>
    <w:p w14:paraId="22370C3F">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（3）磋商程序及办法（综合评分法）</w:t>
      </w:r>
    </w:p>
    <w:p w14:paraId="01B8AC12">
      <w:pPr>
        <w:spacing w:line="46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（4）</w:t>
      </w:r>
      <w:r>
        <w:rPr>
          <w:rFonts w:hint="eastAsia" w:ascii="宋体" w:hAnsi="宋体"/>
          <w:color w:val="auto"/>
          <w:szCs w:val="21"/>
          <w:highlight w:val="none"/>
          <w:lang w:eastAsia="zh-CN"/>
        </w:rPr>
        <w:t>工程量清单（</w:t>
      </w:r>
      <w:r>
        <w:rPr>
          <w:rFonts w:hint="eastAsia" w:ascii="宋体" w:hAnsi="宋体"/>
          <w:color w:val="auto"/>
          <w:szCs w:val="21"/>
          <w:highlight w:val="none"/>
          <w:lang w:val="en-US" w:eastAsia="zh-CN"/>
        </w:rPr>
        <w:t>另附）</w:t>
      </w:r>
    </w:p>
    <w:p w14:paraId="08620921">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图纸</w:t>
      </w:r>
      <w:r>
        <w:rPr>
          <w:rFonts w:hint="eastAsia" w:ascii="宋体" w:hAnsi="宋体"/>
          <w:color w:val="auto"/>
          <w:szCs w:val="21"/>
          <w:highlight w:val="none"/>
        </w:rPr>
        <w:t>（</w:t>
      </w:r>
      <w:r>
        <w:rPr>
          <w:rFonts w:hint="eastAsia" w:ascii="宋体" w:hAnsi="宋体"/>
          <w:color w:val="auto"/>
          <w:szCs w:val="21"/>
          <w:highlight w:val="none"/>
          <w:lang w:val="en-US" w:eastAsia="zh-CN"/>
        </w:rPr>
        <w:t>另附</w:t>
      </w:r>
      <w:r>
        <w:rPr>
          <w:rFonts w:hint="eastAsia" w:ascii="宋体" w:hAnsi="宋体"/>
          <w:color w:val="auto"/>
          <w:szCs w:val="21"/>
          <w:highlight w:val="none"/>
        </w:rPr>
        <w:t>）</w:t>
      </w:r>
    </w:p>
    <w:p w14:paraId="612C2E30">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）合同条款（参考文本）</w:t>
      </w:r>
    </w:p>
    <w:p w14:paraId="365E4B77">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）竞争性磋商响应文件格式</w:t>
      </w:r>
    </w:p>
    <w:p w14:paraId="446FEC7F">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2.1.2</w:t>
      </w:r>
      <w:r>
        <w:rPr>
          <w:rFonts w:hint="eastAsia" w:ascii="宋体" w:hAnsi="宋体"/>
          <w:color w:val="auto"/>
          <w:szCs w:val="21"/>
          <w:highlight w:val="none"/>
        </w:rPr>
        <w:t>根据本章第2.1 款对磋商文件所作的澄清、修改，构成磋商文件的组成部分。</w:t>
      </w:r>
    </w:p>
    <w:p w14:paraId="364F7672">
      <w:pPr>
        <w:spacing w:line="460" w:lineRule="exact"/>
        <w:rPr>
          <w:rFonts w:ascii="宋体" w:hAnsi="宋体"/>
          <w:b/>
          <w:color w:val="auto"/>
          <w:szCs w:val="21"/>
          <w:highlight w:val="none"/>
        </w:rPr>
      </w:pPr>
      <w:r>
        <w:rPr>
          <w:rFonts w:hint="eastAsia" w:ascii="宋体" w:hAnsi="宋体"/>
          <w:b/>
          <w:color w:val="auto"/>
          <w:szCs w:val="21"/>
          <w:highlight w:val="none"/>
        </w:rPr>
        <w:t>2.2 谈判文件的澄清、修改、补充的通知及响应时间变更</w:t>
      </w:r>
    </w:p>
    <w:p w14:paraId="7D5F408A">
      <w:pPr>
        <w:pStyle w:val="24"/>
        <w:spacing w:before="0" w:after="0" w:line="360" w:lineRule="auto"/>
        <w:ind w:firstLine="420" w:firstLineChars="200"/>
        <w:jc w:val="left"/>
        <w:rPr>
          <w:rFonts w:ascii="宋体" w:hAnsi="宋体" w:cs="Times New Roman"/>
          <w:b w:val="0"/>
          <w:bCs w:val="0"/>
          <w:color w:val="auto"/>
          <w:sz w:val="21"/>
          <w:szCs w:val="21"/>
          <w:highlight w:val="none"/>
        </w:rPr>
      </w:pPr>
      <w:bookmarkStart w:id="35" w:name="_Toc26324"/>
      <w:bookmarkStart w:id="36" w:name="_Toc2092"/>
      <w:bookmarkStart w:id="37" w:name="_Toc22277"/>
      <w:r>
        <w:rPr>
          <w:rFonts w:hint="eastAsia" w:ascii="宋体" w:hAnsi="宋体" w:cs="Times New Roman"/>
          <w:b w:val="0"/>
          <w:bCs w:val="0"/>
          <w:color w:val="auto"/>
          <w:sz w:val="21"/>
          <w:szCs w:val="21"/>
          <w:highlight w:val="none"/>
        </w:rPr>
        <w:t>2.2.1响应文件在投标截止时间前的所有澄清、修改（包括时间变更等）、补充事项，均在“磋商公告”所述媒体予以公告。澄清或修改公告在法定网站以公告形式发布，依法视为书面通知，不再另行通知。</w:t>
      </w:r>
      <w:bookmarkEnd w:id="35"/>
      <w:bookmarkEnd w:id="36"/>
      <w:bookmarkEnd w:id="37"/>
    </w:p>
    <w:p w14:paraId="5DC9AB6D">
      <w:pPr>
        <w:pStyle w:val="24"/>
        <w:spacing w:before="0" w:after="0" w:line="360" w:lineRule="auto"/>
        <w:ind w:firstLine="420" w:firstLineChars="200"/>
        <w:jc w:val="left"/>
        <w:rPr>
          <w:rFonts w:ascii="宋体" w:hAnsi="宋体" w:cs="Times New Roman"/>
          <w:b w:val="0"/>
          <w:bCs w:val="0"/>
          <w:color w:val="auto"/>
          <w:sz w:val="21"/>
          <w:szCs w:val="21"/>
          <w:highlight w:val="none"/>
        </w:rPr>
      </w:pPr>
      <w:bookmarkStart w:id="38" w:name="_Toc20102"/>
      <w:bookmarkStart w:id="39" w:name="_Toc31453"/>
      <w:bookmarkStart w:id="40" w:name="_Toc14790"/>
      <w:r>
        <w:rPr>
          <w:rFonts w:hint="eastAsia" w:ascii="宋体" w:hAnsi="宋体" w:cs="Times New Roman"/>
          <w:b w:val="0"/>
          <w:bCs w:val="0"/>
          <w:color w:val="auto"/>
          <w:sz w:val="21"/>
          <w:szCs w:val="21"/>
          <w:highlight w:val="none"/>
          <w:lang w:val="en-US" w:eastAsia="zh-CN"/>
        </w:rPr>
        <w:t>2.2.2</w:t>
      </w:r>
      <w:r>
        <w:rPr>
          <w:rFonts w:hint="eastAsia" w:ascii="宋体" w:hAnsi="宋体" w:cs="Times New Roman"/>
          <w:b w:val="0"/>
          <w:bCs w:val="0"/>
          <w:color w:val="auto"/>
          <w:sz w:val="21"/>
          <w:szCs w:val="21"/>
          <w:highlight w:val="none"/>
        </w:rPr>
        <w:t>基于网上电子交易的特点--无权限获知或通知潜在磋商人，潜在磋商人应随时关注“磋商公告”所述媒体相关项目信息（为免各部门网站出现维护等情况，潜在磋商人应对“磋商公告”所述媒体逐一查阅）如有遗漏，后果自负。磋商文件的澄清、修改、补充书构成磋商文件的组成部分，并取代磋商文件中被澄清、修改处，对所有磋商人均有约束力。</w:t>
      </w:r>
      <w:bookmarkEnd w:id="38"/>
      <w:bookmarkEnd w:id="39"/>
      <w:bookmarkEnd w:id="40"/>
    </w:p>
    <w:p w14:paraId="3D508A57">
      <w:pPr>
        <w:pStyle w:val="6"/>
        <w:spacing w:line="460" w:lineRule="exact"/>
        <w:jc w:val="left"/>
        <w:rPr>
          <w:rFonts w:ascii="宋体" w:hAnsi="宋体"/>
          <w:bCs w:val="0"/>
          <w:color w:val="auto"/>
          <w:sz w:val="21"/>
          <w:szCs w:val="21"/>
          <w:highlight w:val="none"/>
        </w:rPr>
      </w:pPr>
      <w:bookmarkStart w:id="41" w:name="_Toc30789"/>
      <w:bookmarkStart w:id="42" w:name="_Toc9362"/>
      <w:bookmarkStart w:id="43" w:name="_Toc1784"/>
      <w:bookmarkStart w:id="44" w:name="_Toc332"/>
      <w:bookmarkStart w:id="45" w:name="_Toc5269843"/>
      <w:bookmarkStart w:id="46" w:name="_Toc26020"/>
      <w:bookmarkStart w:id="47" w:name="_Toc7192"/>
      <w:r>
        <w:rPr>
          <w:rFonts w:hint="eastAsia" w:ascii="宋体" w:hAnsi="宋体"/>
          <w:bCs w:val="0"/>
          <w:color w:val="auto"/>
          <w:sz w:val="21"/>
          <w:szCs w:val="21"/>
          <w:highlight w:val="none"/>
        </w:rPr>
        <w:t>3.磋商响应文件</w:t>
      </w:r>
      <w:bookmarkEnd w:id="41"/>
      <w:bookmarkEnd w:id="42"/>
      <w:bookmarkEnd w:id="43"/>
      <w:bookmarkEnd w:id="44"/>
      <w:bookmarkEnd w:id="45"/>
      <w:bookmarkEnd w:id="46"/>
      <w:bookmarkEnd w:id="47"/>
    </w:p>
    <w:p w14:paraId="4B1D193C">
      <w:pPr>
        <w:spacing w:line="460" w:lineRule="exact"/>
        <w:rPr>
          <w:rFonts w:ascii="宋体" w:hAnsi="宋体"/>
          <w:b/>
          <w:color w:val="auto"/>
          <w:szCs w:val="21"/>
          <w:highlight w:val="none"/>
        </w:rPr>
      </w:pPr>
      <w:r>
        <w:rPr>
          <w:rFonts w:hint="eastAsia" w:ascii="宋体" w:hAnsi="宋体"/>
          <w:b/>
          <w:color w:val="auto"/>
          <w:szCs w:val="21"/>
          <w:highlight w:val="none"/>
        </w:rPr>
        <w:t>3.1 磋商响应文件的组成</w:t>
      </w:r>
    </w:p>
    <w:p w14:paraId="56C05ED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3.1.1 磋商响应文件应包括但不限于下列内容：</w:t>
      </w:r>
    </w:p>
    <w:p w14:paraId="0CEE5B4D">
      <w:pPr>
        <w:widowControl w:val="0"/>
        <w:wordWrap/>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1.磋商响应承诺书</w:t>
      </w:r>
    </w:p>
    <w:p w14:paraId="00A1A3D4">
      <w:pPr>
        <w:widowControl w:val="0"/>
        <w:wordWrap/>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2.磋商响应函附录（第一轮报价）</w:t>
      </w:r>
    </w:p>
    <w:p w14:paraId="2A3F222D">
      <w:pPr>
        <w:widowControl w:val="0"/>
        <w:wordWrap/>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3.</w:t>
      </w:r>
      <w:r>
        <w:rPr>
          <w:rFonts w:hint="eastAsia" w:ascii="宋体" w:hAnsi="宋体"/>
          <w:color w:val="auto"/>
          <w:sz w:val="21"/>
          <w:szCs w:val="21"/>
          <w:highlight w:val="none"/>
          <w:lang w:eastAsia="zh-CN"/>
        </w:rPr>
        <w:t>已标价工程量清单</w:t>
      </w:r>
    </w:p>
    <w:p w14:paraId="2970C60D">
      <w:pPr>
        <w:widowControl w:val="0"/>
        <w:wordWrap/>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eastAsia="宋体"/>
          <w:color w:val="auto"/>
          <w:sz w:val="21"/>
          <w:szCs w:val="21"/>
          <w:highlight w:val="none"/>
        </w:rPr>
        <w:t>.中小企业声明函</w:t>
      </w:r>
    </w:p>
    <w:p w14:paraId="57C6F94E">
      <w:pPr>
        <w:widowControl w:val="0"/>
        <w:wordWrap/>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.商务条款偏差表</w:t>
      </w:r>
    </w:p>
    <w:p w14:paraId="2B52E3F9">
      <w:pPr>
        <w:widowControl w:val="0"/>
        <w:wordWrap/>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.售后服务承诺</w:t>
      </w:r>
    </w:p>
    <w:p w14:paraId="7F7576C5">
      <w:pPr>
        <w:widowControl w:val="0"/>
        <w:wordWrap/>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7</w:t>
      </w:r>
      <w:r>
        <w:rPr>
          <w:rFonts w:hint="eastAsia" w:ascii="宋体" w:hAnsi="宋体" w:eastAsia="宋体"/>
          <w:color w:val="auto"/>
          <w:sz w:val="21"/>
          <w:szCs w:val="21"/>
          <w:highlight w:val="none"/>
        </w:rPr>
        <w:t>.资格证明材料</w:t>
      </w:r>
    </w:p>
    <w:p w14:paraId="57FE99F9">
      <w:pPr>
        <w:widowControl w:val="0"/>
        <w:wordWrap/>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eastAsia="宋体"/>
          <w:color w:val="auto"/>
          <w:sz w:val="21"/>
          <w:szCs w:val="21"/>
          <w:highlight w:val="none"/>
        </w:rPr>
        <w:t>.法定代表人授权书</w:t>
      </w:r>
    </w:p>
    <w:p w14:paraId="66D2C623">
      <w:pPr>
        <w:widowControl w:val="0"/>
        <w:wordWrap/>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9</w:t>
      </w:r>
      <w:r>
        <w:rPr>
          <w:rFonts w:hint="eastAsia" w:ascii="宋体" w:hAnsi="宋体" w:eastAsia="宋体"/>
          <w:color w:val="auto"/>
          <w:sz w:val="21"/>
          <w:szCs w:val="21"/>
          <w:highlight w:val="none"/>
        </w:rPr>
        <w:t>.</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基本情况</w:t>
      </w:r>
    </w:p>
    <w:p w14:paraId="3DB79F34">
      <w:pPr>
        <w:widowControl w:val="0"/>
        <w:wordWrap/>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0</w:t>
      </w:r>
      <w:r>
        <w:rPr>
          <w:rFonts w:hint="eastAsia" w:ascii="宋体" w:hAnsi="宋体" w:eastAsia="宋体"/>
          <w:color w:val="auto"/>
          <w:sz w:val="21"/>
          <w:szCs w:val="21"/>
          <w:highlight w:val="none"/>
        </w:rPr>
        <w:t>.类似项目业绩情况表</w:t>
      </w:r>
    </w:p>
    <w:p w14:paraId="3A9B7AE2">
      <w:pPr>
        <w:widowControl w:val="0"/>
        <w:wordWrap/>
        <w:snapToGrid/>
        <w:spacing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w:t>
      </w: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lang w:val="en-US" w:eastAsia="zh-CN"/>
        </w:rPr>
        <w:t>.</w:t>
      </w:r>
      <w:r>
        <w:rPr>
          <w:rFonts w:hint="eastAsia" w:ascii="宋体" w:hAnsi="宋体"/>
          <w:color w:val="auto"/>
          <w:sz w:val="21"/>
          <w:szCs w:val="21"/>
          <w:highlight w:val="none"/>
          <w:lang w:val="en-US" w:eastAsia="zh-CN"/>
        </w:rPr>
        <w:t>施工组织设计方案</w:t>
      </w:r>
    </w:p>
    <w:p w14:paraId="1B2D00FA">
      <w:pPr>
        <w:widowControl w:val="0"/>
        <w:wordWrap/>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认为必要的其它材料</w:t>
      </w:r>
    </w:p>
    <w:p w14:paraId="3DC46FB3">
      <w:pPr>
        <w:pStyle w:val="47"/>
        <w:widowControl w:val="0"/>
        <w:wordWrap/>
        <w:snapToGrid/>
        <w:spacing w:line="360" w:lineRule="auto"/>
        <w:ind w:firstLine="420" w:firstLineChars="200"/>
        <w:textAlignment w:val="auto"/>
        <w:rPr>
          <w:rFonts w:hint="eastAsia" w:eastAsia="宋体"/>
          <w:color w:val="auto"/>
          <w:sz w:val="21"/>
          <w:szCs w:val="21"/>
          <w:highlight w:val="none"/>
          <w:lang w:val="en-US" w:eastAsia="zh-CN"/>
        </w:rPr>
      </w:pPr>
      <w:r>
        <w:rPr>
          <w:rFonts w:hint="eastAsia" w:hAnsi="宋体"/>
          <w:color w:val="auto"/>
          <w:sz w:val="21"/>
          <w:szCs w:val="21"/>
          <w:highlight w:val="none"/>
          <w:lang w:val="en-US" w:eastAsia="zh-CN"/>
        </w:rPr>
        <w:t>13.</w:t>
      </w:r>
      <w:r>
        <w:rPr>
          <w:rFonts w:hint="eastAsia" w:ascii="宋体" w:hAnsi="宋体" w:eastAsia="宋体"/>
          <w:color w:val="auto"/>
          <w:sz w:val="21"/>
          <w:szCs w:val="21"/>
          <w:highlight w:val="none"/>
        </w:rPr>
        <w:t>磋商</w:t>
      </w:r>
      <w:r>
        <w:rPr>
          <w:rFonts w:hint="eastAsia" w:hAnsi="宋体"/>
          <w:color w:val="auto"/>
          <w:sz w:val="21"/>
          <w:szCs w:val="21"/>
          <w:highlight w:val="none"/>
          <w:lang w:eastAsia="zh-CN"/>
        </w:rPr>
        <w:t>报价（第二轮）</w:t>
      </w:r>
    </w:p>
    <w:p w14:paraId="632A7D38">
      <w:pPr>
        <w:spacing w:line="460" w:lineRule="exact"/>
        <w:rPr>
          <w:rFonts w:ascii="宋体" w:hAnsi="宋体"/>
          <w:b/>
          <w:color w:val="auto"/>
          <w:szCs w:val="21"/>
          <w:highlight w:val="none"/>
        </w:rPr>
      </w:pPr>
      <w:r>
        <w:rPr>
          <w:rFonts w:hint="eastAsia" w:ascii="宋体" w:hAnsi="宋体"/>
          <w:b/>
          <w:color w:val="auto"/>
          <w:szCs w:val="21"/>
          <w:highlight w:val="none"/>
        </w:rPr>
        <w:t>3.2 磋商报价</w:t>
      </w:r>
    </w:p>
    <w:p w14:paraId="396F1DC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3.2</w:t>
      </w:r>
      <w:r>
        <w:rPr>
          <w:rFonts w:ascii="宋体" w:hAnsi="宋体"/>
          <w:color w:val="auto"/>
          <w:szCs w:val="21"/>
          <w:highlight w:val="none"/>
        </w:rPr>
        <w:t>.1</w:t>
      </w:r>
      <w:r>
        <w:rPr>
          <w:rFonts w:hint="eastAsia" w:ascii="宋体" w:hAnsi="宋体"/>
          <w:color w:val="auto"/>
          <w:szCs w:val="21"/>
          <w:highlight w:val="none"/>
        </w:rPr>
        <w:t xml:space="preserve"> 供应商应根据本文件规定的工作内容和工作量，自行测算费用。此费用应包括完成本</w:t>
      </w:r>
      <w:r>
        <w:rPr>
          <w:rFonts w:hint="eastAsia" w:ascii="宋体" w:hAnsi="宋体"/>
          <w:color w:val="auto"/>
          <w:szCs w:val="21"/>
          <w:highlight w:val="none"/>
          <w:lang w:eastAsia="zh-CN"/>
        </w:rPr>
        <w:t>采购</w:t>
      </w:r>
      <w:r>
        <w:rPr>
          <w:rFonts w:hint="eastAsia" w:ascii="宋体" w:hAnsi="宋体"/>
          <w:color w:val="auto"/>
          <w:szCs w:val="21"/>
          <w:highlight w:val="none"/>
        </w:rPr>
        <w:t>项目全过程的一切费用。</w:t>
      </w:r>
    </w:p>
    <w:p w14:paraId="6E0EC77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3.2.2 供应商每轮只允许有一个报价，采购人和采购代理机构不接受有任何选择报价的投标。</w:t>
      </w:r>
    </w:p>
    <w:p w14:paraId="52048ED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3.2.3 供应商不得以任何理由在磋商完成后对最终磋商报价予以修改，报价在磋商有效期内是固定的，不因任何原因而改变。</w:t>
      </w:r>
    </w:p>
    <w:p w14:paraId="45654AEE">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3.2.4 磋商结束后，磋商小组要求所有实质性响应的供应商在规定时间内提交最后报价，最后报价是供应商磋商响应文件的有效组成部分。对于符合《关于政府采购竞争性磋商采购方式管理暂行办法》（财库〔2014〕214号）第三条第四项情形的，提交最后报价的供应商可以为2家。</w:t>
      </w:r>
    </w:p>
    <w:p w14:paraId="335EB0EA">
      <w:pPr>
        <w:spacing w:line="460" w:lineRule="exact"/>
        <w:rPr>
          <w:rFonts w:ascii="宋体" w:hAnsi="宋体"/>
          <w:b/>
          <w:color w:val="auto"/>
          <w:szCs w:val="21"/>
          <w:highlight w:val="none"/>
        </w:rPr>
      </w:pPr>
      <w:r>
        <w:rPr>
          <w:rFonts w:hint="eastAsia" w:ascii="宋体" w:hAnsi="宋体"/>
          <w:b/>
          <w:color w:val="auto"/>
          <w:szCs w:val="21"/>
          <w:highlight w:val="none"/>
        </w:rPr>
        <w:t>3.3 磋商有效期</w:t>
      </w:r>
    </w:p>
    <w:p w14:paraId="1F9E2F73">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3.3.1 在供应商须知前附表规定的磋商有效期内，供应商不得要求撤销或修改其磋商响应文件。</w:t>
      </w:r>
    </w:p>
    <w:p w14:paraId="30B8FED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3.3.2 出现特殊情况需要延长磋商有效期的，采购人以书面形式通知所有供应商延长磋商有效期。供应商同意延长的，则顺延磋商有效期。但不得要求或被允许修改或撤销其磋商响应文件；供应商拒绝延长的，其磋商响应文件失效。</w:t>
      </w:r>
    </w:p>
    <w:p w14:paraId="362C543E">
      <w:pPr>
        <w:spacing w:line="460" w:lineRule="exact"/>
        <w:rPr>
          <w:rFonts w:ascii="宋体" w:hAnsi="宋体"/>
          <w:b/>
          <w:color w:val="auto"/>
          <w:szCs w:val="21"/>
          <w:highlight w:val="none"/>
        </w:rPr>
      </w:pPr>
      <w:r>
        <w:rPr>
          <w:rFonts w:hint="eastAsia" w:ascii="宋体" w:hAnsi="宋体"/>
          <w:b/>
          <w:color w:val="auto"/>
          <w:szCs w:val="21"/>
          <w:highlight w:val="none"/>
        </w:rPr>
        <w:t>3.4 资格审查资料</w:t>
      </w:r>
    </w:p>
    <w:p w14:paraId="355DBE1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3.4</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 “供应商基本情况表”应附供应商营业执照副本等材料的</w:t>
      </w:r>
      <w:r>
        <w:rPr>
          <w:rFonts w:hint="eastAsia" w:ascii="宋体" w:hAnsi="宋体"/>
          <w:color w:val="auto"/>
          <w:szCs w:val="21"/>
          <w:highlight w:val="none"/>
          <w:lang w:eastAsia="zh-CN"/>
        </w:rPr>
        <w:t>复印件或扫描件</w:t>
      </w:r>
      <w:r>
        <w:rPr>
          <w:rFonts w:hint="eastAsia" w:ascii="宋体" w:hAnsi="宋体"/>
          <w:color w:val="auto"/>
          <w:szCs w:val="21"/>
          <w:highlight w:val="none"/>
        </w:rPr>
        <w:t>。</w:t>
      </w:r>
    </w:p>
    <w:p w14:paraId="5E5F491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p>
    <w:p w14:paraId="64A2C27A">
      <w:pPr>
        <w:spacing w:line="460" w:lineRule="exact"/>
        <w:rPr>
          <w:rFonts w:ascii="宋体" w:hAnsi="宋体"/>
          <w:b/>
          <w:color w:val="auto"/>
          <w:szCs w:val="21"/>
          <w:highlight w:val="none"/>
        </w:rPr>
      </w:pPr>
      <w:r>
        <w:rPr>
          <w:rFonts w:hint="eastAsia" w:ascii="宋体" w:hAnsi="宋体"/>
          <w:b/>
          <w:color w:val="auto"/>
          <w:szCs w:val="21"/>
          <w:highlight w:val="none"/>
        </w:rPr>
        <w:t>3.5备选磋商方案</w:t>
      </w:r>
    </w:p>
    <w:p w14:paraId="1764DF4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供应商不得递交备选磋商方案。</w:t>
      </w:r>
    </w:p>
    <w:p w14:paraId="349EFE79">
      <w:pPr>
        <w:spacing w:line="460" w:lineRule="exact"/>
        <w:rPr>
          <w:rFonts w:ascii="宋体" w:hAnsi="宋体"/>
          <w:b/>
          <w:color w:val="auto"/>
          <w:szCs w:val="21"/>
          <w:highlight w:val="none"/>
        </w:rPr>
      </w:pPr>
      <w:r>
        <w:rPr>
          <w:rFonts w:hint="eastAsia" w:ascii="宋体" w:hAnsi="宋体"/>
          <w:b/>
          <w:color w:val="auto"/>
          <w:szCs w:val="21"/>
          <w:highlight w:val="none"/>
        </w:rPr>
        <w:t>3.6磋商响应文件的编制</w:t>
      </w:r>
    </w:p>
    <w:p w14:paraId="1D4E006E">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3.6.1 磋商响应文件应按第</w:t>
      </w:r>
      <w:r>
        <w:rPr>
          <w:rFonts w:hint="eastAsia" w:ascii="宋体" w:hAnsi="宋体"/>
          <w:color w:val="auto"/>
          <w:szCs w:val="21"/>
          <w:highlight w:val="none"/>
          <w:lang w:eastAsia="zh-CN"/>
        </w:rPr>
        <w:t>七</w:t>
      </w:r>
      <w:r>
        <w:rPr>
          <w:rFonts w:hint="eastAsia" w:ascii="宋体" w:hAnsi="宋体"/>
          <w:color w:val="auto"/>
          <w:szCs w:val="21"/>
          <w:highlight w:val="none"/>
        </w:rPr>
        <w:t>章“磋商响应文件格式”进行编写，如有必要，可以增加附页，作为磋商响应文件的组成部分。其中，磋商函附录在满足磋商文件实质性要求的基础上，可以提出比磋商文件要求更有利于采购人的承诺。</w:t>
      </w:r>
    </w:p>
    <w:p w14:paraId="2119E24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3.6.2 磋商响应文件应当对磋商文件有关</w:t>
      </w:r>
      <w:r>
        <w:rPr>
          <w:rFonts w:hint="eastAsia" w:ascii="宋体" w:hAnsi="宋体"/>
          <w:color w:val="auto"/>
          <w:szCs w:val="21"/>
          <w:highlight w:val="none"/>
          <w:lang w:eastAsia="zh-CN"/>
        </w:rPr>
        <w:t>履约期限</w:t>
      </w:r>
      <w:r>
        <w:rPr>
          <w:rFonts w:hint="eastAsia" w:ascii="宋体" w:hAnsi="宋体"/>
          <w:color w:val="auto"/>
          <w:szCs w:val="21"/>
          <w:highlight w:val="none"/>
        </w:rPr>
        <w:t>、质量要求、磋商内容等实质性内容作出响应。</w:t>
      </w:r>
    </w:p>
    <w:p w14:paraId="0E2FDFED">
      <w:pPr>
        <w:spacing w:line="460" w:lineRule="exact"/>
        <w:ind w:firstLine="420" w:firstLineChars="200"/>
        <w:rPr>
          <w:rFonts w:hint="eastAsia" w:ascii="宋体" w:hAnsi="宋体"/>
          <w:color w:val="auto"/>
          <w:szCs w:val="21"/>
          <w:highlight w:val="none"/>
        </w:rPr>
      </w:pPr>
      <w:bookmarkStart w:id="48" w:name="_Toc10111"/>
      <w:bookmarkStart w:id="49" w:name="_Toc13875"/>
      <w:bookmarkStart w:id="50" w:name="_Toc22190"/>
      <w:bookmarkStart w:id="51" w:name="_Toc5269844"/>
      <w:r>
        <w:rPr>
          <w:rFonts w:hint="eastAsia" w:ascii="宋体" w:hAnsi="宋体"/>
          <w:color w:val="auto"/>
          <w:szCs w:val="21"/>
          <w:highlight w:val="none"/>
        </w:rPr>
        <w:t>3.6.3供应商通过荥阳市公共资源交易中心受理大厅 CA 密钥窗口办理电子认证，所有要求法定代表人或其委托代理人签字（或盖章）的都应用法定代表人或其委托代理人的</w:t>
      </w:r>
      <w:r>
        <w:rPr>
          <w:rFonts w:hint="eastAsia" w:ascii="宋体" w:hAnsi="宋体"/>
          <w:color w:val="auto"/>
          <w:szCs w:val="21"/>
          <w:highlight w:val="none"/>
          <w:lang w:eastAsia="zh-CN"/>
        </w:rPr>
        <w:t>签字或盖章或电子签章</w:t>
      </w:r>
      <w:r>
        <w:rPr>
          <w:rFonts w:hint="eastAsia" w:ascii="宋体" w:hAnsi="宋体"/>
          <w:color w:val="auto"/>
          <w:szCs w:val="21"/>
          <w:highlight w:val="none"/>
        </w:rPr>
        <w:t>。</w:t>
      </w:r>
    </w:p>
    <w:p w14:paraId="35603AAA">
      <w:pPr>
        <w:widowControl w:val="0"/>
        <w:wordWrap/>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3.6.</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供应商</w:t>
      </w:r>
      <w:r>
        <w:rPr>
          <w:rFonts w:hint="eastAsia" w:ascii="宋体" w:hAnsi="宋体" w:eastAsia="宋体" w:cs="宋体"/>
          <w:color w:val="auto"/>
          <w:highlight w:val="none"/>
        </w:rPr>
        <w:t>（供应商）请登陆荥阳市公共资源交易中心网站—下载中心—下载中心栏目下载最新版本的</w:t>
      </w:r>
      <w:r>
        <w:rPr>
          <w:rFonts w:hint="eastAsia" w:ascii="宋体" w:hAnsi="宋体" w:cs="宋体"/>
          <w:color w:val="auto"/>
          <w:highlight w:val="none"/>
          <w:lang w:eastAsia="zh-CN"/>
        </w:rPr>
        <w:t>磋商响应文件</w:t>
      </w:r>
      <w:r>
        <w:rPr>
          <w:rFonts w:hint="eastAsia" w:ascii="宋体" w:hAnsi="宋体" w:eastAsia="宋体" w:cs="宋体"/>
          <w:color w:val="auto"/>
          <w:highlight w:val="none"/>
        </w:rPr>
        <w:t>制作工具安装包，并使用安装后的最新版本</w:t>
      </w:r>
      <w:r>
        <w:rPr>
          <w:rFonts w:hint="eastAsia" w:ascii="宋体" w:hAnsi="宋体" w:cs="宋体"/>
          <w:color w:val="auto"/>
          <w:highlight w:val="none"/>
          <w:lang w:eastAsia="zh-CN"/>
        </w:rPr>
        <w:t>磋商响应文件</w:t>
      </w:r>
      <w:r>
        <w:rPr>
          <w:rFonts w:hint="eastAsia" w:ascii="宋体" w:hAnsi="宋体" w:eastAsia="宋体" w:cs="宋体"/>
          <w:color w:val="auto"/>
          <w:highlight w:val="none"/>
        </w:rPr>
        <w:t>制作工具制作电子</w:t>
      </w:r>
      <w:r>
        <w:rPr>
          <w:rFonts w:hint="eastAsia" w:ascii="宋体" w:hAnsi="宋体" w:cs="宋体"/>
          <w:color w:val="auto"/>
          <w:highlight w:val="none"/>
          <w:lang w:eastAsia="zh-CN"/>
        </w:rPr>
        <w:t>磋商响应文件</w:t>
      </w:r>
      <w:r>
        <w:rPr>
          <w:rFonts w:hint="eastAsia" w:ascii="宋体" w:hAnsi="宋体" w:eastAsia="宋体" w:cs="宋体"/>
          <w:color w:val="auto"/>
          <w:highlight w:val="none"/>
        </w:rPr>
        <w:t>（具体制作手册请查询交易中心网站-办事指南-</w:t>
      </w:r>
      <w:r>
        <w:rPr>
          <w:rFonts w:hint="eastAsia" w:ascii="宋体" w:hAnsi="宋体" w:cs="宋体"/>
          <w:color w:val="auto"/>
          <w:highlight w:val="none"/>
          <w:lang w:eastAsia="zh-CN"/>
        </w:rPr>
        <w:t>磋商响应文件</w:t>
      </w:r>
      <w:r>
        <w:rPr>
          <w:rFonts w:hint="eastAsia" w:ascii="宋体" w:hAnsi="宋体" w:eastAsia="宋体" w:cs="宋体"/>
          <w:color w:val="auto"/>
          <w:highlight w:val="none"/>
        </w:rPr>
        <w:t>制作操作手册）。</w:t>
      </w:r>
    </w:p>
    <w:p w14:paraId="1AF0C129">
      <w:pPr>
        <w:pStyle w:val="6"/>
        <w:spacing w:line="360" w:lineRule="auto"/>
        <w:jc w:val="left"/>
        <w:rPr>
          <w:rFonts w:ascii="宋体" w:hAnsi="宋体"/>
          <w:bCs w:val="0"/>
          <w:color w:val="auto"/>
          <w:sz w:val="21"/>
          <w:szCs w:val="21"/>
          <w:highlight w:val="none"/>
        </w:rPr>
      </w:pPr>
      <w:bookmarkStart w:id="52" w:name="_Toc19995"/>
      <w:bookmarkStart w:id="53" w:name="_Toc24115"/>
      <w:bookmarkStart w:id="54" w:name="_Toc30188"/>
      <w:r>
        <w:rPr>
          <w:rFonts w:hint="eastAsia" w:ascii="宋体" w:hAnsi="宋体"/>
          <w:bCs w:val="0"/>
          <w:color w:val="auto"/>
          <w:sz w:val="21"/>
          <w:szCs w:val="21"/>
          <w:highlight w:val="none"/>
        </w:rPr>
        <w:t>4.</w:t>
      </w:r>
      <w:bookmarkEnd w:id="48"/>
      <w:bookmarkEnd w:id="49"/>
      <w:r>
        <w:rPr>
          <w:rFonts w:hint="eastAsia" w:ascii="宋体" w:hAnsi="宋体"/>
          <w:bCs w:val="0"/>
          <w:color w:val="auto"/>
          <w:sz w:val="21"/>
          <w:szCs w:val="21"/>
          <w:highlight w:val="none"/>
        </w:rPr>
        <w:t>磋商响应文件的递交</w:t>
      </w:r>
      <w:bookmarkEnd w:id="50"/>
      <w:bookmarkEnd w:id="51"/>
      <w:bookmarkEnd w:id="52"/>
      <w:bookmarkEnd w:id="53"/>
      <w:bookmarkEnd w:id="54"/>
    </w:p>
    <w:p w14:paraId="20059004">
      <w:pPr>
        <w:spacing w:line="460" w:lineRule="exact"/>
        <w:rPr>
          <w:rFonts w:ascii="宋体" w:hAnsi="宋体"/>
          <w:b/>
          <w:color w:val="auto"/>
          <w:szCs w:val="21"/>
          <w:highlight w:val="none"/>
        </w:rPr>
      </w:pPr>
      <w:r>
        <w:rPr>
          <w:rFonts w:hint="eastAsia" w:ascii="宋体" w:hAnsi="宋体"/>
          <w:b/>
          <w:color w:val="auto"/>
          <w:szCs w:val="21"/>
          <w:highlight w:val="none"/>
        </w:rPr>
        <w:t>4.1 磋商响应文件的密封和标记</w:t>
      </w:r>
    </w:p>
    <w:p w14:paraId="1D8AFAA8">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4.1.1 </w:t>
      </w:r>
      <w:r>
        <w:rPr>
          <w:rFonts w:hint="eastAsia" w:ascii="宋体" w:hAnsi="宋体"/>
          <w:color w:val="auto"/>
          <w:szCs w:val="21"/>
          <w:highlight w:val="none"/>
          <w:lang w:eastAsia="zh-CN"/>
        </w:rPr>
        <w:t>供应商</w:t>
      </w:r>
      <w:r>
        <w:rPr>
          <w:rFonts w:hint="eastAsia" w:ascii="宋体" w:hAnsi="宋体"/>
          <w:color w:val="auto"/>
          <w:szCs w:val="21"/>
          <w:highlight w:val="none"/>
        </w:rPr>
        <w:t>应当按照</w:t>
      </w:r>
      <w:r>
        <w:rPr>
          <w:rFonts w:hint="eastAsia" w:ascii="宋体" w:hAnsi="宋体"/>
          <w:color w:val="auto"/>
          <w:szCs w:val="21"/>
          <w:highlight w:val="none"/>
          <w:lang w:eastAsia="zh-CN"/>
        </w:rPr>
        <w:t>磋商</w:t>
      </w:r>
      <w:r>
        <w:rPr>
          <w:rFonts w:hint="eastAsia" w:ascii="宋体" w:hAnsi="宋体"/>
          <w:color w:val="auto"/>
          <w:szCs w:val="21"/>
          <w:highlight w:val="none"/>
        </w:rPr>
        <w:t>文件和电子招标投标交易平台的要求加密</w:t>
      </w:r>
      <w:r>
        <w:rPr>
          <w:rFonts w:hint="eastAsia" w:ascii="宋体" w:hAnsi="宋体"/>
          <w:color w:val="auto"/>
          <w:szCs w:val="21"/>
          <w:highlight w:val="none"/>
          <w:lang w:eastAsia="zh-CN"/>
        </w:rPr>
        <w:t>响应</w:t>
      </w:r>
      <w:r>
        <w:rPr>
          <w:rFonts w:hint="eastAsia" w:ascii="宋体" w:hAnsi="宋体"/>
          <w:color w:val="auto"/>
          <w:szCs w:val="21"/>
          <w:highlight w:val="none"/>
        </w:rPr>
        <w:t>文件，具体要求见</w:t>
      </w:r>
      <w:r>
        <w:rPr>
          <w:rFonts w:hint="eastAsia" w:ascii="宋体" w:hAnsi="宋体"/>
          <w:color w:val="auto"/>
          <w:szCs w:val="21"/>
          <w:highlight w:val="none"/>
          <w:lang w:eastAsia="zh-CN"/>
        </w:rPr>
        <w:t>供应商</w:t>
      </w:r>
      <w:r>
        <w:rPr>
          <w:rFonts w:hint="eastAsia" w:ascii="宋体" w:hAnsi="宋体"/>
          <w:color w:val="auto"/>
          <w:szCs w:val="21"/>
          <w:highlight w:val="none"/>
        </w:rPr>
        <w:t xml:space="preserve">须知前附表。 </w:t>
      </w:r>
    </w:p>
    <w:p w14:paraId="2582C8D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4.1.2 未按本章第4.1.1项要求密封和加写标记的磋商响应文件，采购人或磋商小组不予受理。</w:t>
      </w:r>
    </w:p>
    <w:p w14:paraId="3BEB14A5">
      <w:pPr>
        <w:spacing w:line="460" w:lineRule="exact"/>
        <w:rPr>
          <w:rFonts w:ascii="宋体" w:hAnsi="宋体"/>
          <w:b/>
          <w:color w:val="auto"/>
          <w:szCs w:val="21"/>
          <w:highlight w:val="none"/>
        </w:rPr>
      </w:pPr>
      <w:r>
        <w:rPr>
          <w:rFonts w:hint="eastAsia" w:ascii="宋体" w:hAnsi="宋体"/>
          <w:b/>
          <w:color w:val="auto"/>
          <w:szCs w:val="21"/>
          <w:highlight w:val="none"/>
        </w:rPr>
        <w:t>4.2 磋商响应文件的递交</w:t>
      </w:r>
    </w:p>
    <w:p w14:paraId="28D4E23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4.2.1 供应商应在供应商须知前附表2.2.2 项规定的磋商截止时间前递交磋商响应文件。</w:t>
      </w:r>
    </w:p>
    <w:p w14:paraId="08D73C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4.2.2 供应商递交磋商响应文件的地点：见供应商须知前附表。</w:t>
      </w:r>
    </w:p>
    <w:p w14:paraId="6CE023B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4.2.3 除供应商须知前附表另有规定外，供应商所递交的磋商响应文件不予退还。</w:t>
      </w:r>
    </w:p>
    <w:p w14:paraId="3C3642A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4.2.4 逾期送达的或者未送达指定地点的磋商响应文件，采购人不予受理。</w:t>
      </w:r>
    </w:p>
    <w:p w14:paraId="0F95CCF8">
      <w:pPr>
        <w:widowControl w:val="0"/>
        <w:wordWrap/>
        <w:adjustRightInd/>
        <w:snapToGrid/>
        <w:spacing w:line="360" w:lineRule="auto"/>
        <w:ind w:firstLine="420" w:firstLineChars="200"/>
        <w:textAlignment w:val="auto"/>
        <w:rPr>
          <w:rFonts w:hint="eastAsia"/>
          <w:color w:val="auto"/>
          <w:highlight w:val="none"/>
        </w:rPr>
      </w:pPr>
      <w:r>
        <w:rPr>
          <w:rFonts w:hint="eastAsia" w:ascii="宋体" w:hAnsi="宋体" w:eastAsia="宋体" w:cs="Times New Roman"/>
          <w:color w:val="auto"/>
          <w:szCs w:val="21"/>
          <w:highlight w:val="none"/>
          <w:lang w:val="en-US" w:eastAsia="zh-CN"/>
        </w:rPr>
        <w:t>4.2.5</w:t>
      </w:r>
      <w:r>
        <w:rPr>
          <w:rFonts w:hint="eastAsia" w:eastAsia="宋体"/>
          <w:color w:val="auto"/>
          <w:highlight w:val="none"/>
          <w:lang w:eastAsia="zh-CN"/>
        </w:rPr>
        <w:t>响应</w:t>
      </w:r>
      <w:r>
        <w:rPr>
          <w:rFonts w:hint="eastAsia"/>
          <w:color w:val="auto"/>
          <w:highlight w:val="none"/>
        </w:rPr>
        <w:t>文件上传：各</w:t>
      </w:r>
      <w:r>
        <w:rPr>
          <w:rFonts w:hint="eastAsia"/>
          <w:color w:val="auto"/>
          <w:highlight w:val="none"/>
          <w:lang w:eastAsia="zh-CN"/>
        </w:rPr>
        <w:t>供应商</w:t>
      </w:r>
      <w:r>
        <w:rPr>
          <w:rFonts w:hint="eastAsia"/>
          <w:color w:val="auto"/>
          <w:highlight w:val="none"/>
        </w:rPr>
        <w:t>（供应商）须在投标截止时间前企业身份认证锁（CA密钥）登陆荥阳市公共资源交易中心网站上传加密的电子</w:t>
      </w:r>
      <w:r>
        <w:rPr>
          <w:rFonts w:hint="eastAsia"/>
          <w:color w:val="auto"/>
          <w:highlight w:val="none"/>
          <w:lang w:eastAsia="zh-CN"/>
        </w:rPr>
        <w:t>磋商响应文件</w:t>
      </w:r>
      <w:r>
        <w:rPr>
          <w:rFonts w:hint="eastAsia"/>
          <w:color w:val="auto"/>
          <w:highlight w:val="none"/>
        </w:rPr>
        <w:t>到系统的指定位置。上传时必须得到电脑‘上传成功’的确认回复。请</w:t>
      </w:r>
      <w:r>
        <w:rPr>
          <w:rFonts w:hint="eastAsia"/>
          <w:color w:val="auto"/>
          <w:highlight w:val="none"/>
          <w:lang w:eastAsia="zh-CN"/>
        </w:rPr>
        <w:t>供应商</w:t>
      </w:r>
      <w:r>
        <w:rPr>
          <w:rFonts w:hint="eastAsia"/>
          <w:color w:val="auto"/>
          <w:highlight w:val="none"/>
        </w:rPr>
        <w:t>（供应商）在上传时认真检查上传</w:t>
      </w:r>
      <w:r>
        <w:rPr>
          <w:rFonts w:hint="eastAsia"/>
          <w:color w:val="auto"/>
          <w:highlight w:val="none"/>
          <w:lang w:eastAsia="zh-CN"/>
        </w:rPr>
        <w:t>磋商响应文件</w:t>
      </w:r>
      <w:r>
        <w:rPr>
          <w:rFonts w:hint="eastAsia"/>
          <w:color w:val="auto"/>
          <w:highlight w:val="none"/>
        </w:rPr>
        <w:t>是否完整、正确。</w:t>
      </w:r>
    </w:p>
    <w:p w14:paraId="6008B118">
      <w:pPr>
        <w:widowControl w:val="0"/>
        <w:wordWrap/>
        <w:adjustRightInd/>
        <w:snapToGrid/>
        <w:spacing w:line="360" w:lineRule="auto"/>
        <w:ind w:firstLine="420" w:firstLineChars="200"/>
        <w:textAlignment w:val="auto"/>
        <w:rPr>
          <w:rFonts w:hint="eastAsia"/>
          <w:color w:val="auto"/>
          <w:highlight w:val="none"/>
        </w:rPr>
      </w:pPr>
      <w:r>
        <w:rPr>
          <w:rFonts w:hint="eastAsia" w:ascii="宋体" w:hAnsi="宋体" w:eastAsia="宋体" w:cs="Times New Roman"/>
          <w:color w:val="auto"/>
          <w:szCs w:val="21"/>
          <w:highlight w:val="none"/>
          <w:lang w:val="en-US" w:eastAsia="zh-CN"/>
        </w:rPr>
        <w:t>4.2.6</w:t>
      </w:r>
      <w:r>
        <w:rPr>
          <w:rFonts w:hint="eastAsia"/>
          <w:color w:val="auto"/>
          <w:highlight w:val="none"/>
          <w:lang w:eastAsia="zh-CN"/>
        </w:rPr>
        <w:t>供应商</w:t>
      </w:r>
      <w:r>
        <w:rPr>
          <w:rFonts w:hint="eastAsia"/>
          <w:color w:val="auto"/>
          <w:highlight w:val="none"/>
        </w:rPr>
        <w:t>（供应商）在交易中心投标系统无法上传电子</w:t>
      </w:r>
      <w:r>
        <w:rPr>
          <w:rFonts w:hint="eastAsia"/>
          <w:color w:val="auto"/>
          <w:highlight w:val="none"/>
          <w:lang w:eastAsia="zh-CN"/>
        </w:rPr>
        <w:t>磋商响应文件</w:t>
      </w:r>
      <w:r>
        <w:rPr>
          <w:rFonts w:hint="eastAsia"/>
          <w:color w:val="auto"/>
          <w:highlight w:val="none"/>
        </w:rPr>
        <w:t>时，请在工作时间及时与荥阳市公共资源交易中心联系。</w:t>
      </w:r>
    </w:p>
    <w:p w14:paraId="3D18A876">
      <w:pPr>
        <w:pStyle w:val="11"/>
        <w:ind w:firstLine="436" w:firstLineChars="200"/>
        <w:rPr>
          <w:b w:val="0"/>
          <w:bCs w:val="0"/>
          <w:color w:val="auto"/>
          <w:sz w:val="21"/>
          <w:szCs w:val="21"/>
          <w:highlight w:val="none"/>
        </w:rPr>
      </w:pPr>
      <w:r>
        <w:rPr>
          <w:rFonts w:hint="eastAsia" w:ascii="宋体" w:cs="宋体"/>
          <w:b w:val="0"/>
          <w:bCs w:val="0"/>
          <w:color w:val="auto"/>
          <w:kern w:val="0"/>
          <w:sz w:val="21"/>
          <w:szCs w:val="21"/>
          <w:highlight w:val="none"/>
          <w:lang w:val="en-US" w:eastAsia="zh-CN"/>
        </w:rPr>
        <w:t>4.2.7</w:t>
      </w:r>
      <w:r>
        <w:rPr>
          <w:rFonts w:hint="eastAsia" w:ascii="宋体" w:hAnsi="宋体" w:cs="宋体"/>
          <w:b w:val="0"/>
          <w:bCs w:val="0"/>
          <w:color w:val="auto"/>
          <w:kern w:val="0"/>
          <w:sz w:val="21"/>
          <w:szCs w:val="21"/>
          <w:highlight w:val="none"/>
        </w:rPr>
        <w:t>逾期上传/送达的或者未上传/未送达指定地点的</w:t>
      </w:r>
      <w:r>
        <w:rPr>
          <w:rFonts w:hint="eastAsia" w:ascii="宋体" w:cs="宋体"/>
          <w:b w:val="0"/>
          <w:bCs w:val="0"/>
          <w:color w:val="auto"/>
          <w:kern w:val="0"/>
          <w:sz w:val="21"/>
          <w:szCs w:val="21"/>
          <w:highlight w:val="none"/>
          <w:lang w:eastAsia="zh-CN"/>
        </w:rPr>
        <w:t>磋商响应文件</w:t>
      </w:r>
      <w:r>
        <w:rPr>
          <w:rFonts w:hint="eastAsia" w:ascii="宋体" w:hAnsi="宋体" w:cs="宋体"/>
          <w:b w:val="0"/>
          <w:bCs w:val="0"/>
          <w:color w:val="auto"/>
          <w:kern w:val="0"/>
          <w:sz w:val="21"/>
          <w:szCs w:val="21"/>
          <w:highlight w:val="none"/>
        </w:rPr>
        <w:t>，</w:t>
      </w:r>
      <w:r>
        <w:rPr>
          <w:rFonts w:hint="eastAsia" w:ascii="宋体" w:cs="宋体"/>
          <w:b w:val="0"/>
          <w:bCs w:val="0"/>
          <w:color w:val="auto"/>
          <w:kern w:val="0"/>
          <w:sz w:val="21"/>
          <w:szCs w:val="21"/>
          <w:highlight w:val="none"/>
          <w:lang w:eastAsia="zh-CN"/>
        </w:rPr>
        <w:t>采购人</w:t>
      </w:r>
      <w:r>
        <w:rPr>
          <w:rFonts w:hint="eastAsia" w:ascii="宋体" w:hAnsi="宋体" w:cs="宋体"/>
          <w:b w:val="0"/>
          <w:bCs w:val="0"/>
          <w:color w:val="auto"/>
          <w:kern w:val="0"/>
          <w:sz w:val="21"/>
          <w:szCs w:val="21"/>
          <w:highlight w:val="none"/>
        </w:rPr>
        <w:t>不予受理。</w:t>
      </w:r>
    </w:p>
    <w:p w14:paraId="061A5DE9">
      <w:pPr>
        <w:pStyle w:val="6"/>
        <w:spacing w:line="460" w:lineRule="exact"/>
        <w:jc w:val="left"/>
        <w:rPr>
          <w:rFonts w:ascii="宋体" w:hAnsi="宋体"/>
          <w:bCs w:val="0"/>
          <w:color w:val="auto"/>
          <w:sz w:val="21"/>
          <w:szCs w:val="21"/>
          <w:highlight w:val="none"/>
        </w:rPr>
      </w:pPr>
      <w:bookmarkStart w:id="55" w:name="_Toc31868"/>
      <w:bookmarkStart w:id="56" w:name="_Toc5269845"/>
      <w:bookmarkStart w:id="57" w:name="_Toc12772"/>
      <w:bookmarkStart w:id="58" w:name="_Toc21992"/>
      <w:bookmarkStart w:id="59" w:name="_Toc24941"/>
      <w:bookmarkStart w:id="60" w:name="_Toc22319"/>
      <w:bookmarkStart w:id="61" w:name="_Toc30971"/>
      <w:r>
        <w:rPr>
          <w:rFonts w:hint="eastAsia" w:ascii="宋体" w:hAnsi="宋体"/>
          <w:bCs w:val="0"/>
          <w:color w:val="auto"/>
          <w:sz w:val="21"/>
          <w:szCs w:val="21"/>
          <w:highlight w:val="none"/>
        </w:rPr>
        <w:t>5.磋商</w:t>
      </w:r>
      <w:bookmarkEnd w:id="55"/>
      <w:bookmarkEnd w:id="56"/>
      <w:bookmarkEnd w:id="57"/>
      <w:bookmarkEnd w:id="58"/>
      <w:bookmarkEnd w:id="59"/>
      <w:bookmarkEnd w:id="60"/>
      <w:bookmarkEnd w:id="61"/>
    </w:p>
    <w:p w14:paraId="055586C6">
      <w:pPr>
        <w:spacing w:line="460" w:lineRule="exact"/>
        <w:rPr>
          <w:rFonts w:ascii="宋体" w:hAnsi="宋体"/>
          <w:color w:val="auto"/>
          <w:szCs w:val="21"/>
          <w:highlight w:val="none"/>
        </w:rPr>
      </w:pPr>
      <w:r>
        <w:rPr>
          <w:rFonts w:hint="eastAsia" w:ascii="宋体" w:hAnsi="宋体"/>
          <w:b/>
          <w:color w:val="auto"/>
          <w:szCs w:val="21"/>
          <w:highlight w:val="none"/>
        </w:rPr>
        <w:t>5.1 磋商时间和地点</w:t>
      </w:r>
    </w:p>
    <w:p w14:paraId="2739B9D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5.1.1见供应商须知前附表。供应商应当在供应商须知前附表2.2.2 项规定的</w:t>
      </w:r>
      <w:r>
        <w:rPr>
          <w:rFonts w:hint="eastAsia" w:ascii="宋体" w:hAnsi="宋体"/>
          <w:color w:val="auto"/>
          <w:szCs w:val="21"/>
          <w:highlight w:val="none"/>
          <w:lang w:eastAsia="zh-CN"/>
        </w:rPr>
        <w:t>响应</w:t>
      </w:r>
      <w:r>
        <w:rPr>
          <w:rFonts w:hint="eastAsia" w:ascii="宋体" w:hAnsi="宋体"/>
          <w:color w:val="auto"/>
          <w:szCs w:val="21"/>
          <w:highlight w:val="none"/>
        </w:rPr>
        <w:t>截止时间前，准时参加</w:t>
      </w:r>
      <w:r>
        <w:rPr>
          <w:rFonts w:hint="eastAsia" w:ascii="宋体" w:hAnsi="宋体"/>
          <w:color w:val="auto"/>
          <w:szCs w:val="21"/>
          <w:highlight w:val="none"/>
          <w:lang w:eastAsia="zh-CN"/>
        </w:rPr>
        <w:t>磋商</w:t>
      </w:r>
      <w:r>
        <w:rPr>
          <w:rFonts w:hint="eastAsia" w:ascii="宋体" w:hAnsi="宋体"/>
          <w:color w:val="auto"/>
          <w:szCs w:val="21"/>
          <w:highlight w:val="none"/>
        </w:rPr>
        <w:t>活动并进行磋商谈判、答疑澄清、二次报价。</w:t>
      </w:r>
    </w:p>
    <w:p w14:paraId="5E431312">
      <w:pPr>
        <w:spacing w:line="460" w:lineRule="exact"/>
        <w:rPr>
          <w:rFonts w:ascii="宋体" w:hAnsi="宋体"/>
          <w:b/>
          <w:color w:val="auto"/>
          <w:szCs w:val="21"/>
          <w:highlight w:val="none"/>
        </w:rPr>
      </w:pPr>
      <w:r>
        <w:rPr>
          <w:rFonts w:hint="eastAsia" w:ascii="宋体" w:hAnsi="宋体"/>
          <w:b/>
          <w:color w:val="auto"/>
          <w:szCs w:val="21"/>
          <w:highlight w:val="none"/>
        </w:rPr>
        <w:t xml:space="preserve">5.2 </w:t>
      </w:r>
      <w:r>
        <w:rPr>
          <w:rFonts w:hint="eastAsia" w:ascii="宋体" w:hAnsi="宋体"/>
          <w:b/>
          <w:color w:val="auto"/>
          <w:szCs w:val="21"/>
          <w:highlight w:val="none"/>
          <w:lang w:eastAsia="zh-CN"/>
        </w:rPr>
        <w:t>开标</w:t>
      </w:r>
      <w:r>
        <w:rPr>
          <w:rFonts w:hint="eastAsia" w:ascii="宋体" w:hAnsi="宋体"/>
          <w:b/>
          <w:color w:val="auto"/>
          <w:szCs w:val="21"/>
          <w:highlight w:val="none"/>
        </w:rPr>
        <w:t>程序</w:t>
      </w:r>
    </w:p>
    <w:p w14:paraId="3447B7E8">
      <w:pPr>
        <w:pStyle w:val="54"/>
        <w:widowControl/>
        <w:numPr>
          <w:ilvl w:val="0"/>
          <w:numId w:val="0"/>
        </w:numPr>
        <w:adjustRightInd w:val="0"/>
        <w:snapToGrid w:val="0"/>
        <w:spacing w:line="360" w:lineRule="auto"/>
        <w:ind w:leftChars="20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5.2.1主持人按下列程序进行</w:t>
      </w:r>
      <w:r>
        <w:rPr>
          <w:rFonts w:hint="eastAsia" w:ascii="宋体" w:hAnsi="宋体" w:cs="宋体"/>
          <w:color w:val="auto"/>
          <w:kern w:val="0"/>
          <w:szCs w:val="21"/>
          <w:highlight w:val="none"/>
          <w:lang w:eastAsia="zh-CN"/>
        </w:rPr>
        <w:t>开标</w:t>
      </w:r>
      <w:r>
        <w:rPr>
          <w:rFonts w:hint="eastAsia" w:ascii="宋体" w:hAnsi="宋体" w:cs="宋体"/>
          <w:color w:val="auto"/>
          <w:kern w:val="0"/>
          <w:szCs w:val="21"/>
          <w:highlight w:val="none"/>
        </w:rPr>
        <w:t>：</w:t>
      </w:r>
    </w:p>
    <w:p w14:paraId="56005A94">
      <w:pPr>
        <w:pStyle w:val="54"/>
        <w:widowControl/>
        <w:numPr>
          <w:ilvl w:val="0"/>
          <w:numId w:val="0"/>
        </w:numPr>
        <w:adjustRightInd w:val="0"/>
        <w:snapToGrid w:val="0"/>
        <w:spacing w:line="360" w:lineRule="auto"/>
        <w:ind w:leftChars="20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（1）宣布</w:t>
      </w:r>
      <w:r>
        <w:rPr>
          <w:rFonts w:hint="eastAsia" w:ascii="宋体" w:hAnsi="宋体" w:cs="宋体"/>
          <w:color w:val="auto"/>
          <w:kern w:val="0"/>
          <w:szCs w:val="21"/>
          <w:highlight w:val="none"/>
          <w:lang w:eastAsia="zh-CN"/>
        </w:rPr>
        <w:t>磋商</w:t>
      </w:r>
      <w:r>
        <w:rPr>
          <w:rFonts w:hint="eastAsia" w:ascii="宋体" w:hAnsi="宋体" w:cs="宋体"/>
          <w:color w:val="auto"/>
          <w:kern w:val="0"/>
          <w:szCs w:val="21"/>
          <w:highlight w:val="none"/>
        </w:rPr>
        <w:t>纪律。</w:t>
      </w:r>
    </w:p>
    <w:p w14:paraId="3004F677">
      <w:pPr>
        <w:pStyle w:val="54"/>
        <w:widowControl/>
        <w:numPr>
          <w:ilvl w:val="0"/>
          <w:numId w:val="0"/>
        </w:numPr>
        <w:adjustRightInd w:val="0"/>
        <w:snapToGrid w:val="0"/>
        <w:spacing w:line="360" w:lineRule="auto"/>
        <w:ind w:leftChars="20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（2）宣布</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人、监标人等有关人员姓名；</w:t>
      </w:r>
    </w:p>
    <w:p w14:paraId="12CB7572">
      <w:pPr>
        <w:pStyle w:val="54"/>
        <w:widowControl/>
        <w:numPr>
          <w:ilvl w:val="0"/>
          <w:numId w:val="0"/>
        </w:numPr>
        <w:adjustRightInd w:val="0"/>
        <w:snapToGrid w:val="0"/>
        <w:spacing w:line="360" w:lineRule="auto"/>
        <w:ind w:leftChars="20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（3）检查</w:t>
      </w:r>
      <w:r>
        <w:rPr>
          <w:rFonts w:hint="eastAsia" w:ascii="宋体" w:hAnsi="宋体" w:cs="宋体"/>
          <w:color w:val="auto"/>
          <w:kern w:val="0"/>
          <w:szCs w:val="21"/>
          <w:highlight w:val="none"/>
          <w:lang w:eastAsia="zh-CN"/>
        </w:rPr>
        <w:t>磋商响应文件</w:t>
      </w:r>
      <w:r>
        <w:rPr>
          <w:rFonts w:hint="eastAsia" w:ascii="宋体" w:hAnsi="宋体" w:cs="宋体"/>
          <w:color w:val="auto"/>
          <w:kern w:val="0"/>
          <w:szCs w:val="21"/>
          <w:highlight w:val="none"/>
        </w:rPr>
        <w:t>的密封情况，并对上传至交易平台的加密</w:t>
      </w:r>
      <w:r>
        <w:rPr>
          <w:rFonts w:hint="eastAsia" w:ascii="宋体" w:hAnsi="宋体" w:cs="宋体"/>
          <w:color w:val="auto"/>
          <w:kern w:val="0"/>
          <w:szCs w:val="21"/>
          <w:highlight w:val="none"/>
          <w:lang w:eastAsia="zh-CN"/>
        </w:rPr>
        <w:t>磋商响应文件</w:t>
      </w:r>
      <w:r>
        <w:rPr>
          <w:rFonts w:hint="eastAsia" w:ascii="宋体" w:hAnsi="宋体" w:cs="宋体"/>
          <w:color w:val="auto"/>
          <w:kern w:val="0"/>
          <w:szCs w:val="21"/>
          <w:highlight w:val="none"/>
        </w:rPr>
        <w:t>进行解密；</w:t>
      </w:r>
    </w:p>
    <w:p w14:paraId="2342EEAF">
      <w:pPr>
        <w:pStyle w:val="54"/>
        <w:widowControl/>
        <w:numPr>
          <w:ilvl w:val="0"/>
          <w:numId w:val="0"/>
        </w:numPr>
        <w:adjustRightInd w:val="0"/>
        <w:snapToGrid w:val="0"/>
        <w:spacing w:line="360" w:lineRule="auto"/>
        <w:ind w:leftChars="20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eastAsia="zh-CN"/>
        </w:rPr>
        <w:t>供应商代表、采购</w:t>
      </w:r>
      <w:r>
        <w:rPr>
          <w:rFonts w:hint="eastAsia" w:ascii="宋体" w:hAnsi="宋体" w:cs="宋体"/>
          <w:color w:val="auto"/>
          <w:kern w:val="0"/>
          <w:szCs w:val="21"/>
          <w:highlight w:val="none"/>
        </w:rPr>
        <w:t>人代表、监标人等有关人员在</w:t>
      </w:r>
      <w:r>
        <w:rPr>
          <w:rFonts w:hint="eastAsia" w:ascii="宋体" w:hAnsi="宋体" w:cs="宋体"/>
          <w:color w:val="auto"/>
          <w:kern w:val="0"/>
          <w:szCs w:val="21"/>
          <w:highlight w:val="none"/>
          <w:lang w:eastAsia="zh-CN"/>
        </w:rPr>
        <w:t>磋商</w:t>
      </w:r>
      <w:r>
        <w:rPr>
          <w:rFonts w:hint="eastAsia" w:ascii="宋体" w:hAnsi="宋体" w:cs="宋体"/>
          <w:color w:val="auto"/>
          <w:kern w:val="0"/>
          <w:szCs w:val="21"/>
          <w:highlight w:val="none"/>
        </w:rPr>
        <w:t>记录上签字确认。</w:t>
      </w:r>
    </w:p>
    <w:p w14:paraId="732680E9">
      <w:pPr>
        <w:pStyle w:val="54"/>
        <w:widowControl/>
        <w:numPr>
          <w:ilvl w:val="0"/>
          <w:numId w:val="0"/>
        </w:numPr>
        <w:adjustRightInd w:val="0"/>
        <w:snapToGrid w:val="0"/>
        <w:spacing w:line="360" w:lineRule="auto"/>
        <w:ind w:leftChars="20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lang w:eastAsia="zh-CN"/>
        </w:rPr>
        <w:t>开标</w:t>
      </w:r>
      <w:r>
        <w:rPr>
          <w:rFonts w:hint="eastAsia" w:ascii="宋体" w:hAnsi="宋体" w:cs="宋体"/>
          <w:color w:val="auto"/>
          <w:kern w:val="0"/>
          <w:szCs w:val="21"/>
          <w:highlight w:val="none"/>
        </w:rPr>
        <w:t>结束。</w:t>
      </w:r>
    </w:p>
    <w:p w14:paraId="48AFF9AB">
      <w:pPr>
        <w:tabs>
          <w:tab w:val="left" w:pos="720"/>
          <w:tab w:val="left" w:pos="1980"/>
        </w:tabs>
        <w:spacing w:line="4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5.2.2</w:t>
      </w:r>
      <w:r>
        <w:rPr>
          <w:rFonts w:hint="eastAsia" w:ascii="宋体" w:hAnsi="宋体"/>
          <w:color w:val="auto"/>
          <w:szCs w:val="21"/>
          <w:highlight w:val="none"/>
        </w:rPr>
        <w:t>磋商工作由磋商小组主持，对所有供应商的竞争性磋商响应文件进行评审，并推荐候选成交供应商。磋商工作按下列程序进行：</w:t>
      </w:r>
    </w:p>
    <w:p w14:paraId="73016EAE">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（1）初步评审；</w:t>
      </w:r>
    </w:p>
    <w:p w14:paraId="414A6B2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（2）磋商；</w:t>
      </w:r>
    </w:p>
    <w:p w14:paraId="2C22CEF3">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（3）综合评分；</w:t>
      </w:r>
    </w:p>
    <w:p w14:paraId="58957917">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（4）候选成交供应商的确定。</w:t>
      </w:r>
    </w:p>
    <w:p w14:paraId="486EDEF3">
      <w:pPr>
        <w:pStyle w:val="11"/>
        <w:rPr>
          <w:rFonts w:hint="eastAsia"/>
          <w:b/>
          <w:bCs/>
          <w:color w:val="auto"/>
          <w:sz w:val="21"/>
          <w:szCs w:val="21"/>
          <w:highlight w:val="none"/>
        </w:rPr>
      </w:pPr>
      <w:r>
        <w:rPr>
          <w:rFonts w:hint="eastAsia"/>
          <w:b/>
          <w:bCs/>
          <w:color w:val="auto"/>
          <w:sz w:val="21"/>
          <w:szCs w:val="21"/>
          <w:highlight w:val="none"/>
        </w:rPr>
        <w:t>5.3</w:t>
      </w:r>
      <w:r>
        <w:rPr>
          <w:rFonts w:hint="eastAsia"/>
          <w:b/>
          <w:bCs/>
          <w:color w:val="auto"/>
          <w:sz w:val="21"/>
          <w:szCs w:val="21"/>
          <w:highlight w:val="none"/>
          <w:lang w:eastAsia="zh-CN"/>
        </w:rPr>
        <w:t>磋商</w:t>
      </w:r>
      <w:r>
        <w:rPr>
          <w:rFonts w:hint="eastAsia"/>
          <w:b/>
          <w:bCs/>
          <w:color w:val="auto"/>
          <w:sz w:val="21"/>
          <w:szCs w:val="21"/>
          <w:highlight w:val="none"/>
        </w:rPr>
        <w:t>时出现下列情况的，</w:t>
      </w:r>
      <w:r>
        <w:rPr>
          <w:rFonts w:hint="eastAsia"/>
          <w:b/>
          <w:bCs/>
          <w:color w:val="auto"/>
          <w:sz w:val="21"/>
          <w:szCs w:val="21"/>
          <w:highlight w:val="none"/>
          <w:lang w:eastAsia="zh-CN"/>
        </w:rPr>
        <w:t>采购</w:t>
      </w:r>
      <w:r>
        <w:rPr>
          <w:rFonts w:hint="eastAsia"/>
          <w:b/>
          <w:bCs/>
          <w:color w:val="auto"/>
          <w:sz w:val="21"/>
          <w:szCs w:val="21"/>
          <w:highlight w:val="none"/>
        </w:rPr>
        <w:t>人将拒绝其</w:t>
      </w:r>
      <w:r>
        <w:rPr>
          <w:rFonts w:hint="eastAsia"/>
          <w:b/>
          <w:bCs/>
          <w:color w:val="auto"/>
          <w:sz w:val="21"/>
          <w:szCs w:val="21"/>
          <w:highlight w:val="none"/>
          <w:lang w:eastAsia="zh-CN"/>
        </w:rPr>
        <w:t>响应</w:t>
      </w:r>
      <w:r>
        <w:rPr>
          <w:rFonts w:hint="eastAsia"/>
          <w:b/>
          <w:bCs/>
          <w:color w:val="auto"/>
          <w:sz w:val="21"/>
          <w:szCs w:val="21"/>
          <w:highlight w:val="none"/>
        </w:rPr>
        <w:t>文件</w:t>
      </w:r>
    </w:p>
    <w:p w14:paraId="7A86DD10">
      <w:pPr>
        <w:pStyle w:val="11"/>
        <w:ind w:firstLine="436" w:firstLineChars="200"/>
        <w:rPr>
          <w:rFonts w:hint="eastAsia"/>
          <w:b w:val="0"/>
          <w:bCs w:val="0"/>
          <w:color w:val="auto"/>
          <w:sz w:val="21"/>
          <w:szCs w:val="21"/>
          <w:highlight w:val="none"/>
        </w:rPr>
      </w:pPr>
      <w:r>
        <w:rPr>
          <w:rFonts w:hint="eastAsia"/>
          <w:b w:val="0"/>
          <w:bCs w:val="0"/>
          <w:color w:val="auto"/>
          <w:sz w:val="21"/>
          <w:szCs w:val="21"/>
          <w:highlight w:val="none"/>
        </w:rPr>
        <w:t>（1）经检查数字证书无效的</w:t>
      </w:r>
      <w:r>
        <w:rPr>
          <w:rFonts w:hint="eastAsia"/>
          <w:b w:val="0"/>
          <w:bCs w:val="0"/>
          <w:color w:val="auto"/>
          <w:sz w:val="21"/>
          <w:szCs w:val="21"/>
          <w:highlight w:val="none"/>
          <w:lang w:eastAsia="zh-CN"/>
        </w:rPr>
        <w:t>响应</w:t>
      </w:r>
      <w:r>
        <w:rPr>
          <w:rFonts w:hint="eastAsia"/>
          <w:b w:val="0"/>
          <w:bCs w:val="0"/>
          <w:color w:val="auto"/>
          <w:sz w:val="21"/>
          <w:szCs w:val="21"/>
          <w:highlight w:val="none"/>
        </w:rPr>
        <w:t>文件；</w:t>
      </w:r>
    </w:p>
    <w:p w14:paraId="47A361C2">
      <w:pPr>
        <w:pStyle w:val="11"/>
        <w:ind w:firstLine="436" w:firstLineChars="200"/>
        <w:rPr>
          <w:rFonts w:hint="eastAsia"/>
          <w:b w:val="0"/>
          <w:bCs w:val="0"/>
          <w:color w:val="auto"/>
          <w:sz w:val="21"/>
          <w:szCs w:val="21"/>
          <w:highlight w:val="none"/>
        </w:rPr>
      </w:pPr>
      <w:r>
        <w:rPr>
          <w:rFonts w:hint="eastAsia"/>
          <w:b w:val="0"/>
          <w:bCs w:val="0"/>
          <w:color w:val="auto"/>
          <w:sz w:val="21"/>
          <w:szCs w:val="21"/>
          <w:highlight w:val="none"/>
        </w:rPr>
        <w:t>（2）</w:t>
      </w:r>
      <w:r>
        <w:rPr>
          <w:rFonts w:hint="eastAsia"/>
          <w:b w:val="0"/>
          <w:bCs w:val="0"/>
          <w:color w:val="auto"/>
          <w:sz w:val="21"/>
          <w:szCs w:val="21"/>
          <w:highlight w:val="none"/>
          <w:lang w:eastAsia="zh-CN"/>
        </w:rPr>
        <w:t>供应商</w:t>
      </w:r>
      <w:r>
        <w:rPr>
          <w:rFonts w:hint="eastAsia"/>
          <w:b w:val="0"/>
          <w:bCs w:val="0"/>
          <w:color w:val="auto"/>
          <w:sz w:val="21"/>
          <w:szCs w:val="21"/>
          <w:highlight w:val="none"/>
        </w:rPr>
        <w:t>未按</w:t>
      </w:r>
      <w:r>
        <w:rPr>
          <w:rFonts w:hint="eastAsia"/>
          <w:b w:val="0"/>
          <w:bCs w:val="0"/>
          <w:color w:val="auto"/>
          <w:sz w:val="21"/>
          <w:szCs w:val="21"/>
          <w:highlight w:val="none"/>
          <w:lang w:eastAsia="zh-CN"/>
        </w:rPr>
        <w:t>供应商</w:t>
      </w:r>
      <w:r>
        <w:rPr>
          <w:rFonts w:hint="eastAsia"/>
          <w:b w:val="0"/>
          <w:bCs w:val="0"/>
          <w:color w:val="auto"/>
          <w:sz w:val="21"/>
          <w:szCs w:val="21"/>
          <w:highlight w:val="none"/>
        </w:rPr>
        <w:t>须知表 5.1 项规定完成</w:t>
      </w:r>
      <w:r>
        <w:rPr>
          <w:rFonts w:hint="eastAsia"/>
          <w:b w:val="0"/>
          <w:bCs w:val="0"/>
          <w:color w:val="auto"/>
          <w:sz w:val="21"/>
          <w:szCs w:val="21"/>
          <w:highlight w:val="none"/>
          <w:lang w:eastAsia="zh-CN"/>
        </w:rPr>
        <w:t>响应</w:t>
      </w:r>
      <w:r>
        <w:rPr>
          <w:rFonts w:hint="eastAsia"/>
          <w:b w:val="0"/>
          <w:bCs w:val="0"/>
          <w:color w:val="auto"/>
          <w:sz w:val="21"/>
          <w:szCs w:val="21"/>
          <w:highlight w:val="none"/>
        </w:rPr>
        <w:t>文件解密的；</w:t>
      </w:r>
    </w:p>
    <w:p w14:paraId="4F2D2E3F">
      <w:pPr>
        <w:pStyle w:val="11"/>
        <w:ind w:firstLine="436" w:firstLineChars="200"/>
        <w:rPr>
          <w:rFonts w:hint="eastAsia" w:eastAsia="汉鼎简楷体"/>
          <w:b w:val="0"/>
          <w:bCs w:val="0"/>
          <w:color w:val="auto"/>
          <w:sz w:val="21"/>
          <w:szCs w:val="21"/>
          <w:highlight w:val="none"/>
          <w:u w:val="single"/>
          <w:lang w:eastAsia="zh-CN"/>
        </w:rPr>
      </w:pPr>
      <w:r>
        <w:rPr>
          <w:rFonts w:hint="eastAsia"/>
          <w:b w:val="0"/>
          <w:bCs w:val="0"/>
          <w:color w:val="auto"/>
          <w:sz w:val="21"/>
          <w:szCs w:val="21"/>
          <w:highlight w:val="none"/>
        </w:rPr>
        <w:t>（3）</w:t>
      </w:r>
      <w:r>
        <w:rPr>
          <w:rFonts w:hint="eastAsia"/>
          <w:b w:val="0"/>
          <w:bCs w:val="0"/>
          <w:color w:val="auto"/>
          <w:sz w:val="21"/>
          <w:szCs w:val="21"/>
          <w:highlight w:val="none"/>
          <w:lang w:eastAsia="zh-CN"/>
        </w:rPr>
        <w:t>供应商</w:t>
      </w:r>
      <w:r>
        <w:rPr>
          <w:rFonts w:hint="eastAsia"/>
          <w:b w:val="0"/>
          <w:bCs w:val="0"/>
          <w:color w:val="auto"/>
          <w:sz w:val="21"/>
          <w:szCs w:val="21"/>
          <w:highlight w:val="none"/>
        </w:rPr>
        <w:t>法定代表人或其委托代理人未按时参加</w:t>
      </w:r>
      <w:r>
        <w:rPr>
          <w:rFonts w:hint="eastAsia"/>
          <w:b w:val="0"/>
          <w:bCs w:val="0"/>
          <w:color w:val="auto"/>
          <w:sz w:val="21"/>
          <w:szCs w:val="21"/>
          <w:highlight w:val="none"/>
          <w:lang w:eastAsia="zh-CN"/>
        </w:rPr>
        <w:t>磋商</w:t>
      </w:r>
      <w:r>
        <w:rPr>
          <w:rFonts w:hint="eastAsia"/>
          <w:b w:val="0"/>
          <w:bCs w:val="0"/>
          <w:color w:val="auto"/>
          <w:sz w:val="21"/>
          <w:szCs w:val="21"/>
          <w:highlight w:val="none"/>
        </w:rPr>
        <w:t>会的。</w:t>
      </w:r>
    </w:p>
    <w:p w14:paraId="65F9446A">
      <w:pPr>
        <w:pStyle w:val="6"/>
        <w:spacing w:line="460" w:lineRule="exact"/>
        <w:jc w:val="left"/>
        <w:rPr>
          <w:rFonts w:ascii="宋体" w:hAnsi="宋体"/>
          <w:bCs w:val="0"/>
          <w:color w:val="auto"/>
          <w:sz w:val="21"/>
          <w:szCs w:val="21"/>
          <w:highlight w:val="none"/>
        </w:rPr>
      </w:pPr>
      <w:bookmarkStart w:id="62" w:name="_Toc30601"/>
      <w:bookmarkStart w:id="63" w:name="_Toc22776"/>
      <w:bookmarkStart w:id="64" w:name="_Toc16420"/>
      <w:bookmarkStart w:id="65" w:name="_Toc1681"/>
      <w:bookmarkStart w:id="66" w:name="_Toc3665"/>
      <w:bookmarkStart w:id="67" w:name="_Toc8309"/>
      <w:bookmarkStart w:id="68" w:name="_Toc5269846"/>
      <w:r>
        <w:rPr>
          <w:rFonts w:hint="eastAsia" w:ascii="宋体" w:hAnsi="宋体"/>
          <w:bCs w:val="0"/>
          <w:color w:val="auto"/>
          <w:sz w:val="21"/>
          <w:szCs w:val="21"/>
          <w:highlight w:val="none"/>
        </w:rPr>
        <w:t>6.磋商评审</w:t>
      </w:r>
      <w:bookmarkEnd w:id="62"/>
      <w:bookmarkEnd w:id="63"/>
      <w:bookmarkEnd w:id="64"/>
      <w:bookmarkEnd w:id="65"/>
      <w:bookmarkEnd w:id="66"/>
      <w:bookmarkEnd w:id="67"/>
      <w:bookmarkEnd w:id="68"/>
    </w:p>
    <w:p w14:paraId="0EB34E35">
      <w:pPr>
        <w:spacing w:line="460" w:lineRule="exact"/>
        <w:rPr>
          <w:rFonts w:ascii="宋体" w:hAnsi="宋体"/>
          <w:b/>
          <w:color w:val="auto"/>
          <w:szCs w:val="21"/>
          <w:highlight w:val="none"/>
        </w:rPr>
      </w:pPr>
      <w:r>
        <w:rPr>
          <w:rFonts w:hint="eastAsia" w:ascii="宋体" w:hAnsi="宋体"/>
          <w:b/>
          <w:color w:val="auto"/>
          <w:szCs w:val="21"/>
          <w:highlight w:val="none"/>
        </w:rPr>
        <w:t>6.1 磋商小组</w:t>
      </w:r>
    </w:p>
    <w:p w14:paraId="5F09170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6.1.1 磋商评审由依法组建的磋商小组负责。磋商小组由有关技术、经济等方面的专家组成。磋商小组成员人数以及技术、经济等方面专家的确定方式见供应商须知前附表。</w:t>
      </w:r>
    </w:p>
    <w:p w14:paraId="4DDCDF2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6.1.2磋商小组成员有下列情形之一的，应当回避：</w:t>
      </w:r>
    </w:p>
    <w:p w14:paraId="498F9F6F">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（1）采购人或供应商的主要负责人的近亲属；</w:t>
      </w:r>
    </w:p>
    <w:p w14:paraId="4DBFD53E">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（2）项目主管部门或者行政监督部门的人员；</w:t>
      </w:r>
    </w:p>
    <w:p w14:paraId="00722EDC">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（3）与供应商有经济利益关系，可能影响公正评审的；</w:t>
      </w:r>
    </w:p>
    <w:p w14:paraId="3A59FA7F">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（4）曾因在</w:t>
      </w:r>
      <w:r>
        <w:rPr>
          <w:rFonts w:hint="eastAsia" w:ascii="宋体" w:hAnsi="宋体"/>
          <w:color w:val="auto"/>
          <w:szCs w:val="21"/>
          <w:highlight w:val="none"/>
          <w:lang w:eastAsia="zh-CN"/>
        </w:rPr>
        <w:t>采购</w:t>
      </w:r>
      <w:r>
        <w:rPr>
          <w:rFonts w:hint="eastAsia" w:ascii="宋体" w:hAnsi="宋体"/>
          <w:color w:val="auto"/>
          <w:szCs w:val="21"/>
          <w:highlight w:val="none"/>
        </w:rPr>
        <w:t>、评标以及其他与</w:t>
      </w:r>
      <w:r>
        <w:rPr>
          <w:rFonts w:hint="eastAsia" w:ascii="宋体" w:hAnsi="宋体"/>
          <w:color w:val="auto"/>
          <w:szCs w:val="21"/>
          <w:highlight w:val="none"/>
          <w:lang w:eastAsia="zh-CN"/>
        </w:rPr>
        <w:t>采购</w:t>
      </w:r>
      <w:r>
        <w:rPr>
          <w:rFonts w:hint="eastAsia" w:ascii="宋体" w:hAnsi="宋体"/>
          <w:color w:val="auto"/>
          <w:szCs w:val="21"/>
          <w:highlight w:val="none"/>
        </w:rPr>
        <w:t>投标有关活动中从事违法行为而受过行政处罚或刑事处罚的。</w:t>
      </w:r>
    </w:p>
    <w:p w14:paraId="55F80C43">
      <w:pPr>
        <w:spacing w:line="460" w:lineRule="exact"/>
        <w:rPr>
          <w:rFonts w:ascii="宋体" w:hAnsi="宋体"/>
          <w:b/>
          <w:color w:val="auto"/>
          <w:szCs w:val="21"/>
          <w:highlight w:val="none"/>
        </w:rPr>
      </w:pPr>
      <w:r>
        <w:rPr>
          <w:rFonts w:hint="eastAsia" w:ascii="宋体" w:hAnsi="宋体"/>
          <w:b/>
          <w:color w:val="auto"/>
          <w:szCs w:val="21"/>
          <w:highlight w:val="none"/>
        </w:rPr>
        <w:t>6.2 磋商原则</w:t>
      </w:r>
    </w:p>
    <w:p w14:paraId="34E80333">
      <w:pPr>
        <w:tabs>
          <w:tab w:val="left" w:pos="720"/>
          <w:tab w:val="left" w:pos="1980"/>
        </w:tabs>
        <w:spacing w:line="460" w:lineRule="exact"/>
        <w:ind w:firstLine="422" w:firstLineChars="200"/>
        <w:rPr>
          <w:rFonts w:ascii="宋体" w:hAnsi="宋体"/>
          <w:b/>
          <w:color w:val="auto"/>
          <w:szCs w:val="21"/>
          <w:highlight w:val="none"/>
        </w:rPr>
      </w:pPr>
      <w:r>
        <w:rPr>
          <w:rFonts w:hint="eastAsia" w:ascii="宋体" w:hAnsi="宋体"/>
          <w:b/>
          <w:color w:val="auto"/>
          <w:szCs w:val="21"/>
          <w:highlight w:val="none"/>
        </w:rPr>
        <w:t>磋商小组应按照客观、公正、审慎的原则，根据磋商文件规定的评审程序、评审方法和评审标准进行独立评审。</w:t>
      </w:r>
    </w:p>
    <w:p w14:paraId="08AE2D9B">
      <w:pPr>
        <w:spacing w:line="460" w:lineRule="exact"/>
        <w:rPr>
          <w:rFonts w:ascii="宋体" w:hAnsi="宋体"/>
          <w:b/>
          <w:color w:val="auto"/>
          <w:szCs w:val="21"/>
          <w:highlight w:val="none"/>
        </w:rPr>
      </w:pPr>
      <w:r>
        <w:rPr>
          <w:rFonts w:hint="eastAsia" w:ascii="宋体" w:hAnsi="宋体"/>
          <w:b/>
          <w:color w:val="auto"/>
          <w:szCs w:val="21"/>
          <w:highlight w:val="none"/>
        </w:rPr>
        <w:t>6.3 评审办法</w:t>
      </w:r>
    </w:p>
    <w:p w14:paraId="394F164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磋商小组按照第三章“磋商程序及办法”规定的方法、评审因素、标准和程序对磋商响应文件进行评审。第三章“磋商程序及办法”没有规定的方法、评审因素和标准，不作为评审依据。</w:t>
      </w:r>
      <w:bookmarkStart w:id="69" w:name="_Toc22917"/>
      <w:bookmarkStart w:id="70" w:name="_Toc30878"/>
      <w:bookmarkStart w:id="71" w:name="_Toc5269847"/>
      <w:bookmarkStart w:id="72" w:name="_Toc23215"/>
    </w:p>
    <w:p w14:paraId="6149CD0D">
      <w:pPr>
        <w:pStyle w:val="6"/>
        <w:spacing w:line="460" w:lineRule="exact"/>
        <w:jc w:val="left"/>
        <w:rPr>
          <w:rFonts w:ascii="宋体" w:hAnsi="宋体"/>
          <w:bCs w:val="0"/>
          <w:color w:val="auto"/>
          <w:sz w:val="21"/>
          <w:szCs w:val="21"/>
          <w:highlight w:val="none"/>
        </w:rPr>
      </w:pPr>
      <w:bookmarkStart w:id="73" w:name="_Toc26159"/>
      <w:bookmarkStart w:id="74" w:name="_Toc14519"/>
      <w:bookmarkStart w:id="75" w:name="_Toc21327"/>
      <w:r>
        <w:rPr>
          <w:rFonts w:hint="eastAsia" w:ascii="宋体" w:hAnsi="宋体"/>
          <w:bCs w:val="0"/>
          <w:color w:val="auto"/>
          <w:sz w:val="21"/>
          <w:szCs w:val="21"/>
          <w:highlight w:val="none"/>
        </w:rPr>
        <w:t>7.合同授予</w:t>
      </w:r>
      <w:bookmarkEnd w:id="69"/>
      <w:bookmarkEnd w:id="70"/>
      <w:bookmarkEnd w:id="71"/>
      <w:bookmarkEnd w:id="72"/>
      <w:bookmarkEnd w:id="73"/>
      <w:bookmarkEnd w:id="74"/>
      <w:bookmarkEnd w:id="75"/>
    </w:p>
    <w:p w14:paraId="7A838FAF">
      <w:pPr>
        <w:spacing w:line="460" w:lineRule="exact"/>
        <w:rPr>
          <w:rFonts w:ascii="宋体" w:hAnsi="宋体"/>
          <w:b/>
          <w:color w:val="auto"/>
          <w:szCs w:val="21"/>
          <w:highlight w:val="none"/>
        </w:rPr>
      </w:pPr>
      <w:r>
        <w:rPr>
          <w:rFonts w:hint="eastAsia" w:ascii="宋体" w:hAnsi="宋体"/>
          <w:b/>
          <w:color w:val="auto"/>
          <w:szCs w:val="21"/>
          <w:highlight w:val="none"/>
        </w:rPr>
        <w:t>7.1 定标方式</w:t>
      </w:r>
    </w:p>
    <w:p w14:paraId="7FA93B5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供应商须知前附表规定磋商小组</w:t>
      </w:r>
      <w:r>
        <w:rPr>
          <w:rFonts w:hint="eastAsia"/>
          <w:color w:val="auto"/>
          <w:highlight w:val="none"/>
        </w:rPr>
        <w:t>推荐</w:t>
      </w:r>
      <w:r>
        <w:rPr>
          <w:rFonts w:hint="eastAsia"/>
          <w:color w:val="auto"/>
          <w:highlight w:val="none"/>
          <w:lang w:val="en-US" w:eastAsia="zh-CN"/>
        </w:rPr>
        <w:t>3</w:t>
      </w:r>
      <w:r>
        <w:rPr>
          <w:rFonts w:hint="eastAsia"/>
          <w:color w:val="auto"/>
          <w:highlight w:val="none"/>
        </w:rPr>
        <w:t>名成交候选人。</w:t>
      </w:r>
    </w:p>
    <w:p w14:paraId="384D3D86">
      <w:pPr>
        <w:spacing w:line="460" w:lineRule="exact"/>
        <w:rPr>
          <w:rFonts w:ascii="宋体" w:hAnsi="宋体"/>
          <w:b/>
          <w:color w:val="auto"/>
          <w:szCs w:val="21"/>
          <w:highlight w:val="none"/>
        </w:rPr>
      </w:pPr>
      <w:r>
        <w:rPr>
          <w:rFonts w:hint="eastAsia" w:ascii="宋体" w:hAnsi="宋体"/>
          <w:b/>
          <w:color w:val="auto"/>
          <w:szCs w:val="21"/>
          <w:highlight w:val="none"/>
        </w:rPr>
        <w:t>7.2 成交通知</w:t>
      </w:r>
    </w:p>
    <w:p w14:paraId="0081B98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在本章第3.3.1 款规定的磋商有效期内，采购人以书面形式向成交供应商发出成交通知书，同时将成交结果通知未成交的供应商。</w:t>
      </w:r>
    </w:p>
    <w:p w14:paraId="00C068DD">
      <w:pPr>
        <w:spacing w:line="460" w:lineRule="exact"/>
        <w:rPr>
          <w:rFonts w:ascii="宋体" w:hAnsi="宋体"/>
          <w:b/>
          <w:color w:val="auto"/>
          <w:szCs w:val="21"/>
          <w:highlight w:val="none"/>
        </w:rPr>
      </w:pPr>
      <w:r>
        <w:rPr>
          <w:rFonts w:hint="eastAsia" w:ascii="宋体" w:hAnsi="宋体"/>
          <w:b/>
          <w:color w:val="auto"/>
          <w:szCs w:val="21"/>
          <w:highlight w:val="none"/>
        </w:rPr>
        <w:t>7.3 履约担保</w:t>
      </w:r>
    </w:p>
    <w:p w14:paraId="0076D606">
      <w:pPr>
        <w:spacing w:line="46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不要求</w:t>
      </w:r>
    </w:p>
    <w:p w14:paraId="3DC199A1">
      <w:pPr>
        <w:spacing w:line="460" w:lineRule="exact"/>
        <w:rPr>
          <w:rFonts w:ascii="宋体" w:hAnsi="宋体"/>
          <w:b/>
          <w:color w:val="auto"/>
          <w:szCs w:val="21"/>
          <w:highlight w:val="none"/>
        </w:rPr>
      </w:pPr>
      <w:r>
        <w:rPr>
          <w:rFonts w:hint="eastAsia" w:ascii="宋体" w:hAnsi="宋体"/>
          <w:b/>
          <w:color w:val="auto"/>
          <w:szCs w:val="21"/>
          <w:highlight w:val="none"/>
        </w:rPr>
        <w:t>7.4 签订合同</w:t>
      </w:r>
    </w:p>
    <w:p w14:paraId="0653F92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7.4.1 采购人和成交供应商应当自成交通知书发出之日起规定时间内，根据磋商文件和成交供应商的磋商响应文件订立书面合同。成交供应商无正当理由拒签合同的，采购人取消其成交资格。</w:t>
      </w:r>
    </w:p>
    <w:p w14:paraId="637AB37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7.4.2 发出成交通知书后，采购人无正当理由拒签合同的，给成交供应商造成损失的，还应当赔偿损失。</w:t>
      </w:r>
    </w:p>
    <w:p w14:paraId="306D291B">
      <w:pPr>
        <w:pStyle w:val="6"/>
        <w:spacing w:line="460" w:lineRule="exact"/>
        <w:jc w:val="left"/>
        <w:rPr>
          <w:rFonts w:ascii="宋体" w:hAnsi="宋体"/>
          <w:bCs w:val="0"/>
          <w:color w:val="auto"/>
          <w:sz w:val="21"/>
          <w:szCs w:val="21"/>
          <w:highlight w:val="none"/>
        </w:rPr>
      </w:pPr>
      <w:bookmarkStart w:id="76" w:name="_Toc19153"/>
      <w:bookmarkStart w:id="77" w:name="_Toc5269848"/>
      <w:bookmarkStart w:id="78" w:name="_Toc31926"/>
      <w:bookmarkStart w:id="79" w:name="_Toc7113"/>
      <w:bookmarkStart w:id="80" w:name="_Toc29552"/>
      <w:bookmarkStart w:id="81" w:name="_Toc19828"/>
      <w:bookmarkStart w:id="82" w:name="_Toc6702"/>
      <w:r>
        <w:rPr>
          <w:rFonts w:hint="eastAsia" w:ascii="宋体" w:hAnsi="宋体"/>
          <w:bCs w:val="0"/>
          <w:color w:val="auto"/>
          <w:sz w:val="21"/>
          <w:szCs w:val="21"/>
          <w:highlight w:val="none"/>
        </w:rPr>
        <w:t>8.重新</w:t>
      </w:r>
      <w:bookmarkEnd w:id="76"/>
      <w:r>
        <w:rPr>
          <w:rFonts w:hint="eastAsia" w:ascii="宋体" w:hAnsi="宋体"/>
          <w:bCs w:val="0"/>
          <w:color w:val="auto"/>
          <w:sz w:val="21"/>
          <w:szCs w:val="21"/>
          <w:highlight w:val="none"/>
        </w:rPr>
        <w:t>采购</w:t>
      </w:r>
      <w:bookmarkEnd w:id="77"/>
      <w:bookmarkEnd w:id="78"/>
      <w:bookmarkEnd w:id="79"/>
      <w:bookmarkEnd w:id="80"/>
      <w:bookmarkEnd w:id="81"/>
      <w:bookmarkEnd w:id="82"/>
    </w:p>
    <w:p w14:paraId="03DC0FEA">
      <w:pPr>
        <w:spacing w:line="460" w:lineRule="exact"/>
        <w:rPr>
          <w:rFonts w:ascii="宋体" w:hAnsi="宋体"/>
          <w:b/>
          <w:color w:val="auto"/>
          <w:szCs w:val="21"/>
          <w:highlight w:val="none"/>
        </w:rPr>
      </w:pPr>
      <w:r>
        <w:rPr>
          <w:rFonts w:hint="eastAsia" w:ascii="宋体" w:hAnsi="宋体"/>
          <w:b/>
          <w:color w:val="auto"/>
          <w:szCs w:val="21"/>
          <w:highlight w:val="none"/>
        </w:rPr>
        <w:t>8.1 重新采购</w:t>
      </w:r>
    </w:p>
    <w:p w14:paraId="4DEF6C0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有下列情形之一的，采购人将重新采购：</w:t>
      </w:r>
    </w:p>
    <w:p w14:paraId="139787BC">
      <w:pPr>
        <w:numPr>
          <w:ilvl w:val="0"/>
          <w:numId w:val="4"/>
        </w:num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因情况变化，不再符合规定的竞争性磋商采购方式适用情形的；</w:t>
      </w:r>
    </w:p>
    <w:p w14:paraId="33C4B91F">
      <w:pPr>
        <w:numPr>
          <w:ilvl w:val="0"/>
          <w:numId w:val="4"/>
        </w:num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出现影响采购公正的违法、违规行为的；</w:t>
      </w:r>
    </w:p>
    <w:p w14:paraId="5609E3C7">
      <w:pPr>
        <w:pStyle w:val="6"/>
        <w:spacing w:line="460" w:lineRule="exact"/>
        <w:jc w:val="left"/>
        <w:rPr>
          <w:rFonts w:ascii="宋体" w:hAnsi="宋体"/>
          <w:bCs w:val="0"/>
          <w:color w:val="auto"/>
          <w:sz w:val="21"/>
          <w:szCs w:val="21"/>
          <w:highlight w:val="none"/>
        </w:rPr>
      </w:pPr>
      <w:bookmarkStart w:id="83" w:name="_Toc12498"/>
      <w:bookmarkStart w:id="84" w:name="_Toc15001"/>
      <w:bookmarkStart w:id="85" w:name="_Toc17663"/>
      <w:bookmarkStart w:id="86" w:name="_Toc5269849"/>
      <w:bookmarkStart w:id="87" w:name="_Toc14198"/>
      <w:bookmarkStart w:id="88" w:name="_Toc27321"/>
      <w:bookmarkStart w:id="89" w:name="_Toc14953"/>
      <w:r>
        <w:rPr>
          <w:rFonts w:hint="eastAsia" w:ascii="宋体" w:hAnsi="宋体"/>
          <w:bCs w:val="0"/>
          <w:color w:val="auto"/>
          <w:sz w:val="21"/>
          <w:szCs w:val="21"/>
          <w:highlight w:val="none"/>
        </w:rPr>
        <w:t>9.纪律和监督</w:t>
      </w:r>
      <w:bookmarkEnd w:id="83"/>
      <w:bookmarkEnd w:id="84"/>
      <w:bookmarkEnd w:id="85"/>
      <w:bookmarkEnd w:id="86"/>
      <w:bookmarkEnd w:id="87"/>
      <w:bookmarkEnd w:id="88"/>
      <w:bookmarkEnd w:id="89"/>
    </w:p>
    <w:p w14:paraId="1FCA2235">
      <w:pPr>
        <w:spacing w:line="460" w:lineRule="exact"/>
        <w:ind w:firstLine="422" w:firstLineChars="200"/>
        <w:rPr>
          <w:rFonts w:ascii="宋体" w:hAnsi="宋体"/>
          <w:b/>
          <w:color w:val="auto"/>
          <w:szCs w:val="21"/>
          <w:highlight w:val="none"/>
        </w:rPr>
      </w:pPr>
      <w:r>
        <w:rPr>
          <w:rFonts w:hint="eastAsia" w:ascii="宋体" w:hAnsi="宋体"/>
          <w:b/>
          <w:color w:val="auto"/>
          <w:szCs w:val="21"/>
          <w:highlight w:val="none"/>
        </w:rPr>
        <w:t>9.1 对磋商小组成员的纪律要求</w:t>
      </w:r>
    </w:p>
    <w:p w14:paraId="35A045F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磋商小组成员不得收受他人的财物或者其他好处，不得向他人透漏对磋商响应文件的评审和比较、成交候选人的推荐情况以及评审有关的其他情况。在评审活动中，磋商小组成员不得擅离职守，影响评审程序正常进行。</w:t>
      </w:r>
    </w:p>
    <w:p w14:paraId="72914837">
      <w:pPr>
        <w:spacing w:line="460" w:lineRule="exact"/>
        <w:ind w:firstLine="422" w:firstLineChars="200"/>
        <w:rPr>
          <w:rFonts w:ascii="宋体" w:hAnsi="宋体"/>
          <w:b/>
          <w:color w:val="auto"/>
          <w:szCs w:val="21"/>
          <w:highlight w:val="none"/>
        </w:rPr>
      </w:pPr>
      <w:r>
        <w:rPr>
          <w:rFonts w:hint="eastAsia" w:ascii="宋体" w:hAnsi="宋体"/>
          <w:b/>
          <w:color w:val="auto"/>
          <w:szCs w:val="21"/>
          <w:highlight w:val="none"/>
        </w:rPr>
        <w:t>9.2 对与评审活动有关的工作人员的纪律要求</w:t>
      </w:r>
    </w:p>
    <w:p w14:paraId="61C0514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与评审活动有关的工作人员不得收受他人的财物或者其他好处，不得向他人透漏对磋商响应文件的评审和比较、成交候选人的推荐情况以及评审有关的其他情况。在评审活动中，与评审活动有关的工作人员不得擅离职守，影响评审程序正常进行。</w:t>
      </w:r>
    </w:p>
    <w:p w14:paraId="3B61DD69">
      <w:pPr>
        <w:spacing w:line="460" w:lineRule="exact"/>
        <w:ind w:firstLine="413" w:firstLineChars="196"/>
        <w:rPr>
          <w:rFonts w:ascii="宋体" w:hAnsi="宋体"/>
          <w:b/>
          <w:color w:val="auto"/>
          <w:szCs w:val="21"/>
          <w:highlight w:val="none"/>
        </w:rPr>
      </w:pPr>
      <w:r>
        <w:rPr>
          <w:rFonts w:hint="eastAsia" w:ascii="宋体" w:hAnsi="宋体"/>
          <w:b/>
          <w:color w:val="auto"/>
          <w:szCs w:val="21"/>
          <w:highlight w:val="none"/>
        </w:rPr>
        <w:t>9.3 投诉</w:t>
      </w:r>
    </w:p>
    <w:p w14:paraId="0E63F00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供应商和其他利害关系人认为本次采购活动违反法律、法规和规章规定的，有权向有关行政监督部门投诉。</w:t>
      </w:r>
    </w:p>
    <w:p w14:paraId="7ED2882B">
      <w:pPr>
        <w:pStyle w:val="6"/>
        <w:spacing w:line="460" w:lineRule="exact"/>
        <w:jc w:val="left"/>
        <w:rPr>
          <w:rFonts w:ascii="宋体" w:hAnsi="宋体"/>
          <w:bCs w:val="0"/>
          <w:color w:val="auto"/>
          <w:sz w:val="21"/>
          <w:szCs w:val="21"/>
          <w:highlight w:val="none"/>
        </w:rPr>
      </w:pPr>
      <w:bookmarkStart w:id="90" w:name="_Toc23359"/>
      <w:bookmarkStart w:id="91" w:name="_Toc10859"/>
      <w:bookmarkStart w:id="92" w:name="_Toc21492"/>
      <w:bookmarkStart w:id="93" w:name="_Toc11572"/>
      <w:bookmarkStart w:id="94" w:name="_Toc32183"/>
      <w:bookmarkStart w:id="95" w:name="_Toc5269850"/>
      <w:bookmarkStart w:id="96" w:name="_Toc4660"/>
      <w:r>
        <w:rPr>
          <w:rFonts w:hint="eastAsia" w:ascii="宋体" w:hAnsi="宋体"/>
          <w:bCs w:val="0"/>
          <w:color w:val="auto"/>
          <w:sz w:val="21"/>
          <w:szCs w:val="21"/>
          <w:highlight w:val="none"/>
        </w:rPr>
        <w:t>10.需要补充的其他内容</w:t>
      </w:r>
      <w:bookmarkEnd w:id="90"/>
      <w:bookmarkEnd w:id="91"/>
      <w:bookmarkEnd w:id="92"/>
      <w:bookmarkEnd w:id="93"/>
      <w:bookmarkEnd w:id="94"/>
      <w:bookmarkEnd w:id="95"/>
      <w:bookmarkEnd w:id="96"/>
    </w:p>
    <w:p w14:paraId="6748B9F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需要补充的其他内容：见供应商须知前附表。</w:t>
      </w:r>
    </w:p>
    <w:p w14:paraId="0191A19C">
      <w:pPr>
        <w:pStyle w:val="4"/>
        <w:numPr>
          <w:ilvl w:val="0"/>
          <w:numId w:val="5"/>
        </w:numPr>
        <w:tabs>
          <w:tab w:val="clear" w:pos="432"/>
        </w:tabs>
        <w:rPr>
          <w:rFonts w:hint="eastAsia"/>
          <w:b/>
          <w:bCs/>
          <w:color w:val="auto"/>
          <w:highlight w:val="none"/>
        </w:rPr>
      </w:pPr>
      <w:bookmarkStart w:id="97" w:name="_Toc30573"/>
      <w:bookmarkStart w:id="98" w:name="_Toc22459"/>
      <w:r>
        <w:rPr>
          <w:rFonts w:hint="eastAsia"/>
          <w:color w:val="auto"/>
          <w:highlight w:val="none"/>
        </w:rPr>
        <w:br w:type="page"/>
      </w:r>
      <w:bookmarkStart w:id="99" w:name="_Toc17864"/>
      <w:r>
        <w:rPr>
          <w:rFonts w:hint="eastAsia"/>
          <w:b/>
          <w:bCs/>
          <w:color w:val="auto"/>
          <w:highlight w:val="none"/>
        </w:rPr>
        <w:t>磋商程序及办法（综合评分法）</w:t>
      </w:r>
      <w:bookmarkEnd w:id="97"/>
      <w:bookmarkEnd w:id="98"/>
      <w:bookmarkEnd w:id="99"/>
    </w:p>
    <w:p w14:paraId="7E7BF7F0">
      <w:pPr>
        <w:jc w:val="left"/>
        <w:rPr>
          <w:b/>
          <w:bCs w:val="0"/>
        </w:rPr>
      </w:pPr>
      <w:r>
        <w:rPr>
          <w:rFonts w:hint="eastAsia" w:ascii="宋体" w:hAnsi="宋体"/>
          <w:b/>
          <w:bCs w:val="0"/>
          <w:color w:val="auto"/>
          <w:sz w:val="30"/>
          <w:szCs w:val="30"/>
          <w:highlight w:val="none"/>
          <w:lang w:val="en-US" w:eastAsia="zh-CN"/>
        </w:rPr>
        <w:t>1.</w:t>
      </w:r>
      <w:r>
        <w:rPr>
          <w:rFonts w:hint="eastAsia" w:ascii="宋体" w:hAnsi="宋体"/>
          <w:b/>
          <w:bCs w:val="0"/>
          <w:color w:val="auto"/>
          <w:sz w:val="30"/>
          <w:szCs w:val="30"/>
          <w:highlight w:val="none"/>
        </w:rPr>
        <w:t>磋商程序及办法前附表</w:t>
      </w:r>
    </w:p>
    <w:tbl>
      <w:tblPr>
        <w:tblStyle w:val="27"/>
        <w:tblpPr w:leftFromText="180" w:rightFromText="180" w:vertAnchor="text" w:horzAnchor="page" w:tblpX="1205" w:tblpY="363"/>
        <w:tblOverlap w:val="never"/>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851"/>
        <w:gridCol w:w="2121"/>
        <w:gridCol w:w="5972"/>
      </w:tblGrid>
      <w:tr w14:paraId="1087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8" w:type="dxa"/>
            <w:gridSpan w:val="2"/>
            <w:tcBorders>
              <w:top w:val="double" w:color="auto" w:sz="4" w:space="0"/>
              <w:left w:val="double" w:color="auto" w:sz="4" w:space="0"/>
            </w:tcBorders>
            <w:vAlign w:val="center"/>
          </w:tcPr>
          <w:p w14:paraId="7F5CF810">
            <w:pPr>
              <w:spacing w:before="0" w:beforeAutospacing="0" w:after="0" w:afterAutospacing="0" w:line="400" w:lineRule="exact"/>
              <w:ind w:left="0" w:right="0"/>
              <w:jc w:val="center"/>
              <w:rPr>
                <w:rFonts w:ascii="宋体" w:hAnsi="宋体" w:eastAsia="Times New Roman" w:cs="Times New Roman"/>
                <w:color w:val="auto"/>
                <w:sz w:val="21"/>
                <w:szCs w:val="21"/>
                <w:highlight w:val="none"/>
              </w:rPr>
            </w:pPr>
            <w:bookmarkStart w:id="100" w:name="_Toc5269852"/>
            <w:bookmarkStart w:id="101" w:name="_Toc28209"/>
            <w:bookmarkStart w:id="102" w:name="_Toc433093355"/>
            <w:bookmarkStart w:id="103" w:name="_Toc6653"/>
            <w:bookmarkStart w:id="104" w:name="_Toc17131"/>
            <w:bookmarkStart w:id="105" w:name="_Toc409023135"/>
            <w:r>
              <w:rPr>
                <w:rFonts w:hint="eastAsia" w:ascii="宋体" w:hAnsi="宋体" w:eastAsia="Times New Roman" w:cs="Times New Roman"/>
                <w:color w:val="auto"/>
                <w:sz w:val="21"/>
                <w:szCs w:val="21"/>
                <w:highlight w:val="none"/>
              </w:rPr>
              <w:t>条款号</w:t>
            </w:r>
          </w:p>
        </w:tc>
        <w:tc>
          <w:tcPr>
            <w:tcW w:w="2121" w:type="dxa"/>
            <w:tcBorders>
              <w:top w:val="double" w:color="auto" w:sz="4" w:space="0"/>
            </w:tcBorders>
            <w:vAlign w:val="center"/>
          </w:tcPr>
          <w:p w14:paraId="0A7A3500">
            <w:pPr>
              <w:spacing w:before="0" w:beforeAutospacing="0" w:after="0" w:afterAutospacing="0" w:line="400" w:lineRule="exact"/>
              <w:ind w:left="0" w:right="0"/>
              <w:jc w:val="center"/>
              <w:rPr>
                <w:rFonts w:ascii="宋体" w:hAnsi="宋体" w:eastAsia="Times New Roman" w:cs="Times New Roman"/>
                <w:color w:val="auto"/>
                <w:sz w:val="21"/>
                <w:szCs w:val="21"/>
                <w:highlight w:val="none"/>
              </w:rPr>
            </w:pPr>
            <w:r>
              <w:rPr>
                <w:rFonts w:hint="eastAsia" w:ascii="宋体" w:hAnsi="宋体" w:eastAsia="Times New Roman" w:cs="Times New Roman"/>
                <w:color w:val="auto"/>
                <w:sz w:val="21"/>
                <w:szCs w:val="21"/>
                <w:highlight w:val="none"/>
              </w:rPr>
              <w:t>评审因素</w:t>
            </w:r>
          </w:p>
        </w:tc>
        <w:tc>
          <w:tcPr>
            <w:tcW w:w="5972" w:type="dxa"/>
            <w:tcBorders>
              <w:top w:val="double" w:color="auto" w:sz="4" w:space="0"/>
              <w:right w:val="double" w:color="auto" w:sz="4" w:space="0"/>
            </w:tcBorders>
            <w:vAlign w:val="center"/>
          </w:tcPr>
          <w:p w14:paraId="2D5F4766">
            <w:pPr>
              <w:spacing w:before="0" w:beforeAutospacing="0" w:after="0" w:afterAutospacing="0" w:line="400" w:lineRule="exact"/>
              <w:ind w:left="0" w:right="0"/>
              <w:jc w:val="center"/>
              <w:rPr>
                <w:rFonts w:ascii="宋体" w:hAnsi="宋体" w:eastAsia="Times New Roman" w:cs="Times New Roman"/>
                <w:color w:val="auto"/>
                <w:sz w:val="21"/>
                <w:szCs w:val="21"/>
                <w:highlight w:val="none"/>
              </w:rPr>
            </w:pPr>
            <w:r>
              <w:rPr>
                <w:rFonts w:hint="eastAsia" w:ascii="宋体" w:hAnsi="宋体" w:eastAsia="Times New Roman" w:cs="Times New Roman"/>
                <w:color w:val="auto"/>
                <w:sz w:val="21"/>
                <w:szCs w:val="21"/>
                <w:highlight w:val="none"/>
              </w:rPr>
              <w:t>评审标准</w:t>
            </w:r>
          </w:p>
        </w:tc>
      </w:tr>
      <w:tr w14:paraId="66F5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7" w:type="dxa"/>
            <w:vMerge w:val="restart"/>
            <w:tcBorders>
              <w:top w:val="double" w:color="auto" w:sz="4" w:space="0"/>
              <w:left w:val="double" w:color="auto" w:sz="4" w:space="0"/>
            </w:tcBorders>
            <w:vAlign w:val="center"/>
          </w:tcPr>
          <w:p w14:paraId="5D66D68E">
            <w:pPr>
              <w:spacing w:before="0" w:beforeAutospacing="0" w:after="0" w:afterAutospacing="0" w:line="400" w:lineRule="exact"/>
              <w:ind w:left="0" w:right="0"/>
              <w:jc w:val="center"/>
              <w:rPr>
                <w:rFonts w:hint="default" w:ascii="宋体" w:hAnsi="宋体" w:eastAsia="宋体" w:cs="Times New Roman"/>
                <w:color w:val="auto"/>
                <w:sz w:val="21"/>
                <w:szCs w:val="21"/>
                <w:highlight w:val="none"/>
                <w:lang w:val="en-US" w:eastAsia="zh-CN"/>
              </w:rPr>
            </w:pPr>
            <w:r>
              <w:rPr>
                <w:rFonts w:hint="eastAsia" w:ascii="宋体" w:hAnsi="宋体" w:eastAsia="Times New Roman" w:cs="Times New Roman"/>
                <w:color w:val="auto"/>
                <w:sz w:val="21"/>
                <w:szCs w:val="21"/>
                <w:highlight w:val="none"/>
                <w:lang w:val="en-US" w:eastAsia="zh-CN"/>
              </w:rPr>
              <w:t>2.1.1</w:t>
            </w:r>
          </w:p>
        </w:tc>
        <w:tc>
          <w:tcPr>
            <w:tcW w:w="851" w:type="dxa"/>
            <w:vMerge w:val="restart"/>
            <w:tcBorders>
              <w:top w:val="double" w:color="auto" w:sz="4" w:space="0"/>
              <w:left w:val="double" w:color="auto" w:sz="4" w:space="0"/>
            </w:tcBorders>
            <w:vAlign w:val="center"/>
          </w:tcPr>
          <w:p w14:paraId="4332FACC">
            <w:pPr>
              <w:spacing w:before="0" w:beforeAutospacing="0" w:after="0" w:afterAutospacing="0" w:line="400" w:lineRule="exact"/>
              <w:ind w:left="0" w:right="0"/>
              <w:jc w:val="center"/>
              <w:rPr>
                <w:rFonts w:hint="eastAsia" w:ascii="宋体" w:hAnsi="宋体" w:eastAsia="Times New Roman"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符合性</w:t>
            </w:r>
            <w:r>
              <w:rPr>
                <w:rFonts w:hint="eastAsia" w:ascii="宋体" w:hAnsi="宋体" w:eastAsia="Times New Roman" w:cs="宋体"/>
                <w:color w:val="auto"/>
                <w:kern w:val="0"/>
                <w:sz w:val="21"/>
                <w:szCs w:val="21"/>
                <w:highlight w:val="none"/>
              </w:rPr>
              <w:t>评审标准</w:t>
            </w:r>
          </w:p>
          <w:p w14:paraId="17266015">
            <w:pPr>
              <w:spacing w:before="0" w:beforeAutospacing="0" w:after="0" w:afterAutospacing="0" w:line="400" w:lineRule="exact"/>
              <w:ind w:left="0" w:right="0"/>
              <w:jc w:val="center"/>
              <w:rPr>
                <w:rFonts w:hint="eastAsia" w:ascii="宋体" w:hAnsi="宋体" w:eastAsia="Times New Roman" w:cs="Times New Roman"/>
                <w:color w:val="auto"/>
                <w:sz w:val="21"/>
                <w:szCs w:val="21"/>
                <w:highlight w:val="none"/>
              </w:rPr>
            </w:pPr>
          </w:p>
        </w:tc>
        <w:tc>
          <w:tcPr>
            <w:tcW w:w="2121" w:type="dxa"/>
            <w:tcBorders>
              <w:top w:val="double" w:color="auto" w:sz="4" w:space="0"/>
            </w:tcBorders>
            <w:vAlign w:val="center"/>
          </w:tcPr>
          <w:p w14:paraId="0E3B7005">
            <w:pPr>
              <w:widowControl/>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Times New Roman" w:cs="宋体"/>
                <w:color w:val="auto"/>
                <w:kern w:val="0"/>
                <w:sz w:val="21"/>
                <w:szCs w:val="21"/>
                <w:highlight w:val="none"/>
                <w:lang w:eastAsia="zh-CN"/>
              </w:rPr>
              <w:t>供应商</w:t>
            </w:r>
            <w:r>
              <w:rPr>
                <w:rFonts w:hint="eastAsia" w:ascii="宋体" w:hAnsi="宋体" w:eastAsia="Times New Roman" w:cs="宋体"/>
                <w:color w:val="auto"/>
                <w:kern w:val="0"/>
                <w:sz w:val="21"/>
                <w:szCs w:val="21"/>
                <w:highlight w:val="none"/>
              </w:rPr>
              <w:t>名称</w:t>
            </w:r>
          </w:p>
        </w:tc>
        <w:tc>
          <w:tcPr>
            <w:tcW w:w="5972" w:type="dxa"/>
            <w:tcBorders>
              <w:top w:val="double" w:color="auto" w:sz="4" w:space="0"/>
              <w:right w:val="double" w:color="auto" w:sz="4" w:space="0"/>
            </w:tcBorders>
            <w:vAlign w:val="center"/>
          </w:tcPr>
          <w:p w14:paraId="23B8FC5E">
            <w:pPr>
              <w:adjustRightInd w:val="0"/>
              <w:snapToGrid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Times New Roman" w:cs="宋体"/>
                <w:color w:val="auto"/>
                <w:sz w:val="21"/>
                <w:szCs w:val="21"/>
                <w:highlight w:val="none"/>
              </w:rPr>
              <w:t>与营业执照一致</w:t>
            </w:r>
          </w:p>
        </w:tc>
      </w:tr>
      <w:tr w14:paraId="665E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7" w:type="dxa"/>
            <w:vMerge w:val="continue"/>
            <w:tcBorders>
              <w:left w:val="double" w:color="auto" w:sz="4" w:space="0"/>
            </w:tcBorders>
            <w:vAlign w:val="center"/>
          </w:tcPr>
          <w:p w14:paraId="01C00004">
            <w:pPr>
              <w:spacing w:before="0" w:beforeAutospacing="0" w:after="0" w:afterAutospacing="0" w:line="400" w:lineRule="exact"/>
              <w:ind w:left="0" w:right="0"/>
              <w:jc w:val="center"/>
              <w:rPr>
                <w:rFonts w:hint="eastAsia" w:ascii="宋体" w:hAnsi="宋体" w:eastAsia="Times New Roman" w:cs="Times New Roman"/>
                <w:color w:val="auto"/>
                <w:sz w:val="21"/>
                <w:szCs w:val="21"/>
                <w:highlight w:val="none"/>
              </w:rPr>
            </w:pPr>
          </w:p>
        </w:tc>
        <w:tc>
          <w:tcPr>
            <w:tcW w:w="851" w:type="dxa"/>
            <w:vMerge w:val="continue"/>
            <w:tcBorders>
              <w:left w:val="double" w:color="auto" w:sz="4" w:space="0"/>
            </w:tcBorders>
            <w:vAlign w:val="center"/>
          </w:tcPr>
          <w:p w14:paraId="62267BBE">
            <w:pPr>
              <w:spacing w:before="0" w:beforeAutospacing="0" w:after="0" w:afterAutospacing="0" w:line="400" w:lineRule="exact"/>
              <w:ind w:left="0" w:right="0"/>
              <w:jc w:val="center"/>
              <w:rPr>
                <w:rFonts w:hint="eastAsia" w:ascii="宋体" w:hAnsi="宋体" w:eastAsia="Times New Roman" w:cs="Times New Roman"/>
                <w:color w:val="auto"/>
                <w:sz w:val="21"/>
                <w:szCs w:val="21"/>
                <w:highlight w:val="none"/>
              </w:rPr>
            </w:pPr>
          </w:p>
        </w:tc>
        <w:tc>
          <w:tcPr>
            <w:tcW w:w="2121" w:type="dxa"/>
            <w:tcBorders>
              <w:top w:val="double" w:color="auto" w:sz="4" w:space="0"/>
            </w:tcBorders>
            <w:vAlign w:val="center"/>
          </w:tcPr>
          <w:p w14:paraId="5AD8B9FA">
            <w:pPr>
              <w:widowControl/>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Times New Roman" w:cs="宋体"/>
                <w:color w:val="auto"/>
                <w:kern w:val="0"/>
                <w:sz w:val="21"/>
                <w:szCs w:val="21"/>
                <w:highlight w:val="none"/>
                <w:lang w:eastAsia="zh-CN"/>
              </w:rPr>
              <w:t>磋商响应</w:t>
            </w:r>
            <w:r>
              <w:rPr>
                <w:rFonts w:hint="eastAsia" w:ascii="宋体" w:hAnsi="宋体" w:eastAsia="Times New Roman" w:cs="宋体"/>
                <w:color w:val="auto"/>
                <w:kern w:val="0"/>
                <w:sz w:val="21"/>
                <w:szCs w:val="21"/>
                <w:highlight w:val="none"/>
              </w:rPr>
              <w:t>函签字盖章</w:t>
            </w:r>
          </w:p>
        </w:tc>
        <w:tc>
          <w:tcPr>
            <w:tcW w:w="5972" w:type="dxa"/>
            <w:tcBorders>
              <w:top w:val="double" w:color="auto" w:sz="4" w:space="0"/>
              <w:right w:val="double" w:color="auto" w:sz="4" w:space="0"/>
            </w:tcBorders>
            <w:vAlign w:val="center"/>
          </w:tcPr>
          <w:p w14:paraId="13243280">
            <w:pPr>
              <w:widowControl/>
              <w:adjustRightInd w:val="0"/>
              <w:snapToGrid w:val="0"/>
              <w:spacing w:before="0" w:beforeAutospacing="0" w:after="0" w:afterAutospacing="0" w:line="360" w:lineRule="auto"/>
              <w:ind w:left="0" w:right="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Times New Roman" w:cs="宋体"/>
                <w:color w:val="auto"/>
                <w:kern w:val="0"/>
                <w:sz w:val="21"/>
                <w:szCs w:val="21"/>
                <w:highlight w:val="none"/>
              </w:rPr>
              <w:t>有法定代表人或其委托代理人签字并加盖单位公章</w:t>
            </w:r>
            <w:r>
              <w:rPr>
                <w:rFonts w:hint="eastAsia" w:ascii="宋体" w:hAnsi="宋体" w:eastAsia="Times New Roman" w:cs="宋体"/>
                <w:color w:val="auto"/>
                <w:kern w:val="0"/>
                <w:sz w:val="21"/>
                <w:szCs w:val="21"/>
                <w:highlight w:val="none"/>
                <w:lang w:eastAsia="zh-CN"/>
              </w:rPr>
              <w:t>或电子签章</w:t>
            </w:r>
          </w:p>
        </w:tc>
      </w:tr>
      <w:tr w14:paraId="7179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7" w:type="dxa"/>
            <w:vMerge w:val="continue"/>
            <w:tcBorders>
              <w:left w:val="double" w:color="auto" w:sz="4" w:space="0"/>
            </w:tcBorders>
            <w:vAlign w:val="center"/>
          </w:tcPr>
          <w:p w14:paraId="194CC456">
            <w:pPr>
              <w:spacing w:before="0" w:beforeAutospacing="0" w:after="0" w:afterAutospacing="0" w:line="400" w:lineRule="exact"/>
              <w:ind w:left="0" w:right="0"/>
              <w:jc w:val="center"/>
              <w:rPr>
                <w:rFonts w:hint="eastAsia" w:ascii="宋体" w:hAnsi="宋体" w:eastAsia="Times New Roman" w:cs="Times New Roman"/>
                <w:color w:val="auto"/>
                <w:sz w:val="21"/>
                <w:szCs w:val="21"/>
                <w:highlight w:val="none"/>
              </w:rPr>
            </w:pPr>
          </w:p>
        </w:tc>
        <w:tc>
          <w:tcPr>
            <w:tcW w:w="851" w:type="dxa"/>
            <w:vMerge w:val="continue"/>
            <w:tcBorders>
              <w:left w:val="double" w:color="auto" w:sz="4" w:space="0"/>
            </w:tcBorders>
            <w:vAlign w:val="center"/>
          </w:tcPr>
          <w:p w14:paraId="3AE35E2D">
            <w:pPr>
              <w:spacing w:before="0" w:beforeAutospacing="0" w:after="0" w:afterAutospacing="0" w:line="400" w:lineRule="exact"/>
              <w:ind w:left="0" w:right="0"/>
              <w:jc w:val="center"/>
              <w:rPr>
                <w:rFonts w:hint="eastAsia" w:ascii="宋体" w:hAnsi="宋体" w:eastAsia="Times New Roman" w:cs="Times New Roman"/>
                <w:color w:val="auto"/>
                <w:sz w:val="21"/>
                <w:szCs w:val="21"/>
                <w:highlight w:val="none"/>
              </w:rPr>
            </w:pPr>
          </w:p>
        </w:tc>
        <w:tc>
          <w:tcPr>
            <w:tcW w:w="2121" w:type="dxa"/>
            <w:tcBorders>
              <w:top w:val="double" w:color="auto" w:sz="4" w:space="0"/>
            </w:tcBorders>
            <w:vAlign w:val="center"/>
          </w:tcPr>
          <w:p w14:paraId="2CF6A91A">
            <w:pPr>
              <w:widowControl/>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Times New Roman" w:cs="宋体"/>
                <w:color w:val="auto"/>
                <w:kern w:val="0"/>
                <w:sz w:val="21"/>
                <w:szCs w:val="21"/>
                <w:highlight w:val="none"/>
                <w:lang w:eastAsia="zh-CN"/>
              </w:rPr>
              <w:t>响应</w:t>
            </w:r>
            <w:r>
              <w:rPr>
                <w:rFonts w:hint="eastAsia" w:ascii="宋体" w:hAnsi="宋体" w:eastAsia="Times New Roman" w:cs="宋体"/>
                <w:color w:val="auto"/>
                <w:kern w:val="0"/>
                <w:sz w:val="21"/>
                <w:szCs w:val="21"/>
                <w:highlight w:val="none"/>
              </w:rPr>
              <w:t>文件格式</w:t>
            </w:r>
          </w:p>
        </w:tc>
        <w:tc>
          <w:tcPr>
            <w:tcW w:w="5972" w:type="dxa"/>
            <w:tcBorders>
              <w:top w:val="double" w:color="auto" w:sz="4" w:space="0"/>
              <w:right w:val="double" w:color="auto" w:sz="4" w:space="0"/>
            </w:tcBorders>
            <w:vAlign w:val="center"/>
          </w:tcPr>
          <w:p w14:paraId="3429AF4B">
            <w:pPr>
              <w:widowControl/>
              <w:adjustRightInd w:val="0"/>
              <w:snapToGrid w:val="0"/>
              <w:spacing w:before="0" w:beforeAutospacing="0" w:after="0" w:afterAutospacing="0" w:line="360" w:lineRule="auto"/>
              <w:ind w:left="0" w:right="0"/>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Times New Roman" w:cs="宋体"/>
                <w:color w:val="auto"/>
                <w:kern w:val="0"/>
                <w:sz w:val="21"/>
                <w:szCs w:val="21"/>
                <w:highlight w:val="none"/>
              </w:rPr>
              <w:t>符合第</w:t>
            </w:r>
            <w:r>
              <w:rPr>
                <w:rFonts w:hint="eastAsia" w:ascii="宋体" w:hAnsi="宋体" w:eastAsia="宋体" w:cs="宋体"/>
                <w:color w:val="auto"/>
                <w:kern w:val="0"/>
                <w:sz w:val="21"/>
                <w:szCs w:val="21"/>
                <w:highlight w:val="none"/>
                <w:lang w:val="en-US" w:eastAsia="zh-CN"/>
              </w:rPr>
              <w:t>七</w:t>
            </w:r>
            <w:r>
              <w:rPr>
                <w:rFonts w:hint="eastAsia" w:ascii="宋体" w:hAnsi="宋体" w:eastAsia="Times New Roman" w:cs="宋体"/>
                <w:color w:val="auto"/>
                <w:kern w:val="0"/>
                <w:sz w:val="21"/>
                <w:szCs w:val="21"/>
                <w:highlight w:val="none"/>
              </w:rPr>
              <w:t>章“</w:t>
            </w:r>
            <w:r>
              <w:rPr>
                <w:rFonts w:hint="eastAsia" w:ascii="宋体" w:hAnsi="宋体" w:eastAsia="Times New Roman" w:cs="宋体"/>
                <w:color w:val="auto"/>
                <w:kern w:val="0"/>
                <w:sz w:val="21"/>
                <w:szCs w:val="21"/>
                <w:highlight w:val="none"/>
                <w:lang w:eastAsia="zh-CN"/>
              </w:rPr>
              <w:t>竞争性磋商响应</w:t>
            </w:r>
            <w:r>
              <w:rPr>
                <w:rFonts w:hint="eastAsia" w:ascii="宋体" w:hAnsi="宋体" w:eastAsia="Times New Roman" w:cs="宋体"/>
                <w:color w:val="auto"/>
                <w:kern w:val="0"/>
                <w:sz w:val="21"/>
                <w:szCs w:val="21"/>
                <w:highlight w:val="none"/>
              </w:rPr>
              <w:t>文件格式”的要求</w:t>
            </w:r>
          </w:p>
        </w:tc>
      </w:tr>
      <w:tr w14:paraId="30F4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7" w:type="dxa"/>
            <w:vMerge w:val="continue"/>
            <w:tcBorders>
              <w:left w:val="double" w:color="auto" w:sz="4" w:space="0"/>
            </w:tcBorders>
            <w:vAlign w:val="center"/>
          </w:tcPr>
          <w:p w14:paraId="6E934562">
            <w:pPr>
              <w:spacing w:before="0" w:beforeAutospacing="0" w:after="0" w:afterAutospacing="0" w:line="400" w:lineRule="exact"/>
              <w:ind w:left="0" w:right="0"/>
              <w:jc w:val="center"/>
              <w:rPr>
                <w:rFonts w:hint="eastAsia" w:ascii="宋体" w:hAnsi="宋体" w:eastAsia="Times New Roman" w:cs="Times New Roman"/>
                <w:color w:val="auto"/>
                <w:sz w:val="21"/>
                <w:szCs w:val="21"/>
                <w:highlight w:val="none"/>
              </w:rPr>
            </w:pPr>
          </w:p>
        </w:tc>
        <w:tc>
          <w:tcPr>
            <w:tcW w:w="851" w:type="dxa"/>
            <w:vMerge w:val="continue"/>
            <w:tcBorders>
              <w:left w:val="double" w:color="auto" w:sz="4" w:space="0"/>
            </w:tcBorders>
            <w:vAlign w:val="center"/>
          </w:tcPr>
          <w:p w14:paraId="57C8BE65">
            <w:pPr>
              <w:spacing w:before="0" w:beforeAutospacing="0" w:after="0" w:afterAutospacing="0" w:line="400" w:lineRule="exact"/>
              <w:ind w:left="0" w:right="0"/>
              <w:jc w:val="center"/>
              <w:rPr>
                <w:rFonts w:hint="eastAsia" w:ascii="宋体" w:hAnsi="宋体" w:eastAsia="Times New Roman" w:cs="Times New Roman"/>
                <w:color w:val="auto"/>
                <w:sz w:val="21"/>
                <w:szCs w:val="21"/>
                <w:highlight w:val="none"/>
              </w:rPr>
            </w:pPr>
          </w:p>
        </w:tc>
        <w:tc>
          <w:tcPr>
            <w:tcW w:w="2121" w:type="dxa"/>
            <w:tcBorders>
              <w:top w:val="double" w:color="auto" w:sz="4" w:space="0"/>
            </w:tcBorders>
            <w:vAlign w:val="center"/>
          </w:tcPr>
          <w:p w14:paraId="0AF765B9">
            <w:pPr>
              <w:widowControl/>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Times New Roman" w:cs="宋体"/>
                <w:color w:val="auto"/>
                <w:kern w:val="0"/>
                <w:sz w:val="21"/>
                <w:szCs w:val="21"/>
                <w:highlight w:val="none"/>
              </w:rPr>
              <w:t>报价唯一</w:t>
            </w:r>
          </w:p>
        </w:tc>
        <w:tc>
          <w:tcPr>
            <w:tcW w:w="5972" w:type="dxa"/>
            <w:tcBorders>
              <w:top w:val="double" w:color="auto" w:sz="4" w:space="0"/>
              <w:right w:val="double" w:color="auto" w:sz="4" w:space="0"/>
            </w:tcBorders>
            <w:vAlign w:val="center"/>
          </w:tcPr>
          <w:p w14:paraId="66146682">
            <w:pPr>
              <w:widowControl/>
              <w:adjustRightInd w:val="0"/>
              <w:snapToGrid w:val="0"/>
              <w:spacing w:before="0" w:beforeAutospacing="0" w:after="0" w:afterAutospacing="0" w:line="360" w:lineRule="auto"/>
              <w:ind w:left="0" w:right="0"/>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Times New Roman" w:cs="宋体"/>
                <w:color w:val="auto"/>
                <w:kern w:val="0"/>
                <w:sz w:val="21"/>
                <w:szCs w:val="21"/>
                <w:highlight w:val="none"/>
              </w:rPr>
              <w:t>只能有一个有效报价</w:t>
            </w:r>
          </w:p>
        </w:tc>
      </w:tr>
      <w:tr w14:paraId="2BD7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7" w:type="dxa"/>
            <w:vMerge w:val="continue"/>
            <w:tcBorders>
              <w:left w:val="double" w:color="auto" w:sz="4" w:space="0"/>
            </w:tcBorders>
            <w:vAlign w:val="center"/>
          </w:tcPr>
          <w:p w14:paraId="2EE95CF2">
            <w:pPr>
              <w:spacing w:before="0" w:beforeAutospacing="0" w:after="0" w:afterAutospacing="0" w:line="400" w:lineRule="exact"/>
              <w:ind w:left="0" w:right="0"/>
              <w:jc w:val="center"/>
              <w:rPr>
                <w:rFonts w:hint="default" w:ascii="宋体" w:hAnsi="宋体" w:eastAsia="宋体" w:cs="Times New Roman"/>
                <w:color w:val="auto"/>
                <w:sz w:val="21"/>
                <w:szCs w:val="21"/>
                <w:highlight w:val="none"/>
                <w:lang w:val="en-US" w:eastAsia="zh-CN"/>
              </w:rPr>
            </w:pPr>
          </w:p>
        </w:tc>
        <w:tc>
          <w:tcPr>
            <w:tcW w:w="851" w:type="dxa"/>
            <w:vMerge w:val="continue"/>
            <w:tcBorders>
              <w:left w:val="double" w:color="auto" w:sz="4" w:space="0"/>
            </w:tcBorders>
            <w:vAlign w:val="center"/>
          </w:tcPr>
          <w:p w14:paraId="0D8A26BC">
            <w:pPr>
              <w:spacing w:before="0" w:beforeAutospacing="0" w:after="0" w:afterAutospacing="0" w:line="400" w:lineRule="exact"/>
              <w:ind w:left="0" w:right="0"/>
              <w:jc w:val="center"/>
              <w:rPr>
                <w:rFonts w:hint="eastAsia" w:ascii="宋体" w:hAnsi="宋体" w:eastAsia="Times New Roman" w:cs="Times New Roman"/>
                <w:color w:val="auto"/>
                <w:sz w:val="21"/>
                <w:szCs w:val="21"/>
                <w:highlight w:val="none"/>
              </w:rPr>
            </w:pPr>
          </w:p>
        </w:tc>
        <w:tc>
          <w:tcPr>
            <w:tcW w:w="2121" w:type="dxa"/>
            <w:tcBorders>
              <w:top w:val="double" w:color="auto" w:sz="4" w:space="0"/>
            </w:tcBorders>
            <w:vAlign w:val="center"/>
          </w:tcPr>
          <w:p w14:paraId="11C11B1A">
            <w:pPr>
              <w:spacing w:before="0" w:beforeAutospacing="0" w:after="0" w:afterAutospacing="0" w:line="360" w:lineRule="auto"/>
              <w:ind w:left="0" w:right="0"/>
              <w:jc w:val="center"/>
              <w:rPr>
                <w:rFonts w:hint="eastAsia" w:ascii="宋体" w:hAnsi="宋体" w:eastAsia="Times New Roman" w:cs="宋体"/>
                <w:color w:val="auto"/>
                <w:kern w:val="0"/>
                <w:sz w:val="21"/>
                <w:szCs w:val="21"/>
                <w:highlight w:val="none"/>
              </w:rPr>
            </w:pPr>
            <w:r>
              <w:rPr>
                <w:rFonts w:hint="eastAsia" w:ascii="宋体" w:hAnsi="宋体" w:eastAsia="Times New Roman" w:cs="宋体"/>
                <w:color w:val="auto"/>
                <w:sz w:val="21"/>
                <w:szCs w:val="21"/>
                <w:highlight w:val="none"/>
                <w:lang w:eastAsia="zh-CN"/>
              </w:rPr>
              <w:t>工期</w:t>
            </w:r>
          </w:p>
        </w:tc>
        <w:tc>
          <w:tcPr>
            <w:tcW w:w="5972" w:type="dxa"/>
            <w:tcBorders>
              <w:top w:val="double" w:color="auto" w:sz="4" w:space="0"/>
              <w:right w:val="double" w:color="auto" w:sz="4" w:space="0"/>
            </w:tcBorders>
            <w:vAlign w:val="center"/>
          </w:tcPr>
          <w:p w14:paraId="04968DA9">
            <w:pPr>
              <w:spacing w:before="0" w:beforeAutospacing="0" w:after="0" w:afterAutospacing="0" w:line="360" w:lineRule="auto"/>
              <w:ind w:left="0" w:right="0"/>
              <w:rPr>
                <w:rFonts w:hint="eastAsia" w:ascii="宋体" w:hAnsi="宋体" w:eastAsia="Times New Roman" w:cs="宋体"/>
                <w:color w:val="auto"/>
                <w:kern w:val="0"/>
                <w:sz w:val="21"/>
                <w:szCs w:val="21"/>
                <w:highlight w:val="none"/>
              </w:rPr>
            </w:pPr>
            <w:r>
              <w:rPr>
                <w:rFonts w:hint="eastAsia" w:ascii="宋体" w:hAnsi="宋体" w:eastAsia="Times New Roman" w:cs="宋体"/>
                <w:color w:val="auto"/>
                <w:sz w:val="21"/>
                <w:szCs w:val="21"/>
                <w:highlight w:val="none"/>
              </w:rPr>
              <w:t>符合第二章“供应商须知”项规定</w:t>
            </w:r>
          </w:p>
        </w:tc>
      </w:tr>
      <w:tr w14:paraId="4F10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7" w:type="dxa"/>
            <w:vMerge w:val="continue"/>
            <w:tcBorders>
              <w:left w:val="double" w:color="auto" w:sz="4" w:space="0"/>
            </w:tcBorders>
            <w:vAlign w:val="center"/>
          </w:tcPr>
          <w:p w14:paraId="3D5AA276">
            <w:pPr>
              <w:spacing w:before="0" w:beforeAutospacing="0" w:after="0" w:afterAutospacing="0" w:line="400" w:lineRule="exact"/>
              <w:ind w:left="0" w:right="0"/>
              <w:jc w:val="center"/>
              <w:rPr>
                <w:rFonts w:hint="eastAsia" w:ascii="宋体" w:hAnsi="宋体" w:eastAsia="Times New Roman" w:cs="Times New Roman"/>
                <w:color w:val="auto"/>
                <w:sz w:val="21"/>
                <w:szCs w:val="21"/>
                <w:highlight w:val="none"/>
              </w:rPr>
            </w:pPr>
          </w:p>
        </w:tc>
        <w:tc>
          <w:tcPr>
            <w:tcW w:w="851" w:type="dxa"/>
            <w:vMerge w:val="continue"/>
            <w:tcBorders>
              <w:left w:val="double" w:color="auto" w:sz="4" w:space="0"/>
            </w:tcBorders>
            <w:vAlign w:val="center"/>
          </w:tcPr>
          <w:p w14:paraId="602432A0">
            <w:pPr>
              <w:spacing w:before="0" w:beforeAutospacing="0" w:after="0" w:afterAutospacing="0" w:line="400" w:lineRule="exact"/>
              <w:ind w:left="0" w:right="0"/>
              <w:jc w:val="center"/>
              <w:rPr>
                <w:rFonts w:hint="eastAsia" w:ascii="宋体" w:hAnsi="宋体" w:eastAsia="Times New Roman" w:cs="Times New Roman"/>
                <w:color w:val="auto"/>
                <w:sz w:val="21"/>
                <w:szCs w:val="21"/>
                <w:highlight w:val="none"/>
              </w:rPr>
            </w:pPr>
          </w:p>
        </w:tc>
        <w:tc>
          <w:tcPr>
            <w:tcW w:w="2121" w:type="dxa"/>
            <w:tcBorders>
              <w:top w:val="double" w:color="auto" w:sz="4" w:space="0"/>
            </w:tcBorders>
            <w:vAlign w:val="center"/>
          </w:tcPr>
          <w:p w14:paraId="1F753799">
            <w:pPr>
              <w:spacing w:before="0" w:beforeAutospacing="0" w:after="0" w:afterAutospacing="0" w:line="360" w:lineRule="auto"/>
              <w:ind w:left="0" w:right="0"/>
              <w:jc w:val="center"/>
              <w:rPr>
                <w:rFonts w:hint="eastAsia" w:ascii="宋体" w:hAnsi="宋体" w:eastAsia="Times New Roman" w:cs="宋体"/>
                <w:color w:val="auto"/>
                <w:kern w:val="0"/>
                <w:sz w:val="21"/>
                <w:szCs w:val="21"/>
                <w:highlight w:val="none"/>
              </w:rPr>
            </w:pPr>
            <w:r>
              <w:rPr>
                <w:rFonts w:hint="eastAsia" w:ascii="宋体" w:hAnsi="宋体" w:eastAsia="Times New Roman" w:cs="宋体"/>
                <w:color w:val="auto"/>
                <w:sz w:val="21"/>
                <w:szCs w:val="21"/>
                <w:highlight w:val="none"/>
              </w:rPr>
              <w:t>质量要求</w:t>
            </w:r>
          </w:p>
        </w:tc>
        <w:tc>
          <w:tcPr>
            <w:tcW w:w="5972" w:type="dxa"/>
            <w:tcBorders>
              <w:top w:val="double" w:color="auto" w:sz="4" w:space="0"/>
              <w:right w:val="double" w:color="auto" w:sz="4" w:space="0"/>
            </w:tcBorders>
            <w:vAlign w:val="center"/>
          </w:tcPr>
          <w:p w14:paraId="4885B75A">
            <w:pPr>
              <w:spacing w:before="0" w:beforeAutospacing="0" w:after="0" w:afterAutospacing="0" w:line="360" w:lineRule="auto"/>
              <w:ind w:left="0" w:right="0"/>
              <w:rPr>
                <w:rFonts w:hint="eastAsia" w:ascii="宋体" w:hAnsi="宋体" w:eastAsia="Times New Roman" w:cs="宋体"/>
                <w:color w:val="auto"/>
                <w:kern w:val="0"/>
                <w:sz w:val="21"/>
                <w:szCs w:val="21"/>
                <w:highlight w:val="none"/>
              </w:rPr>
            </w:pPr>
            <w:r>
              <w:rPr>
                <w:rFonts w:hint="eastAsia" w:ascii="宋体" w:hAnsi="宋体" w:eastAsia="Times New Roman" w:cs="宋体"/>
                <w:color w:val="auto"/>
                <w:sz w:val="21"/>
                <w:szCs w:val="21"/>
                <w:highlight w:val="none"/>
              </w:rPr>
              <w:t>符合第二章“供应商须知”项规定</w:t>
            </w:r>
          </w:p>
        </w:tc>
      </w:tr>
      <w:tr w14:paraId="5DC8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7" w:type="dxa"/>
            <w:vMerge w:val="continue"/>
            <w:tcBorders>
              <w:left w:val="double" w:color="auto" w:sz="4" w:space="0"/>
            </w:tcBorders>
            <w:vAlign w:val="center"/>
          </w:tcPr>
          <w:p w14:paraId="604A5C61">
            <w:pPr>
              <w:spacing w:before="0" w:beforeAutospacing="0" w:after="0" w:afterAutospacing="0" w:line="400" w:lineRule="exact"/>
              <w:ind w:left="0" w:right="0"/>
              <w:jc w:val="center"/>
              <w:rPr>
                <w:rFonts w:hint="eastAsia" w:ascii="宋体" w:hAnsi="宋体" w:eastAsia="Times New Roman" w:cs="Times New Roman"/>
                <w:color w:val="auto"/>
                <w:sz w:val="21"/>
                <w:szCs w:val="21"/>
                <w:highlight w:val="none"/>
              </w:rPr>
            </w:pPr>
          </w:p>
        </w:tc>
        <w:tc>
          <w:tcPr>
            <w:tcW w:w="851" w:type="dxa"/>
            <w:vMerge w:val="continue"/>
            <w:tcBorders>
              <w:left w:val="double" w:color="auto" w:sz="4" w:space="0"/>
            </w:tcBorders>
            <w:vAlign w:val="center"/>
          </w:tcPr>
          <w:p w14:paraId="26742DCA">
            <w:pPr>
              <w:spacing w:before="0" w:beforeAutospacing="0" w:after="0" w:afterAutospacing="0" w:line="400" w:lineRule="exact"/>
              <w:ind w:left="0" w:right="0"/>
              <w:jc w:val="center"/>
              <w:rPr>
                <w:rFonts w:hint="eastAsia" w:ascii="宋体" w:hAnsi="宋体" w:eastAsia="Times New Roman" w:cs="Times New Roman"/>
                <w:color w:val="auto"/>
                <w:sz w:val="21"/>
                <w:szCs w:val="21"/>
                <w:highlight w:val="none"/>
              </w:rPr>
            </w:pPr>
          </w:p>
        </w:tc>
        <w:tc>
          <w:tcPr>
            <w:tcW w:w="2121" w:type="dxa"/>
            <w:tcBorders>
              <w:top w:val="double" w:color="auto" w:sz="4" w:space="0"/>
            </w:tcBorders>
            <w:vAlign w:val="center"/>
          </w:tcPr>
          <w:p w14:paraId="776F2081">
            <w:pPr>
              <w:spacing w:before="0" w:beforeAutospacing="0" w:after="0" w:afterAutospacing="0" w:line="360" w:lineRule="auto"/>
              <w:ind w:left="0" w:right="0"/>
              <w:jc w:val="center"/>
              <w:rPr>
                <w:rFonts w:hint="eastAsia" w:ascii="宋体" w:hAnsi="宋体" w:eastAsia="Times New Roman" w:cs="宋体"/>
                <w:color w:val="auto"/>
                <w:kern w:val="0"/>
                <w:sz w:val="21"/>
                <w:szCs w:val="21"/>
                <w:highlight w:val="none"/>
              </w:rPr>
            </w:pPr>
            <w:r>
              <w:rPr>
                <w:rFonts w:hint="eastAsia" w:ascii="宋体" w:hAnsi="宋体" w:eastAsia="Times New Roman" w:cs="宋体"/>
                <w:color w:val="auto"/>
                <w:sz w:val="21"/>
                <w:szCs w:val="21"/>
                <w:highlight w:val="none"/>
              </w:rPr>
              <w:t>磋商有效期</w:t>
            </w:r>
          </w:p>
        </w:tc>
        <w:tc>
          <w:tcPr>
            <w:tcW w:w="5972" w:type="dxa"/>
            <w:tcBorders>
              <w:top w:val="double" w:color="auto" w:sz="4" w:space="0"/>
              <w:right w:val="double" w:color="auto" w:sz="4" w:space="0"/>
            </w:tcBorders>
            <w:vAlign w:val="center"/>
          </w:tcPr>
          <w:p w14:paraId="01FD9C04">
            <w:pPr>
              <w:spacing w:before="0" w:beforeAutospacing="0" w:after="0" w:afterAutospacing="0" w:line="360" w:lineRule="auto"/>
              <w:ind w:left="0" w:right="0"/>
              <w:rPr>
                <w:rFonts w:hint="eastAsia" w:ascii="宋体" w:hAnsi="宋体" w:eastAsia="Times New Roman" w:cs="宋体"/>
                <w:color w:val="auto"/>
                <w:kern w:val="0"/>
                <w:sz w:val="21"/>
                <w:szCs w:val="21"/>
                <w:highlight w:val="none"/>
              </w:rPr>
            </w:pPr>
            <w:r>
              <w:rPr>
                <w:rFonts w:hint="eastAsia" w:ascii="宋体" w:hAnsi="宋体" w:eastAsia="Times New Roman" w:cs="宋体"/>
                <w:color w:val="auto"/>
                <w:sz w:val="21"/>
                <w:szCs w:val="21"/>
                <w:highlight w:val="none"/>
              </w:rPr>
              <w:t>符合第二章“供应商须知”项规定</w:t>
            </w:r>
          </w:p>
        </w:tc>
      </w:tr>
      <w:tr w14:paraId="5F1B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7" w:type="dxa"/>
            <w:vMerge w:val="continue"/>
            <w:tcBorders>
              <w:left w:val="double" w:color="auto" w:sz="4" w:space="0"/>
            </w:tcBorders>
            <w:vAlign w:val="center"/>
          </w:tcPr>
          <w:p w14:paraId="7190F4A1">
            <w:pPr>
              <w:spacing w:before="0" w:beforeAutospacing="0" w:after="0" w:afterAutospacing="0" w:line="400" w:lineRule="exact"/>
              <w:ind w:left="0" w:right="0"/>
              <w:jc w:val="center"/>
              <w:rPr>
                <w:rFonts w:hint="default" w:ascii="宋体" w:hAnsi="宋体" w:eastAsia="Times New Roman" w:cs="Times New Roman"/>
                <w:color w:val="auto"/>
                <w:sz w:val="21"/>
                <w:szCs w:val="21"/>
                <w:highlight w:val="none"/>
                <w:lang w:val="en-US"/>
              </w:rPr>
            </w:pPr>
          </w:p>
        </w:tc>
        <w:tc>
          <w:tcPr>
            <w:tcW w:w="851" w:type="dxa"/>
            <w:vMerge w:val="continue"/>
            <w:tcBorders>
              <w:left w:val="double" w:color="auto" w:sz="4" w:space="0"/>
            </w:tcBorders>
            <w:vAlign w:val="center"/>
          </w:tcPr>
          <w:p w14:paraId="164AE251">
            <w:pPr>
              <w:spacing w:before="0" w:beforeAutospacing="0" w:after="0" w:afterAutospacing="0" w:line="400" w:lineRule="exact"/>
              <w:ind w:left="0" w:right="0"/>
              <w:jc w:val="center"/>
              <w:rPr>
                <w:rFonts w:hint="eastAsia" w:ascii="宋体" w:hAnsi="宋体" w:eastAsia="Times New Roman" w:cs="Times New Roman"/>
                <w:color w:val="auto"/>
                <w:sz w:val="21"/>
                <w:szCs w:val="21"/>
                <w:highlight w:val="none"/>
              </w:rPr>
            </w:pPr>
          </w:p>
        </w:tc>
        <w:tc>
          <w:tcPr>
            <w:tcW w:w="2121" w:type="dxa"/>
            <w:tcBorders>
              <w:top w:val="double" w:color="auto" w:sz="4" w:space="0"/>
            </w:tcBorders>
            <w:vAlign w:val="center"/>
          </w:tcPr>
          <w:p w14:paraId="2EBAA395">
            <w:pPr>
              <w:spacing w:before="0" w:beforeAutospacing="0" w:after="0" w:afterAutospacing="0" w:line="360" w:lineRule="auto"/>
              <w:ind w:left="0" w:right="0"/>
              <w:jc w:val="center"/>
              <w:rPr>
                <w:rFonts w:hint="eastAsia" w:ascii="宋体" w:hAnsi="宋体" w:eastAsia="Times New Roman" w:cs="宋体"/>
                <w:color w:val="auto"/>
                <w:kern w:val="0"/>
                <w:sz w:val="21"/>
                <w:szCs w:val="21"/>
                <w:highlight w:val="none"/>
              </w:rPr>
            </w:pPr>
            <w:r>
              <w:rPr>
                <w:rFonts w:hint="eastAsia" w:ascii="宋体" w:hAnsi="宋体" w:eastAsia="Times New Roman" w:cs="宋体"/>
                <w:color w:val="auto"/>
                <w:sz w:val="21"/>
                <w:szCs w:val="21"/>
                <w:highlight w:val="none"/>
                <w:lang w:eastAsia="zh-CN"/>
              </w:rPr>
              <w:t>采购</w:t>
            </w:r>
            <w:r>
              <w:rPr>
                <w:rFonts w:hint="eastAsia" w:ascii="宋体" w:hAnsi="宋体" w:eastAsia="Times New Roman" w:cs="宋体"/>
                <w:color w:val="auto"/>
                <w:sz w:val="21"/>
                <w:szCs w:val="21"/>
                <w:highlight w:val="none"/>
              </w:rPr>
              <w:t>内容</w:t>
            </w:r>
          </w:p>
        </w:tc>
        <w:tc>
          <w:tcPr>
            <w:tcW w:w="5972" w:type="dxa"/>
            <w:tcBorders>
              <w:top w:val="double" w:color="auto" w:sz="4" w:space="0"/>
              <w:right w:val="double" w:color="auto" w:sz="4" w:space="0"/>
            </w:tcBorders>
            <w:vAlign w:val="center"/>
          </w:tcPr>
          <w:p w14:paraId="3EA2DDE2">
            <w:pPr>
              <w:spacing w:before="0" w:beforeAutospacing="0" w:after="0" w:afterAutospacing="0" w:line="360" w:lineRule="auto"/>
              <w:ind w:left="0" w:right="0"/>
              <w:rPr>
                <w:rFonts w:hint="eastAsia" w:ascii="宋体" w:hAnsi="宋体" w:eastAsia="Times New Roman" w:cs="宋体"/>
                <w:color w:val="auto"/>
                <w:kern w:val="0"/>
                <w:sz w:val="21"/>
                <w:szCs w:val="21"/>
                <w:highlight w:val="none"/>
              </w:rPr>
            </w:pPr>
            <w:r>
              <w:rPr>
                <w:rFonts w:hint="eastAsia" w:ascii="宋体" w:hAnsi="宋体" w:eastAsia="Times New Roman" w:cs="宋体"/>
                <w:color w:val="auto"/>
                <w:sz w:val="21"/>
                <w:szCs w:val="21"/>
                <w:highlight w:val="none"/>
              </w:rPr>
              <w:t>符合第二章“供应商须知”项规定</w:t>
            </w:r>
          </w:p>
        </w:tc>
      </w:tr>
      <w:tr w14:paraId="52F6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7" w:type="dxa"/>
            <w:vMerge w:val="restart"/>
            <w:tcBorders>
              <w:left w:val="double" w:color="auto" w:sz="4" w:space="0"/>
            </w:tcBorders>
            <w:vAlign w:val="center"/>
          </w:tcPr>
          <w:p w14:paraId="19E3EFC0">
            <w:pPr>
              <w:widowControl/>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w:t>
            </w:r>
            <w:r>
              <w:rPr>
                <w:rFonts w:hint="eastAsia" w:ascii="宋体" w:hAnsi="宋体" w:eastAsia="宋体" w:cs="宋体"/>
                <w:color w:val="auto"/>
                <w:kern w:val="0"/>
                <w:sz w:val="21"/>
                <w:szCs w:val="21"/>
                <w:highlight w:val="none"/>
                <w:lang w:val="en-US" w:eastAsia="zh-CN"/>
              </w:rPr>
              <w:t>.1.2</w:t>
            </w:r>
          </w:p>
        </w:tc>
        <w:tc>
          <w:tcPr>
            <w:tcW w:w="851" w:type="dxa"/>
            <w:vMerge w:val="restart"/>
            <w:vAlign w:val="center"/>
          </w:tcPr>
          <w:p w14:paraId="6E38686C">
            <w:pPr>
              <w:widowControl/>
              <w:spacing w:before="0" w:beforeAutospacing="0" w:after="0" w:afterAutospacing="0" w:line="400" w:lineRule="exact"/>
              <w:ind w:left="0" w:right="0"/>
              <w:jc w:val="center"/>
              <w:rPr>
                <w:rFonts w:ascii="宋体" w:hAnsi="宋体" w:eastAsia="Times New Roman" w:cs="宋体"/>
                <w:color w:val="auto"/>
                <w:kern w:val="0"/>
                <w:sz w:val="21"/>
                <w:szCs w:val="21"/>
                <w:highlight w:val="none"/>
              </w:rPr>
            </w:pPr>
            <w:r>
              <w:rPr>
                <w:rFonts w:hint="eastAsia" w:ascii="宋体" w:hAnsi="宋体" w:eastAsia="Times New Roman" w:cs="宋体"/>
                <w:color w:val="auto"/>
                <w:kern w:val="0"/>
                <w:sz w:val="21"/>
                <w:szCs w:val="21"/>
                <w:highlight w:val="none"/>
              </w:rPr>
              <w:t>资格评审标准</w:t>
            </w:r>
          </w:p>
        </w:tc>
        <w:tc>
          <w:tcPr>
            <w:tcW w:w="2121" w:type="dxa"/>
            <w:vAlign w:val="center"/>
          </w:tcPr>
          <w:p w14:paraId="2A8EA5FD">
            <w:pPr>
              <w:spacing w:before="0" w:beforeAutospacing="0" w:after="0" w:afterAutospacing="0" w:line="360" w:lineRule="exact"/>
              <w:ind w:left="0" w:right="0"/>
              <w:jc w:val="center"/>
              <w:rPr>
                <w:rFonts w:hint="eastAsia" w:ascii="Times New Roman" w:hAnsi="Times New Roman" w:eastAsia="宋体" w:cs="Times New Roman"/>
                <w:color w:val="auto"/>
                <w:sz w:val="21"/>
                <w:szCs w:val="21"/>
                <w:highlight w:val="none"/>
                <w:lang w:eastAsia="zh-CN"/>
              </w:rPr>
            </w:pPr>
            <w:r>
              <w:rPr>
                <w:rFonts w:hint="eastAsia" w:ascii="宋体" w:hAnsi="宋体" w:eastAsia="宋体" w:cs="宋体"/>
                <w:color w:val="auto"/>
                <w:sz w:val="21"/>
                <w:szCs w:val="21"/>
                <w:highlight w:val="none"/>
                <w:lang w:val="en-US" w:eastAsia="zh-CN"/>
              </w:rPr>
              <w:t>具有独立承担民事责任的能力</w:t>
            </w:r>
          </w:p>
        </w:tc>
        <w:tc>
          <w:tcPr>
            <w:tcW w:w="5972" w:type="dxa"/>
            <w:tcBorders>
              <w:right w:val="double" w:color="auto" w:sz="4" w:space="0"/>
            </w:tcBorders>
            <w:vAlign w:val="center"/>
          </w:tcPr>
          <w:p w14:paraId="52601DF0">
            <w:pPr>
              <w:spacing w:before="0" w:beforeAutospacing="0" w:after="0" w:afterAutospacing="0" w:line="360" w:lineRule="exact"/>
              <w:ind w:left="0" w:right="0"/>
              <w:rPr>
                <w:rFonts w:ascii="Times New Roman" w:hAnsi="Times New Roman" w:eastAsia="Times New Roman" w:cs="Times New Roman"/>
                <w:color w:val="auto"/>
                <w:sz w:val="21"/>
                <w:szCs w:val="21"/>
                <w:highlight w:val="none"/>
              </w:rPr>
            </w:pPr>
            <w:r>
              <w:rPr>
                <w:rFonts w:hint="eastAsia" w:ascii="Times New Roman" w:hAnsi="Times New Roman" w:eastAsia="Times New Roman" w:cs="Times New Roman"/>
                <w:color w:val="auto"/>
                <w:sz w:val="21"/>
                <w:szCs w:val="21"/>
                <w:highlight w:val="none"/>
              </w:rPr>
              <w:t>需提供有效的营业执照</w:t>
            </w:r>
          </w:p>
        </w:tc>
      </w:tr>
      <w:tr w14:paraId="360A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7" w:type="dxa"/>
            <w:vMerge w:val="continue"/>
            <w:tcBorders>
              <w:left w:val="double" w:color="auto" w:sz="4" w:space="0"/>
            </w:tcBorders>
            <w:vAlign w:val="center"/>
          </w:tcPr>
          <w:p w14:paraId="0BF56ED7">
            <w:pPr>
              <w:widowControl/>
              <w:spacing w:before="0" w:beforeAutospacing="0" w:after="0" w:afterAutospacing="0" w:line="400" w:lineRule="exact"/>
              <w:ind w:left="0" w:right="0"/>
              <w:jc w:val="center"/>
              <w:rPr>
                <w:rFonts w:hint="eastAsia" w:ascii="宋体" w:hAnsi="宋体" w:eastAsia="Times New Roman" w:cs="宋体"/>
                <w:color w:val="auto"/>
                <w:kern w:val="0"/>
                <w:sz w:val="21"/>
                <w:szCs w:val="21"/>
                <w:highlight w:val="none"/>
              </w:rPr>
            </w:pPr>
          </w:p>
        </w:tc>
        <w:tc>
          <w:tcPr>
            <w:tcW w:w="851" w:type="dxa"/>
            <w:vMerge w:val="continue"/>
            <w:vAlign w:val="center"/>
          </w:tcPr>
          <w:p w14:paraId="0453F545">
            <w:pPr>
              <w:widowControl/>
              <w:spacing w:before="0" w:beforeAutospacing="0" w:after="0" w:afterAutospacing="0" w:line="400" w:lineRule="exact"/>
              <w:ind w:left="0" w:right="0"/>
              <w:jc w:val="center"/>
              <w:rPr>
                <w:rFonts w:hint="eastAsia" w:ascii="宋体" w:hAnsi="宋体" w:eastAsia="Times New Roman" w:cs="宋体"/>
                <w:color w:val="auto"/>
                <w:kern w:val="0"/>
                <w:sz w:val="21"/>
                <w:szCs w:val="21"/>
                <w:highlight w:val="none"/>
              </w:rPr>
            </w:pPr>
          </w:p>
        </w:tc>
        <w:tc>
          <w:tcPr>
            <w:tcW w:w="2121" w:type="dxa"/>
            <w:vAlign w:val="center"/>
          </w:tcPr>
          <w:p w14:paraId="61F52463">
            <w:pPr>
              <w:pStyle w:val="49"/>
              <w:spacing w:before="0" w:beforeAutospacing="0" w:after="0" w:afterAutospacing="0"/>
              <w:ind w:left="86" w:right="78"/>
              <w:jc w:val="center"/>
              <w:rPr>
                <w:rFonts w:hint="eastAsia" w:ascii="Times New Roman" w:hAnsi="Times New Roman" w:eastAsia="Times New Roman" w:cs="Times New Roman"/>
                <w:color w:val="auto"/>
                <w:sz w:val="21"/>
                <w:szCs w:val="21"/>
                <w:highlight w:val="none"/>
                <w:lang w:eastAsia="zh-CN"/>
              </w:rPr>
            </w:pPr>
            <w:r>
              <w:rPr>
                <w:rFonts w:hint="eastAsia" w:ascii="宋体" w:hAnsi="宋体" w:eastAsia="宋体" w:cs="宋体"/>
                <w:color w:val="auto"/>
                <w:sz w:val="21"/>
                <w:szCs w:val="21"/>
                <w:highlight w:val="none"/>
                <w:lang w:val="en-US" w:eastAsia="zh-CN"/>
              </w:rPr>
              <w:t>具有良好的商业信誉和健全的财务会计制度</w:t>
            </w:r>
          </w:p>
        </w:tc>
        <w:tc>
          <w:tcPr>
            <w:tcW w:w="5972" w:type="dxa"/>
            <w:tcBorders>
              <w:right w:val="double" w:color="auto" w:sz="4" w:space="0"/>
            </w:tcBorders>
            <w:vAlign w:val="center"/>
          </w:tcPr>
          <w:p w14:paraId="0C23E5DA">
            <w:pPr>
              <w:spacing w:before="0" w:beforeAutospacing="0" w:after="0" w:afterAutospacing="0" w:line="360" w:lineRule="exact"/>
              <w:ind w:left="0" w:right="0"/>
              <w:rPr>
                <w:rFonts w:hint="eastAsia" w:ascii="Times New Roman" w:hAnsi="Times New Roman" w:eastAsia="Times New Roman" w:cs="Times New Roman"/>
                <w:color w:val="auto"/>
                <w:sz w:val="21"/>
                <w:szCs w:val="21"/>
                <w:highlight w:val="none"/>
              </w:rPr>
            </w:pPr>
            <w:r>
              <w:rPr>
                <w:rFonts w:hint="eastAsia" w:ascii="宋体" w:hAnsi="宋体" w:eastAsia="Times New Roman" w:cs="宋体"/>
                <w:color w:val="auto"/>
                <w:kern w:val="0"/>
                <w:sz w:val="21"/>
                <w:szCs w:val="21"/>
                <w:highlight w:val="none"/>
              </w:rPr>
              <w:t>符合第二章“</w:t>
            </w:r>
            <w:r>
              <w:rPr>
                <w:rFonts w:hint="eastAsia" w:ascii="宋体" w:hAnsi="宋体" w:eastAsia="Times New Roman" w:cs="宋体"/>
                <w:color w:val="auto"/>
                <w:kern w:val="0"/>
                <w:sz w:val="21"/>
                <w:szCs w:val="21"/>
                <w:highlight w:val="none"/>
                <w:lang w:eastAsia="zh-CN"/>
              </w:rPr>
              <w:t>供应商</w:t>
            </w:r>
            <w:r>
              <w:rPr>
                <w:rFonts w:hint="eastAsia" w:ascii="宋体" w:hAnsi="宋体" w:eastAsia="Times New Roman" w:cs="宋体"/>
                <w:color w:val="auto"/>
                <w:kern w:val="0"/>
                <w:sz w:val="21"/>
                <w:szCs w:val="21"/>
                <w:highlight w:val="none"/>
              </w:rPr>
              <w:t>须知前附表”规定</w:t>
            </w:r>
          </w:p>
        </w:tc>
      </w:tr>
      <w:tr w14:paraId="5A91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47" w:type="dxa"/>
            <w:vMerge w:val="continue"/>
            <w:tcBorders>
              <w:left w:val="double" w:color="auto" w:sz="4" w:space="0"/>
            </w:tcBorders>
            <w:vAlign w:val="center"/>
          </w:tcPr>
          <w:p w14:paraId="14D498F3">
            <w:pPr>
              <w:spacing w:before="0" w:beforeAutospacing="0" w:after="0" w:afterAutospacing="0" w:line="400" w:lineRule="exact"/>
              <w:ind w:left="0" w:right="0"/>
              <w:jc w:val="center"/>
              <w:rPr>
                <w:rFonts w:ascii="宋体" w:hAnsi="宋体" w:eastAsia="Times New Roman" w:cs="Times New Roman"/>
                <w:color w:val="auto"/>
                <w:sz w:val="21"/>
                <w:szCs w:val="21"/>
                <w:highlight w:val="none"/>
              </w:rPr>
            </w:pPr>
          </w:p>
        </w:tc>
        <w:tc>
          <w:tcPr>
            <w:tcW w:w="851" w:type="dxa"/>
            <w:vMerge w:val="continue"/>
            <w:vAlign w:val="center"/>
          </w:tcPr>
          <w:p w14:paraId="485A67A0">
            <w:pPr>
              <w:spacing w:before="0" w:beforeAutospacing="0" w:after="0" w:afterAutospacing="0" w:line="400" w:lineRule="exact"/>
              <w:ind w:left="0" w:right="0"/>
              <w:jc w:val="center"/>
              <w:rPr>
                <w:rFonts w:ascii="宋体" w:hAnsi="宋体" w:eastAsia="Times New Roman" w:cs="Times New Roman"/>
                <w:color w:val="auto"/>
                <w:sz w:val="21"/>
                <w:szCs w:val="21"/>
                <w:highlight w:val="none"/>
              </w:rPr>
            </w:pPr>
          </w:p>
        </w:tc>
        <w:tc>
          <w:tcPr>
            <w:tcW w:w="2121" w:type="dxa"/>
            <w:vAlign w:val="center"/>
          </w:tcPr>
          <w:p w14:paraId="42AC2C1B">
            <w:pPr>
              <w:spacing w:before="0" w:beforeAutospacing="0" w:after="0" w:afterAutospacing="0" w:line="360" w:lineRule="exact"/>
              <w:ind w:left="0" w:right="0"/>
              <w:jc w:val="center"/>
              <w:rPr>
                <w:rFonts w:ascii="Times New Roman" w:hAnsi="Times New Roman" w:eastAsia="Times New Roman" w:cs="Times New Roman"/>
                <w:color w:val="auto"/>
                <w:sz w:val="21"/>
                <w:szCs w:val="21"/>
                <w:highlight w:val="none"/>
              </w:rPr>
            </w:pPr>
            <w:r>
              <w:rPr>
                <w:rFonts w:hint="eastAsia" w:ascii="宋体" w:hAnsi="宋体" w:eastAsia="宋体" w:cs="宋体"/>
                <w:color w:val="auto"/>
                <w:sz w:val="21"/>
                <w:szCs w:val="21"/>
                <w:highlight w:val="none"/>
                <w:lang w:val="en-US" w:eastAsia="zh-CN"/>
              </w:rPr>
              <w:t>具有履行合同所必需的设备和专业技术能力</w:t>
            </w:r>
          </w:p>
        </w:tc>
        <w:tc>
          <w:tcPr>
            <w:tcW w:w="5972" w:type="dxa"/>
            <w:tcBorders>
              <w:right w:val="double" w:color="auto" w:sz="4" w:space="0"/>
            </w:tcBorders>
            <w:vAlign w:val="center"/>
          </w:tcPr>
          <w:p w14:paraId="23AFF3CD">
            <w:pPr>
              <w:spacing w:before="0" w:beforeAutospacing="0" w:after="0" w:afterAutospacing="0" w:line="360" w:lineRule="exact"/>
              <w:ind w:left="0" w:right="0"/>
              <w:rPr>
                <w:rFonts w:hint="eastAsia" w:ascii="Calibri" w:hAnsi="Calibri" w:eastAsia="宋体" w:cs="Times New Roman"/>
                <w:color w:val="auto"/>
                <w:kern w:val="2"/>
                <w:sz w:val="21"/>
                <w:szCs w:val="21"/>
                <w:highlight w:val="none"/>
                <w:lang w:val="en-US" w:eastAsia="zh-CN" w:bidi="ar-SA"/>
              </w:rPr>
            </w:pPr>
            <w:r>
              <w:rPr>
                <w:rFonts w:hint="eastAsia" w:ascii="宋体" w:hAnsi="宋体" w:eastAsia="Times New Roman" w:cs="宋体"/>
                <w:color w:val="auto"/>
                <w:kern w:val="0"/>
                <w:sz w:val="21"/>
                <w:szCs w:val="21"/>
                <w:highlight w:val="none"/>
              </w:rPr>
              <w:t>符合第二章“</w:t>
            </w:r>
            <w:r>
              <w:rPr>
                <w:rFonts w:hint="eastAsia" w:ascii="宋体" w:hAnsi="宋体" w:eastAsia="Times New Roman" w:cs="宋体"/>
                <w:color w:val="auto"/>
                <w:kern w:val="0"/>
                <w:sz w:val="21"/>
                <w:szCs w:val="21"/>
                <w:highlight w:val="none"/>
                <w:lang w:eastAsia="zh-CN"/>
              </w:rPr>
              <w:t>供应商</w:t>
            </w:r>
            <w:r>
              <w:rPr>
                <w:rFonts w:hint="eastAsia" w:ascii="宋体" w:hAnsi="宋体" w:eastAsia="Times New Roman" w:cs="宋体"/>
                <w:color w:val="auto"/>
                <w:kern w:val="0"/>
                <w:sz w:val="21"/>
                <w:szCs w:val="21"/>
                <w:highlight w:val="none"/>
              </w:rPr>
              <w:t>须知前附表”规定</w:t>
            </w:r>
          </w:p>
        </w:tc>
      </w:tr>
      <w:tr w14:paraId="28A8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47" w:type="dxa"/>
            <w:vMerge w:val="continue"/>
            <w:tcBorders>
              <w:left w:val="double" w:color="auto" w:sz="4" w:space="0"/>
            </w:tcBorders>
            <w:vAlign w:val="center"/>
          </w:tcPr>
          <w:p w14:paraId="10CCC6FB">
            <w:pPr>
              <w:spacing w:before="0" w:beforeAutospacing="0" w:after="0" w:afterAutospacing="0" w:line="400" w:lineRule="exact"/>
              <w:ind w:left="0" w:right="0"/>
              <w:jc w:val="center"/>
              <w:rPr>
                <w:rFonts w:ascii="宋体" w:hAnsi="宋体" w:eastAsia="Times New Roman" w:cs="Times New Roman"/>
                <w:color w:val="auto"/>
                <w:sz w:val="21"/>
                <w:szCs w:val="21"/>
                <w:highlight w:val="none"/>
              </w:rPr>
            </w:pPr>
          </w:p>
        </w:tc>
        <w:tc>
          <w:tcPr>
            <w:tcW w:w="851" w:type="dxa"/>
            <w:vMerge w:val="continue"/>
            <w:vAlign w:val="center"/>
          </w:tcPr>
          <w:p w14:paraId="3DA152F9">
            <w:pPr>
              <w:spacing w:before="0" w:beforeAutospacing="0" w:after="0" w:afterAutospacing="0" w:line="400" w:lineRule="exact"/>
              <w:ind w:left="0" w:right="0"/>
              <w:jc w:val="center"/>
              <w:rPr>
                <w:rFonts w:ascii="宋体" w:hAnsi="宋体" w:eastAsia="Times New Roman" w:cs="Times New Roman"/>
                <w:color w:val="auto"/>
                <w:sz w:val="21"/>
                <w:szCs w:val="21"/>
                <w:highlight w:val="none"/>
              </w:rPr>
            </w:pPr>
          </w:p>
        </w:tc>
        <w:tc>
          <w:tcPr>
            <w:tcW w:w="2121" w:type="dxa"/>
            <w:vAlign w:val="center"/>
          </w:tcPr>
          <w:p w14:paraId="04DD7C16">
            <w:pPr>
              <w:spacing w:before="0" w:beforeAutospacing="0" w:after="0" w:afterAutospacing="0" w:line="360" w:lineRule="exact"/>
              <w:ind w:left="0" w:right="0"/>
              <w:jc w:val="center"/>
              <w:rPr>
                <w:rFonts w:ascii="Times New Roman" w:hAnsi="Times New Roman" w:eastAsia="Times New Roman" w:cs="Times New Roman"/>
                <w:color w:val="auto"/>
                <w:sz w:val="21"/>
                <w:szCs w:val="21"/>
                <w:highlight w:val="none"/>
              </w:rPr>
            </w:pPr>
            <w:r>
              <w:rPr>
                <w:rFonts w:hint="eastAsia" w:ascii="宋体" w:hAnsi="宋体" w:eastAsia="宋体" w:cs="宋体"/>
                <w:color w:val="auto"/>
                <w:sz w:val="21"/>
                <w:szCs w:val="21"/>
                <w:highlight w:val="none"/>
                <w:lang w:val="en-US" w:eastAsia="zh-CN"/>
              </w:rPr>
              <w:t>具有依法缴纳税收和社会保障资金的良好记录</w:t>
            </w:r>
          </w:p>
        </w:tc>
        <w:tc>
          <w:tcPr>
            <w:tcW w:w="5972" w:type="dxa"/>
            <w:tcBorders>
              <w:right w:val="double" w:color="auto" w:sz="4" w:space="0"/>
            </w:tcBorders>
            <w:vAlign w:val="center"/>
          </w:tcPr>
          <w:p w14:paraId="38EEE9A3">
            <w:pPr>
              <w:spacing w:before="0" w:beforeAutospacing="0" w:after="0" w:afterAutospacing="0" w:line="360" w:lineRule="exact"/>
              <w:ind w:left="0" w:right="0"/>
              <w:rPr>
                <w:rFonts w:hint="eastAsia" w:ascii="Calibri" w:hAnsi="Calibri" w:eastAsia="宋体" w:cs="Times New Roman"/>
                <w:color w:val="auto"/>
                <w:kern w:val="2"/>
                <w:sz w:val="21"/>
                <w:szCs w:val="21"/>
                <w:highlight w:val="none"/>
                <w:lang w:val="en-US" w:eastAsia="zh-CN" w:bidi="ar-SA"/>
              </w:rPr>
            </w:pPr>
            <w:r>
              <w:rPr>
                <w:rFonts w:hint="eastAsia" w:ascii="宋体" w:hAnsi="宋体" w:eastAsia="Times New Roman" w:cs="宋体"/>
                <w:color w:val="auto"/>
                <w:kern w:val="0"/>
                <w:sz w:val="21"/>
                <w:szCs w:val="21"/>
                <w:highlight w:val="none"/>
              </w:rPr>
              <w:t>符合第二章“</w:t>
            </w:r>
            <w:r>
              <w:rPr>
                <w:rFonts w:hint="eastAsia" w:ascii="宋体" w:hAnsi="宋体" w:eastAsia="Times New Roman" w:cs="宋体"/>
                <w:color w:val="auto"/>
                <w:kern w:val="0"/>
                <w:sz w:val="21"/>
                <w:szCs w:val="21"/>
                <w:highlight w:val="none"/>
                <w:lang w:eastAsia="zh-CN"/>
              </w:rPr>
              <w:t>供应商</w:t>
            </w:r>
            <w:r>
              <w:rPr>
                <w:rFonts w:hint="eastAsia" w:ascii="宋体" w:hAnsi="宋体" w:eastAsia="Times New Roman" w:cs="宋体"/>
                <w:color w:val="auto"/>
                <w:kern w:val="0"/>
                <w:sz w:val="21"/>
                <w:szCs w:val="21"/>
                <w:highlight w:val="none"/>
              </w:rPr>
              <w:t>须知前附表”规定</w:t>
            </w:r>
          </w:p>
        </w:tc>
      </w:tr>
      <w:tr w14:paraId="7BB2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47" w:type="dxa"/>
            <w:vMerge w:val="continue"/>
            <w:tcBorders>
              <w:left w:val="double" w:color="auto" w:sz="4" w:space="0"/>
            </w:tcBorders>
            <w:vAlign w:val="center"/>
          </w:tcPr>
          <w:p w14:paraId="06DF824C">
            <w:pPr>
              <w:spacing w:before="0" w:beforeAutospacing="0" w:after="0" w:afterAutospacing="0" w:line="360" w:lineRule="exact"/>
              <w:ind w:left="0" w:right="0"/>
              <w:rPr>
                <w:rFonts w:ascii="Times New Roman" w:hAnsi="Times New Roman" w:eastAsia="Times New Roman" w:cs="Times New Roman"/>
                <w:color w:val="auto"/>
                <w:sz w:val="21"/>
                <w:szCs w:val="21"/>
                <w:highlight w:val="none"/>
              </w:rPr>
            </w:pPr>
          </w:p>
        </w:tc>
        <w:tc>
          <w:tcPr>
            <w:tcW w:w="851" w:type="dxa"/>
            <w:vMerge w:val="continue"/>
            <w:vAlign w:val="center"/>
          </w:tcPr>
          <w:p w14:paraId="7F31E8B4">
            <w:pPr>
              <w:spacing w:before="0" w:beforeAutospacing="0" w:after="0" w:afterAutospacing="0" w:line="360" w:lineRule="exact"/>
              <w:ind w:left="0" w:right="0"/>
              <w:rPr>
                <w:rFonts w:ascii="Times New Roman" w:hAnsi="Times New Roman" w:eastAsia="Times New Roman" w:cs="Times New Roman"/>
                <w:color w:val="auto"/>
                <w:sz w:val="21"/>
                <w:szCs w:val="21"/>
                <w:highlight w:val="none"/>
              </w:rPr>
            </w:pPr>
          </w:p>
        </w:tc>
        <w:tc>
          <w:tcPr>
            <w:tcW w:w="2121" w:type="dxa"/>
            <w:vAlign w:val="center"/>
          </w:tcPr>
          <w:p w14:paraId="21E38C24">
            <w:pPr>
              <w:spacing w:before="0" w:beforeAutospacing="0" w:after="0" w:afterAutospacing="0" w:line="360" w:lineRule="exact"/>
              <w:ind w:left="0" w:right="0"/>
              <w:jc w:val="center"/>
              <w:rPr>
                <w:rFonts w:hint="eastAsia" w:ascii="Times New Roman" w:hAnsi="Times New Roman" w:eastAsia="宋体" w:cs="Times New Roman"/>
                <w:color w:val="auto"/>
                <w:sz w:val="21"/>
                <w:szCs w:val="21"/>
                <w:highlight w:val="none"/>
                <w:lang w:eastAsia="zh-CN"/>
              </w:rPr>
            </w:pPr>
            <w:r>
              <w:rPr>
                <w:rFonts w:hint="eastAsia" w:ascii="宋体" w:hAnsi="宋体" w:eastAsia="宋体" w:cs="宋体"/>
                <w:color w:val="auto"/>
                <w:sz w:val="21"/>
                <w:szCs w:val="21"/>
                <w:highlight w:val="none"/>
                <w:lang w:val="en-US" w:eastAsia="zh-CN"/>
              </w:rPr>
              <w:t>参加政府采购活动前三年内，在经营活动中没有重大违法记录</w:t>
            </w:r>
          </w:p>
        </w:tc>
        <w:tc>
          <w:tcPr>
            <w:tcW w:w="5972" w:type="dxa"/>
            <w:tcBorders>
              <w:right w:val="double" w:color="auto" w:sz="4" w:space="0"/>
            </w:tcBorders>
            <w:vAlign w:val="center"/>
          </w:tcPr>
          <w:p w14:paraId="5EDE6953">
            <w:pPr>
              <w:spacing w:before="0" w:beforeAutospacing="0" w:after="0" w:afterAutospacing="0" w:line="360" w:lineRule="exact"/>
              <w:ind w:left="0" w:right="0"/>
              <w:rPr>
                <w:rFonts w:hint="eastAsia" w:ascii="Calibri" w:hAnsi="Calibri" w:eastAsia="宋体" w:cs="Times New Roman"/>
                <w:color w:val="auto"/>
                <w:kern w:val="2"/>
                <w:sz w:val="21"/>
                <w:szCs w:val="21"/>
                <w:highlight w:val="none"/>
                <w:lang w:val="en-US" w:eastAsia="zh-CN" w:bidi="ar-SA"/>
              </w:rPr>
            </w:pPr>
            <w:r>
              <w:rPr>
                <w:rFonts w:hint="eastAsia" w:ascii="宋体" w:hAnsi="宋体" w:eastAsia="Times New Roman" w:cs="宋体"/>
                <w:color w:val="auto"/>
                <w:kern w:val="0"/>
                <w:sz w:val="21"/>
                <w:szCs w:val="21"/>
                <w:highlight w:val="none"/>
              </w:rPr>
              <w:t>符合第二章“</w:t>
            </w:r>
            <w:r>
              <w:rPr>
                <w:rFonts w:hint="eastAsia" w:ascii="宋体" w:hAnsi="宋体" w:eastAsia="Times New Roman" w:cs="宋体"/>
                <w:color w:val="auto"/>
                <w:kern w:val="0"/>
                <w:sz w:val="21"/>
                <w:szCs w:val="21"/>
                <w:highlight w:val="none"/>
                <w:lang w:eastAsia="zh-CN"/>
              </w:rPr>
              <w:t>供应商</w:t>
            </w:r>
            <w:r>
              <w:rPr>
                <w:rFonts w:hint="eastAsia" w:ascii="宋体" w:hAnsi="宋体" w:eastAsia="Times New Roman" w:cs="宋体"/>
                <w:color w:val="auto"/>
                <w:kern w:val="0"/>
                <w:sz w:val="21"/>
                <w:szCs w:val="21"/>
                <w:highlight w:val="none"/>
              </w:rPr>
              <w:t>须知前附表”规</w:t>
            </w:r>
            <w:r>
              <w:rPr>
                <w:rFonts w:hint="eastAsia" w:ascii="宋体" w:hAnsi="宋体" w:eastAsia="Times New Roman" w:cs="宋体"/>
                <w:color w:val="auto"/>
                <w:kern w:val="0"/>
                <w:sz w:val="21"/>
                <w:szCs w:val="21"/>
                <w:highlight w:val="none"/>
                <w:lang w:eastAsia="zh-CN"/>
              </w:rPr>
              <w:t>定</w:t>
            </w:r>
          </w:p>
        </w:tc>
      </w:tr>
      <w:tr w14:paraId="0895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Merge w:val="continue"/>
            <w:tcBorders>
              <w:left w:val="double" w:color="auto" w:sz="4" w:space="0"/>
            </w:tcBorders>
            <w:vAlign w:val="center"/>
          </w:tcPr>
          <w:p w14:paraId="32A5B4E7">
            <w:pPr>
              <w:spacing w:before="0" w:beforeAutospacing="0" w:after="0" w:afterAutospacing="0" w:line="360" w:lineRule="exact"/>
              <w:ind w:left="0" w:right="0"/>
              <w:rPr>
                <w:rFonts w:ascii="Times New Roman" w:hAnsi="Times New Roman" w:eastAsia="Times New Roman" w:cs="Times New Roman"/>
                <w:color w:val="auto"/>
                <w:sz w:val="21"/>
                <w:szCs w:val="21"/>
                <w:highlight w:val="none"/>
              </w:rPr>
            </w:pPr>
          </w:p>
        </w:tc>
        <w:tc>
          <w:tcPr>
            <w:tcW w:w="851" w:type="dxa"/>
            <w:vMerge w:val="continue"/>
            <w:vAlign w:val="center"/>
          </w:tcPr>
          <w:p w14:paraId="1F66242C">
            <w:pPr>
              <w:spacing w:before="0" w:beforeAutospacing="0" w:after="0" w:afterAutospacing="0" w:line="360" w:lineRule="exact"/>
              <w:ind w:left="0" w:right="0"/>
              <w:rPr>
                <w:rFonts w:ascii="Times New Roman" w:hAnsi="Times New Roman" w:eastAsia="Times New Roman" w:cs="Times New Roman"/>
                <w:color w:val="auto"/>
                <w:sz w:val="21"/>
                <w:szCs w:val="21"/>
                <w:highlight w:val="none"/>
              </w:rPr>
            </w:pPr>
          </w:p>
        </w:tc>
        <w:tc>
          <w:tcPr>
            <w:tcW w:w="2121" w:type="dxa"/>
            <w:vAlign w:val="center"/>
          </w:tcPr>
          <w:p w14:paraId="70122267">
            <w:pPr>
              <w:spacing w:before="0" w:beforeAutospacing="0" w:after="0" w:afterAutospacing="0" w:line="360" w:lineRule="exact"/>
              <w:ind w:left="0" w:right="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Times New Roman" w:cs="Times New Roman"/>
                <w:color w:val="auto"/>
                <w:sz w:val="21"/>
                <w:szCs w:val="21"/>
                <w:highlight w:val="none"/>
                <w:lang w:eastAsia="zh-CN"/>
              </w:rPr>
              <w:t>特定资格要求</w:t>
            </w:r>
          </w:p>
        </w:tc>
        <w:tc>
          <w:tcPr>
            <w:tcW w:w="5972" w:type="dxa"/>
            <w:tcBorders>
              <w:right w:val="double" w:color="auto" w:sz="4" w:space="0"/>
            </w:tcBorders>
            <w:vAlign w:val="center"/>
          </w:tcPr>
          <w:p w14:paraId="46AB6AB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lang w:val="en-US" w:eastAsia="zh-CN"/>
              </w:rPr>
            </w:pPr>
            <w:r>
              <w:rPr>
                <w:rFonts w:hint="eastAsia"/>
                <w:lang w:val="en-US" w:eastAsia="zh-CN"/>
              </w:rPr>
              <w:t>（1）一标段供应商须具有水利水电工程施工总承包叁级及以上资质；具有有效的安全生产许可证；拟派项目经理须具有水利水电专业二级及以上注册建造师资格（不含临时）及有效的安全生产考核合格证，项目经理未在其他在建工程中担任项目经理并出具无在建承诺书，拟派的项目经理（建造师）提供在本单位缴纳的近三个月任意一个月的社保证明（新成立企业从成立之日起算）；</w:t>
            </w:r>
          </w:p>
          <w:p w14:paraId="23BC698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lang w:val="en-US" w:eastAsia="zh-CN"/>
              </w:rPr>
            </w:pPr>
            <w:r>
              <w:rPr>
                <w:rFonts w:hint="eastAsia"/>
                <w:lang w:val="en-US" w:eastAsia="zh-CN"/>
              </w:rPr>
              <w:t>二标段供应商须具有市政公用工程施工总承包叁级及以上资质，具备有效的安全生产许可证；拟派项目经理须具有市政专业贰级及以上注册建造师资格（不含临时）及有效的安全生产考核合格证，项目经理未在其他在建工程中担任项目经理并出具无在建承诺书，拟派的项目经理（建造师）提供在本单位缴纳的近三个月任意一个月的社保证明（新成立企业从成立之日起算）；</w:t>
            </w:r>
          </w:p>
          <w:p w14:paraId="2B69355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注：采购代理机构在开标当天将对所有参与本项目投标的供应商的信用情况（失信被执行人、重大税收违法失信主体、政府采购严重违法失信行为记录名单）进行查询。若在开标当天查询到供应商有相关负面信息的，则该供应商为无效供应商。</w:t>
            </w:r>
          </w:p>
          <w:p w14:paraId="5A0BA89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lang w:val="en-US" w:eastAsia="zh-CN"/>
              </w:rPr>
            </w:pPr>
            <w:r>
              <w:rPr>
                <w:rFonts w:hint="eastAsia"/>
                <w:lang w:val="en-US" w:eastAsia="zh-CN"/>
              </w:rPr>
              <w:t>（3）须提供《中小企业声明函》（详见采购文件格式）；</w:t>
            </w:r>
          </w:p>
          <w:p w14:paraId="2D51A5A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b w:val="0"/>
                <w:bCs w:val="0"/>
                <w:color w:val="auto"/>
                <w:kern w:val="0"/>
                <w:sz w:val="21"/>
                <w:szCs w:val="21"/>
                <w:highlight w:val="none"/>
                <w:lang w:val="en-US" w:eastAsia="zh-CN" w:bidi="ar"/>
              </w:rPr>
            </w:pPr>
            <w:r>
              <w:rPr>
                <w:rFonts w:hint="eastAsia"/>
                <w:lang w:val="en-US" w:eastAsia="zh-CN"/>
              </w:rPr>
              <w:t>（4）单位负责人为同一人或者存在直接控股、管理关系的不同单位，不得同时参加同一合同项下的政府采购活动【提供“国家企业信用信息公示系统”中公示的公司基础信息包含股东及出资信息截图，查询时间在公告发布之后投标截止时间之前。】</w:t>
            </w:r>
          </w:p>
        </w:tc>
      </w:tr>
      <w:bookmarkEnd w:id="100"/>
      <w:bookmarkEnd w:id="101"/>
      <w:bookmarkEnd w:id="102"/>
      <w:bookmarkEnd w:id="103"/>
      <w:bookmarkEnd w:id="104"/>
      <w:bookmarkEnd w:id="105"/>
    </w:tbl>
    <w:p w14:paraId="0E366761">
      <w:pPr>
        <w:rPr>
          <w:color w:val="auto"/>
          <w:highlight w:val="none"/>
        </w:rPr>
      </w:pPr>
    </w:p>
    <w:p w14:paraId="0FF2C1CB">
      <w:pPr>
        <w:pStyle w:val="2"/>
        <w:rPr>
          <w:color w:val="auto"/>
          <w:highlight w:val="none"/>
        </w:rPr>
      </w:pPr>
    </w:p>
    <w:p w14:paraId="4DD9E50A">
      <w:pPr>
        <w:pStyle w:val="2"/>
        <w:rPr>
          <w:color w:val="auto"/>
          <w:highlight w:val="none"/>
        </w:rPr>
      </w:pPr>
    </w:p>
    <w:p w14:paraId="0A95B7F0">
      <w:pPr>
        <w:pStyle w:val="2"/>
        <w:rPr>
          <w:color w:val="auto"/>
          <w:highlight w:val="none"/>
        </w:rPr>
      </w:pPr>
    </w:p>
    <w:p w14:paraId="77D70375">
      <w:pPr>
        <w:pStyle w:val="2"/>
        <w:rPr>
          <w:color w:val="auto"/>
          <w:highlight w:val="none"/>
        </w:rPr>
      </w:pPr>
    </w:p>
    <w:p w14:paraId="7B9E55AE">
      <w:pPr>
        <w:pStyle w:val="2"/>
        <w:rPr>
          <w:color w:val="auto"/>
          <w:highlight w:val="none"/>
        </w:rPr>
      </w:pPr>
    </w:p>
    <w:p w14:paraId="1BC38B07">
      <w:pPr>
        <w:pStyle w:val="2"/>
        <w:rPr>
          <w:color w:val="auto"/>
          <w:highlight w:val="none"/>
        </w:rPr>
      </w:pPr>
    </w:p>
    <w:p w14:paraId="23CF00A4">
      <w:pPr>
        <w:pStyle w:val="2"/>
        <w:rPr>
          <w:color w:val="auto"/>
          <w:highlight w:val="none"/>
        </w:rPr>
      </w:pPr>
    </w:p>
    <w:p w14:paraId="014393E7">
      <w:pPr>
        <w:pStyle w:val="2"/>
        <w:rPr>
          <w:color w:val="auto"/>
          <w:highlight w:val="none"/>
        </w:rPr>
      </w:pPr>
    </w:p>
    <w:p w14:paraId="261EC4B2">
      <w:pPr>
        <w:pStyle w:val="2"/>
        <w:rPr>
          <w:color w:val="auto"/>
          <w:highlight w:val="none"/>
        </w:rPr>
      </w:pPr>
    </w:p>
    <w:p w14:paraId="1950AD5B">
      <w:pPr>
        <w:pStyle w:val="2"/>
        <w:rPr>
          <w:color w:val="auto"/>
          <w:highlight w:val="none"/>
        </w:rPr>
      </w:pPr>
    </w:p>
    <w:p w14:paraId="79105D9F">
      <w:pPr>
        <w:pStyle w:val="2"/>
        <w:rPr>
          <w:color w:val="auto"/>
          <w:highlight w:val="none"/>
        </w:rPr>
      </w:pPr>
    </w:p>
    <w:p w14:paraId="4DBDBA7A">
      <w:pPr>
        <w:pStyle w:val="2"/>
        <w:rPr>
          <w:color w:val="auto"/>
          <w:highlight w:val="none"/>
        </w:rPr>
      </w:pPr>
    </w:p>
    <w:p w14:paraId="0F6A093E">
      <w:pPr>
        <w:pStyle w:val="2"/>
        <w:rPr>
          <w:color w:val="auto"/>
          <w:highlight w:val="none"/>
        </w:rPr>
      </w:pPr>
    </w:p>
    <w:p w14:paraId="63E01598">
      <w:pPr>
        <w:pStyle w:val="2"/>
        <w:rPr>
          <w:color w:val="auto"/>
          <w:highlight w:val="none"/>
        </w:rPr>
      </w:pPr>
    </w:p>
    <w:p w14:paraId="284E2F10">
      <w:pPr>
        <w:pStyle w:val="2"/>
        <w:rPr>
          <w:color w:val="auto"/>
          <w:highlight w:val="none"/>
        </w:rPr>
      </w:pPr>
    </w:p>
    <w:p w14:paraId="23B1AD22">
      <w:pPr>
        <w:numPr>
          <w:ilvl w:val="0"/>
          <w:numId w:val="6"/>
        </w:numPr>
        <w:rPr>
          <w:rFonts w:hint="eastAsia"/>
          <w:b/>
          <w:bCs/>
          <w:color w:val="auto"/>
          <w:sz w:val="30"/>
          <w:szCs w:val="30"/>
          <w:highlight w:val="none"/>
          <w:lang w:eastAsia="zh-CN"/>
        </w:rPr>
      </w:pPr>
      <w:r>
        <w:rPr>
          <w:rFonts w:hint="eastAsia"/>
          <w:b/>
          <w:bCs/>
          <w:color w:val="auto"/>
          <w:sz w:val="30"/>
          <w:szCs w:val="30"/>
          <w:highlight w:val="none"/>
          <w:lang w:eastAsia="zh-CN"/>
        </w:rPr>
        <w:t>详细评审</w:t>
      </w:r>
    </w:p>
    <w:tbl>
      <w:tblPr>
        <w:tblStyle w:val="82"/>
        <w:tblW w:w="100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1224"/>
        <w:gridCol w:w="1633"/>
        <w:gridCol w:w="4547"/>
        <w:gridCol w:w="1805"/>
      </w:tblGrid>
      <w:tr w14:paraId="2F5B0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jc w:val="center"/>
        </w:trPr>
        <w:tc>
          <w:tcPr>
            <w:tcW w:w="2040" w:type="dxa"/>
            <w:gridSpan w:val="2"/>
            <w:noWrap w:val="0"/>
            <w:vAlign w:val="center"/>
          </w:tcPr>
          <w:p w14:paraId="784B10B4">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1633" w:type="dxa"/>
            <w:noWrap w:val="0"/>
            <w:vAlign w:val="center"/>
          </w:tcPr>
          <w:p w14:paraId="3A4BE72C">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分值构成(总分100分)</w:t>
            </w:r>
          </w:p>
        </w:tc>
        <w:tc>
          <w:tcPr>
            <w:tcW w:w="6352" w:type="dxa"/>
            <w:gridSpan w:val="2"/>
            <w:noWrap w:val="0"/>
            <w:vAlign w:val="center"/>
          </w:tcPr>
          <w:p w14:paraId="09CA84A1">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磋商报价：</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 分</w:t>
            </w:r>
          </w:p>
          <w:p w14:paraId="30C1EC26">
            <w:pPr>
              <w:autoSpaceDE w:val="0"/>
              <w:autoSpaceDN w:val="0"/>
              <w:spacing w:before="0" w:beforeAutospacing="0" w:after="0" w:afterAutospacing="0"/>
              <w:ind w:left="0" w:right="0"/>
              <w:rPr>
                <w:rFonts w:hint="eastAsia"/>
              </w:rPr>
            </w:pPr>
          </w:p>
          <w:p w14:paraId="1CBB0275">
            <w:pPr>
              <w:autoSpaceDE w:val="0"/>
              <w:autoSpaceDN w:val="0"/>
              <w:spacing w:before="0" w:beforeAutospacing="0" w:after="0" w:afterAutospacing="0"/>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商务部分：</w:t>
            </w:r>
            <w:r>
              <w:rPr>
                <w:rFonts w:hint="eastAsia" w:ascii="宋体" w:hAnsi="宋体" w:eastAsia="宋体" w:cs="宋体"/>
                <w:sz w:val="21"/>
                <w:szCs w:val="21"/>
                <w:lang w:val="en-US" w:eastAsia="zh-CN"/>
              </w:rPr>
              <w:t>20</w:t>
            </w:r>
            <w:r>
              <w:rPr>
                <w:rFonts w:hint="eastAsia" w:ascii="宋体" w:hAnsi="宋体" w:eastAsia="宋体" w:cs="宋体"/>
                <w:sz w:val="21"/>
                <w:szCs w:val="21"/>
              </w:rPr>
              <w:t xml:space="preserve"> 分</w:t>
            </w:r>
          </w:p>
          <w:p w14:paraId="5396F190">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 xml:space="preserve"> 分</w:t>
            </w:r>
          </w:p>
        </w:tc>
      </w:tr>
      <w:tr w14:paraId="44170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jc w:val="center"/>
        </w:trPr>
        <w:tc>
          <w:tcPr>
            <w:tcW w:w="2040" w:type="dxa"/>
            <w:gridSpan w:val="2"/>
            <w:vMerge w:val="restart"/>
            <w:noWrap w:val="0"/>
            <w:vAlign w:val="center"/>
          </w:tcPr>
          <w:p w14:paraId="7239FE54">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2.2.1</w:t>
            </w:r>
          </w:p>
        </w:tc>
        <w:tc>
          <w:tcPr>
            <w:tcW w:w="1633" w:type="dxa"/>
            <w:vMerge w:val="restart"/>
            <w:noWrap w:val="0"/>
            <w:vAlign w:val="center"/>
          </w:tcPr>
          <w:p w14:paraId="02C0C778">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磋商报价</w:t>
            </w:r>
          </w:p>
          <w:p w14:paraId="44BBC4EA">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 xml:space="preserve"> 分）</w:t>
            </w:r>
          </w:p>
        </w:tc>
        <w:tc>
          <w:tcPr>
            <w:tcW w:w="6352" w:type="dxa"/>
            <w:gridSpan w:val="2"/>
            <w:noWrap w:val="0"/>
            <w:vAlign w:val="center"/>
          </w:tcPr>
          <w:p w14:paraId="2AA47112">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价格分采用低价优先法计算，以经初步评审满足磋商文件要求且最后报价最低的供应商的价格为磋商基准价，其价格分为满分 </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 xml:space="preserve"> 分。其他供应商的价格分统一按照下列公式计算：</w:t>
            </w:r>
          </w:p>
        </w:tc>
      </w:tr>
      <w:tr w14:paraId="525BB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5" w:hRule="atLeast"/>
          <w:jc w:val="center"/>
        </w:trPr>
        <w:tc>
          <w:tcPr>
            <w:tcW w:w="2040" w:type="dxa"/>
            <w:gridSpan w:val="2"/>
            <w:vMerge w:val="continue"/>
            <w:noWrap w:val="0"/>
            <w:vAlign w:val="center"/>
          </w:tcPr>
          <w:p w14:paraId="70A06769">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p>
        </w:tc>
        <w:tc>
          <w:tcPr>
            <w:tcW w:w="1633" w:type="dxa"/>
            <w:vMerge w:val="continue"/>
            <w:noWrap w:val="0"/>
            <w:vAlign w:val="center"/>
          </w:tcPr>
          <w:p w14:paraId="0B532549">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p>
        </w:tc>
        <w:tc>
          <w:tcPr>
            <w:tcW w:w="6352" w:type="dxa"/>
            <w:gridSpan w:val="2"/>
            <w:noWrap w:val="0"/>
            <w:vAlign w:val="center"/>
          </w:tcPr>
          <w:p w14:paraId="4F32DBBF">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磋商报价得分=(磋商基准价/最后磋商报价)×</w:t>
            </w:r>
            <w:r>
              <w:rPr>
                <w:rFonts w:hint="eastAsia" w:ascii="宋体" w:hAnsi="宋体" w:eastAsia="宋体" w:cs="宋体"/>
                <w:color w:val="auto"/>
                <w:sz w:val="21"/>
                <w:szCs w:val="21"/>
                <w:lang w:val="en-US" w:eastAsia="zh-CN"/>
              </w:rPr>
              <w:t>30</w:t>
            </w:r>
          </w:p>
          <w:p w14:paraId="6A147FF9">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计算结果保留小数点后两位，四舍五入。</w:t>
            </w:r>
          </w:p>
          <w:p w14:paraId="5352A6E7">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备注：本项目专门面向小微企业采购；将不再给予小微企业投标报价的扣除优惠。</w:t>
            </w:r>
          </w:p>
          <w:p w14:paraId="5F475851">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依据政府采购相关法律法规规定，评审过程中，磋商小组发现供应商的磋商报价明显低于其他供应商的磋商报价，使其磋商报价可能低于其个别成本的，磋商小组应当对其质询，并要求该供应商作出书面说明和提供相关的证明材料；该供应商不能合理说明或提供证明材料的，否则将承担不被接受的风险。</w:t>
            </w:r>
          </w:p>
        </w:tc>
      </w:tr>
      <w:tr w14:paraId="29E81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jc w:val="center"/>
        </w:trPr>
        <w:tc>
          <w:tcPr>
            <w:tcW w:w="816" w:type="dxa"/>
            <w:vMerge w:val="restart"/>
            <w:noWrap w:val="0"/>
            <w:vAlign w:val="center"/>
          </w:tcPr>
          <w:p w14:paraId="772C5F7B">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2.2.2</w:t>
            </w:r>
          </w:p>
        </w:tc>
        <w:tc>
          <w:tcPr>
            <w:tcW w:w="1224" w:type="dxa"/>
            <w:vMerge w:val="restart"/>
            <w:noWrap w:val="0"/>
            <w:vAlign w:val="center"/>
          </w:tcPr>
          <w:p w14:paraId="53BF2FDC">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商务部分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w:t>
            </w:r>
          </w:p>
        </w:tc>
        <w:tc>
          <w:tcPr>
            <w:tcW w:w="1633" w:type="dxa"/>
            <w:noWrap w:val="0"/>
            <w:vAlign w:val="center"/>
          </w:tcPr>
          <w:p w14:paraId="67B390C3">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业绩</w:t>
            </w:r>
          </w:p>
          <w:p w14:paraId="6B04F92D">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tc>
        <w:tc>
          <w:tcPr>
            <w:tcW w:w="6352" w:type="dxa"/>
            <w:gridSpan w:val="2"/>
            <w:noWrap w:val="0"/>
            <w:vAlign w:val="center"/>
          </w:tcPr>
          <w:p w14:paraId="5F7CEF37">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供应商2022年1月1日以来具有类似业绩的，每有一项得2分,最多得6分（在响应文件中提供中标（成交）通知书或合同的扫描件，否则不得分）。</w:t>
            </w:r>
          </w:p>
        </w:tc>
      </w:tr>
      <w:tr w14:paraId="0C9E8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jc w:val="center"/>
        </w:trPr>
        <w:tc>
          <w:tcPr>
            <w:tcW w:w="816" w:type="dxa"/>
            <w:vMerge w:val="continue"/>
            <w:noWrap w:val="0"/>
            <w:vAlign w:val="center"/>
          </w:tcPr>
          <w:p w14:paraId="0BF43C3C">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p>
        </w:tc>
        <w:tc>
          <w:tcPr>
            <w:tcW w:w="1224" w:type="dxa"/>
            <w:vMerge w:val="continue"/>
            <w:noWrap w:val="0"/>
            <w:vAlign w:val="center"/>
          </w:tcPr>
          <w:p w14:paraId="1AB5F702">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p>
        </w:tc>
        <w:tc>
          <w:tcPr>
            <w:tcW w:w="1633" w:type="dxa"/>
            <w:noWrap w:val="0"/>
            <w:vAlign w:val="center"/>
          </w:tcPr>
          <w:p w14:paraId="4CB85ED3">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项目主要</w:t>
            </w:r>
          </w:p>
          <w:p w14:paraId="7325382E">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人员配备</w:t>
            </w:r>
          </w:p>
          <w:p w14:paraId="53C4FC41">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分）</w:t>
            </w:r>
          </w:p>
        </w:tc>
        <w:tc>
          <w:tcPr>
            <w:tcW w:w="6352" w:type="dxa"/>
            <w:gridSpan w:val="2"/>
            <w:noWrap w:val="0"/>
            <w:vAlign w:val="center"/>
          </w:tcPr>
          <w:p w14:paraId="149FD9BE">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项目管理机构组成人员（施工员、质检员、安全员、资料员、材料员）配备齐全，每缺一项扣 1分，扣完为止（在响应文件中提供证件扫描件，否则不得分）。</w:t>
            </w:r>
          </w:p>
        </w:tc>
      </w:tr>
      <w:tr w14:paraId="420B9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jc w:val="center"/>
        </w:trPr>
        <w:tc>
          <w:tcPr>
            <w:tcW w:w="816" w:type="dxa"/>
            <w:vMerge w:val="continue"/>
            <w:noWrap w:val="0"/>
            <w:vAlign w:val="center"/>
          </w:tcPr>
          <w:p w14:paraId="54D9BB93">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p>
        </w:tc>
        <w:tc>
          <w:tcPr>
            <w:tcW w:w="1224" w:type="dxa"/>
            <w:vMerge w:val="continue"/>
            <w:noWrap w:val="0"/>
            <w:vAlign w:val="center"/>
          </w:tcPr>
          <w:p w14:paraId="1277B4C7">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p>
        </w:tc>
        <w:tc>
          <w:tcPr>
            <w:tcW w:w="1633" w:type="dxa"/>
            <w:noWrap w:val="0"/>
            <w:vAlign w:val="center"/>
          </w:tcPr>
          <w:p w14:paraId="3EB52D23">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履职尽责承诺（0-</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tc>
        <w:tc>
          <w:tcPr>
            <w:tcW w:w="6352" w:type="dxa"/>
            <w:gridSpan w:val="2"/>
            <w:noWrap w:val="0"/>
            <w:vAlign w:val="center"/>
          </w:tcPr>
          <w:p w14:paraId="6B70AB88">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具有全面、详实、可行、合法有效的书面保证技术措施落实到位的承诺和落实不到位的处理承诺，其中包括各关键岗位人员的在岗、更换等履职尽责承诺，提供承包商履约保证。</w:t>
            </w:r>
          </w:p>
        </w:tc>
      </w:tr>
      <w:tr w14:paraId="39EEB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jc w:val="center"/>
        </w:trPr>
        <w:tc>
          <w:tcPr>
            <w:tcW w:w="816" w:type="dxa"/>
            <w:vMerge w:val="continue"/>
            <w:noWrap w:val="0"/>
            <w:vAlign w:val="center"/>
          </w:tcPr>
          <w:p w14:paraId="1E25FAD9">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p>
        </w:tc>
        <w:tc>
          <w:tcPr>
            <w:tcW w:w="1224" w:type="dxa"/>
            <w:vMerge w:val="continue"/>
            <w:noWrap w:val="0"/>
            <w:vAlign w:val="center"/>
          </w:tcPr>
          <w:p w14:paraId="7135EA43">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p>
        </w:tc>
        <w:tc>
          <w:tcPr>
            <w:tcW w:w="1633" w:type="dxa"/>
            <w:noWrap w:val="0"/>
            <w:vAlign w:val="center"/>
          </w:tcPr>
          <w:p w14:paraId="3449B4F8">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服务承诺</w:t>
            </w:r>
          </w:p>
          <w:p w14:paraId="45DD7B5A">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6352" w:type="dxa"/>
            <w:gridSpan w:val="2"/>
            <w:noWrap w:val="0"/>
            <w:vAlign w:val="center"/>
          </w:tcPr>
          <w:p w14:paraId="015DB169">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承诺在采购人配合下愿意全面负责施工现场及周边的协调工作。（优5分，中3分，差1分，无不得分）</w:t>
            </w:r>
          </w:p>
        </w:tc>
      </w:tr>
      <w:tr w14:paraId="4FCB2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16" w:type="dxa"/>
            <w:vMerge w:val="restart"/>
            <w:noWrap w:val="0"/>
            <w:vAlign w:val="center"/>
          </w:tcPr>
          <w:p w14:paraId="351CE33E">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2.2.3</w:t>
            </w:r>
          </w:p>
        </w:tc>
        <w:tc>
          <w:tcPr>
            <w:tcW w:w="1224" w:type="dxa"/>
            <w:vMerge w:val="restart"/>
            <w:noWrap w:val="0"/>
            <w:vAlign w:val="center"/>
          </w:tcPr>
          <w:p w14:paraId="6453DC50">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 xml:space="preserve"> 分）</w:t>
            </w:r>
          </w:p>
        </w:tc>
        <w:tc>
          <w:tcPr>
            <w:tcW w:w="1633" w:type="dxa"/>
            <w:noWrap w:val="0"/>
            <w:vAlign w:val="center"/>
          </w:tcPr>
          <w:p w14:paraId="795BC470">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内容完整性和编制水平</w:t>
            </w:r>
          </w:p>
          <w:p w14:paraId="2565A9EF">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4547" w:type="dxa"/>
            <w:noWrap w:val="0"/>
            <w:vAlign w:val="center"/>
          </w:tcPr>
          <w:p w14:paraId="46898A1C">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主要内容具有完整性，符合招标文件的要求。</w:t>
            </w:r>
          </w:p>
        </w:tc>
        <w:tc>
          <w:tcPr>
            <w:tcW w:w="1805" w:type="dxa"/>
            <w:noWrap w:val="0"/>
            <w:vAlign w:val="center"/>
          </w:tcPr>
          <w:p w14:paraId="034F6892">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优：得 5 分</w:t>
            </w:r>
          </w:p>
          <w:p w14:paraId="02D01C9D">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中：得 3 分</w:t>
            </w:r>
          </w:p>
          <w:p w14:paraId="6E112354">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差：得 1 分</w:t>
            </w:r>
          </w:p>
        </w:tc>
      </w:tr>
      <w:tr w14:paraId="43560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7" w:hRule="atLeast"/>
          <w:jc w:val="center"/>
        </w:trPr>
        <w:tc>
          <w:tcPr>
            <w:tcW w:w="816" w:type="dxa"/>
            <w:vMerge w:val="continue"/>
            <w:noWrap w:val="0"/>
            <w:vAlign w:val="center"/>
          </w:tcPr>
          <w:p w14:paraId="204AE15A">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1"/>
                <w:szCs w:val="21"/>
              </w:rPr>
            </w:pPr>
          </w:p>
        </w:tc>
        <w:tc>
          <w:tcPr>
            <w:tcW w:w="1224" w:type="dxa"/>
            <w:vMerge w:val="continue"/>
            <w:noWrap w:val="0"/>
            <w:vAlign w:val="center"/>
          </w:tcPr>
          <w:p w14:paraId="40EF1197">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1"/>
                <w:szCs w:val="21"/>
              </w:rPr>
            </w:pPr>
          </w:p>
        </w:tc>
        <w:tc>
          <w:tcPr>
            <w:tcW w:w="1633" w:type="dxa"/>
            <w:noWrap w:val="0"/>
            <w:vAlign w:val="center"/>
          </w:tcPr>
          <w:p w14:paraId="4120D43E">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主要施工方法（0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4547" w:type="dxa"/>
            <w:noWrap w:val="0"/>
            <w:vAlign w:val="center"/>
          </w:tcPr>
          <w:p w14:paraId="4411713F">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施工方案（含工程特点、施工重点与难点及绿色施工）总体安排合理，运用先进、合理的施工工艺、施工机械；对施工难点有先进和合理的建议。</w:t>
            </w:r>
          </w:p>
        </w:tc>
        <w:tc>
          <w:tcPr>
            <w:tcW w:w="1805" w:type="dxa"/>
            <w:noWrap w:val="0"/>
            <w:vAlign w:val="center"/>
          </w:tcPr>
          <w:p w14:paraId="460187A9">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优：得 5 分</w:t>
            </w:r>
          </w:p>
          <w:p w14:paraId="7845B79D">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中：得 3 分</w:t>
            </w:r>
          </w:p>
          <w:p w14:paraId="430908F7">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差：得 1 分</w:t>
            </w:r>
          </w:p>
        </w:tc>
      </w:tr>
      <w:tr w14:paraId="3D451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jc w:val="center"/>
        </w:trPr>
        <w:tc>
          <w:tcPr>
            <w:tcW w:w="816" w:type="dxa"/>
            <w:vMerge w:val="continue"/>
            <w:noWrap w:val="0"/>
            <w:vAlign w:val="center"/>
          </w:tcPr>
          <w:p w14:paraId="743C4227">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1"/>
                <w:szCs w:val="21"/>
              </w:rPr>
            </w:pPr>
          </w:p>
        </w:tc>
        <w:tc>
          <w:tcPr>
            <w:tcW w:w="1224" w:type="dxa"/>
            <w:vMerge w:val="continue"/>
            <w:noWrap w:val="0"/>
            <w:vAlign w:val="center"/>
          </w:tcPr>
          <w:p w14:paraId="3E387923">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1"/>
                <w:szCs w:val="21"/>
              </w:rPr>
            </w:pPr>
          </w:p>
        </w:tc>
        <w:tc>
          <w:tcPr>
            <w:tcW w:w="1633" w:type="dxa"/>
            <w:noWrap w:val="0"/>
            <w:vAlign w:val="center"/>
          </w:tcPr>
          <w:p w14:paraId="72FFCF15">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劳动力安排计划（0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4547" w:type="dxa"/>
            <w:noWrap w:val="0"/>
            <w:vAlign w:val="center"/>
          </w:tcPr>
          <w:p w14:paraId="12ED2AFB">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根据工程施工准备阶段、中期阶段、后期阶段、验收阶段、竣工阶段配备施工队，制定节假日专项措施。</w:t>
            </w:r>
          </w:p>
        </w:tc>
        <w:tc>
          <w:tcPr>
            <w:tcW w:w="1805" w:type="dxa"/>
            <w:noWrap w:val="0"/>
            <w:vAlign w:val="center"/>
          </w:tcPr>
          <w:p w14:paraId="58570844">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优：得 5 分</w:t>
            </w:r>
          </w:p>
          <w:p w14:paraId="27B5A070">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中：得 3 分</w:t>
            </w:r>
          </w:p>
          <w:p w14:paraId="0DCBC825">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差：得 1 分</w:t>
            </w:r>
          </w:p>
        </w:tc>
      </w:tr>
      <w:tr w14:paraId="797B4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7" w:hRule="atLeast"/>
          <w:jc w:val="center"/>
        </w:trPr>
        <w:tc>
          <w:tcPr>
            <w:tcW w:w="816" w:type="dxa"/>
            <w:vMerge w:val="continue"/>
            <w:noWrap w:val="0"/>
            <w:vAlign w:val="center"/>
          </w:tcPr>
          <w:p w14:paraId="4CD0FAF0">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1"/>
                <w:szCs w:val="21"/>
              </w:rPr>
            </w:pPr>
          </w:p>
        </w:tc>
        <w:tc>
          <w:tcPr>
            <w:tcW w:w="1224" w:type="dxa"/>
            <w:vMerge w:val="continue"/>
            <w:noWrap w:val="0"/>
            <w:vAlign w:val="center"/>
          </w:tcPr>
          <w:p w14:paraId="2FF05313">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1"/>
                <w:szCs w:val="21"/>
              </w:rPr>
            </w:pPr>
          </w:p>
        </w:tc>
        <w:tc>
          <w:tcPr>
            <w:tcW w:w="1633" w:type="dxa"/>
            <w:noWrap w:val="0"/>
            <w:vAlign w:val="center"/>
          </w:tcPr>
          <w:p w14:paraId="4B9E0EF9">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确保工程质量的技术组织措施（0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4547" w:type="dxa"/>
            <w:noWrap w:val="0"/>
            <w:vAlign w:val="center"/>
          </w:tcPr>
          <w:p w14:paraId="3BED430B">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组织机构形式合理，有完善的指挥系统、质量监控系统、联络协调系统，对项目提出先进、可行、具体的保证措施。质量保证措施完整得力、经济、安全、切实可行。</w:t>
            </w:r>
          </w:p>
        </w:tc>
        <w:tc>
          <w:tcPr>
            <w:tcW w:w="1805" w:type="dxa"/>
            <w:noWrap w:val="0"/>
            <w:vAlign w:val="center"/>
          </w:tcPr>
          <w:p w14:paraId="1DB2D149">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优：得 5 分</w:t>
            </w:r>
          </w:p>
          <w:p w14:paraId="17F83E3A">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中：得 3 分</w:t>
            </w:r>
          </w:p>
          <w:p w14:paraId="247C3777">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差：得 1 分</w:t>
            </w:r>
          </w:p>
        </w:tc>
      </w:tr>
      <w:tr w14:paraId="28E1C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7" w:hRule="atLeast"/>
          <w:jc w:val="center"/>
        </w:trPr>
        <w:tc>
          <w:tcPr>
            <w:tcW w:w="816" w:type="dxa"/>
            <w:vMerge w:val="continue"/>
            <w:noWrap w:val="0"/>
            <w:vAlign w:val="center"/>
          </w:tcPr>
          <w:p w14:paraId="12FCC89F">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1"/>
                <w:szCs w:val="21"/>
              </w:rPr>
            </w:pPr>
          </w:p>
        </w:tc>
        <w:tc>
          <w:tcPr>
            <w:tcW w:w="1224" w:type="dxa"/>
            <w:vMerge w:val="continue"/>
            <w:noWrap w:val="0"/>
            <w:vAlign w:val="center"/>
          </w:tcPr>
          <w:p w14:paraId="2FEEEBA4">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1"/>
                <w:szCs w:val="21"/>
              </w:rPr>
            </w:pPr>
          </w:p>
        </w:tc>
        <w:tc>
          <w:tcPr>
            <w:tcW w:w="1633" w:type="dxa"/>
            <w:noWrap w:val="0"/>
            <w:vAlign w:val="center"/>
          </w:tcPr>
          <w:p w14:paraId="177199E9">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环境保护管理体系与措施（0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4547" w:type="dxa"/>
            <w:noWrap w:val="0"/>
            <w:vAlign w:val="center"/>
          </w:tcPr>
          <w:p w14:paraId="2B43401E">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施工现场扬尘治理措施符合河南省《城市房屋建筑和市政基础设施工程及道路扬尘污染防治标准》（DBJ41/174）的规定，防治方案科学、先进。</w:t>
            </w:r>
          </w:p>
        </w:tc>
        <w:tc>
          <w:tcPr>
            <w:tcW w:w="1805" w:type="dxa"/>
            <w:noWrap w:val="0"/>
            <w:vAlign w:val="center"/>
          </w:tcPr>
          <w:p w14:paraId="663CCE4E">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优：得 5 分</w:t>
            </w:r>
          </w:p>
          <w:p w14:paraId="10CF3960">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中：得 3 分</w:t>
            </w:r>
          </w:p>
          <w:p w14:paraId="19E95EFF">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差：得 1 分</w:t>
            </w:r>
          </w:p>
        </w:tc>
      </w:tr>
      <w:tr w14:paraId="27A05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7" w:hRule="atLeast"/>
          <w:jc w:val="center"/>
        </w:trPr>
        <w:tc>
          <w:tcPr>
            <w:tcW w:w="816" w:type="dxa"/>
            <w:vMerge w:val="continue"/>
            <w:noWrap w:val="0"/>
            <w:vAlign w:val="center"/>
          </w:tcPr>
          <w:p w14:paraId="6E6AF857">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1"/>
                <w:szCs w:val="21"/>
              </w:rPr>
            </w:pPr>
          </w:p>
        </w:tc>
        <w:tc>
          <w:tcPr>
            <w:tcW w:w="1224" w:type="dxa"/>
            <w:vMerge w:val="continue"/>
            <w:noWrap w:val="0"/>
            <w:vAlign w:val="center"/>
          </w:tcPr>
          <w:p w14:paraId="731DE9B0">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1"/>
                <w:szCs w:val="21"/>
              </w:rPr>
            </w:pPr>
          </w:p>
        </w:tc>
        <w:tc>
          <w:tcPr>
            <w:tcW w:w="1633" w:type="dxa"/>
            <w:noWrap w:val="0"/>
            <w:vAlign w:val="center"/>
          </w:tcPr>
          <w:p w14:paraId="10919B6D">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确保安全生产的技术组织措施（0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4547" w:type="dxa"/>
            <w:noWrap w:val="0"/>
            <w:vAlign w:val="center"/>
          </w:tcPr>
          <w:p w14:paraId="2FAC3E9A">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施工安全生产保障体系健全，安全管理制度完善，安全管理目标具体，全员安全责任制明确，现场安全管理组织机构、人员配备满足国家规定要求。根据工程特点、周边环境和施工工艺，现场重大危险源辨识全面，制定有明确相应的安全管理措施。安全技术方案措施科学合理、先进可行。</w:t>
            </w:r>
          </w:p>
        </w:tc>
        <w:tc>
          <w:tcPr>
            <w:tcW w:w="1805" w:type="dxa"/>
            <w:noWrap w:val="0"/>
            <w:vAlign w:val="center"/>
          </w:tcPr>
          <w:p w14:paraId="1131FCA1">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优：得 5 分</w:t>
            </w:r>
          </w:p>
          <w:p w14:paraId="1762D3A4">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中：得 3 分</w:t>
            </w:r>
          </w:p>
          <w:p w14:paraId="3522B3BA">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差：得 1 分</w:t>
            </w:r>
          </w:p>
        </w:tc>
      </w:tr>
      <w:tr w14:paraId="70142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6" w:hRule="atLeast"/>
          <w:jc w:val="center"/>
        </w:trPr>
        <w:tc>
          <w:tcPr>
            <w:tcW w:w="816" w:type="dxa"/>
            <w:vMerge w:val="continue"/>
            <w:noWrap w:val="0"/>
            <w:vAlign w:val="center"/>
          </w:tcPr>
          <w:p w14:paraId="43D07239">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1"/>
                <w:szCs w:val="21"/>
              </w:rPr>
            </w:pPr>
          </w:p>
        </w:tc>
        <w:tc>
          <w:tcPr>
            <w:tcW w:w="1224" w:type="dxa"/>
            <w:vMerge w:val="continue"/>
            <w:noWrap w:val="0"/>
            <w:vAlign w:val="center"/>
          </w:tcPr>
          <w:p w14:paraId="4B52199C">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1"/>
                <w:szCs w:val="21"/>
              </w:rPr>
            </w:pPr>
          </w:p>
        </w:tc>
        <w:tc>
          <w:tcPr>
            <w:tcW w:w="1633" w:type="dxa"/>
            <w:noWrap w:val="0"/>
            <w:vAlign w:val="center"/>
          </w:tcPr>
          <w:p w14:paraId="589A775E">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确保工期的技术组织措施（0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4547" w:type="dxa"/>
            <w:noWrap w:val="0"/>
            <w:vAlign w:val="center"/>
          </w:tcPr>
          <w:p w14:paraId="6B232096">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工期承诺满足招标文件要求，工期保证措施合理且有针对性，有具体的违约责任承诺。</w:t>
            </w:r>
          </w:p>
        </w:tc>
        <w:tc>
          <w:tcPr>
            <w:tcW w:w="1805" w:type="dxa"/>
            <w:noWrap w:val="0"/>
            <w:vAlign w:val="center"/>
          </w:tcPr>
          <w:p w14:paraId="43274F32">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优：得 5 分</w:t>
            </w:r>
          </w:p>
          <w:p w14:paraId="6043E81C">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中：得 3 分</w:t>
            </w:r>
          </w:p>
          <w:p w14:paraId="187D15D2">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差：得 1 分</w:t>
            </w:r>
          </w:p>
        </w:tc>
      </w:tr>
      <w:tr w14:paraId="2B527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7" w:hRule="atLeast"/>
          <w:jc w:val="center"/>
        </w:trPr>
        <w:tc>
          <w:tcPr>
            <w:tcW w:w="816" w:type="dxa"/>
            <w:vMerge w:val="continue"/>
            <w:noWrap w:val="0"/>
            <w:vAlign w:val="center"/>
          </w:tcPr>
          <w:p w14:paraId="04313A85">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1"/>
                <w:szCs w:val="21"/>
              </w:rPr>
            </w:pPr>
          </w:p>
        </w:tc>
        <w:tc>
          <w:tcPr>
            <w:tcW w:w="1224" w:type="dxa"/>
            <w:vMerge w:val="continue"/>
            <w:noWrap w:val="0"/>
            <w:vAlign w:val="center"/>
          </w:tcPr>
          <w:p w14:paraId="691C0F71">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1"/>
                <w:szCs w:val="21"/>
              </w:rPr>
            </w:pPr>
          </w:p>
        </w:tc>
        <w:tc>
          <w:tcPr>
            <w:tcW w:w="1633" w:type="dxa"/>
            <w:noWrap w:val="0"/>
            <w:vAlign w:val="center"/>
          </w:tcPr>
          <w:p w14:paraId="1655DACD">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确保文明施工的技术组织措施（0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4547" w:type="dxa"/>
            <w:noWrap w:val="0"/>
            <w:vAlign w:val="center"/>
          </w:tcPr>
          <w:p w14:paraId="40C93449">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创安全文明标准化工地目标明确，有针对项目实际情况，科学可行的创建计划和符合相关标准、规范、规程的创建保证措施和安全文明措施费用投入使用计划，现场施工区、办公区等设置科学规范，符合有关文明施工、健康卫生的规定。</w:t>
            </w:r>
          </w:p>
        </w:tc>
        <w:tc>
          <w:tcPr>
            <w:tcW w:w="1805" w:type="dxa"/>
            <w:noWrap w:val="0"/>
            <w:vAlign w:val="center"/>
          </w:tcPr>
          <w:p w14:paraId="053AB984">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优：得 5 分</w:t>
            </w:r>
          </w:p>
          <w:p w14:paraId="5F88F8B0">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中：得 3 分</w:t>
            </w:r>
          </w:p>
          <w:p w14:paraId="5023F248">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差：得 1 分</w:t>
            </w:r>
          </w:p>
        </w:tc>
      </w:tr>
      <w:tr w14:paraId="0BCCE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7" w:hRule="atLeast"/>
          <w:jc w:val="center"/>
        </w:trPr>
        <w:tc>
          <w:tcPr>
            <w:tcW w:w="816" w:type="dxa"/>
            <w:vMerge w:val="continue"/>
            <w:noWrap w:val="0"/>
            <w:vAlign w:val="center"/>
          </w:tcPr>
          <w:p w14:paraId="417A4A15">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1"/>
                <w:szCs w:val="21"/>
              </w:rPr>
            </w:pPr>
          </w:p>
        </w:tc>
        <w:tc>
          <w:tcPr>
            <w:tcW w:w="1224" w:type="dxa"/>
            <w:vMerge w:val="continue"/>
            <w:noWrap w:val="0"/>
            <w:vAlign w:val="center"/>
          </w:tcPr>
          <w:p w14:paraId="55F7C942">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1"/>
                <w:szCs w:val="21"/>
              </w:rPr>
            </w:pPr>
          </w:p>
        </w:tc>
        <w:tc>
          <w:tcPr>
            <w:tcW w:w="1633" w:type="dxa"/>
            <w:noWrap w:val="0"/>
            <w:vAlign w:val="center"/>
          </w:tcPr>
          <w:p w14:paraId="3CCC4B36">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施工总进度表或施工网络图</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4547" w:type="dxa"/>
            <w:noWrap w:val="0"/>
            <w:vAlign w:val="center"/>
          </w:tcPr>
          <w:p w14:paraId="3FF44440">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关键线路清晰、准确、完整、计划编制合理、可行、满足招标文件对工期的要求。</w:t>
            </w:r>
          </w:p>
        </w:tc>
        <w:tc>
          <w:tcPr>
            <w:tcW w:w="1805" w:type="dxa"/>
            <w:noWrap w:val="0"/>
            <w:vAlign w:val="center"/>
          </w:tcPr>
          <w:p w14:paraId="159C06E9">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优：得 5 分</w:t>
            </w:r>
          </w:p>
          <w:p w14:paraId="62B9B1B3">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中：得 3 分</w:t>
            </w:r>
          </w:p>
          <w:p w14:paraId="52AFBB21">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差：得 1 分</w:t>
            </w:r>
          </w:p>
        </w:tc>
      </w:tr>
      <w:tr w14:paraId="38F22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jc w:val="center"/>
        </w:trPr>
        <w:tc>
          <w:tcPr>
            <w:tcW w:w="816" w:type="dxa"/>
            <w:vMerge w:val="continue"/>
            <w:noWrap w:val="0"/>
            <w:vAlign w:val="center"/>
          </w:tcPr>
          <w:p w14:paraId="16BA1F81">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1"/>
                <w:szCs w:val="21"/>
              </w:rPr>
            </w:pPr>
          </w:p>
        </w:tc>
        <w:tc>
          <w:tcPr>
            <w:tcW w:w="1224" w:type="dxa"/>
            <w:vMerge w:val="continue"/>
            <w:noWrap w:val="0"/>
            <w:vAlign w:val="center"/>
          </w:tcPr>
          <w:p w14:paraId="54C89CEB">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1"/>
                <w:szCs w:val="21"/>
              </w:rPr>
            </w:pPr>
          </w:p>
        </w:tc>
        <w:tc>
          <w:tcPr>
            <w:tcW w:w="1633" w:type="dxa"/>
            <w:noWrap w:val="0"/>
            <w:vAlign w:val="center"/>
          </w:tcPr>
          <w:p w14:paraId="0E91220D">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施工总平面图（0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4547" w:type="dxa"/>
            <w:noWrap w:val="0"/>
            <w:vAlign w:val="center"/>
          </w:tcPr>
          <w:p w14:paraId="125848F2">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总体布置有针对性、合理、能较好满足施工需要，符合安全、文明施工要求；材料堆放有序。</w:t>
            </w:r>
          </w:p>
        </w:tc>
        <w:tc>
          <w:tcPr>
            <w:tcW w:w="1805" w:type="dxa"/>
            <w:noWrap w:val="0"/>
            <w:vAlign w:val="center"/>
          </w:tcPr>
          <w:p w14:paraId="4BBD00A9">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优：得 5 分</w:t>
            </w:r>
          </w:p>
          <w:p w14:paraId="26E1D569">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中：得 3 分</w:t>
            </w:r>
          </w:p>
          <w:p w14:paraId="22437A4E">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差：得 1 分</w:t>
            </w:r>
          </w:p>
        </w:tc>
      </w:tr>
      <w:tr w14:paraId="653B4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816" w:type="dxa"/>
            <w:vMerge w:val="continue"/>
            <w:noWrap w:val="0"/>
            <w:vAlign w:val="center"/>
          </w:tcPr>
          <w:p w14:paraId="25D2ECC4">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p>
        </w:tc>
        <w:tc>
          <w:tcPr>
            <w:tcW w:w="1224" w:type="dxa"/>
            <w:vMerge w:val="continue"/>
            <w:noWrap w:val="0"/>
            <w:vAlign w:val="center"/>
          </w:tcPr>
          <w:p w14:paraId="50F97003">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1"/>
                <w:szCs w:val="21"/>
              </w:rPr>
            </w:pPr>
          </w:p>
        </w:tc>
        <w:tc>
          <w:tcPr>
            <w:tcW w:w="7985" w:type="dxa"/>
            <w:gridSpan w:val="3"/>
            <w:noWrap w:val="0"/>
            <w:vAlign w:val="center"/>
          </w:tcPr>
          <w:p w14:paraId="63521B3F">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1、各档次的标准设定及评标量化标准如下：</w:t>
            </w:r>
          </w:p>
          <w:p w14:paraId="77F06A90">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优：内容详实，方案科学、合理、安全，考虑周全，措施到位，针对性强，完全能够满足招标工程的需要；</w:t>
            </w:r>
          </w:p>
          <w:p w14:paraId="2B5DC10A">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eastAsia="宋体" w:cs="宋体"/>
                <w:color w:val="auto"/>
                <w:sz w:val="21"/>
                <w:szCs w:val="21"/>
                <w:lang w:val="en-US" w:eastAsia="zh-CN"/>
              </w:rPr>
              <w:t>内容完整，方案基本科学、合理、安全，基本考虑周全，措施基本到位，针对性较强，可以满足采购的需要，但有个别细节需要进一步完善或提高</w:t>
            </w:r>
            <w:r>
              <w:rPr>
                <w:rFonts w:hint="eastAsia" w:ascii="宋体" w:hAnsi="宋体" w:eastAsia="宋体" w:cs="宋体"/>
                <w:color w:val="auto"/>
                <w:sz w:val="21"/>
                <w:szCs w:val="21"/>
              </w:rPr>
              <w:t>；</w:t>
            </w:r>
          </w:p>
          <w:p w14:paraId="061210DD">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差：内容基本完整，方案在科学、合理、安全性方面一般，基本考虑不周，措施不够到位，针对性不强，虽然能够基本满足招标内容的需要，但有很多方面需要进一步完善甚至重新考虑。</w:t>
            </w:r>
          </w:p>
          <w:p w14:paraId="01E93C63">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2、各分项内容如缺项，相应项目得分为 0。</w:t>
            </w:r>
          </w:p>
        </w:tc>
      </w:tr>
      <w:tr w14:paraId="4A8E3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jc w:val="center"/>
        </w:trPr>
        <w:tc>
          <w:tcPr>
            <w:tcW w:w="10025" w:type="dxa"/>
            <w:gridSpan w:val="5"/>
            <w:noWrap w:val="0"/>
            <w:vAlign w:val="center"/>
          </w:tcPr>
          <w:p w14:paraId="39722646">
            <w:pPr>
              <w:pStyle w:val="47"/>
              <w:spacing w:before="0" w:beforeAutospacing="0" w:after="0" w:afterAutospacing="0" w:line="360" w:lineRule="auto"/>
              <w:ind w:left="0" w:righ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供应商综合得分=价格部分得分+商务部分得分＋技术部分得分</w:t>
            </w:r>
          </w:p>
          <w:p w14:paraId="4572EF56">
            <w:pPr>
              <w:pStyle w:val="47"/>
              <w:spacing w:before="0" w:beforeAutospacing="0" w:after="0" w:afterAutospacing="0" w:line="360" w:lineRule="auto"/>
              <w:ind w:left="210" w:leftChars="100" w:right="0" w:firstLine="0" w:firstLineChars="0"/>
              <w:jc w:val="left"/>
              <w:rPr>
                <w:rFonts w:hint="eastAsia"/>
              </w:rPr>
            </w:pPr>
            <w:r>
              <w:rPr>
                <w:rFonts w:hint="eastAsia" w:ascii="宋体" w:hAnsi="宋体" w:eastAsia="宋体" w:cs="宋体"/>
                <w:color w:val="auto"/>
                <w:sz w:val="21"/>
                <w:szCs w:val="21"/>
                <w:highlight w:val="none"/>
              </w:rPr>
              <w:t>供应商的最终得分：计算过程中评委个人分值按四舍五入保留三位小数，最终结果按四舍五入保留两位小数。以各评标委员会打分的算术平均值作为该投标人的最终得分</w:t>
            </w:r>
          </w:p>
        </w:tc>
      </w:tr>
    </w:tbl>
    <w:tbl>
      <w:tblPr>
        <w:tblStyle w:val="27"/>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6"/>
        <w:gridCol w:w="5859"/>
      </w:tblGrid>
      <w:tr w14:paraId="4994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4186" w:type="dxa"/>
            <w:vMerge w:val="restart"/>
            <w:noWrap w:val="0"/>
            <w:vAlign w:val="center"/>
          </w:tcPr>
          <w:p w14:paraId="084E9339">
            <w:pPr>
              <w:spacing w:before="0" w:beforeAutospacing="0" w:after="0" w:afterAutospacing="0"/>
              <w:ind w:left="0" w:right="0"/>
              <w:jc w:val="center"/>
              <w:rPr>
                <w:rFonts w:hint="eastAsia" w:ascii="宋体" w:hAnsi="宋体" w:eastAsia="宋体" w:cs="宋体"/>
                <w:color w:val="auto"/>
                <w:sz w:val="21"/>
                <w:szCs w:val="21"/>
                <w:highlight w:val="none"/>
              </w:rPr>
            </w:pPr>
            <w:bookmarkStart w:id="106" w:name="_Toc10657"/>
            <w:bookmarkStart w:id="107" w:name="_Toc12526"/>
            <w:bookmarkStart w:id="108" w:name="_Toc5269853"/>
            <w:bookmarkStart w:id="109" w:name="_Toc11164"/>
            <w:r>
              <w:rPr>
                <w:rFonts w:hint="eastAsia" w:ascii="宋体" w:hAnsi="宋体" w:eastAsia="宋体" w:cs="宋体"/>
                <w:color w:val="auto"/>
                <w:sz w:val="21"/>
                <w:szCs w:val="21"/>
                <w:highlight w:val="none"/>
              </w:rPr>
              <w:t>废标条款</w:t>
            </w:r>
          </w:p>
        </w:tc>
        <w:tc>
          <w:tcPr>
            <w:tcW w:w="5859" w:type="dxa"/>
            <w:noWrap w:val="0"/>
            <w:vAlign w:val="center"/>
          </w:tcPr>
          <w:p w14:paraId="054A6738">
            <w:pPr>
              <w:pStyle w:val="49"/>
              <w:spacing w:before="0" w:beforeAutospacing="0" w:after="0" w:afterAutospacing="0" w:line="390" w:lineRule="exact"/>
              <w:ind w:left="0" w:right="60" w:right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投标截止时间止，投标人少于 3 个的。</w:t>
            </w:r>
          </w:p>
        </w:tc>
      </w:tr>
      <w:tr w14:paraId="5CC5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186" w:type="dxa"/>
            <w:vMerge w:val="continue"/>
            <w:noWrap w:val="0"/>
            <w:vAlign w:val="center"/>
          </w:tcPr>
          <w:p w14:paraId="71D1FE49">
            <w:pPr>
              <w:spacing w:before="0" w:beforeAutospacing="0" w:after="0" w:afterAutospacing="0"/>
              <w:ind w:left="0" w:right="0"/>
              <w:rPr>
                <w:rFonts w:hint="eastAsia" w:ascii="宋体" w:hAnsi="宋体" w:eastAsia="宋体" w:cs="宋体"/>
                <w:color w:val="auto"/>
                <w:sz w:val="21"/>
                <w:szCs w:val="21"/>
                <w:highlight w:val="none"/>
              </w:rPr>
            </w:pPr>
          </w:p>
        </w:tc>
        <w:tc>
          <w:tcPr>
            <w:tcW w:w="5859" w:type="dxa"/>
            <w:noWrap w:val="0"/>
            <w:vAlign w:val="center"/>
          </w:tcPr>
          <w:p w14:paraId="7C89DD55">
            <w:pPr>
              <w:pStyle w:val="49"/>
              <w:spacing w:before="73"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经评标委员会评审后否决所有投标的。</w:t>
            </w:r>
          </w:p>
        </w:tc>
      </w:tr>
      <w:tr w14:paraId="56DB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186" w:type="dxa"/>
            <w:vMerge w:val="continue"/>
            <w:noWrap w:val="0"/>
            <w:vAlign w:val="center"/>
          </w:tcPr>
          <w:p w14:paraId="7CCCD57B">
            <w:pPr>
              <w:spacing w:before="0" w:beforeAutospacing="0" w:after="0" w:afterAutospacing="0"/>
              <w:ind w:left="0" w:right="0"/>
              <w:rPr>
                <w:rFonts w:hint="eastAsia" w:ascii="宋体" w:hAnsi="宋体" w:eastAsia="宋体" w:cs="宋体"/>
                <w:color w:val="auto"/>
                <w:sz w:val="21"/>
                <w:szCs w:val="21"/>
                <w:highlight w:val="none"/>
              </w:rPr>
            </w:pPr>
          </w:p>
        </w:tc>
        <w:tc>
          <w:tcPr>
            <w:tcW w:w="5859" w:type="dxa"/>
            <w:noWrap w:val="0"/>
            <w:vAlign w:val="center"/>
          </w:tcPr>
          <w:p w14:paraId="05986835">
            <w:pPr>
              <w:pStyle w:val="49"/>
              <w:spacing w:before="14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投标人的投标报价高于最高投标限价。</w:t>
            </w:r>
          </w:p>
        </w:tc>
      </w:tr>
      <w:tr w14:paraId="1170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186" w:type="dxa"/>
            <w:vMerge w:val="continue"/>
            <w:noWrap w:val="0"/>
            <w:vAlign w:val="center"/>
          </w:tcPr>
          <w:p w14:paraId="07EC40B4">
            <w:pPr>
              <w:spacing w:before="0" w:beforeAutospacing="0" w:after="0" w:afterAutospacing="0"/>
              <w:ind w:left="0" w:right="0"/>
              <w:rPr>
                <w:rFonts w:hint="eastAsia" w:ascii="宋体" w:hAnsi="宋体" w:eastAsia="宋体" w:cs="宋体"/>
                <w:color w:val="auto"/>
                <w:sz w:val="21"/>
                <w:szCs w:val="21"/>
                <w:highlight w:val="none"/>
              </w:rPr>
            </w:pPr>
          </w:p>
        </w:tc>
        <w:tc>
          <w:tcPr>
            <w:tcW w:w="5859" w:type="dxa"/>
            <w:noWrap w:val="0"/>
            <w:vAlign w:val="center"/>
          </w:tcPr>
          <w:p w14:paraId="11F33EC8">
            <w:pPr>
              <w:pStyle w:val="49"/>
              <w:spacing w:before="14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投标人投标文件制作机器码一致的。</w:t>
            </w:r>
          </w:p>
        </w:tc>
      </w:tr>
      <w:tr w14:paraId="31F8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6" w:type="dxa"/>
            <w:vMerge w:val="continue"/>
            <w:noWrap w:val="0"/>
            <w:vAlign w:val="center"/>
          </w:tcPr>
          <w:p w14:paraId="1EBBACE5">
            <w:pPr>
              <w:spacing w:before="0" w:beforeAutospacing="0" w:after="0" w:afterAutospacing="0"/>
              <w:ind w:left="0" w:right="0"/>
              <w:rPr>
                <w:rFonts w:hint="eastAsia" w:ascii="宋体" w:hAnsi="宋体" w:eastAsia="宋体" w:cs="宋体"/>
                <w:color w:val="auto"/>
                <w:sz w:val="21"/>
                <w:szCs w:val="21"/>
                <w:highlight w:val="none"/>
              </w:rPr>
            </w:pPr>
          </w:p>
        </w:tc>
        <w:tc>
          <w:tcPr>
            <w:tcW w:w="5859" w:type="dxa"/>
            <w:noWrap w:val="0"/>
            <w:vAlign w:val="center"/>
          </w:tcPr>
          <w:p w14:paraId="6258B333">
            <w:pPr>
              <w:pStyle w:val="49"/>
              <w:spacing w:before="142"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法律法规规定的其他内容。</w:t>
            </w:r>
          </w:p>
        </w:tc>
      </w:tr>
      <w:bookmarkEnd w:id="106"/>
      <w:bookmarkEnd w:id="107"/>
    </w:tbl>
    <w:p w14:paraId="1B662923">
      <w:pPr>
        <w:pStyle w:val="6"/>
        <w:spacing w:line="460" w:lineRule="exact"/>
        <w:jc w:val="left"/>
        <w:rPr>
          <w:rFonts w:ascii="宋体" w:hAnsi="宋体"/>
          <w:bCs w:val="0"/>
          <w:color w:val="auto"/>
          <w:sz w:val="21"/>
          <w:szCs w:val="21"/>
          <w:highlight w:val="none"/>
        </w:rPr>
      </w:pPr>
      <w:bookmarkStart w:id="110" w:name="_Toc25442"/>
      <w:bookmarkStart w:id="111" w:name="_Toc9950"/>
      <w:bookmarkStart w:id="112" w:name="_Toc2654"/>
      <w:r>
        <w:rPr>
          <w:rFonts w:hint="eastAsia" w:ascii="宋体" w:hAnsi="宋体"/>
          <w:bCs w:val="0"/>
          <w:color w:val="auto"/>
          <w:sz w:val="21"/>
          <w:szCs w:val="21"/>
          <w:highlight w:val="none"/>
        </w:rPr>
        <w:t>1.磋商程序及方法</w:t>
      </w:r>
      <w:bookmarkEnd w:id="108"/>
      <w:bookmarkEnd w:id="109"/>
      <w:bookmarkEnd w:id="110"/>
      <w:bookmarkEnd w:id="111"/>
      <w:bookmarkEnd w:id="112"/>
    </w:p>
    <w:p w14:paraId="5814D4A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1.1初步评审；</w:t>
      </w:r>
    </w:p>
    <w:p w14:paraId="260D619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1.2磋商；</w:t>
      </w:r>
    </w:p>
    <w:p w14:paraId="62C7C6E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1.3 综合评分。</w:t>
      </w:r>
    </w:p>
    <w:p w14:paraId="7773E937">
      <w:pPr>
        <w:pStyle w:val="6"/>
        <w:spacing w:line="460" w:lineRule="exact"/>
        <w:jc w:val="left"/>
        <w:rPr>
          <w:rFonts w:ascii="宋体" w:hAnsi="宋体"/>
          <w:bCs w:val="0"/>
          <w:color w:val="auto"/>
          <w:sz w:val="21"/>
          <w:szCs w:val="21"/>
          <w:highlight w:val="none"/>
        </w:rPr>
      </w:pPr>
      <w:bookmarkStart w:id="113" w:name="_Toc20027"/>
      <w:bookmarkStart w:id="114" w:name="_Toc14560"/>
      <w:bookmarkStart w:id="115" w:name="_Toc5269854"/>
      <w:bookmarkStart w:id="116" w:name="_Toc27667"/>
      <w:bookmarkStart w:id="117" w:name="_Toc26584"/>
      <w:r>
        <w:rPr>
          <w:rFonts w:hint="eastAsia" w:ascii="宋体" w:hAnsi="宋体"/>
          <w:bCs w:val="0"/>
          <w:color w:val="auto"/>
          <w:sz w:val="21"/>
          <w:szCs w:val="21"/>
          <w:highlight w:val="none"/>
        </w:rPr>
        <w:t>2.确定成交供应商原则</w:t>
      </w:r>
      <w:bookmarkEnd w:id="113"/>
      <w:bookmarkEnd w:id="114"/>
      <w:bookmarkEnd w:id="115"/>
      <w:bookmarkEnd w:id="116"/>
      <w:bookmarkEnd w:id="117"/>
    </w:p>
    <w:p w14:paraId="5FD6CB3C">
      <w:pPr>
        <w:tabs>
          <w:tab w:val="left" w:pos="720"/>
          <w:tab w:val="left" w:pos="1980"/>
        </w:tabs>
        <w:spacing w:line="460" w:lineRule="exact"/>
        <w:ind w:firstLine="422" w:firstLineChars="200"/>
        <w:rPr>
          <w:rFonts w:ascii="宋体" w:hAnsi="宋体"/>
          <w:b/>
          <w:color w:val="auto"/>
          <w:szCs w:val="21"/>
          <w:highlight w:val="none"/>
        </w:rPr>
      </w:pPr>
      <w:bookmarkStart w:id="118" w:name="_Toc144974568"/>
      <w:bookmarkStart w:id="119" w:name="_Toc152045601"/>
      <w:bookmarkStart w:id="120" w:name="_Toc152042378"/>
      <w:bookmarkStart w:id="121" w:name="_Toc409023137"/>
      <w:bookmarkStart w:id="122" w:name="_Toc179632619"/>
      <w:r>
        <w:rPr>
          <w:rFonts w:hint="eastAsia" w:ascii="宋体" w:hAnsi="宋体"/>
          <w:b/>
          <w:color w:val="auto"/>
          <w:szCs w:val="21"/>
          <w:highlight w:val="none"/>
        </w:rPr>
        <w:t>响应文件满足磋商文件全部实质性要求且按评审因素的量化指标评审得分最高的供应商为成交供应商。</w:t>
      </w:r>
    </w:p>
    <w:bookmarkEnd w:id="118"/>
    <w:bookmarkEnd w:id="119"/>
    <w:bookmarkEnd w:id="120"/>
    <w:bookmarkEnd w:id="121"/>
    <w:bookmarkEnd w:id="122"/>
    <w:p w14:paraId="485CFD74">
      <w:pPr>
        <w:pStyle w:val="6"/>
        <w:spacing w:line="460" w:lineRule="exact"/>
        <w:jc w:val="left"/>
        <w:rPr>
          <w:rFonts w:ascii="宋体" w:hAnsi="宋体"/>
          <w:bCs w:val="0"/>
          <w:color w:val="auto"/>
          <w:sz w:val="21"/>
          <w:szCs w:val="21"/>
          <w:highlight w:val="none"/>
        </w:rPr>
      </w:pPr>
      <w:bookmarkStart w:id="123" w:name="_Toc32254"/>
      <w:bookmarkStart w:id="124" w:name="_Toc5269855"/>
      <w:bookmarkStart w:id="125" w:name="_Toc2600"/>
      <w:bookmarkStart w:id="126" w:name="_Toc19301"/>
      <w:bookmarkStart w:id="127" w:name="_Toc10826"/>
      <w:bookmarkStart w:id="128" w:name="_Toc152042379"/>
      <w:bookmarkStart w:id="129" w:name="_Toc144974569"/>
      <w:bookmarkStart w:id="130" w:name="_Toc152045602"/>
      <w:bookmarkStart w:id="131" w:name="_Toc179632620"/>
      <w:r>
        <w:rPr>
          <w:rFonts w:hint="eastAsia" w:ascii="宋体" w:hAnsi="宋体"/>
          <w:bCs w:val="0"/>
          <w:color w:val="auto"/>
          <w:sz w:val="21"/>
          <w:szCs w:val="21"/>
          <w:highlight w:val="none"/>
        </w:rPr>
        <w:t>3.初步评审</w:t>
      </w:r>
      <w:bookmarkEnd w:id="123"/>
      <w:bookmarkEnd w:id="124"/>
      <w:bookmarkEnd w:id="125"/>
      <w:bookmarkEnd w:id="126"/>
      <w:bookmarkEnd w:id="127"/>
    </w:p>
    <w:p w14:paraId="28870E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3.1初步评审标准</w:t>
      </w:r>
      <w:bookmarkEnd w:id="128"/>
      <w:bookmarkEnd w:id="129"/>
      <w:bookmarkEnd w:id="130"/>
      <w:bookmarkEnd w:id="131"/>
    </w:p>
    <w:p w14:paraId="66632E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3.1.1资格评审标准：见磋商程序及办法前附表。</w:t>
      </w:r>
    </w:p>
    <w:p w14:paraId="6DE7B0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3.1.2 符合性评审标准：见磋商程序及办法前附表。</w:t>
      </w:r>
    </w:p>
    <w:p w14:paraId="352965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 磋商小组依据本章第2款规定的标准对磋商响应文件进行初步评审。</w:t>
      </w:r>
    </w:p>
    <w:p w14:paraId="2B05B2AF">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3.3 供应商有以下情形之一的，其磋商响应文件作废标处理：</w:t>
      </w:r>
    </w:p>
    <w:p w14:paraId="13E7CB5F">
      <w:pPr>
        <w:widowControl w:val="0"/>
        <w:wordWrap/>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（1）串通投标或弄虚作假或有其他违法行为的；</w:t>
      </w:r>
    </w:p>
    <w:p w14:paraId="11A7FEEC">
      <w:pPr>
        <w:widowControl w:val="0"/>
        <w:wordWrap/>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（2）不按磋商小组要求澄清、说明或补正的；</w:t>
      </w:r>
    </w:p>
    <w:p w14:paraId="3D97DF15">
      <w:pPr>
        <w:widowControl w:val="0"/>
        <w:wordWrap/>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）响应文件中载明的标准和方法等不符合谈判文件的要求；</w:t>
      </w:r>
    </w:p>
    <w:p w14:paraId="0038FD0B">
      <w:pPr>
        <w:pStyle w:val="11"/>
        <w:widowControl w:val="0"/>
        <w:wordWrap/>
        <w:adjustRightInd/>
        <w:snapToGrid/>
        <w:spacing w:line="360" w:lineRule="auto"/>
        <w:ind w:firstLine="420" w:firstLineChars="200"/>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（4）不符合供应商须知前附表“供应商资格要求”的</w:t>
      </w:r>
    </w:p>
    <w:p w14:paraId="110D677C">
      <w:pPr>
        <w:widowControl w:val="0"/>
        <w:numPr>
          <w:ilvl w:val="0"/>
          <w:numId w:val="0"/>
        </w:numPr>
        <w:wordWrap/>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0"/>
          <w:kern w:val="2"/>
          <w:sz w:val="21"/>
          <w:szCs w:val="21"/>
          <w:highlight w:val="none"/>
          <w:lang w:val="en-US" w:eastAsia="zh-CN" w:bidi="ar-SA"/>
        </w:rPr>
        <w:t>（5）</w:t>
      </w:r>
      <w:r>
        <w:rPr>
          <w:rFonts w:hint="eastAsia" w:ascii="宋体" w:hAnsi="宋体" w:eastAsia="宋体" w:cs="宋体"/>
          <w:b w:val="0"/>
          <w:bCs w:val="0"/>
          <w:color w:val="auto"/>
          <w:sz w:val="21"/>
          <w:szCs w:val="21"/>
          <w:highlight w:val="none"/>
        </w:rPr>
        <w:t>不符合法律、法规和</w:t>
      </w:r>
      <w:r>
        <w:rPr>
          <w:rFonts w:hint="eastAsia" w:ascii="宋体" w:hAnsi="宋体" w:cs="宋体"/>
          <w:b w:val="0"/>
          <w:bCs w:val="0"/>
          <w:color w:val="auto"/>
          <w:sz w:val="21"/>
          <w:szCs w:val="21"/>
          <w:highlight w:val="none"/>
          <w:lang w:eastAsia="zh-CN"/>
        </w:rPr>
        <w:t>采购</w:t>
      </w:r>
      <w:r>
        <w:rPr>
          <w:rFonts w:hint="eastAsia" w:ascii="宋体" w:hAnsi="宋体" w:eastAsia="宋体" w:cs="宋体"/>
          <w:b w:val="0"/>
          <w:bCs w:val="0"/>
          <w:color w:val="auto"/>
          <w:sz w:val="21"/>
          <w:szCs w:val="21"/>
          <w:highlight w:val="none"/>
        </w:rPr>
        <w:t>文件中规定的其他实质性要求和无效情形的。</w:t>
      </w:r>
    </w:p>
    <w:p w14:paraId="6487CAD4">
      <w:pPr>
        <w:spacing w:line="360" w:lineRule="auto"/>
        <w:ind w:firstLine="422" w:firstLineChars="200"/>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6</w:t>
      </w:r>
      <w:r>
        <w:rPr>
          <w:rFonts w:hint="eastAsia" w:ascii="宋体" w:eastAsia="宋体" w:cs="宋体"/>
          <w:b/>
          <w:bCs/>
          <w:color w:val="auto"/>
          <w:sz w:val="21"/>
          <w:szCs w:val="21"/>
          <w:highlight w:val="none"/>
          <w:lang w:eastAsia="zh-CN"/>
        </w:rPr>
        <w:t>）响应文件制作机器码一致的</w:t>
      </w:r>
      <w:r>
        <w:rPr>
          <w:rFonts w:hint="eastAsia" w:ascii="宋体" w:cs="宋体"/>
          <w:b/>
          <w:bCs/>
          <w:color w:val="auto"/>
          <w:sz w:val="21"/>
          <w:szCs w:val="21"/>
          <w:highlight w:val="none"/>
          <w:lang w:eastAsia="zh-CN"/>
        </w:rPr>
        <w:t>。</w:t>
      </w:r>
    </w:p>
    <w:p w14:paraId="06347F7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3.4 磋商小组在对响应文件的有效性、完整性和响应程度进行审查时，可以要求供应商对响应文件中含义不明确、同类问题表述不一致或者有明显文件和计算错误的内容等做出必要的澄清、说明或者更正。供应商的澄清、说明或者更正不得超出响应文件的范围或者该表响应文件的实质性内容。</w:t>
      </w:r>
    </w:p>
    <w:p w14:paraId="795B3BF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磋商小组要求供应商澄清、说明或者更正响应文件应在磋商规定的时间内提出</w:t>
      </w:r>
      <w:r>
        <w:rPr>
          <w:rFonts w:hint="eastAsia" w:ascii="宋体" w:hAnsi="宋体"/>
          <w:color w:val="auto"/>
          <w:szCs w:val="21"/>
          <w:highlight w:val="none"/>
          <w:lang w:eastAsia="zh-CN"/>
        </w:rPr>
        <w:t>盖单位章或电子签章</w:t>
      </w:r>
      <w:r>
        <w:rPr>
          <w:rFonts w:hint="eastAsia" w:ascii="宋体" w:hAnsi="宋体"/>
          <w:color w:val="auto"/>
          <w:szCs w:val="21"/>
          <w:highlight w:val="none"/>
        </w:rPr>
        <w:t>。</w:t>
      </w:r>
    </w:p>
    <w:p w14:paraId="4FE97D3E">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3.5 磋商报价有算术错误的，磋商小组按以下原则对磋商报价进行修正，修正的价格经供应商</w:t>
      </w:r>
      <w:r>
        <w:rPr>
          <w:rFonts w:hint="eastAsia" w:ascii="宋体" w:hAnsi="宋体"/>
          <w:color w:val="auto"/>
          <w:szCs w:val="21"/>
          <w:highlight w:val="none"/>
          <w:lang w:eastAsia="zh-CN"/>
        </w:rPr>
        <w:t>盖单位章或电子签章</w:t>
      </w:r>
      <w:r>
        <w:rPr>
          <w:rFonts w:hint="eastAsia" w:ascii="宋体" w:hAnsi="宋体"/>
          <w:color w:val="auto"/>
          <w:szCs w:val="21"/>
          <w:highlight w:val="none"/>
        </w:rPr>
        <w:t>确认后具有约束力。供应商不接受修正价格的，其磋商响应文件作废标处理。</w:t>
      </w:r>
      <w:bookmarkStart w:id="132" w:name="_Toc152042383"/>
    </w:p>
    <w:p w14:paraId="45B1705F">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（1）磋商响应文件中的大写金额与小写金额不一致的，以大写金额为准；</w:t>
      </w:r>
      <w:bookmarkEnd w:id="132"/>
    </w:p>
    <w:p w14:paraId="518E1FC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（2）总价金额与依据单价计算出的结果不一致的，以单价金额为准修正总价，但单价金额小数点有明显错误的除外。</w:t>
      </w:r>
    </w:p>
    <w:p w14:paraId="499F906C">
      <w:pPr>
        <w:pStyle w:val="6"/>
        <w:spacing w:line="460" w:lineRule="exact"/>
        <w:jc w:val="left"/>
        <w:rPr>
          <w:rFonts w:ascii="宋体" w:hAnsi="宋体"/>
          <w:bCs w:val="0"/>
          <w:color w:val="auto"/>
          <w:sz w:val="21"/>
          <w:szCs w:val="21"/>
          <w:highlight w:val="none"/>
        </w:rPr>
      </w:pPr>
      <w:bookmarkStart w:id="133" w:name="_Toc144974573"/>
      <w:bookmarkStart w:id="134" w:name="_Toc152045606"/>
      <w:bookmarkStart w:id="135" w:name="_Toc152042384"/>
      <w:bookmarkStart w:id="136" w:name="_Toc179632624"/>
      <w:bookmarkStart w:id="137" w:name="_Toc24256"/>
      <w:bookmarkStart w:id="138" w:name="_Toc32178"/>
      <w:bookmarkStart w:id="139" w:name="_Toc4653"/>
      <w:bookmarkStart w:id="140" w:name="_Toc5269856"/>
      <w:bookmarkStart w:id="141" w:name="_Toc24174"/>
      <w:r>
        <w:rPr>
          <w:rFonts w:hint="eastAsia" w:ascii="宋体" w:hAnsi="宋体"/>
          <w:bCs w:val="0"/>
          <w:color w:val="auto"/>
          <w:sz w:val="21"/>
          <w:szCs w:val="21"/>
          <w:highlight w:val="none"/>
        </w:rPr>
        <w:t>4.</w:t>
      </w:r>
      <w:bookmarkEnd w:id="133"/>
      <w:bookmarkEnd w:id="134"/>
      <w:bookmarkEnd w:id="135"/>
      <w:bookmarkEnd w:id="136"/>
      <w:r>
        <w:rPr>
          <w:rFonts w:hint="eastAsia" w:ascii="宋体" w:hAnsi="宋体"/>
          <w:bCs w:val="0"/>
          <w:color w:val="auto"/>
          <w:sz w:val="21"/>
          <w:szCs w:val="21"/>
          <w:highlight w:val="none"/>
        </w:rPr>
        <w:t>磋商</w:t>
      </w:r>
      <w:bookmarkEnd w:id="137"/>
      <w:bookmarkEnd w:id="138"/>
      <w:bookmarkEnd w:id="139"/>
      <w:bookmarkEnd w:id="140"/>
      <w:bookmarkEnd w:id="141"/>
    </w:p>
    <w:p w14:paraId="43FC91EF">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4.1磋商小组所有成员应当集中与通过初步评审的单一供应商分别进行磋商，并给与所有参加磋商的供应商平等的磋商机会。</w:t>
      </w:r>
    </w:p>
    <w:p w14:paraId="0BEDD45A">
      <w:pPr>
        <w:spacing w:line="460" w:lineRule="exact"/>
        <w:ind w:firstLine="420" w:firstLineChars="200"/>
        <w:rPr>
          <w:rFonts w:ascii="宋体" w:hAnsi="宋体"/>
          <w:bCs w:val="0"/>
          <w:color w:val="auto"/>
          <w:sz w:val="21"/>
          <w:szCs w:val="21"/>
          <w:highlight w:val="none"/>
        </w:rPr>
      </w:pPr>
      <w:r>
        <w:rPr>
          <w:rFonts w:hint="eastAsia" w:ascii="宋体" w:hAnsi="宋体"/>
          <w:color w:val="auto"/>
          <w:szCs w:val="21"/>
          <w:highlight w:val="none"/>
        </w:rPr>
        <w:t>4.2磋商结束后，磋商小组要求所有实质性响应的供应商在规定时间内提交最后报价，最后报价必须在磋商小组要求的时间内提交，最后报价是供应商响应文件的有效组成部分。</w:t>
      </w:r>
      <w:bookmarkStart w:id="142" w:name="_Toc5269857"/>
      <w:bookmarkStart w:id="143" w:name="_Toc1923"/>
      <w:bookmarkStart w:id="144" w:name="_Toc152045608"/>
      <w:bookmarkStart w:id="145" w:name="_Toc152042386"/>
      <w:bookmarkStart w:id="146" w:name="_Toc179632626"/>
      <w:bookmarkStart w:id="147" w:name="_Toc144974576"/>
    </w:p>
    <w:p w14:paraId="1417DFDA">
      <w:pPr>
        <w:pStyle w:val="6"/>
        <w:spacing w:line="460" w:lineRule="exact"/>
        <w:jc w:val="left"/>
        <w:rPr>
          <w:rFonts w:ascii="宋体" w:hAnsi="宋体"/>
          <w:bCs w:val="0"/>
          <w:color w:val="auto"/>
          <w:sz w:val="21"/>
          <w:szCs w:val="21"/>
          <w:highlight w:val="none"/>
        </w:rPr>
      </w:pPr>
      <w:bookmarkStart w:id="148" w:name="_Toc19795"/>
      <w:bookmarkStart w:id="149" w:name="_Toc31429"/>
      <w:bookmarkStart w:id="150" w:name="_Toc13590"/>
      <w:r>
        <w:rPr>
          <w:rFonts w:hint="eastAsia" w:ascii="宋体" w:hAnsi="宋体"/>
          <w:bCs w:val="0"/>
          <w:color w:val="auto"/>
          <w:sz w:val="21"/>
          <w:szCs w:val="21"/>
          <w:highlight w:val="none"/>
        </w:rPr>
        <w:t>5.综合评分</w:t>
      </w:r>
      <w:bookmarkEnd w:id="142"/>
      <w:bookmarkEnd w:id="143"/>
      <w:bookmarkEnd w:id="148"/>
      <w:bookmarkEnd w:id="149"/>
      <w:bookmarkEnd w:id="150"/>
    </w:p>
    <w:p w14:paraId="37B16E4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经磋商确定提交最后报价的供应商后，由磋商小组采用综合评分法对提交最后报价的供应商的响应文件和最后报价进行综合评分。综合评分办法见磋商程序及办法前附表。</w:t>
      </w:r>
    </w:p>
    <w:p w14:paraId="03826F8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5.1分值构成</w:t>
      </w:r>
    </w:p>
    <w:p w14:paraId="1F2E2F9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分值构成：见磋商程序及办法前附表。</w:t>
      </w:r>
    </w:p>
    <w:p w14:paraId="5411E6A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5.2 </w:t>
      </w:r>
      <w:r>
        <w:rPr>
          <w:rFonts w:hint="eastAsia"/>
          <w:color w:val="auto"/>
          <w:szCs w:val="21"/>
          <w:highlight w:val="none"/>
        </w:rPr>
        <w:t>磋商基准价</w:t>
      </w:r>
    </w:p>
    <w:p w14:paraId="46D96B41">
      <w:pPr>
        <w:spacing w:line="460" w:lineRule="exact"/>
        <w:ind w:firstLine="420" w:firstLineChars="200"/>
        <w:rPr>
          <w:rFonts w:ascii="宋体" w:hAnsi="宋体"/>
          <w:color w:val="auto"/>
          <w:szCs w:val="21"/>
          <w:highlight w:val="none"/>
        </w:rPr>
      </w:pPr>
      <w:r>
        <w:rPr>
          <w:rFonts w:hint="eastAsia"/>
          <w:color w:val="auto"/>
          <w:szCs w:val="21"/>
          <w:highlight w:val="none"/>
        </w:rPr>
        <w:t>磋商基准价</w:t>
      </w:r>
      <w:r>
        <w:rPr>
          <w:rFonts w:hint="eastAsia" w:ascii="宋体" w:hAnsi="宋体"/>
          <w:color w:val="auto"/>
          <w:szCs w:val="21"/>
          <w:highlight w:val="none"/>
        </w:rPr>
        <w:t>：见磋商程序及办法前附表。</w:t>
      </w:r>
    </w:p>
    <w:p w14:paraId="59A184CC">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5.3 评分标准</w:t>
      </w:r>
    </w:p>
    <w:p w14:paraId="4518ED8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评分标准：见磋商程序及办法前附表。</w:t>
      </w:r>
    </w:p>
    <w:p w14:paraId="06E3C883">
      <w:pPr>
        <w:pStyle w:val="6"/>
        <w:spacing w:line="460" w:lineRule="exact"/>
        <w:jc w:val="left"/>
        <w:rPr>
          <w:rFonts w:ascii="宋体" w:hAnsi="宋体"/>
          <w:bCs w:val="0"/>
          <w:color w:val="auto"/>
          <w:sz w:val="21"/>
          <w:szCs w:val="21"/>
          <w:highlight w:val="none"/>
        </w:rPr>
      </w:pPr>
      <w:bookmarkStart w:id="151" w:name="_Toc5269858"/>
      <w:bookmarkStart w:id="152" w:name="_Toc13457"/>
      <w:bookmarkStart w:id="153" w:name="_Toc3554"/>
      <w:bookmarkStart w:id="154" w:name="_Toc11290"/>
      <w:bookmarkStart w:id="155" w:name="_Toc6801"/>
      <w:r>
        <w:rPr>
          <w:rFonts w:hint="eastAsia" w:ascii="宋体" w:hAnsi="宋体"/>
          <w:bCs w:val="0"/>
          <w:color w:val="auto"/>
          <w:sz w:val="21"/>
          <w:szCs w:val="21"/>
          <w:highlight w:val="none"/>
        </w:rPr>
        <w:t>6.磋商结果</w:t>
      </w:r>
      <w:bookmarkEnd w:id="151"/>
      <w:bookmarkEnd w:id="152"/>
      <w:bookmarkEnd w:id="153"/>
      <w:bookmarkEnd w:id="154"/>
      <w:bookmarkEnd w:id="155"/>
    </w:p>
    <w:bookmarkEnd w:id="144"/>
    <w:bookmarkEnd w:id="145"/>
    <w:bookmarkEnd w:id="146"/>
    <w:bookmarkEnd w:id="147"/>
    <w:p w14:paraId="7C0BEDB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磋商结束后，磋商小组编写评审报告，根据综合评分情况，按照评审得分由高到低的顺序推荐3名成交候选人。原则上，得分最高者为本项目的成交供应商。评审得分相同的，按照最后报价由低到高的顺序确定。评审得分且最后报价相同的，按照技术指标优劣顺序确定。</w:t>
      </w:r>
    </w:p>
    <w:p w14:paraId="49AF58D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D133E15">
      <w:pPr>
        <w:rPr>
          <w:rStyle w:val="60"/>
          <w:rFonts w:hint="eastAsia"/>
          <w:color w:val="auto"/>
          <w:highlight w:val="none"/>
        </w:rPr>
        <w:sectPr>
          <w:headerReference r:id="rId5" w:type="default"/>
          <w:footerReference r:id="rId6" w:type="default"/>
          <w:pgSz w:w="11911" w:h="16838"/>
          <w:pgMar w:top="1134" w:right="1689" w:bottom="1440" w:left="1689" w:header="720" w:footer="720" w:gutter="0"/>
          <w:pgNumType w:fmt="decimal"/>
          <w:cols w:space="720" w:num="1"/>
        </w:sectPr>
      </w:pPr>
      <w:bookmarkStart w:id="156" w:name="_Toc11800"/>
    </w:p>
    <w:p w14:paraId="05834BA2">
      <w:pPr>
        <w:pStyle w:val="4"/>
        <w:rPr>
          <w:b/>
          <w:bCs/>
          <w:sz w:val="28"/>
          <w:szCs w:val="28"/>
          <w:highlight w:val="none"/>
        </w:rPr>
      </w:pPr>
      <w:bookmarkStart w:id="157" w:name="_Toc29213"/>
      <w:r>
        <w:rPr>
          <w:rStyle w:val="60"/>
          <w:rFonts w:hint="eastAsia"/>
          <w:b/>
          <w:bCs/>
          <w:color w:val="auto"/>
          <w:highlight w:val="none"/>
        </w:rPr>
        <w:t xml:space="preserve">第四章 </w:t>
      </w:r>
      <w:bookmarkEnd w:id="156"/>
      <w:r>
        <w:rPr>
          <w:rStyle w:val="60"/>
          <w:rFonts w:hint="eastAsia"/>
          <w:b/>
          <w:bCs/>
          <w:color w:val="auto"/>
          <w:highlight w:val="none"/>
          <w:lang w:eastAsia="zh-CN"/>
        </w:rPr>
        <w:t>工程量清单</w:t>
      </w:r>
      <w:bookmarkEnd w:id="157"/>
    </w:p>
    <w:p w14:paraId="65F51609">
      <w:pPr>
        <w:pStyle w:val="26"/>
        <w:ind w:left="0" w:leftChars="0" w:firstLine="0" w:firstLineChars="0"/>
        <w:jc w:val="center"/>
        <w:rPr>
          <w:rStyle w:val="60"/>
          <w:rFonts w:hint="default" w:eastAsia="宋体" w:cs="Times New Roman"/>
          <w:b/>
          <w:bCs/>
          <w:color w:val="auto"/>
          <w:highlight w:val="none"/>
          <w:lang w:val="en-US" w:eastAsia="zh-CN"/>
        </w:rPr>
      </w:pPr>
      <w:bookmarkStart w:id="158" w:name="_Toc28515"/>
      <w:r>
        <w:rPr>
          <w:rStyle w:val="60"/>
          <w:rFonts w:hint="eastAsia" w:eastAsia="宋体" w:cs="Times New Roman"/>
          <w:b/>
          <w:bCs/>
          <w:color w:val="auto"/>
          <w:highlight w:val="none"/>
          <w:lang w:val="en-US" w:eastAsia="zh-CN"/>
        </w:rPr>
        <w:t>（另附）</w:t>
      </w:r>
    </w:p>
    <w:p w14:paraId="78CA0146">
      <w:pPr>
        <w:pStyle w:val="44"/>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未尽事宜，执行国家、省相关政策文件。</w:t>
      </w:r>
    </w:p>
    <w:p w14:paraId="7ECFE378">
      <w:pPr>
        <w:pStyle w:val="44"/>
        <w:widowControl w:val="0"/>
        <w:numPr>
          <w:ilvl w:val="0"/>
          <w:numId w:val="0"/>
        </w:numPr>
        <w:snapToGrid w:val="0"/>
        <w:spacing w:line="360" w:lineRule="auto"/>
        <w:ind w:firstLine="723" w:firstLineChars="300"/>
        <w:jc w:val="both"/>
        <w:rPr>
          <w:rFonts w:hint="default" w:ascii="宋体" w:hAnsi="宋体" w:eastAsia="宋体" w:cs="宋体"/>
          <w:b/>
          <w:bCs/>
          <w:color w:val="auto"/>
          <w:kern w:val="2"/>
          <w:sz w:val="24"/>
          <w:szCs w:val="24"/>
          <w:highlight w:val="none"/>
          <w:lang w:val="en-US" w:eastAsia="zh-CN" w:bidi="ar-SA"/>
        </w:rPr>
        <w:sectPr>
          <w:pgSz w:w="11911" w:h="16838"/>
          <w:pgMar w:top="1134" w:right="1689" w:bottom="1440" w:left="1689" w:header="720" w:footer="720" w:gutter="0"/>
          <w:pgNumType w:fmt="decimal"/>
          <w:cols w:space="720" w:num="1"/>
        </w:sectPr>
      </w:pPr>
      <w:r>
        <w:rPr>
          <w:rFonts w:hint="eastAsia" w:ascii="宋体" w:hAnsi="宋体" w:eastAsia="宋体" w:cs="宋体"/>
          <w:b/>
          <w:bCs/>
          <w:color w:val="auto"/>
          <w:kern w:val="2"/>
          <w:sz w:val="24"/>
          <w:szCs w:val="24"/>
          <w:highlight w:val="none"/>
          <w:lang w:val="en-US" w:eastAsia="zh-CN" w:bidi="ar-SA"/>
        </w:rPr>
        <w:t>2、跟本项目相关的其他要求，成交供应商按采购人实际规定为准。</w:t>
      </w:r>
    </w:p>
    <w:p w14:paraId="628E02CF">
      <w:pPr>
        <w:pStyle w:val="4"/>
        <w:numPr>
          <w:ilvl w:val="0"/>
          <w:numId w:val="7"/>
        </w:numPr>
        <w:rPr>
          <w:rStyle w:val="60"/>
          <w:rFonts w:hint="eastAsia"/>
          <w:b/>
          <w:bCs/>
          <w:color w:val="auto"/>
          <w:highlight w:val="none"/>
        </w:rPr>
      </w:pPr>
      <w:bookmarkStart w:id="159" w:name="_Toc16051"/>
      <w:r>
        <w:rPr>
          <w:rStyle w:val="60"/>
          <w:rFonts w:hint="eastAsia"/>
          <w:b/>
          <w:bCs/>
          <w:color w:val="auto"/>
          <w:highlight w:val="none"/>
          <w:lang w:val="en-US" w:eastAsia="zh-CN"/>
        </w:rPr>
        <w:t>图纸</w:t>
      </w:r>
      <w:bookmarkEnd w:id="159"/>
    </w:p>
    <w:p w14:paraId="7406B8D8">
      <w:pPr>
        <w:rPr>
          <w:rStyle w:val="60"/>
          <w:rFonts w:hint="eastAsia"/>
          <w:b/>
          <w:bCs/>
          <w:color w:val="auto"/>
          <w:highlight w:val="none"/>
          <w:lang w:val="en-US" w:eastAsia="zh-CN"/>
        </w:rPr>
      </w:pPr>
    </w:p>
    <w:p w14:paraId="63C4C949">
      <w:pPr>
        <w:pStyle w:val="26"/>
        <w:ind w:left="0" w:leftChars="0" w:firstLine="0" w:firstLineChars="0"/>
        <w:jc w:val="center"/>
        <w:rPr>
          <w:rStyle w:val="60"/>
          <w:rFonts w:hint="eastAsia"/>
          <w:b/>
          <w:bCs/>
          <w:color w:val="auto"/>
          <w:highlight w:val="none"/>
          <w:lang w:val="en-US" w:eastAsia="zh-CN"/>
        </w:rPr>
      </w:pPr>
      <w:bookmarkStart w:id="160" w:name="_Toc23985"/>
      <w:r>
        <w:rPr>
          <w:rStyle w:val="60"/>
          <w:rFonts w:hint="eastAsia"/>
          <w:b/>
          <w:bCs/>
          <w:color w:val="auto"/>
          <w:highlight w:val="none"/>
          <w:lang w:val="en-US" w:eastAsia="zh-CN"/>
        </w:rPr>
        <w:t>（另附）</w:t>
      </w:r>
    </w:p>
    <w:bookmarkEnd w:id="160"/>
    <w:p w14:paraId="574699D5">
      <w:pPr>
        <w:pStyle w:val="26"/>
        <w:ind w:left="0" w:leftChars="0" w:firstLine="0" w:firstLineChars="0"/>
        <w:jc w:val="center"/>
        <w:rPr>
          <w:rStyle w:val="60"/>
          <w:rFonts w:hint="eastAsia"/>
          <w:b/>
          <w:bCs/>
          <w:color w:val="auto"/>
          <w:highlight w:val="none"/>
          <w:lang w:val="en-US" w:eastAsia="zh-CN"/>
        </w:rPr>
      </w:pPr>
    </w:p>
    <w:p w14:paraId="0721F456">
      <w:pPr>
        <w:pStyle w:val="26"/>
        <w:ind w:left="0" w:leftChars="0" w:firstLine="0" w:firstLineChars="0"/>
        <w:jc w:val="center"/>
        <w:rPr>
          <w:rStyle w:val="60"/>
          <w:rFonts w:hint="eastAsia"/>
          <w:b/>
          <w:bCs/>
          <w:color w:val="auto"/>
          <w:highlight w:val="none"/>
          <w:lang w:val="en-US" w:eastAsia="zh-CN"/>
        </w:rPr>
      </w:pPr>
    </w:p>
    <w:p w14:paraId="4999CD6E">
      <w:pPr>
        <w:pStyle w:val="26"/>
        <w:ind w:left="0" w:leftChars="0" w:firstLine="0" w:firstLineChars="0"/>
        <w:jc w:val="center"/>
        <w:rPr>
          <w:rStyle w:val="60"/>
          <w:rFonts w:hint="eastAsia"/>
          <w:b/>
          <w:bCs/>
          <w:color w:val="auto"/>
          <w:highlight w:val="none"/>
          <w:lang w:val="en-US" w:eastAsia="zh-CN"/>
        </w:rPr>
      </w:pPr>
    </w:p>
    <w:p w14:paraId="739806D9">
      <w:pPr>
        <w:pStyle w:val="26"/>
        <w:ind w:left="0" w:leftChars="0" w:firstLine="0" w:firstLineChars="0"/>
        <w:jc w:val="center"/>
        <w:rPr>
          <w:rStyle w:val="60"/>
          <w:rFonts w:hint="eastAsia"/>
          <w:b/>
          <w:bCs/>
          <w:color w:val="auto"/>
          <w:highlight w:val="none"/>
          <w:lang w:val="en-US" w:eastAsia="zh-CN"/>
        </w:rPr>
      </w:pPr>
    </w:p>
    <w:p w14:paraId="3DFFA52A">
      <w:pPr>
        <w:pStyle w:val="26"/>
        <w:ind w:left="0" w:leftChars="0" w:firstLine="0" w:firstLineChars="0"/>
        <w:jc w:val="center"/>
        <w:rPr>
          <w:rStyle w:val="60"/>
          <w:rFonts w:hint="eastAsia"/>
          <w:b/>
          <w:bCs/>
          <w:color w:val="auto"/>
          <w:highlight w:val="none"/>
          <w:lang w:val="en-US" w:eastAsia="zh-CN"/>
        </w:rPr>
      </w:pPr>
    </w:p>
    <w:p w14:paraId="725A4040">
      <w:pPr>
        <w:pStyle w:val="26"/>
        <w:ind w:left="0" w:leftChars="0" w:firstLine="0" w:firstLineChars="0"/>
        <w:jc w:val="center"/>
        <w:rPr>
          <w:rStyle w:val="60"/>
          <w:rFonts w:hint="eastAsia"/>
          <w:b/>
          <w:bCs/>
          <w:color w:val="auto"/>
          <w:highlight w:val="none"/>
          <w:lang w:val="en-US" w:eastAsia="zh-CN"/>
        </w:rPr>
      </w:pPr>
    </w:p>
    <w:p w14:paraId="55AAFF29">
      <w:pPr>
        <w:pStyle w:val="26"/>
        <w:ind w:left="0" w:leftChars="0" w:firstLine="0" w:firstLineChars="0"/>
        <w:jc w:val="center"/>
        <w:rPr>
          <w:rStyle w:val="60"/>
          <w:rFonts w:hint="eastAsia"/>
          <w:b/>
          <w:bCs/>
          <w:color w:val="auto"/>
          <w:highlight w:val="none"/>
          <w:lang w:val="en-US" w:eastAsia="zh-CN"/>
        </w:rPr>
      </w:pPr>
    </w:p>
    <w:p w14:paraId="5BB5DDEC">
      <w:pPr>
        <w:pStyle w:val="26"/>
        <w:ind w:left="0" w:leftChars="0" w:firstLine="0" w:firstLineChars="0"/>
        <w:jc w:val="center"/>
        <w:rPr>
          <w:rStyle w:val="60"/>
          <w:rFonts w:hint="eastAsia"/>
          <w:b/>
          <w:bCs/>
          <w:color w:val="auto"/>
          <w:highlight w:val="none"/>
          <w:lang w:val="en-US" w:eastAsia="zh-CN"/>
        </w:rPr>
      </w:pPr>
    </w:p>
    <w:p w14:paraId="54D02CDB">
      <w:pPr>
        <w:pStyle w:val="26"/>
        <w:ind w:left="0" w:leftChars="0" w:firstLine="0" w:firstLineChars="0"/>
        <w:jc w:val="center"/>
        <w:rPr>
          <w:rStyle w:val="60"/>
          <w:rFonts w:hint="eastAsia"/>
          <w:b/>
          <w:bCs/>
          <w:color w:val="auto"/>
          <w:highlight w:val="none"/>
          <w:lang w:val="en-US" w:eastAsia="zh-CN"/>
        </w:rPr>
      </w:pPr>
    </w:p>
    <w:p w14:paraId="57E1E591">
      <w:pPr>
        <w:pStyle w:val="26"/>
        <w:ind w:left="0" w:leftChars="0" w:firstLine="0" w:firstLineChars="0"/>
        <w:jc w:val="center"/>
        <w:rPr>
          <w:rStyle w:val="60"/>
          <w:rFonts w:hint="eastAsia"/>
          <w:b/>
          <w:bCs/>
          <w:color w:val="auto"/>
          <w:highlight w:val="none"/>
          <w:lang w:val="en-US" w:eastAsia="zh-CN"/>
        </w:rPr>
      </w:pPr>
    </w:p>
    <w:p w14:paraId="307AD230">
      <w:pPr>
        <w:pStyle w:val="26"/>
        <w:ind w:left="0" w:leftChars="0" w:firstLine="0" w:firstLineChars="0"/>
        <w:jc w:val="center"/>
        <w:rPr>
          <w:rStyle w:val="60"/>
          <w:rFonts w:hint="eastAsia"/>
          <w:b/>
          <w:bCs/>
          <w:color w:val="auto"/>
          <w:highlight w:val="none"/>
          <w:lang w:val="en-US" w:eastAsia="zh-CN"/>
        </w:rPr>
      </w:pPr>
    </w:p>
    <w:p w14:paraId="6A11BF69">
      <w:pPr>
        <w:pStyle w:val="26"/>
        <w:ind w:left="0" w:leftChars="0" w:firstLine="0" w:firstLineChars="0"/>
        <w:jc w:val="center"/>
        <w:rPr>
          <w:rStyle w:val="60"/>
          <w:rFonts w:hint="eastAsia"/>
          <w:b/>
          <w:bCs/>
          <w:color w:val="auto"/>
          <w:highlight w:val="none"/>
          <w:lang w:val="en-US" w:eastAsia="zh-CN"/>
        </w:rPr>
      </w:pPr>
    </w:p>
    <w:p w14:paraId="391B18FC">
      <w:pPr>
        <w:pStyle w:val="26"/>
        <w:ind w:left="0" w:leftChars="0" w:firstLine="0" w:firstLineChars="0"/>
        <w:jc w:val="center"/>
        <w:rPr>
          <w:rStyle w:val="60"/>
          <w:rFonts w:hint="eastAsia"/>
          <w:b/>
          <w:bCs/>
          <w:color w:val="auto"/>
          <w:highlight w:val="none"/>
          <w:lang w:val="en-US" w:eastAsia="zh-CN"/>
        </w:rPr>
      </w:pPr>
    </w:p>
    <w:p w14:paraId="24E29468">
      <w:pPr>
        <w:pStyle w:val="26"/>
        <w:ind w:left="0" w:leftChars="0" w:firstLine="0" w:firstLineChars="0"/>
        <w:jc w:val="center"/>
        <w:rPr>
          <w:rStyle w:val="60"/>
          <w:rFonts w:hint="eastAsia"/>
          <w:b/>
          <w:bCs/>
          <w:color w:val="auto"/>
          <w:highlight w:val="none"/>
          <w:lang w:val="en-US" w:eastAsia="zh-CN"/>
        </w:rPr>
      </w:pPr>
    </w:p>
    <w:p w14:paraId="53EEB4BF">
      <w:pPr>
        <w:pStyle w:val="26"/>
        <w:ind w:left="0" w:leftChars="0" w:firstLine="0" w:firstLineChars="0"/>
        <w:jc w:val="center"/>
        <w:rPr>
          <w:rStyle w:val="60"/>
          <w:rFonts w:hint="eastAsia"/>
          <w:b/>
          <w:bCs/>
          <w:color w:val="auto"/>
          <w:highlight w:val="none"/>
          <w:lang w:val="en-US" w:eastAsia="zh-CN"/>
        </w:rPr>
      </w:pPr>
    </w:p>
    <w:p w14:paraId="1BF2F47F">
      <w:pPr>
        <w:pStyle w:val="26"/>
        <w:ind w:left="0" w:leftChars="0" w:firstLine="0" w:firstLineChars="0"/>
        <w:jc w:val="center"/>
        <w:rPr>
          <w:rStyle w:val="60"/>
          <w:rFonts w:hint="eastAsia"/>
          <w:b/>
          <w:bCs/>
          <w:color w:val="auto"/>
          <w:highlight w:val="none"/>
          <w:lang w:val="en-US" w:eastAsia="zh-CN"/>
        </w:rPr>
      </w:pPr>
    </w:p>
    <w:p w14:paraId="0E116860">
      <w:pPr>
        <w:pStyle w:val="26"/>
        <w:ind w:left="0" w:leftChars="0" w:firstLine="0" w:firstLineChars="0"/>
        <w:jc w:val="center"/>
        <w:rPr>
          <w:rStyle w:val="60"/>
          <w:rFonts w:hint="eastAsia"/>
          <w:b/>
          <w:bCs/>
          <w:color w:val="auto"/>
          <w:highlight w:val="none"/>
          <w:lang w:val="en-US" w:eastAsia="zh-CN"/>
        </w:rPr>
      </w:pPr>
    </w:p>
    <w:p w14:paraId="3BC9014C">
      <w:pPr>
        <w:pStyle w:val="26"/>
        <w:ind w:left="0" w:leftChars="0" w:firstLine="0" w:firstLineChars="0"/>
        <w:jc w:val="center"/>
        <w:rPr>
          <w:rStyle w:val="60"/>
          <w:rFonts w:hint="eastAsia"/>
          <w:b/>
          <w:bCs/>
          <w:color w:val="auto"/>
          <w:highlight w:val="none"/>
          <w:lang w:val="en-US" w:eastAsia="zh-CN"/>
        </w:rPr>
      </w:pPr>
    </w:p>
    <w:p w14:paraId="79116524">
      <w:pPr>
        <w:pStyle w:val="26"/>
        <w:ind w:left="0" w:leftChars="0" w:firstLine="0" w:firstLineChars="0"/>
        <w:jc w:val="center"/>
        <w:rPr>
          <w:rStyle w:val="60"/>
          <w:rFonts w:hint="eastAsia"/>
          <w:b/>
          <w:bCs/>
          <w:color w:val="auto"/>
          <w:highlight w:val="none"/>
          <w:lang w:val="en-US" w:eastAsia="zh-CN"/>
        </w:rPr>
      </w:pPr>
    </w:p>
    <w:p w14:paraId="015CCB94">
      <w:pPr>
        <w:pStyle w:val="26"/>
        <w:ind w:left="0" w:leftChars="0" w:firstLine="0" w:firstLineChars="0"/>
        <w:jc w:val="center"/>
        <w:rPr>
          <w:rStyle w:val="60"/>
          <w:rFonts w:hint="eastAsia"/>
          <w:b/>
          <w:bCs/>
          <w:color w:val="auto"/>
          <w:highlight w:val="none"/>
          <w:lang w:val="en-US" w:eastAsia="zh-CN"/>
        </w:rPr>
      </w:pPr>
    </w:p>
    <w:p w14:paraId="317A7B15">
      <w:pPr>
        <w:pStyle w:val="26"/>
        <w:ind w:left="0" w:leftChars="0" w:firstLine="0" w:firstLineChars="0"/>
        <w:jc w:val="center"/>
        <w:rPr>
          <w:rStyle w:val="60"/>
          <w:rFonts w:hint="eastAsia"/>
          <w:b/>
          <w:bCs/>
          <w:color w:val="auto"/>
          <w:highlight w:val="none"/>
          <w:lang w:val="en-US" w:eastAsia="zh-CN"/>
        </w:rPr>
      </w:pPr>
    </w:p>
    <w:p w14:paraId="5C37CE66">
      <w:pPr>
        <w:pStyle w:val="26"/>
        <w:ind w:left="0" w:leftChars="0" w:firstLine="0" w:firstLineChars="0"/>
        <w:jc w:val="center"/>
        <w:rPr>
          <w:rStyle w:val="60"/>
          <w:rFonts w:hint="eastAsia"/>
          <w:b/>
          <w:bCs/>
          <w:color w:val="auto"/>
          <w:highlight w:val="none"/>
          <w:lang w:val="en-US" w:eastAsia="zh-CN"/>
        </w:rPr>
      </w:pPr>
    </w:p>
    <w:p w14:paraId="0C0A70DB">
      <w:pPr>
        <w:pStyle w:val="4"/>
        <w:numPr>
          <w:ilvl w:val="0"/>
          <w:numId w:val="7"/>
        </w:numPr>
        <w:rPr>
          <w:rStyle w:val="60"/>
          <w:rFonts w:hint="eastAsia"/>
          <w:b/>
          <w:bCs/>
          <w:color w:val="auto"/>
          <w:highlight w:val="none"/>
        </w:rPr>
      </w:pPr>
      <w:bookmarkStart w:id="161" w:name="_Toc29990"/>
      <w:r>
        <w:rPr>
          <w:rStyle w:val="60"/>
          <w:rFonts w:hint="eastAsia"/>
          <w:b/>
          <w:bCs/>
          <w:color w:val="auto"/>
          <w:highlight w:val="none"/>
        </w:rPr>
        <w:t>合同条款</w:t>
      </w:r>
      <w:bookmarkEnd w:id="158"/>
      <w:bookmarkEnd w:id="161"/>
    </w:p>
    <w:p w14:paraId="0E66D359">
      <w:pPr>
        <w:pStyle w:val="4"/>
        <w:numPr>
          <w:ilvl w:val="0"/>
          <w:numId w:val="0"/>
        </w:numPr>
        <w:ind w:leftChars="0"/>
        <w:jc w:val="center"/>
        <w:rPr>
          <w:rStyle w:val="60"/>
          <w:color w:val="auto"/>
          <w:highlight w:val="none"/>
        </w:rPr>
      </w:pPr>
      <w:bookmarkStart w:id="162" w:name="_Toc2415"/>
      <w:r>
        <w:rPr>
          <w:rStyle w:val="60"/>
          <w:rFonts w:hint="eastAsia"/>
          <w:color w:val="auto"/>
          <w:highlight w:val="none"/>
        </w:rPr>
        <w:t>（</w:t>
      </w:r>
      <w:r>
        <w:rPr>
          <w:rStyle w:val="60"/>
          <w:rFonts w:hint="eastAsia"/>
          <w:color w:val="auto"/>
          <w:highlight w:val="none"/>
          <w:lang w:eastAsia="zh-CN"/>
        </w:rPr>
        <w:t>合同范本仅供参考，</w:t>
      </w:r>
      <w:r>
        <w:rPr>
          <w:rFonts w:hint="eastAsia"/>
          <w:color w:val="auto"/>
          <w:highlight w:val="none"/>
          <w:lang w:eastAsia="zh-CN"/>
        </w:rPr>
        <w:t>以实际签订为准</w:t>
      </w:r>
      <w:r>
        <w:rPr>
          <w:rStyle w:val="60"/>
          <w:rFonts w:hint="eastAsia"/>
          <w:color w:val="auto"/>
          <w:highlight w:val="none"/>
        </w:rPr>
        <w:t>）</w:t>
      </w:r>
      <w:bookmarkEnd w:id="162"/>
    </w:p>
    <w:p w14:paraId="39A20E1E">
      <w:pPr>
        <w:pStyle w:val="4"/>
        <w:keepNext/>
        <w:keepLines/>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b w:val="0"/>
          <w:kern w:val="2"/>
          <w:sz w:val="32"/>
          <w:szCs w:val="32"/>
          <w:lang w:eastAsia="zh-CN"/>
        </w:rPr>
      </w:pPr>
      <w:r>
        <w:rPr>
          <w:rFonts w:hint="eastAsia" w:ascii="宋体" w:hAnsi="宋体" w:eastAsia="宋体" w:cs="宋体"/>
          <w:b w:val="0"/>
          <w:kern w:val="2"/>
          <w:sz w:val="32"/>
          <w:szCs w:val="32"/>
        </w:rPr>
        <w:t>荥阳市</w:t>
      </w:r>
      <w:r>
        <w:rPr>
          <w:rFonts w:hint="eastAsia" w:ascii="宋体" w:hAnsi="宋体" w:eastAsia="宋体" w:cs="宋体"/>
          <w:b w:val="0"/>
          <w:kern w:val="2"/>
          <w:sz w:val="32"/>
          <w:szCs w:val="32"/>
          <w:lang w:val="en-US" w:eastAsia="zh-CN"/>
        </w:rPr>
        <w:t xml:space="preserve">               </w:t>
      </w:r>
      <w:r>
        <w:rPr>
          <w:rFonts w:hint="eastAsia" w:ascii="宋体" w:hAnsi="宋体" w:eastAsia="宋体" w:cs="宋体"/>
          <w:b w:val="0"/>
          <w:kern w:val="2"/>
          <w:sz w:val="32"/>
          <w:szCs w:val="32"/>
          <w:lang w:eastAsia="zh-CN"/>
        </w:rPr>
        <w:t>第</w:t>
      </w:r>
      <w:r>
        <w:rPr>
          <w:rFonts w:hint="eastAsia" w:ascii="宋体" w:hAnsi="宋体" w:eastAsia="宋体" w:cs="宋体"/>
          <w:b w:val="0"/>
          <w:kern w:val="2"/>
          <w:sz w:val="32"/>
          <w:szCs w:val="32"/>
          <w:lang w:val="en-US" w:eastAsia="zh-CN"/>
        </w:rPr>
        <w:t xml:space="preserve">   </w:t>
      </w:r>
      <w:r>
        <w:rPr>
          <w:rFonts w:hint="eastAsia" w:ascii="宋体" w:hAnsi="宋体" w:eastAsia="宋体" w:cs="宋体"/>
          <w:b w:val="0"/>
          <w:kern w:val="2"/>
          <w:sz w:val="32"/>
          <w:szCs w:val="32"/>
          <w:lang w:eastAsia="zh-CN"/>
        </w:rPr>
        <w:t>标段合同</w:t>
      </w:r>
    </w:p>
    <w:p w14:paraId="7DBB446D">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宋体" w:hAnsi="宋体" w:eastAsia="宋体" w:cs="宋体"/>
          <w:sz w:val="21"/>
          <w:szCs w:val="21"/>
          <w:lang w:val="en" w:eastAsia="zh-CN"/>
        </w:rPr>
      </w:pPr>
      <w:r>
        <w:rPr>
          <w:rFonts w:hint="eastAsia" w:ascii="宋体" w:hAnsi="宋体" w:eastAsia="宋体" w:cs="宋体"/>
          <w:b/>
          <w:sz w:val="21"/>
          <w:szCs w:val="21"/>
        </w:rPr>
        <w:t>甲方：</w:t>
      </w:r>
      <w:r>
        <w:rPr>
          <w:rFonts w:hint="eastAsia" w:ascii="宋体" w:hAnsi="宋体" w:eastAsia="宋体" w:cs="宋体"/>
          <w:sz w:val="21"/>
          <w:szCs w:val="21"/>
        </w:rPr>
        <w:t>荥阳市</w:t>
      </w:r>
      <w:r>
        <w:rPr>
          <w:rFonts w:hint="eastAsia" w:ascii="宋体" w:hAnsi="宋体" w:eastAsia="宋体" w:cs="宋体"/>
          <w:sz w:val="21"/>
          <w:szCs w:val="21"/>
          <w:lang w:eastAsia="zh-CN"/>
        </w:rPr>
        <w:t>农业农村局</w:t>
      </w:r>
    </w:p>
    <w:p w14:paraId="7790ADCA">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宋体" w:hAnsi="宋体" w:eastAsia="宋体" w:cs="宋体"/>
          <w:color w:val="0000FF"/>
          <w:sz w:val="21"/>
          <w:szCs w:val="21"/>
        </w:rPr>
      </w:pPr>
      <w:r>
        <w:rPr>
          <w:rFonts w:hint="eastAsia" w:ascii="宋体" w:hAnsi="宋体" w:eastAsia="宋体" w:cs="宋体"/>
          <w:b/>
          <w:sz w:val="21"/>
          <w:szCs w:val="21"/>
        </w:rPr>
        <w:t>乙方</w:t>
      </w:r>
      <w:r>
        <w:rPr>
          <w:rFonts w:hint="eastAsia" w:ascii="宋体" w:hAnsi="宋体" w:eastAsia="宋体" w:cs="宋体"/>
          <w:sz w:val="21"/>
          <w:szCs w:val="21"/>
        </w:rPr>
        <w:t>：</w:t>
      </w:r>
    </w:p>
    <w:p w14:paraId="72626439">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为了实施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,甲乙双方根据公开招标结果，依据民法典有关规定，经协商一致,签署以下合同：</w:t>
      </w:r>
    </w:p>
    <w:p w14:paraId="59EB9156">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一、工程名称：</w:t>
      </w:r>
    </w:p>
    <w:p w14:paraId="0894117B">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二、工程位置：</w:t>
      </w:r>
    </w:p>
    <w:p w14:paraId="14BA2C9E">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Cs/>
          <w:sz w:val="21"/>
          <w:szCs w:val="21"/>
        </w:rPr>
        <w:t>三、工程期限：</w:t>
      </w:r>
    </w:p>
    <w:p w14:paraId="727F4A3A">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四、</w:t>
      </w:r>
      <w:r>
        <w:rPr>
          <w:rFonts w:hint="eastAsia" w:ascii="宋体" w:hAnsi="宋体" w:eastAsia="宋体" w:cs="宋体"/>
          <w:bCs/>
          <w:sz w:val="21"/>
          <w:szCs w:val="21"/>
        </w:rPr>
        <w:t>工程建设主要内容：</w:t>
      </w:r>
    </w:p>
    <w:p w14:paraId="6339DE40">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color w:val="C00000"/>
          <w:sz w:val="21"/>
          <w:szCs w:val="21"/>
          <w:lang w:eastAsia="zh-CN"/>
        </w:rPr>
      </w:pPr>
      <w:r>
        <w:rPr>
          <w:rFonts w:hint="eastAsia" w:ascii="宋体" w:hAnsi="宋体" w:eastAsia="宋体" w:cs="宋体"/>
          <w:bCs/>
          <w:sz w:val="21"/>
          <w:szCs w:val="21"/>
        </w:rPr>
        <w:t>五、工程范围：</w:t>
      </w:r>
      <w:r>
        <w:rPr>
          <w:rFonts w:hint="eastAsia" w:ascii="宋体" w:hAnsi="宋体" w:eastAsia="宋体" w:cs="宋体"/>
          <w:sz w:val="21"/>
          <w:szCs w:val="21"/>
        </w:rPr>
        <w:t>工程量清单中所有内容</w:t>
      </w:r>
      <w:r>
        <w:rPr>
          <w:rFonts w:hint="eastAsia" w:ascii="宋体" w:hAnsi="宋体" w:eastAsia="宋体" w:cs="宋体"/>
          <w:sz w:val="21"/>
          <w:szCs w:val="21"/>
          <w:lang w:eastAsia="zh-CN"/>
        </w:rPr>
        <w:t>。</w:t>
      </w:r>
    </w:p>
    <w:p w14:paraId="2D412527">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bCs/>
          <w:sz w:val="21"/>
          <w:szCs w:val="21"/>
        </w:rPr>
        <w:t>六、工程质量标准：符合国家或行业规定的合格标准，满足采购人提出的技术标准及要求</w:t>
      </w:r>
      <w:r>
        <w:rPr>
          <w:rFonts w:hint="eastAsia" w:ascii="宋体" w:hAnsi="宋体" w:eastAsia="宋体" w:cs="宋体"/>
          <w:sz w:val="21"/>
          <w:szCs w:val="21"/>
          <w:lang w:eastAsia="zh-CN"/>
        </w:rPr>
        <w:t>。</w:t>
      </w:r>
    </w:p>
    <w:p w14:paraId="6C7A7311">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七、工程项目经理：</w:t>
      </w:r>
    </w:p>
    <w:p w14:paraId="2925AC7A">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bCs/>
          <w:sz w:val="21"/>
          <w:szCs w:val="21"/>
        </w:rPr>
        <w:t>八、承包方式：</w:t>
      </w:r>
      <w:r>
        <w:rPr>
          <w:rFonts w:hint="eastAsia" w:ascii="宋体" w:hAnsi="宋体" w:eastAsia="宋体" w:cs="宋体"/>
          <w:sz w:val="21"/>
          <w:szCs w:val="21"/>
        </w:rPr>
        <w:t>包工包料</w:t>
      </w:r>
      <w:r>
        <w:rPr>
          <w:rFonts w:hint="eastAsia" w:ascii="宋体" w:hAnsi="宋体" w:eastAsia="宋体" w:cs="宋体"/>
          <w:sz w:val="21"/>
          <w:szCs w:val="21"/>
          <w:lang w:eastAsia="zh-CN"/>
        </w:rPr>
        <w:t>。</w:t>
      </w:r>
    </w:p>
    <w:p w14:paraId="5AF0CCF5">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九、工程造价</w:t>
      </w:r>
    </w:p>
    <w:p w14:paraId="5F569078">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根据招标结果，合同工程价款为</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元，大写：</w:t>
      </w:r>
    </w:p>
    <w:p w14:paraId="581D79CD">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十、双方责任及义务</w:t>
      </w:r>
    </w:p>
    <w:p w14:paraId="49493F9B">
      <w:pPr>
        <w:keepNext w:val="0"/>
        <w:keepLines w:val="0"/>
        <w:pageBreakBefore w:val="0"/>
        <w:widowControl w:val="0"/>
        <w:kinsoku/>
        <w:wordWrap/>
        <w:overflowPunct/>
        <w:topLinePunct w:val="0"/>
        <w:autoSpaceDE/>
        <w:autoSpaceDN/>
        <w:bidi w:val="0"/>
        <w:adjustRightInd/>
        <w:snapToGrid/>
        <w:spacing w:line="62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甲方：</w:t>
      </w:r>
    </w:p>
    <w:p w14:paraId="0EBC0096">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1、负责督促项目村处理好与当地群众之间的相互关系，保证乙方正常施工。</w:t>
      </w:r>
    </w:p>
    <w:p w14:paraId="2A1905D6">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2、协调项目村给乙方施工人员提供必要的施工条件。</w:t>
      </w:r>
    </w:p>
    <w:p w14:paraId="167D83C4">
      <w:pPr>
        <w:keepNext w:val="0"/>
        <w:keepLines w:val="0"/>
        <w:pageBreakBefore w:val="0"/>
        <w:widowControl w:val="0"/>
        <w:kinsoku/>
        <w:wordWrap/>
        <w:overflowPunct/>
        <w:topLinePunct w:val="0"/>
        <w:autoSpaceDE/>
        <w:autoSpaceDN/>
        <w:bidi w:val="0"/>
        <w:adjustRightInd/>
        <w:snapToGrid/>
        <w:spacing w:line="62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乙方：</w:t>
      </w:r>
    </w:p>
    <w:p w14:paraId="10301420">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1、在施工中必须严格按照图纸设计施工，确保工程质量并按期完工。</w:t>
      </w:r>
    </w:p>
    <w:p w14:paraId="658134BB">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2、工程竣工未移交给甲方之前，乙方负责保护，乙方保护期间发生损坏，乙方出资修复。</w:t>
      </w:r>
    </w:p>
    <w:p w14:paraId="4D044161">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3、在竣工后规定的保修期内，由于施工原因造成的质量问题，乙方应于接到甲方通知后的三天内无条件进行保修。</w:t>
      </w:r>
    </w:p>
    <w:p w14:paraId="2037319E">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4、乙方应加强对施工人员的安全教育和管理，提高安全意识，确保施工顺利，凡施工现场发生一切安全事故及经济损失由乙方承担责任，如因此导致甲方承担责任或受到处罚，乙方应当予以赔偿。</w:t>
      </w:r>
    </w:p>
    <w:p w14:paraId="378BB0D3">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5、乙方禁止出现转包、分包情形，例如部分分包、违法分包、肢解分包等。</w:t>
      </w:r>
    </w:p>
    <w:p w14:paraId="6D2ED329">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6、乙方保证按时足额发放农民工工资，应及时结清农民工工资,不能拖欠农民工工资。</w:t>
      </w:r>
    </w:p>
    <w:p w14:paraId="680DAE28">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十一、工期顺延</w:t>
      </w:r>
    </w:p>
    <w:p w14:paraId="53A018E8">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1、以下原因造成竣工日期拖延，经甲方代表确认，工期</w:t>
      </w:r>
    </w:p>
    <w:p w14:paraId="0147DA53">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应顺延：</w:t>
      </w:r>
    </w:p>
    <w:p w14:paraId="1566DBF0">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(1)设计变更，</w:t>
      </w:r>
      <w:r>
        <w:rPr>
          <w:rFonts w:hint="eastAsia" w:ascii="宋体" w:hAnsi="宋体" w:eastAsia="宋体" w:cs="宋体"/>
          <w:sz w:val="21"/>
          <w:szCs w:val="21"/>
          <w:lang w:val="en-US" w:eastAsia="zh-CN"/>
        </w:rPr>
        <w:t>施工图纸范围外因现场施工条件变化导致的</w:t>
      </w:r>
      <w:r>
        <w:rPr>
          <w:rFonts w:hint="eastAsia" w:ascii="宋体" w:hAnsi="宋体" w:eastAsia="宋体" w:cs="宋体"/>
          <w:sz w:val="21"/>
          <w:szCs w:val="21"/>
        </w:rPr>
        <w:t>工程量大量增加；</w:t>
      </w:r>
    </w:p>
    <w:p w14:paraId="6B01B64F">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(2)不可抗力：是指战争、动乱、空中飞行物体坠落或其它非甲乙双方责任造成的爆炸火灾、水灾，以及六级以上台风、大雨、暴雨、地震等；</w:t>
      </w:r>
    </w:p>
    <w:p w14:paraId="537728B0">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（3）雨季等客观原因。</w:t>
      </w:r>
    </w:p>
    <w:p w14:paraId="30017BFC">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上述情况发生后两天内，乙方向甲方提出书面报告，</w:t>
      </w:r>
      <w:r>
        <w:rPr>
          <w:rFonts w:hint="eastAsia" w:ascii="宋体" w:hAnsi="宋体" w:eastAsia="宋体" w:cs="宋体"/>
          <w:sz w:val="21"/>
          <w:szCs w:val="21"/>
          <w:lang w:eastAsia="zh-CN"/>
        </w:rPr>
        <w:t>经甲方同意后，根据实际情况顺延工期</w:t>
      </w:r>
      <w:r>
        <w:rPr>
          <w:rFonts w:hint="eastAsia" w:ascii="宋体" w:hAnsi="宋体" w:eastAsia="宋体" w:cs="宋体"/>
          <w:sz w:val="21"/>
          <w:szCs w:val="21"/>
        </w:rPr>
        <w:t>。</w:t>
      </w:r>
    </w:p>
    <w:p w14:paraId="1817ABFA">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除上述条款所列出</w:t>
      </w:r>
      <w:r>
        <w:rPr>
          <w:rFonts w:hint="eastAsia" w:ascii="宋体" w:hAnsi="宋体" w:eastAsia="宋体" w:cs="宋体"/>
          <w:sz w:val="21"/>
          <w:szCs w:val="21"/>
          <w:lang w:eastAsia="zh-CN"/>
        </w:rPr>
        <w:t>的</w:t>
      </w:r>
      <w:r>
        <w:rPr>
          <w:rFonts w:hint="eastAsia" w:ascii="宋体" w:hAnsi="宋体" w:eastAsia="宋体" w:cs="宋体"/>
          <w:sz w:val="21"/>
          <w:szCs w:val="21"/>
        </w:rPr>
        <w:t>各种原因，工程未按合同工期竣工，乙方承担违约责任。</w:t>
      </w:r>
    </w:p>
    <w:p w14:paraId="0B5D41C7">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十二、违约责任</w:t>
      </w:r>
    </w:p>
    <w:p w14:paraId="2FF356CD">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color w:val="C00000"/>
          <w:sz w:val="21"/>
          <w:szCs w:val="21"/>
        </w:rPr>
      </w:pPr>
      <w:r>
        <w:rPr>
          <w:rFonts w:hint="eastAsia" w:ascii="宋体" w:hAnsi="宋体" w:eastAsia="宋体" w:cs="宋体"/>
          <w:sz w:val="21"/>
          <w:szCs w:val="21"/>
        </w:rPr>
        <w:t>1、乙方不按合同约定的义务履行，应当承担违约责任，赔偿因其违约给甲方造成的损失（直接损失加间接损失），并向甲方支</w:t>
      </w:r>
      <w:r>
        <w:rPr>
          <w:rFonts w:hint="eastAsia" w:ascii="宋体" w:hAnsi="宋体" w:eastAsia="宋体" w:cs="宋体"/>
          <w:sz w:val="21"/>
          <w:szCs w:val="21"/>
          <w:highlight w:val="none"/>
        </w:rPr>
        <w:t>付合同价款30%的违约金</w:t>
      </w:r>
      <w:r>
        <w:rPr>
          <w:rFonts w:hint="eastAsia" w:ascii="宋体" w:hAnsi="宋体" w:eastAsia="宋体" w:cs="宋体"/>
          <w:color w:val="C00000"/>
          <w:sz w:val="21"/>
          <w:szCs w:val="21"/>
          <w:highlight w:val="none"/>
        </w:rPr>
        <w:t>。</w:t>
      </w:r>
    </w:p>
    <w:p w14:paraId="210C0D60">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如果乙方在施工过程中施工质量达不到设计和规范的要求，乙方须按甲方要求三日内无条件进行返工或拆除和重新施工，由此造成的一切损失由乙方负责，若在规定的时间内乙方没有按要求整改或整改后仍达不到要求的，甲方有权单方解除合同，并书面通知乙方后收回工程，由此造成的经济损失，甲方有权</w:t>
      </w:r>
      <w:r>
        <w:rPr>
          <w:rFonts w:hint="eastAsia" w:ascii="宋体" w:hAnsi="宋体" w:eastAsia="宋体" w:cs="宋体"/>
          <w:sz w:val="21"/>
          <w:szCs w:val="21"/>
          <w:lang w:eastAsia="zh-CN"/>
        </w:rPr>
        <w:t>向</w:t>
      </w:r>
      <w:r>
        <w:rPr>
          <w:rFonts w:hint="eastAsia" w:ascii="宋体" w:hAnsi="宋体" w:eastAsia="宋体" w:cs="宋体"/>
          <w:sz w:val="21"/>
          <w:szCs w:val="21"/>
        </w:rPr>
        <w:t>乙方</w:t>
      </w:r>
      <w:r>
        <w:rPr>
          <w:rFonts w:hint="eastAsia" w:ascii="宋体" w:hAnsi="宋体" w:eastAsia="宋体" w:cs="宋体"/>
          <w:sz w:val="21"/>
          <w:szCs w:val="21"/>
          <w:lang w:eastAsia="zh-CN"/>
        </w:rPr>
        <w:t>进行索赔。</w:t>
      </w:r>
    </w:p>
    <w:p w14:paraId="6D3D634D">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、甲方一旦发现乙方擅自将工程转包、</w:t>
      </w:r>
      <w:r>
        <w:rPr>
          <w:rFonts w:hint="eastAsia" w:ascii="宋体" w:hAnsi="宋体" w:eastAsia="宋体" w:cs="宋体"/>
          <w:sz w:val="21"/>
          <w:szCs w:val="21"/>
          <w:lang w:eastAsia="zh-CN"/>
        </w:rPr>
        <w:t>或肢解后</w:t>
      </w:r>
      <w:r>
        <w:rPr>
          <w:rFonts w:hint="eastAsia" w:ascii="宋体" w:hAnsi="宋体" w:eastAsia="宋体" w:cs="宋体"/>
          <w:sz w:val="21"/>
          <w:szCs w:val="21"/>
        </w:rPr>
        <w:t>分包、拖欠农民工工资</w:t>
      </w:r>
      <w:r>
        <w:rPr>
          <w:rFonts w:hint="eastAsia" w:ascii="宋体" w:hAnsi="宋体" w:eastAsia="宋体" w:cs="宋体"/>
          <w:sz w:val="21"/>
          <w:szCs w:val="21"/>
          <w:lang w:eastAsia="zh-CN"/>
        </w:rPr>
        <w:t>等情形发生</w:t>
      </w:r>
      <w:r>
        <w:rPr>
          <w:rFonts w:hint="eastAsia" w:ascii="宋体" w:hAnsi="宋体" w:eastAsia="宋体" w:cs="宋体"/>
          <w:sz w:val="21"/>
          <w:szCs w:val="21"/>
        </w:rPr>
        <w:t>，甲方有权终止一切工程款，有权单方解除合同，乙方还应承担由此造成的其它一切经济损失，并书面通知乙方后收回工程，由此造成的经济损失，甲方有权</w:t>
      </w:r>
      <w:r>
        <w:rPr>
          <w:rFonts w:hint="eastAsia" w:ascii="宋体" w:hAnsi="宋体" w:eastAsia="宋体" w:cs="宋体"/>
          <w:sz w:val="21"/>
          <w:szCs w:val="21"/>
          <w:lang w:eastAsia="zh-CN"/>
        </w:rPr>
        <w:t>向</w:t>
      </w:r>
      <w:r>
        <w:rPr>
          <w:rFonts w:hint="eastAsia" w:ascii="宋体" w:hAnsi="宋体" w:eastAsia="宋体" w:cs="宋体"/>
          <w:sz w:val="21"/>
          <w:szCs w:val="21"/>
        </w:rPr>
        <w:t>乙方</w:t>
      </w:r>
      <w:r>
        <w:rPr>
          <w:rFonts w:hint="eastAsia" w:ascii="宋体" w:hAnsi="宋体" w:eastAsia="宋体" w:cs="宋体"/>
          <w:sz w:val="21"/>
          <w:szCs w:val="21"/>
          <w:lang w:eastAsia="zh-CN"/>
        </w:rPr>
        <w:t>进行索赔。</w:t>
      </w:r>
    </w:p>
    <w:p w14:paraId="5155C58C">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、因乙方原因解除或者中止合同时，甲方有权决定是否接受与本工程有关属于乙方在现场的一切设施、材料、设备和器件的权利</w:t>
      </w:r>
      <w:r>
        <w:rPr>
          <w:rFonts w:hint="eastAsia" w:ascii="宋体" w:hAnsi="宋体" w:eastAsia="宋体" w:cs="宋体"/>
          <w:sz w:val="21"/>
          <w:szCs w:val="21"/>
          <w:lang w:eastAsia="zh-CN"/>
        </w:rPr>
        <w:t>。</w:t>
      </w:r>
    </w:p>
    <w:p w14:paraId="7F3A82A3">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十三、竣工验收办法</w:t>
      </w:r>
    </w:p>
    <w:p w14:paraId="78686881">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认为工程具备竣工验收条件后，应于竣工验收前十五天内向甲方提供完整竣工资料(一式叁份)。甲方代表收到竣工资料后三十天内组织有关部门验收，若验收时发现存在质量问题，要求在验收后五天内提出整改意见，乙方按整改意见整改，乙方自行承担整改的费用。</w:t>
      </w:r>
    </w:p>
    <w:p w14:paraId="0F7F8905">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2、竣工日期的认定：</w:t>
      </w:r>
      <w:r>
        <w:rPr>
          <w:rFonts w:hint="eastAsia" w:ascii="宋体" w:hAnsi="宋体" w:eastAsia="宋体" w:cs="宋体"/>
          <w:sz w:val="21"/>
          <w:szCs w:val="21"/>
          <w:lang w:eastAsia="zh-CN"/>
        </w:rPr>
        <w:t>竣工日期为乙方递交竣工验收报告中确定的竣工日期。</w:t>
      </w:r>
    </w:p>
    <w:p w14:paraId="27C8595D">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3、经验收符合国家质量标准，验收完毕后，若乙方在五天内未向甲方移交，由此造成甲方的经济损失，概由乙方承担。</w:t>
      </w:r>
    </w:p>
    <w:p w14:paraId="07D089FA">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十四、工程保修期：</w:t>
      </w:r>
      <w:r>
        <w:rPr>
          <w:rFonts w:hint="eastAsia" w:ascii="宋体" w:hAnsi="宋体" w:eastAsia="宋体" w:cs="宋体"/>
          <w:sz w:val="21"/>
          <w:szCs w:val="21"/>
          <w:lang w:eastAsia="zh-CN"/>
        </w:rPr>
        <w:t>自</w:t>
      </w:r>
      <w:r>
        <w:rPr>
          <w:rFonts w:hint="eastAsia" w:ascii="宋体" w:hAnsi="宋体" w:eastAsia="宋体" w:cs="宋体"/>
          <w:sz w:val="21"/>
          <w:szCs w:val="21"/>
        </w:rPr>
        <w:t>甲、乙双方盖章并签字确认移交之日起一年。</w:t>
      </w:r>
    </w:p>
    <w:p w14:paraId="326363FC">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十五、付款方法及竣工结算：</w:t>
      </w:r>
    </w:p>
    <w:p w14:paraId="1E94136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合同生效后乙方即可进入现场施工。甲方按照工程进度支付乙方工程款。原则上支付形式采取预付工程款、阶段性报账、完工报账支付；</w:t>
      </w:r>
      <w:r>
        <w:rPr>
          <w:rFonts w:hint="eastAsia" w:ascii="宋体" w:hAnsi="宋体" w:eastAsia="宋体" w:cs="宋体"/>
          <w:sz w:val="21"/>
          <w:szCs w:val="21"/>
          <w:lang w:val="en-US" w:eastAsia="zh-CN"/>
        </w:rPr>
        <w:t>根据实际工程进度，可直接采取</w:t>
      </w:r>
      <w:r>
        <w:rPr>
          <w:rFonts w:hint="eastAsia" w:ascii="宋体" w:hAnsi="宋体" w:eastAsia="宋体" w:cs="宋体"/>
          <w:sz w:val="21"/>
          <w:szCs w:val="21"/>
        </w:rPr>
        <w:t>阶段性报账</w:t>
      </w:r>
      <w:r>
        <w:rPr>
          <w:rFonts w:hint="eastAsia" w:ascii="宋体" w:hAnsi="宋体" w:eastAsia="宋体" w:cs="宋体"/>
          <w:sz w:val="21"/>
          <w:szCs w:val="21"/>
          <w:lang w:eastAsia="zh-CN"/>
        </w:rPr>
        <w:t>、完工报账方式，也可</w:t>
      </w:r>
      <w:r>
        <w:rPr>
          <w:rFonts w:hint="eastAsia" w:ascii="宋体" w:hAnsi="宋体" w:eastAsia="宋体" w:cs="宋体"/>
          <w:sz w:val="21"/>
          <w:szCs w:val="21"/>
          <w:lang w:val="en-US" w:eastAsia="zh-CN"/>
        </w:rPr>
        <w:t>直接</w:t>
      </w:r>
      <w:r>
        <w:rPr>
          <w:rFonts w:hint="eastAsia" w:ascii="宋体" w:hAnsi="宋体" w:eastAsia="宋体" w:cs="宋体"/>
          <w:sz w:val="21"/>
          <w:szCs w:val="21"/>
          <w:lang w:eastAsia="zh-CN"/>
        </w:rPr>
        <w:t>采取完工后一次性报账。</w:t>
      </w:r>
    </w:p>
    <w:p w14:paraId="25A031D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预付工程款，甲乙双方签订施工合同后，甲方根据监理单位提交的已开工等相关资料为依据支付预付工程款，金额不超过中标价格的</w:t>
      </w:r>
      <w:r>
        <w:rPr>
          <w:rFonts w:hint="eastAsia" w:ascii="宋体" w:hAnsi="宋体" w:eastAsia="宋体" w:cs="宋体"/>
          <w:sz w:val="21"/>
          <w:szCs w:val="21"/>
          <w:lang w:val="en-US" w:eastAsia="zh-CN"/>
        </w:rPr>
        <w:t>5</w:t>
      </w:r>
      <w:r>
        <w:rPr>
          <w:rFonts w:hint="eastAsia" w:ascii="宋体" w:hAnsi="宋体" w:eastAsia="宋体" w:cs="宋体"/>
          <w:sz w:val="21"/>
          <w:szCs w:val="21"/>
        </w:rPr>
        <w:t>0%。</w:t>
      </w:r>
    </w:p>
    <w:p w14:paraId="40F6DF5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阶段性报账和完工报账，根据实际工程进度，结合项目监理提交的工程进度等相关资料进行阶段性报账；工程完工经甲方验收合格，经竣工结算后进行完工报账。</w:t>
      </w:r>
    </w:p>
    <w:p w14:paraId="7AB6B5B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扣除竣工结算审核报告金额的3%</w:t>
      </w:r>
      <w:r>
        <w:rPr>
          <w:rFonts w:hint="eastAsia" w:ascii="宋体" w:hAnsi="宋体" w:eastAsia="宋体" w:cs="宋体"/>
          <w:sz w:val="21"/>
          <w:szCs w:val="21"/>
          <w:lang w:eastAsia="zh-CN"/>
        </w:rPr>
        <w:t>，</w:t>
      </w:r>
      <w:r>
        <w:rPr>
          <w:rFonts w:hint="eastAsia" w:ascii="宋体" w:hAnsi="宋体" w:eastAsia="宋体" w:cs="宋体"/>
          <w:sz w:val="21"/>
          <w:szCs w:val="21"/>
        </w:rPr>
        <w:t>满一年后，经甲方复验合格</w:t>
      </w:r>
      <w:r>
        <w:rPr>
          <w:rFonts w:hint="eastAsia" w:ascii="宋体" w:hAnsi="宋体" w:eastAsia="宋体" w:cs="宋体"/>
          <w:sz w:val="21"/>
          <w:szCs w:val="21"/>
          <w:lang w:eastAsia="zh-CN"/>
        </w:rPr>
        <w:t>，</w:t>
      </w:r>
      <w:r>
        <w:rPr>
          <w:rFonts w:hint="eastAsia" w:ascii="宋体" w:hAnsi="宋体" w:eastAsia="宋体" w:cs="宋体"/>
          <w:sz w:val="21"/>
          <w:szCs w:val="21"/>
        </w:rPr>
        <w:t>一次性无息退还。</w:t>
      </w:r>
    </w:p>
    <w:p w14:paraId="603EDA7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乙方在向甲方递交竣工验收报告的同时，需向甲方递交竣工结算报告及完整的竣工结算资料和财政报账等相关资料；若乙方没有提供，甲方可拒付工程款，审定后的结算审核报告作为结算工程款的依据。</w:t>
      </w:r>
    </w:p>
    <w:p w14:paraId="03C65C49">
      <w:pPr>
        <w:keepNext w:val="0"/>
        <w:keepLines w:val="0"/>
        <w:pageBreakBefore w:val="0"/>
        <w:widowControl w:val="0"/>
        <w:kinsoku/>
        <w:wordWrap/>
        <w:overflowPunct/>
        <w:topLinePunct w:val="0"/>
        <w:autoSpaceDE/>
        <w:autoSpaceDN/>
        <w:bidi w:val="0"/>
        <w:adjustRightInd/>
        <w:snapToGrid/>
        <w:spacing w:line="620" w:lineRule="exact"/>
        <w:ind w:firstLine="422" w:firstLineChars="200"/>
        <w:textAlignment w:val="auto"/>
        <w:rPr>
          <w:rFonts w:hint="eastAsia" w:ascii="宋体" w:hAnsi="宋体" w:eastAsia="宋体" w:cs="宋体"/>
          <w:color w:val="C00000"/>
          <w:sz w:val="21"/>
          <w:szCs w:val="21"/>
        </w:rPr>
      </w:pPr>
      <w:r>
        <w:rPr>
          <w:rFonts w:hint="eastAsia" w:ascii="宋体" w:hAnsi="宋体" w:eastAsia="宋体" w:cs="宋体"/>
          <w:b/>
          <w:sz w:val="21"/>
          <w:szCs w:val="21"/>
        </w:rPr>
        <w:t>十六</w:t>
      </w:r>
      <w:r>
        <w:rPr>
          <w:rFonts w:hint="eastAsia" w:ascii="宋体" w:hAnsi="宋体" w:eastAsia="宋体" w:cs="宋体"/>
          <w:sz w:val="21"/>
          <w:szCs w:val="21"/>
        </w:rPr>
        <w:t>、未尽事宜，可在施工期间双方协商处理，甲乙双方也可另行签订补充协议，协商不成，双方均可诉至荥阳市人民法院解决。</w:t>
      </w:r>
    </w:p>
    <w:p w14:paraId="767BE415">
      <w:pPr>
        <w:keepNext w:val="0"/>
        <w:keepLines w:val="0"/>
        <w:pageBreakBefore w:val="0"/>
        <w:widowControl w:val="0"/>
        <w:kinsoku/>
        <w:wordWrap/>
        <w:overflowPunct/>
        <w:topLinePunct w:val="0"/>
        <w:autoSpaceDE/>
        <w:autoSpaceDN/>
        <w:bidi w:val="0"/>
        <w:adjustRightInd/>
        <w:snapToGrid/>
        <w:spacing w:line="62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十七</w:t>
      </w:r>
      <w:r>
        <w:rPr>
          <w:rFonts w:hint="eastAsia" w:ascii="宋体" w:hAnsi="宋体" w:eastAsia="宋体" w:cs="宋体"/>
          <w:sz w:val="21"/>
          <w:szCs w:val="21"/>
        </w:rPr>
        <w:t>、本合同一式肆份，甲乙双方各执贰份，双方签字并盖章后生效。</w:t>
      </w:r>
    </w:p>
    <w:p w14:paraId="5BF53F3B">
      <w:pPr>
        <w:keepNext w:val="0"/>
        <w:keepLines w:val="0"/>
        <w:pageBreakBefore w:val="0"/>
        <w:widowControl w:val="0"/>
        <w:kinsoku/>
        <w:wordWrap/>
        <w:overflowPunct/>
        <w:topLinePunct w:val="0"/>
        <w:autoSpaceDE/>
        <w:autoSpaceDN/>
        <w:bidi w:val="0"/>
        <w:adjustRightInd/>
        <w:snapToGrid/>
        <w:spacing w:line="720" w:lineRule="auto"/>
        <w:ind w:firstLine="420" w:firstLineChars="200"/>
        <w:textAlignment w:val="auto"/>
        <w:rPr>
          <w:rFonts w:hint="eastAsia" w:ascii="宋体" w:hAnsi="宋体" w:eastAsia="宋体" w:cs="宋体"/>
          <w:sz w:val="21"/>
          <w:szCs w:val="21"/>
        </w:rPr>
      </w:pPr>
    </w:p>
    <w:p w14:paraId="1E93205A">
      <w:pPr>
        <w:keepNext w:val="0"/>
        <w:keepLines w:val="0"/>
        <w:pageBreakBefore w:val="0"/>
        <w:widowControl w:val="0"/>
        <w:kinsoku/>
        <w:wordWrap/>
        <w:overflowPunct/>
        <w:topLinePunct w:val="0"/>
        <w:autoSpaceDE/>
        <w:autoSpaceDN/>
        <w:bidi w:val="0"/>
        <w:adjustRightInd/>
        <w:snapToGrid/>
        <w:spacing w:line="720" w:lineRule="auto"/>
        <w:ind w:firstLine="420" w:firstLineChars="200"/>
        <w:textAlignment w:val="auto"/>
        <w:rPr>
          <w:rFonts w:hint="eastAsia" w:ascii="宋体" w:hAnsi="宋体" w:eastAsia="宋体" w:cs="宋体"/>
          <w:sz w:val="21"/>
          <w:szCs w:val="21"/>
        </w:rPr>
      </w:pPr>
    </w:p>
    <w:p w14:paraId="2D2B4043">
      <w:pPr>
        <w:keepNext w:val="0"/>
        <w:keepLines w:val="0"/>
        <w:pageBreakBefore w:val="0"/>
        <w:widowControl w:val="0"/>
        <w:kinsoku/>
        <w:wordWrap/>
        <w:overflowPunct/>
        <w:topLinePunct w:val="0"/>
        <w:autoSpaceDE/>
        <w:autoSpaceDN/>
        <w:bidi w:val="0"/>
        <w:adjustRightInd/>
        <w:snapToGrid/>
        <w:spacing w:line="720" w:lineRule="auto"/>
        <w:ind w:firstLine="630" w:firstLineChars="300"/>
        <w:textAlignment w:val="auto"/>
        <w:rPr>
          <w:rFonts w:hint="eastAsia" w:ascii="宋体" w:hAnsi="宋体" w:eastAsia="宋体" w:cs="宋体"/>
          <w:spacing w:val="-20"/>
          <w:sz w:val="21"/>
          <w:szCs w:val="21"/>
        </w:rPr>
      </w:pPr>
      <w:r>
        <w:rPr>
          <w:rFonts w:hint="eastAsia" w:ascii="宋体" w:hAnsi="宋体" w:eastAsia="宋体" w:cs="宋体"/>
          <w:sz w:val="21"/>
          <w:szCs w:val="21"/>
        </w:rPr>
        <w:t>甲方</w:t>
      </w:r>
      <w:r>
        <w:rPr>
          <w:rFonts w:hint="eastAsia" w:ascii="宋体" w:hAnsi="宋体" w:eastAsia="宋体" w:cs="宋体"/>
          <w:spacing w:val="-20"/>
          <w:sz w:val="21"/>
          <w:szCs w:val="21"/>
        </w:rPr>
        <w:t>：（公章）　　　　　　　　　　　　</w:t>
      </w:r>
      <w:r>
        <w:rPr>
          <w:rFonts w:hint="eastAsia" w:ascii="宋体" w:hAnsi="宋体" w:eastAsia="宋体" w:cs="宋体"/>
          <w:spacing w:val="-20"/>
          <w:sz w:val="21"/>
          <w:szCs w:val="21"/>
          <w:lang w:val="en-US" w:eastAsia="zh-CN"/>
        </w:rPr>
        <w:t xml:space="preserve">   </w:t>
      </w:r>
      <w:r>
        <w:rPr>
          <w:rFonts w:hint="eastAsia" w:ascii="宋体" w:hAnsi="宋体" w:eastAsia="宋体" w:cs="宋体"/>
          <w:sz w:val="21"/>
          <w:szCs w:val="21"/>
        </w:rPr>
        <w:t>乙方：</w:t>
      </w:r>
      <w:r>
        <w:rPr>
          <w:rFonts w:hint="eastAsia" w:ascii="宋体" w:hAnsi="宋体" w:eastAsia="宋体" w:cs="宋体"/>
          <w:spacing w:val="-20"/>
          <w:sz w:val="21"/>
          <w:szCs w:val="21"/>
        </w:rPr>
        <w:t>（公章）</w:t>
      </w:r>
    </w:p>
    <w:p w14:paraId="3E6389A9">
      <w:pPr>
        <w:keepNext w:val="0"/>
        <w:keepLines w:val="0"/>
        <w:pageBreakBefore w:val="0"/>
        <w:widowControl w:val="0"/>
        <w:kinsoku/>
        <w:wordWrap/>
        <w:overflowPunct/>
        <w:topLinePunct w:val="0"/>
        <w:autoSpaceDE/>
        <w:autoSpaceDN/>
        <w:bidi w:val="0"/>
        <w:adjustRightInd/>
        <w:snapToGrid/>
        <w:spacing w:line="720" w:lineRule="auto"/>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法定代表人：                      法定代表人：</w:t>
      </w:r>
    </w:p>
    <w:p w14:paraId="29099129">
      <w:pPr>
        <w:keepNext w:val="0"/>
        <w:keepLines w:val="0"/>
        <w:pageBreakBefore w:val="0"/>
        <w:widowControl w:val="0"/>
        <w:kinsoku/>
        <w:wordWrap/>
        <w:overflowPunct/>
        <w:topLinePunct w:val="0"/>
        <w:autoSpaceDE/>
        <w:autoSpaceDN/>
        <w:bidi w:val="0"/>
        <w:adjustRightInd/>
        <w:snapToGrid/>
        <w:spacing w:line="720" w:lineRule="auto"/>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或委托代理人：                    或委托代理人：</w:t>
      </w:r>
    </w:p>
    <w:p w14:paraId="2185C5F4">
      <w:pPr>
        <w:keepNext w:val="0"/>
        <w:keepLines w:val="0"/>
        <w:pageBreakBefore w:val="0"/>
        <w:widowControl w:val="0"/>
        <w:kinsoku/>
        <w:wordWrap/>
        <w:overflowPunct/>
        <w:topLinePunct w:val="0"/>
        <w:autoSpaceDE/>
        <w:autoSpaceDN/>
        <w:bidi w:val="0"/>
        <w:adjustRightInd/>
        <w:snapToGrid/>
        <w:spacing w:line="720"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电话：</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电话：   </w:t>
      </w:r>
    </w:p>
    <w:p w14:paraId="18EC9F7D">
      <w:pPr>
        <w:keepNext w:val="0"/>
        <w:keepLines w:val="0"/>
        <w:pageBreakBefore w:val="0"/>
        <w:widowControl w:val="0"/>
        <w:kinsoku/>
        <w:wordWrap/>
        <w:overflowPunct/>
        <w:topLinePunct w:val="0"/>
        <w:autoSpaceDE/>
        <w:autoSpaceDN/>
        <w:bidi w:val="0"/>
        <w:adjustRightInd/>
        <w:snapToGrid/>
        <w:spacing w:line="720" w:lineRule="auto"/>
        <w:ind w:firstLine="3990" w:firstLineChars="19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年       月      日</w:t>
      </w:r>
    </w:p>
    <w:p w14:paraId="18AB3400">
      <w:pPr>
        <w:pStyle w:val="5"/>
        <w:rPr>
          <w:rFonts w:hint="eastAsia"/>
          <w:color w:val="auto"/>
          <w:highlight w:val="none"/>
        </w:rPr>
      </w:pPr>
    </w:p>
    <w:p w14:paraId="7386D14C">
      <w:pPr>
        <w:rPr>
          <w:rFonts w:hint="eastAsia"/>
          <w:color w:val="auto"/>
          <w:highlight w:val="none"/>
        </w:rPr>
      </w:pPr>
    </w:p>
    <w:p w14:paraId="4E5E0188">
      <w:pPr>
        <w:pStyle w:val="5"/>
        <w:rPr>
          <w:rFonts w:hint="eastAsia"/>
          <w:color w:val="auto"/>
          <w:highlight w:val="none"/>
        </w:rPr>
      </w:pPr>
    </w:p>
    <w:p w14:paraId="75CFAA7A">
      <w:pPr>
        <w:rPr>
          <w:rFonts w:hint="eastAsia"/>
          <w:color w:val="auto"/>
          <w:highlight w:val="none"/>
        </w:rPr>
      </w:pPr>
    </w:p>
    <w:p w14:paraId="05736BB5">
      <w:pPr>
        <w:pStyle w:val="5"/>
        <w:rPr>
          <w:rFonts w:hint="eastAsia"/>
          <w:color w:val="auto"/>
          <w:highlight w:val="none"/>
        </w:rPr>
      </w:pPr>
    </w:p>
    <w:p w14:paraId="6CF56307">
      <w:pPr>
        <w:rPr>
          <w:rFonts w:hint="eastAsia"/>
          <w:color w:val="auto"/>
          <w:highlight w:val="none"/>
        </w:rPr>
      </w:pPr>
    </w:p>
    <w:p w14:paraId="4AFF31C4">
      <w:pPr>
        <w:rPr>
          <w:rFonts w:hint="eastAsia"/>
          <w:highlight w:val="none"/>
        </w:rPr>
      </w:pPr>
    </w:p>
    <w:p w14:paraId="27A85FD4">
      <w:pPr>
        <w:pStyle w:val="4"/>
        <w:numPr>
          <w:ilvl w:val="0"/>
          <w:numId w:val="0"/>
        </w:numPr>
        <w:jc w:val="center"/>
        <w:rPr>
          <w:b/>
          <w:bCs/>
          <w:color w:val="auto"/>
          <w:highlight w:val="none"/>
        </w:rPr>
      </w:pPr>
      <w:bookmarkStart w:id="163" w:name="_Toc5546"/>
      <w:r>
        <w:rPr>
          <w:rFonts w:hint="eastAsia"/>
          <w:b/>
          <w:bCs/>
          <w:color w:val="auto"/>
          <w:highlight w:val="none"/>
        </w:rPr>
        <w:t>第</w:t>
      </w:r>
      <w:r>
        <w:rPr>
          <w:rFonts w:hint="eastAsia"/>
          <w:b/>
          <w:bCs/>
          <w:color w:val="auto"/>
          <w:highlight w:val="none"/>
          <w:lang w:val="en-US" w:eastAsia="zh-CN"/>
        </w:rPr>
        <w:t>七</w:t>
      </w:r>
      <w:r>
        <w:rPr>
          <w:rFonts w:hint="eastAsia"/>
          <w:b/>
          <w:bCs/>
          <w:color w:val="auto"/>
          <w:highlight w:val="none"/>
        </w:rPr>
        <w:t>章</w:t>
      </w:r>
      <w:r>
        <w:rPr>
          <w:rFonts w:hint="eastAsia"/>
          <w:b/>
          <w:bCs/>
          <w:color w:val="auto"/>
          <w:highlight w:val="none"/>
        </w:rPr>
        <w:tab/>
      </w:r>
      <w:r>
        <w:rPr>
          <w:rFonts w:hint="eastAsia"/>
          <w:b/>
          <w:bCs/>
          <w:color w:val="auto"/>
          <w:highlight w:val="none"/>
        </w:rPr>
        <w:t>竞争性磋商响应文件格式</w:t>
      </w:r>
      <w:bookmarkEnd w:id="163"/>
    </w:p>
    <w:p w14:paraId="7178AA14">
      <w:pPr>
        <w:pStyle w:val="11"/>
        <w:kinsoku w:val="0"/>
        <w:overflowPunct w:val="0"/>
        <w:spacing w:line="240" w:lineRule="auto"/>
        <w:jc w:val="center"/>
        <w:rPr>
          <w:rFonts w:ascii="Calibri" w:hAnsi="Calibri" w:eastAsia="宋体"/>
          <w:b w:val="0"/>
          <w:bCs w:val="0"/>
          <w:color w:val="auto"/>
          <w:spacing w:val="0"/>
          <w:sz w:val="44"/>
          <w:szCs w:val="44"/>
          <w:highlight w:val="none"/>
          <w:u w:val="single"/>
        </w:rPr>
      </w:pPr>
    </w:p>
    <w:p w14:paraId="4B13FD85">
      <w:pPr>
        <w:pStyle w:val="11"/>
        <w:kinsoku w:val="0"/>
        <w:overflowPunct w:val="0"/>
        <w:spacing w:line="240" w:lineRule="auto"/>
        <w:jc w:val="both"/>
        <w:rPr>
          <w:rFonts w:ascii="Calibri" w:hAnsi="Calibri" w:eastAsia="宋体"/>
          <w:b w:val="0"/>
          <w:bCs w:val="0"/>
          <w:color w:val="auto"/>
          <w:spacing w:val="0"/>
          <w:sz w:val="44"/>
          <w:szCs w:val="44"/>
          <w:highlight w:val="none"/>
          <w:u w:val="single"/>
        </w:rPr>
      </w:pPr>
    </w:p>
    <w:p w14:paraId="4936A630">
      <w:pPr>
        <w:pStyle w:val="11"/>
        <w:kinsoku w:val="0"/>
        <w:overflowPunct w:val="0"/>
        <w:spacing w:line="240" w:lineRule="auto"/>
        <w:jc w:val="center"/>
        <w:rPr>
          <w:rFonts w:ascii="Calibri" w:hAnsi="Calibri" w:eastAsia="宋体"/>
          <w:b w:val="0"/>
          <w:bCs w:val="0"/>
          <w:color w:val="auto"/>
          <w:spacing w:val="0"/>
          <w:sz w:val="44"/>
          <w:szCs w:val="44"/>
          <w:highlight w:val="none"/>
          <w:u w:val="single"/>
        </w:rPr>
      </w:pPr>
      <w:r>
        <w:rPr>
          <w:rFonts w:hint="eastAsia" w:ascii="Calibri" w:hAnsi="Calibri" w:eastAsia="宋体"/>
          <w:b w:val="0"/>
          <w:bCs w:val="0"/>
          <w:color w:val="auto"/>
          <w:spacing w:val="0"/>
          <w:sz w:val="44"/>
          <w:szCs w:val="44"/>
          <w:highlight w:val="none"/>
          <w:u w:val="none"/>
          <w:lang w:eastAsia="zh-CN"/>
        </w:rPr>
        <w:t>荥阳市农业农村局2024 年度财政衔接乡村振兴基础设施项目(</w:t>
      </w:r>
      <w:r>
        <w:rPr>
          <w:rFonts w:hint="eastAsia" w:ascii="Calibri" w:hAnsi="Calibri" w:eastAsia="宋体"/>
          <w:b w:val="0"/>
          <w:bCs w:val="0"/>
          <w:color w:val="auto"/>
          <w:spacing w:val="0"/>
          <w:sz w:val="44"/>
          <w:szCs w:val="44"/>
          <w:highlight w:val="none"/>
          <w:u w:val="none"/>
          <w:lang w:val="en-US" w:eastAsia="zh-CN"/>
        </w:rPr>
        <w:t>结余</w:t>
      </w:r>
      <w:r>
        <w:rPr>
          <w:rFonts w:hint="eastAsia" w:ascii="Calibri" w:hAnsi="Calibri" w:eastAsia="宋体"/>
          <w:b w:val="0"/>
          <w:bCs w:val="0"/>
          <w:color w:val="auto"/>
          <w:spacing w:val="0"/>
          <w:sz w:val="44"/>
          <w:szCs w:val="44"/>
          <w:highlight w:val="none"/>
          <w:u w:val="none"/>
          <w:lang w:eastAsia="zh-CN"/>
        </w:rPr>
        <w:t>)</w:t>
      </w:r>
      <w:r>
        <w:rPr>
          <w:rFonts w:hint="eastAsia" w:ascii="Calibri" w:hAnsi="Calibri" w:eastAsia="宋体"/>
          <w:b w:val="0"/>
          <w:bCs w:val="0"/>
          <w:color w:val="auto"/>
          <w:spacing w:val="0"/>
          <w:sz w:val="44"/>
          <w:szCs w:val="44"/>
          <w:highlight w:val="none"/>
          <w:u w:val="single"/>
          <w:lang w:val="en-US" w:eastAsia="zh-CN"/>
        </w:rPr>
        <w:t xml:space="preserve">    </w:t>
      </w:r>
      <w:r>
        <w:rPr>
          <w:rFonts w:hint="eastAsia" w:ascii="Calibri" w:hAnsi="Calibri" w:eastAsia="宋体"/>
          <w:b w:val="0"/>
          <w:bCs w:val="0"/>
          <w:color w:val="auto"/>
          <w:spacing w:val="0"/>
          <w:sz w:val="44"/>
          <w:szCs w:val="44"/>
          <w:highlight w:val="none"/>
          <w:u w:val="none"/>
          <w:lang w:val="en-US" w:eastAsia="zh-CN"/>
        </w:rPr>
        <w:t xml:space="preserve">标段 </w:t>
      </w:r>
    </w:p>
    <w:p w14:paraId="00C83109">
      <w:pPr>
        <w:pStyle w:val="11"/>
        <w:kinsoku w:val="0"/>
        <w:overflowPunct w:val="0"/>
        <w:rPr>
          <w:color w:val="auto"/>
          <w:sz w:val="48"/>
          <w:highlight w:val="none"/>
        </w:rPr>
      </w:pPr>
    </w:p>
    <w:p w14:paraId="220B3315">
      <w:pPr>
        <w:pStyle w:val="11"/>
        <w:kinsoku w:val="0"/>
        <w:overflowPunct w:val="0"/>
        <w:rPr>
          <w:color w:val="auto"/>
          <w:sz w:val="48"/>
          <w:highlight w:val="none"/>
        </w:rPr>
      </w:pPr>
    </w:p>
    <w:p w14:paraId="0062899D">
      <w:pPr>
        <w:pStyle w:val="11"/>
        <w:kinsoku w:val="0"/>
        <w:overflowPunct w:val="0"/>
        <w:rPr>
          <w:color w:val="auto"/>
          <w:sz w:val="48"/>
          <w:highlight w:val="none"/>
        </w:rPr>
      </w:pPr>
    </w:p>
    <w:p w14:paraId="50AD028F">
      <w:pPr>
        <w:pStyle w:val="11"/>
        <w:kinsoku w:val="0"/>
        <w:overflowPunct w:val="0"/>
        <w:rPr>
          <w:color w:val="auto"/>
          <w:sz w:val="48"/>
          <w:highlight w:val="none"/>
        </w:rPr>
      </w:pPr>
    </w:p>
    <w:p w14:paraId="4C8C7AA7">
      <w:pPr>
        <w:pStyle w:val="11"/>
        <w:kinsoku w:val="0"/>
        <w:overflowPunct w:val="0"/>
        <w:rPr>
          <w:color w:val="auto"/>
          <w:sz w:val="48"/>
          <w:highlight w:val="none"/>
        </w:rPr>
      </w:pPr>
    </w:p>
    <w:p w14:paraId="76174A8C">
      <w:pPr>
        <w:pStyle w:val="11"/>
        <w:kinsoku w:val="0"/>
        <w:overflowPunct w:val="0"/>
        <w:rPr>
          <w:color w:val="auto"/>
          <w:sz w:val="48"/>
          <w:highlight w:val="none"/>
        </w:rPr>
      </w:pPr>
    </w:p>
    <w:p w14:paraId="5C27959C">
      <w:pPr>
        <w:pStyle w:val="11"/>
        <w:kinsoku w:val="0"/>
        <w:overflowPunct w:val="0"/>
        <w:rPr>
          <w:color w:val="auto"/>
          <w:sz w:val="63"/>
          <w:highlight w:val="none"/>
        </w:rPr>
      </w:pPr>
    </w:p>
    <w:p w14:paraId="5945616A">
      <w:pPr>
        <w:jc w:val="center"/>
        <w:rPr>
          <w:color w:val="auto"/>
          <w:sz w:val="48"/>
          <w:szCs w:val="56"/>
          <w:highlight w:val="none"/>
        </w:rPr>
      </w:pPr>
      <w:r>
        <w:rPr>
          <w:rFonts w:hint="eastAsia"/>
          <w:color w:val="auto"/>
          <w:sz w:val="44"/>
          <w:szCs w:val="44"/>
          <w:highlight w:val="none"/>
        </w:rPr>
        <w:t>响应文件</w:t>
      </w:r>
    </w:p>
    <w:p w14:paraId="2AF777AD">
      <w:pPr>
        <w:jc w:val="center"/>
        <w:rPr>
          <w:color w:val="auto"/>
          <w:sz w:val="36"/>
          <w:szCs w:val="44"/>
          <w:highlight w:val="none"/>
        </w:rPr>
      </w:pPr>
    </w:p>
    <w:p w14:paraId="13B90539">
      <w:pPr>
        <w:pStyle w:val="25"/>
        <w:jc w:val="both"/>
        <w:rPr>
          <w:color w:val="auto"/>
          <w:highlight w:val="none"/>
        </w:rPr>
      </w:pPr>
    </w:p>
    <w:p w14:paraId="31C8DDE6">
      <w:pPr>
        <w:ind w:firstLine="2730" w:firstLineChars="1300"/>
        <w:rPr>
          <w:rFonts w:ascii="宋体" w:hAnsi="宋体" w:cs="宋体"/>
          <w:color w:val="auto"/>
          <w:highlight w:val="none"/>
        </w:rPr>
      </w:pPr>
      <w:r>
        <w:rPr>
          <w:rFonts w:hint="eastAsia" w:ascii="宋体" w:hAnsi="宋体" w:cs="宋体"/>
          <w:color w:val="auto"/>
          <w:highlight w:val="none"/>
          <w:lang w:eastAsia="zh-CN"/>
        </w:rPr>
        <w:t>项目编号</w:t>
      </w:r>
      <w:r>
        <w:rPr>
          <w:rFonts w:hint="eastAsia" w:ascii="宋体" w:hAnsi="宋体" w:cs="宋体"/>
          <w:color w:val="auto"/>
          <w:highlight w:val="none"/>
        </w:rPr>
        <w:t>：</w:t>
      </w:r>
    </w:p>
    <w:p w14:paraId="65FE2CF2">
      <w:pPr>
        <w:rPr>
          <w:color w:val="auto"/>
          <w:highlight w:val="none"/>
        </w:rPr>
      </w:pPr>
    </w:p>
    <w:p w14:paraId="232D48B2">
      <w:pPr>
        <w:pStyle w:val="11"/>
        <w:tabs>
          <w:tab w:val="left" w:pos="4938"/>
          <w:tab w:val="left" w:pos="5418"/>
        </w:tabs>
        <w:kinsoku w:val="0"/>
        <w:overflowPunct w:val="0"/>
        <w:spacing w:line="240" w:lineRule="auto"/>
        <w:rPr>
          <w:rFonts w:ascii="宋体" w:eastAsia="宋体" w:cs="宋体"/>
          <w:color w:val="auto"/>
          <w:spacing w:val="-1"/>
          <w:highlight w:val="none"/>
        </w:rPr>
      </w:pPr>
    </w:p>
    <w:p w14:paraId="3AC19706">
      <w:pPr>
        <w:pStyle w:val="11"/>
        <w:tabs>
          <w:tab w:val="left" w:pos="4938"/>
          <w:tab w:val="left" w:pos="5418"/>
        </w:tabs>
        <w:kinsoku w:val="0"/>
        <w:overflowPunct w:val="0"/>
        <w:spacing w:line="240" w:lineRule="auto"/>
        <w:rPr>
          <w:rFonts w:ascii="宋体" w:eastAsia="宋体" w:cs="宋体"/>
          <w:color w:val="auto"/>
          <w:spacing w:val="-1"/>
          <w:highlight w:val="none"/>
        </w:rPr>
      </w:pPr>
    </w:p>
    <w:p w14:paraId="524403FD">
      <w:pPr>
        <w:pStyle w:val="11"/>
        <w:tabs>
          <w:tab w:val="left" w:pos="4938"/>
          <w:tab w:val="left" w:pos="5418"/>
        </w:tabs>
        <w:kinsoku w:val="0"/>
        <w:overflowPunct w:val="0"/>
        <w:spacing w:line="240" w:lineRule="auto"/>
        <w:rPr>
          <w:rFonts w:ascii="宋体" w:eastAsia="宋体" w:cs="宋体"/>
          <w:color w:val="auto"/>
          <w:spacing w:val="-1"/>
          <w:highlight w:val="none"/>
        </w:rPr>
      </w:pPr>
    </w:p>
    <w:p w14:paraId="44A8857D">
      <w:pPr>
        <w:pStyle w:val="11"/>
        <w:tabs>
          <w:tab w:val="left" w:pos="4938"/>
          <w:tab w:val="left" w:pos="5418"/>
        </w:tabs>
        <w:kinsoku w:val="0"/>
        <w:overflowPunct w:val="0"/>
        <w:spacing w:line="240" w:lineRule="auto"/>
        <w:rPr>
          <w:rFonts w:ascii="宋体" w:eastAsia="宋体" w:cs="宋体"/>
          <w:color w:val="auto"/>
          <w:spacing w:val="-1"/>
          <w:highlight w:val="none"/>
        </w:rPr>
      </w:pPr>
    </w:p>
    <w:p w14:paraId="2DF72D32">
      <w:pPr>
        <w:pStyle w:val="11"/>
        <w:tabs>
          <w:tab w:val="left" w:pos="4938"/>
          <w:tab w:val="left" w:pos="5418"/>
        </w:tabs>
        <w:kinsoku w:val="0"/>
        <w:overflowPunct w:val="0"/>
        <w:spacing w:line="240" w:lineRule="auto"/>
        <w:rPr>
          <w:rFonts w:ascii="宋体" w:eastAsia="宋体" w:cs="宋体"/>
          <w:color w:val="auto"/>
          <w:spacing w:val="-1"/>
          <w:highlight w:val="none"/>
        </w:rPr>
      </w:pPr>
    </w:p>
    <w:p w14:paraId="57AB05BD">
      <w:pPr>
        <w:pStyle w:val="11"/>
        <w:tabs>
          <w:tab w:val="left" w:pos="4938"/>
          <w:tab w:val="left" w:pos="5418"/>
        </w:tabs>
        <w:kinsoku w:val="0"/>
        <w:overflowPunct w:val="0"/>
        <w:spacing w:line="240" w:lineRule="auto"/>
        <w:rPr>
          <w:rFonts w:ascii="宋体" w:eastAsia="宋体" w:cs="宋体"/>
          <w:color w:val="auto"/>
          <w:spacing w:val="-1"/>
          <w:highlight w:val="none"/>
        </w:rPr>
      </w:pPr>
    </w:p>
    <w:p w14:paraId="373CC90C">
      <w:pPr>
        <w:pStyle w:val="11"/>
        <w:tabs>
          <w:tab w:val="left" w:pos="4938"/>
          <w:tab w:val="left" w:pos="5418"/>
        </w:tabs>
        <w:kinsoku w:val="0"/>
        <w:overflowPunct w:val="0"/>
        <w:spacing w:line="240" w:lineRule="auto"/>
        <w:rPr>
          <w:rFonts w:ascii="宋体" w:eastAsia="宋体" w:cs="宋体"/>
          <w:color w:val="auto"/>
          <w:spacing w:val="-1"/>
          <w:highlight w:val="none"/>
        </w:rPr>
      </w:pPr>
    </w:p>
    <w:p w14:paraId="4026CE7D">
      <w:pPr>
        <w:pStyle w:val="11"/>
        <w:tabs>
          <w:tab w:val="left" w:pos="4938"/>
          <w:tab w:val="left" w:pos="5418"/>
        </w:tabs>
        <w:kinsoku w:val="0"/>
        <w:overflowPunct w:val="0"/>
        <w:spacing w:line="240" w:lineRule="auto"/>
        <w:rPr>
          <w:rFonts w:ascii="宋体" w:eastAsia="宋体" w:cs="宋体"/>
          <w:color w:val="auto"/>
          <w:spacing w:val="-1"/>
          <w:highlight w:val="none"/>
        </w:rPr>
      </w:pPr>
    </w:p>
    <w:p w14:paraId="79A42392">
      <w:pPr>
        <w:pStyle w:val="11"/>
        <w:tabs>
          <w:tab w:val="left" w:pos="4938"/>
          <w:tab w:val="left" w:pos="5418"/>
        </w:tabs>
        <w:kinsoku w:val="0"/>
        <w:overflowPunct w:val="0"/>
        <w:spacing w:line="240" w:lineRule="auto"/>
        <w:rPr>
          <w:rFonts w:ascii="宋体" w:eastAsia="宋体" w:cs="宋体"/>
          <w:color w:val="auto"/>
          <w:spacing w:val="-1"/>
          <w:highlight w:val="none"/>
        </w:rPr>
      </w:pPr>
    </w:p>
    <w:p w14:paraId="38AF05A7">
      <w:pPr>
        <w:pStyle w:val="11"/>
        <w:tabs>
          <w:tab w:val="left" w:pos="4938"/>
          <w:tab w:val="left" w:pos="5418"/>
        </w:tabs>
        <w:kinsoku w:val="0"/>
        <w:overflowPunct w:val="0"/>
        <w:spacing w:line="240" w:lineRule="auto"/>
        <w:rPr>
          <w:rFonts w:ascii="宋体" w:eastAsia="宋体" w:cs="宋体"/>
          <w:color w:val="auto"/>
          <w:highlight w:val="none"/>
        </w:rPr>
      </w:pPr>
      <w:r>
        <w:rPr>
          <w:rFonts w:hint="eastAsia" w:ascii="宋体" w:eastAsia="宋体" w:cs="宋体"/>
          <w:color w:val="auto"/>
          <w:spacing w:val="-1"/>
          <w:highlight w:val="none"/>
        </w:rPr>
        <w:t>供应商：</w:t>
      </w:r>
      <w:r>
        <w:rPr>
          <w:rFonts w:hint="eastAsia" w:ascii="宋体" w:eastAsia="宋体" w:cs="宋体"/>
          <w:color w:val="auto"/>
          <w:spacing w:val="-1"/>
          <w:highlight w:val="none"/>
          <w:u w:val="single"/>
        </w:rPr>
        <w:tab/>
      </w:r>
      <w:r>
        <w:rPr>
          <w:rFonts w:hint="eastAsia" w:ascii="宋体" w:eastAsia="宋体" w:cs="宋体"/>
          <w:color w:val="auto"/>
          <w:highlight w:val="none"/>
        </w:rPr>
        <w:t>（</w:t>
      </w:r>
      <w:r>
        <w:rPr>
          <w:rFonts w:hint="eastAsia" w:ascii="宋体" w:eastAsia="宋体" w:cs="宋体"/>
          <w:color w:val="auto"/>
          <w:highlight w:val="none"/>
          <w:lang w:eastAsia="zh-CN"/>
        </w:rPr>
        <w:t>盖单位章或电子签章</w:t>
      </w:r>
      <w:r>
        <w:rPr>
          <w:rFonts w:hint="eastAsia" w:ascii="宋体" w:eastAsia="宋体" w:cs="宋体"/>
          <w:color w:val="auto"/>
          <w:highlight w:val="none"/>
        </w:rPr>
        <w:t xml:space="preserve">） </w:t>
      </w:r>
    </w:p>
    <w:p w14:paraId="066838DD">
      <w:pPr>
        <w:pStyle w:val="11"/>
        <w:tabs>
          <w:tab w:val="left" w:pos="4938"/>
          <w:tab w:val="left" w:pos="5418"/>
        </w:tabs>
        <w:kinsoku w:val="0"/>
        <w:overflowPunct w:val="0"/>
        <w:spacing w:line="240" w:lineRule="auto"/>
        <w:rPr>
          <w:rFonts w:ascii="宋体" w:eastAsia="宋体" w:cs="宋体"/>
          <w:color w:val="auto"/>
          <w:highlight w:val="none"/>
        </w:rPr>
      </w:pPr>
    </w:p>
    <w:p w14:paraId="2424C74E">
      <w:pPr>
        <w:pStyle w:val="11"/>
        <w:tabs>
          <w:tab w:val="left" w:pos="4938"/>
          <w:tab w:val="left" w:pos="5418"/>
        </w:tabs>
        <w:kinsoku w:val="0"/>
        <w:overflowPunct w:val="0"/>
        <w:spacing w:line="240" w:lineRule="auto"/>
        <w:rPr>
          <w:rFonts w:ascii="宋体" w:eastAsia="宋体" w:cs="宋体"/>
          <w:color w:val="auto"/>
          <w:highlight w:val="none"/>
        </w:rPr>
      </w:pPr>
      <w:r>
        <w:rPr>
          <w:rFonts w:hint="eastAsia" w:ascii="宋体" w:eastAsia="宋体" w:cs="宋体"/>
          <w:color w:val="auto"/>
          <w:spacing w:val="-1"/>
          <w:highlight w:val="none"/>
        </w:rPr>
        <w:t>供应商法定代表人：</w:t>
      </w:r>
      <w:r>
        <w:rPr>
          <w:rFonts w:hint="eastAsia" w:ascii="宋体" w:eastAsia="宋体" w:cs="宋体"/>
          <w:color w:val="auto"/>
          <w:spacing w:val="-1"/>
          <w:highlight w:val="none"/>
          <w:u w:val="single"/>
        </w:rPr>
        <w:tab/>
      </w:r>
      <w:r>
        <w:rPr>
          <w:rFonts w:hint="eastAsia" w:ascii="宋体" w:eastAsia="宋体" w:cs="宋体"/>
          <w:color w:val="auto"/>
          <w:highlight w:val="none"/>
        </w:rPr>
        <w:t>（</w:t>
      </w:r>
      <w:r>
        <w:rPr>
          <w:rFonts w:hint="eastAsia" w:ascii="宋体" w:eastAsia="宋体" w:cs="宋体"/>
          <w:color w:val="auto"/>
          <w:highlight w:val="none"/>
          <w:lang w:eastAsia="zh-CN"/>
        </w:rPr>
        <w:t>签字或盖章或电子签章</w:t>
      </w:r>
      <w:r>
        <w:rPr>
          <w:rFonts w:hint="eastAsia" w:ascii="宋体" w:eastAsia="宋体" w:cs="宋体"/>
          <w:color w:val="auto"/>
          <w:highlight w:val="none"/>
        </w:rPr>
        <w:t>）</w:t>
      </w:r>
    </w:p>
    <w:p w14:paraId="365AB0BD">
      <w:pPr>
        <w:pStyle w:val="11"/>
        <w:tabs>
          <w:tab w:val="left" w:pos="733"/>
          <w:tab w:val="left" w:pos="1693"/>
          <w:tab w:val="left" w:pos="2653"/>
        </w:tabs>
        <w:kinsoku w:val="0"/>
        <w:overflowPunct w:val="0"/>
        <w:ind w:left="12"/>
        <w:jc w:val="center"/>
        <w:rPr>
          <w:rFonts w:ascii="宋体" w:eastAsia="宋体" w:cs="宋体"/>
          <w:color w:val="auto"/>
          <w:highlight w:val="none"/>
        </w:rPr>
      </w:pPr>
      <w:bookmarkStart w:id="164" w:name="______年______月______日"/>
      <w:bookmarkEnd w:id="164"/>
      <w:r>
        <w:rPr>
          <w:rFonts w:hint="eastAsia" w:ascii="宋体" w:eastAsia="宋体" w:cs="宋体"/>
          <w:color w:val="auto"/>
          <w:highlight w:val="none"/>
          <w:u w:val="single"/>
        </w:rPr>
        <w:t xml:space="preserve"> </w:t>
      </w:r>
      <w:r>
        <w:rPr>
          <w:rFonts w:hint="eastAsia" w:ascii="宋体" w:eastAsia="宋体" w:cs="宋体"/>
          <w:color w:val="auto"/>
          <w:highlight w:val="none"/>
          <w:u w:val="single"/>
        </w:rPr>
        <w:tab/>
      </w:r>
      <w:r>
        <w:rPr>
          <w:rFonts w:hint="eastAsia" w:ascii="宋体" w:eastAsia="宋体" w:cs="宋体"/>
          <w:color w:val="auto"/>
          <w:spacing w:val="-1"/>
          <w:highlight w:val="none"/>
        </w:rPr>
        <w:t>年</w:t>
      </w:r>
      <w:r>
        <w:rPr>
          <w:rFonts w:hint="eastAsia" w:ascii="宋体" w:eastAsia="宋体" w:cs="宋体"/>
          <w:color w:val="auto"/>
          <w:spacing w:val="-1"/>
          <w:highlight w:val="none"/>
          <w:u w:val="single"/>
        </w:rPr>
        <w:tab/>
      </w:r>
      <w:r>
        <w:rPr>
          <w:rFonts w:hint="eastAsia" w:ascii="宋体" w:eastAsia="宋体" w:cs="宋体"/>
          <w:color w:val="auto"/>
          <w:spacing w:val="-1"/>
          <w:highlight w:val="none"/>
        </w:rPr>
        <w:t>月</w:t>
      </w:r>
      <w:r>
        <w:rPr>
          <w:rFonts w:hint="eastAsia" w:ascii="宋体" w:eastAsia="宋体" w:cs="宋体"/>
          <w:color w:val="auto"/>
          <w:spacing w:val="-1"/>
          <w:highlight w:val="none"/>
          <w:u w:val="single"/>
        </w:rPr>
        <w:tab/>
      </w:r>
      <w:r>
        <w:rPr>
          <w:rFonts w:hint="eastAsia" w:ascii="宋体" w:eastAsia="宋体" w:cs="宋体"/>
          <w:color w:val="auto"/>
          <w:highlight w:val="none"/>
        </w:rPr>
        <w:t>日</w:t>
      </w:r>
    </w:p>
    <w:p w14:paraId="675F4EC7">
      <w:pPr>
        <w:jc w:val="center"/>
        <w:rPr>
          <w:rFonts w:hint="eastAsia" w:ascii="仿宋" w:hAnsi="仿宋" w:eastAsia="仿宋"/>
          <w:b/>
          <w:color w:val="auto"/>
          <w:w w:val="95"/>
          <w:sz w:val="36"/>
          <w:highlight w:val="none"/>
        </w:rPr>
      </w:pPr>
    </w:p>
    <w:p w14:paraId="23614317">
      <w:pPr>
        <w:jc w:val="center"/>
        <w:rPr>
          <w:rFonts w:hint="eastAsia" w:ascii="仿宋" w:hAnsi="仿宋" w:eastAsia="仿宋"/>
          <w:b/>
          <w:color w:val="auto"/>
          <w:w w:val="95"/>
          <w:sz w:val="36"/>
          <w:highlight w:val="none"/>
        </w:rPr>
      </w:pPr>
    </w:p>
    <w:p w14:paraId="58C335A8">
      <w:pPr>
        <w:jc w:val="center"/>
        <w:rPr>
          <w:rFonts w:hint="eastAsia" w:ascii="仿宋" w:hAnsi="仿宋" w:eastAsia="仿宋"/>
          <w:b/>
          <w:color w:val="auto"/>
          <w:w w:val="95"/>
          <w:sz w:val="36"/>
          <w:highlight w:val="none"/>
        </w:rPr>
      </w:pPr>
    </w:p>
    <w:p w14:paraId="6311EF1C">
      <w:pPr>
        <w:pStyle w:val="2"/>
        <w:rPr>
          <w:rFonts w:hint="eastAsia"/>
        </w:rPr>
      </w:pPr>
    </w:p>
    <w:p w14:paraId="443F25E6">
      <w:pPr>
        <w:jc w:val="center"/>
        <w:rPr>
          <w:rFonts w:ascii="仿宋" w:hAnsi="仿宋" w:eastAsia="仿宋"/>
          <w:b/>
          <w:color w:val="auto"/>
          <w:sz w:val="36"/>
          <w:highlight w:val="none"/>
        </w:rPr>
      </w:pPr>
      <w:r>
        <w:rPr>
          <w:rFonts w:hint="eastAsia" w:ascii="仿宋" w:hAnsi="仿宋" w:eastAsia="仿宋"/>
          <w:b/>
          <w:color w:val="auto"/>
          <w:w w:val="95"/>
          <w:sz w:val="36"/>
          <w:highlight w:val="none"/>
        </w:rPr>
        <w:t>目</w:t>
      </w:r>
      <w:r>
        <w:rPr>
          <w:rFonts w:hint="eastAsia" w:ascii="仿宋" w:hAnsi="仿宋" w:eastAsia="仿宋"/>
          <w:b/>
          <w:color w:val="auto"/>
          <w:w w:val="95"/>
          <w:sz w:val="36"/>
          <w:highlight w:val="none"/>
        </w:rPr>
        <w:tab/>
      </w:r>
      <w:r>
        <w:rPr>
          <w:rFonts w:hint="eastAsia" w:ascii="仿宋" w:hAnsi="仿宋" w:eastAsia="仿宋"/>
          <w:b/>
          <w:color w:val="auto"/>
          <w:w w:val="95"/>
          <w:sz w:val="36"/>
          <w:highlight w:val="none"/>
        </w:rPr>
        <w:t xml:space="preserve">  </w:t>
      </w:r>
      <w:r>
        <w:rPr>
          <w:rFonts w:hint="eastAsia" w:ascii="仿宋" w:hAnsi="仿宋" w:eastAsia="仿宋"/>
          <w:b/>
          <w:color w:val="auto"/>
          <w:sz w:val="36"/>
          <w:highlight w:val="none"/>
        </w:rPr>
        <w:t>录</w:t>
      </w:r>
    </w:p>
    <w:p w14:paraId="1D1DD43C">
      <w:pPr>
        <w:jc w:val="center"/>
        <w:rPr>
          <w:rFonts w:ascii="仿宋" w:hAnsi="仿宋" w:eastAsia="仿宋"/>
          <w:b/>
          <w:color w:val="auto"/>
          <w:sz w:val="36"/>
          <w:highlight w:val="none"/>
        </w:rPr>
      </w:pPr>
    </w:p>
    <w:p w14:paraId="0F0D36D2">
      <w:pPr>
        <w:pStyle w:val="2"/>
        <w:rPr>
          <w:color w:val="auto"/>
          <w:highlight w:val="none"/>
        </w:rPr>
      </w:pPr>
    </w:p>
    <w:p w14:paraId="57EC12EF">
      <w:pPr>
        <w:pStyle w:val="2"/>
        <w:spacing w:line="360" w:lineRule="auto"/>
        <w:rPr>
          <w:color w:val="auto"/>
          <w:sz w:val="21"/>
          <w:szCs w:val="21"/>
          <w:highlight w:val="none"/>
        </w:rPr>
      </w:pPr>
    </w:p>
    <w:p w14:paraId="6FB74355">
      <w:pPr>
        <w:spacing w:line="360" w:lineRule="auto"/>
        <w:rPr>
          <w:rFonts w:hint="eastAsia" w:ascii="宋体" w:hAnsi="宋体" w:eastAsia="宋体"/>
          <w:color w:val="auto"/>
          <w:sz w:val="21"/>
          <w:szCs w:val="21"/>
          <w:highlight w:val="none"/>
        </w:rPr>
      </w:pPr>
      <w:bookmarkStart w:id="165" w:name="_Toc24895"/>
      <w:bookmarkStart w:id="166" w:name="_Toc10890"/>
      <w:bookmarkStart w:id="167" w:name="_Toc24162"/>
      <w:bookmarkStart w:id="168" w:name="_Toc9480"/>
      <w:bookmarkStart w:id="169" w:name="_Toc16726"/>
      <w:bookmarkStart w:id="170" w:name="_Toc2043"/>
      <w:bookmarkStart w:id="171" w:name="_Toc19724"/>
      <w:bookmarkStart w:id="172" w:name="_Toc509411862"/>
      <w:bookmarkStart w:id="173" w:name="_Toc16028"/>
      <w:bookmarkStart w:id="174" w:name="_Toc10197"/>
      <w:r>
        <w:rPr>
          <w:rFonts w:hint="eastAsia" w:ascii="宋体" w:hAnsi="宋体" w:eastAsia="宋体"/>
          <w:color w:val="auto"/>
          <w:sz w:val="21"/>
          <w:szCs w:val="21"/>
          <w:highlight w:val="none"/>
        </w:rPr>
        <w:t>1.</w:t>
      </w:r>
      <w:bookmarkEnd w:id="165"/>
      <w:bookmarkEnd w:id="166"/>
      <w:bookmarkEnd w:id="167"/>
      <w:bookmarkEnd w:id="168"/>
      <w:bookmarkEnd w:id="169"/>
      <w:bookmarkEnd w:id="170"/>
      <w:bookmarkEnd w:id="171"/>
      <w:bookmarkEnd w:id="172"/>
      <w:r>
        <w:rPr>
          <w:rFonts w:hint="eastAsia" w:ascii="宋体" w:hAnsi="宋体" w:eastAsia="宋体"/>
          <w:color w:val="auto"/>
          <w:sz w:val="21"/>
          <w:szCs w:val="21"/>
          <w:highlight w:val="none"/>
        </w:rPr>
        <w:t>磋商响应承诺书</w:t>
      </w:r>
    </w:p>
    <w:p w14:paraId="7741E640">
      <w:pPr>
        <w:spacing w:line="360" w:lineRule="auto"/>
        <w:rPr>
          <w:rFonts w:hint="eastAsia" w:ascii="宋体" w:hAnsi="宋体" w:eastAsia="宋体"/>
          <w:color w:val="auto"/>
          <w:sz w:val="21"/>
          <w:szCs w:val="21"/>
          <w:highlight w:val="none"/>
        </w:rPr>
      </w:pPr>
      <w:bookmarkStart w:id="175" w:name="_Toc6781"/>
      <w:bookmarkStart w:id="176" w:name="_Toc509411863"/>
      <w:bookmarkStart w:id="177" w:name="_Toc22482"/>
      <w:bookmarkStart w:id="178" w:name="_Toc11285"/>
      <w:bookmarkStart w:id="179" w:name="_Toc22456"/>
      <w:bookmarkStart w:id="180" w:name="_Toc23990"/>
      <w:bookmarkStart w:id="181" w:name="_Toc21365"/>
      <w:bookmarkStart w:id="182" w:name="_Toc21545"/>
      <w:r>
        <w:rPr>
          <w:rFonts w:hint="eastAsia" w:ascii="宋体" w:hAnsi="宋体" w:eastAsia="宋体"/>
          <w:color w:val="auto"/>
          <w:sz w:val="21"/>
          <w:szCs w:val="21"/>
          <w:highlight w:val="none"/>
        </w:rPr>
        <w:t>2.</w:t>
      </w:r>
      <w:bookmarkEnd w:id="175"/>
      <w:bookmarkEnd w:id="176"/>
      <w:bookmarkEnd w:id="177"/>
      <w:bookmarkEnd w:id="178"/>
      <w:bookmarkEnd w:id="179"/>
      <w:bookmarkEnd w:id="180"/>
      <w:bookmarkEnd w:id="181"/>
      <w:bookmarkEnd w:id="182"/>
      <w:bookmarkStart w:id="183" w:name="_Toc26192"/>
      <w:bookmarkStart w:id="184" w:name="_Toc21091"/>
      <w:bookmarkStart w:id="185" w:name="_Toc31275"/>
      <w:bookmarkStart w:id="186" w:name="_Toc22629"/>
      <w:bookmarkStart w:id="187" w:name="_Toc509411864"/>
      <w:bookmarkStart w:id="188" w:name="_Toc16045"/>
      <w:bookmarkStart w:id="189" w:name="_Toc8614"/>
      <w:bookmarkStart w:id="190" w:name="_Toc28847"/>
      <w:r>
        <w:rPr>
          <w:rFonts w:hint="eastAsia" w:ascii="宋体" w:hAnsi="宋体" w:eastAsia="宋体"/>
          <w:color w:val="auto"/>
          <w:sz w:val="21"/>
          <w:szCs w:val="21"/>
          <w:highlight w:val="none"/>
        </w:rPr>
        <w:t>磋商响应函附录（第一轮报价）</w:t>
      </w:r>
    </w:p>
    <w:p w14:paraId="41D0F667">
      <w:pPr>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3.</w:t>
      </w:r>
      <w:bookmarkEnd w:id="183"/>
      <w:bookmarkEnd w:id="184"/>
      <w:bookmarkEnd w:id="185"/>
      <w:bookmarkEnd w:id="186"/>
      <w:bookmarkEnd w:id="187"/>
      <w:bookmarkEnd w:id="188"/>
      <w:bookmarkEnd w:id="189"/>
      <w:bookmarkEnd w:id="190"/>
      <w:r>
        <w:rPr>
          <w:rFonts w:hint="eastAsia" w:ascii="宋体" w:hAnsi="宋体"/>
          <w:color w:val="auto"/>
          <w:sz w:val="21"/>
          <w:szCs w:val="21"/>
          <w:highlight w:val="none"/>
          <w:lang w:eastAsia="zh-CN"/>
        </w:rPr>
        <w:t>已标价工程量清单</w:t>
      </w:r>
    </w:p>
    <w:p w14:paraId="516AD62D">
      <w:pPr>
        <w:spacing w:line="360" w:lineRule="auto"/>
        <w:rPr>
          <w:rFonts w:hint="eastAsia" w:ascii="宋体" w:hAnsi="宋体" w:eastAsia="宋体"/>
          <w:color w:val="auto"/>
          <w:sz w:val="21"/>
          <w:szCs w:val="21"/>
          <w:highlight w:val="none"/>
        </w:rPr>
      </w:pPr>
      <w:bookmarkStart w:id="191" w:name="_Toc509411866"/>
      <w:bookmarkStart w:id="192" w:name="_Toc2381"/>
      <w:bookmarkStart w:id="193" w:name="_Toc9106"/>
      <w:bookmarkStart w:id="194" w:name="_Toc19514"/>
      <w:bookmarkStart w:id="195" w:name="_Toc16575"/>
      <w:bookmarkStart w:id="196" w:name="_Toc26854"/>
      <w:bookmarkStart w:id="197" w:name="_Toc10251"/>
      <w:bookmarkStart w:id="198" w:name="_Toc23186"/>
      <w:r>
        <w:rPr>
          <w:rFonts w:hint="eastAsia" w:ascii="宋体" w:hAnsi="宋体"/>
          <w:color w:val="auto"/>
          <w:sz w:val="21"/>
          <w:szCs w:val="21"/>
          <w:highlight w:val="none"/>
          <w:lang w:val="en-US" w:eastAsia="zh-CN"/>
        </w:rPr>
        <w:t>4</w:t>
      </w:r>
      <w:r>
        <w:rPr>
          <w:rFonts w:hint="eastAsia" w:ascii="宋体" w:hAnsi="宋体" w:eastAsia="宋体"/>
          <w:color w:val="auto"/>
          <w:sz w:val="21"/>
          <w:szCs w:val="21"/>
          <w:highlight w:val="none"/>
        </w:rPr>
        <w:t>.</w:t>
      </w:r>
      <w:bookmarkEnd w:id="191"/>
      <w:bookmarkEnd w:id="192"/>
      <w:bookmarkEnd w:id="193"/>
      <w:bookmarkEnd w:id="194"/>
      <w:bookmarkEnd w:id="195"/>
      <w:bookmarkEnd w:id="196"/>
      <w:bookmarkEnd w:id="197"/>
      <w:bookmarkEnd w:id="198"/>
      <w:r>
        <w:rPr>
          <w:rFonts w:hint="eastAsia" w:ascii="宋体" w:hAnsi="宋体" w:eastAsia="宋体"/>
          <w:color w:val="auto"/>
          <w:sz w:val="21"/>
          <w:szCs w:val="21"/>
          <w:highlight w:val="none"/>
        </w:rPr>
        <w:t>中小企业声明函</w:t>
      </w:r>
    </w:p>
    <w:p w14:paraId="2B2C2D2F">
      <w:pPr>
        <w:spacing w:line="360" w:lineRule="auto"/>
        <w:rPr>
          <w:rFonts w:hint="eastAsia" w:ascii="宋体" w:hAnsi="宋体" w:eastAsia="宋体"/>
          <w:color w:val="auto"/>
          <w:sz w:val="21"/>
          <w:szCs w:val="21"/>
          <w:highlight w:val="none"/>
        </w:rPr>
      </w:pPr>
      <w:bookmarkStart w:id="199" w:name="_Toc30257"/>
      <w:bookmarkStart w:id="200" w:name="_Toc21302"/>
      <w:bookmarkStart w:id="201" w:name="_Toc15804"/>
      <w:bookmarkStart w:id="202" w:name="_Toc5331"/>
      <w:bookmarkStart w:id="203" w:name="_Toc8572"/>
      <w:bookmarkStart w:id="204" w:name="_Toc509411869"/>
      <w:bookmarkStart w:id="205" w:name="_Toc25923"/>
      <w:bookmarkStart w:id="206" w:name="_Toc11592"/>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w:t>
      </w:r>
      <w:bookmarkEnd w:id="199"/>
      <w:bookmarkEnd w:id="200"/>
      <w:bookmarkEnd w:id="201"/>
      <w:bookmarkEnd w:id="202"/>
      <w:bookmarkEnd w:id="203"/>
      <w:bookmarkEnd w:id="204"/>
      <w:bookmarkEnd w:id="205"/>
      <w:bookmarkEnd w:id="206"/>
      <w:bookmarkStart w:id="207" w:name="_Toc16613"/>
      <w:bookmarkStart w:id="208" w:name="_Toc24692"/>
      <w:bookmarkStart w:id="209" w:name="_Toc8414"/>
      <w:bookmarkStart w:id="210" w:name="_Toc14056"/>
      <w:bookmarkStart w:id="211" w:name="_Toc509411870"/>
      <w:bookmarkStart w:id="212" w:name="_Toc12321"/>
      <w:bookmarkStart w:id="213" w:name="_Toc22983"/>
      <w:bookmarkStart w:id="214" w:name="_Toc12476"/>
      <w:r>
        <w:rPr>
          <w:rFonts w:hint="eastAsia" w:ascii="宋体" w:hAnsi="宋体" w:eastAsia="宋体"/>
          <w:color w:val="auto"/>
          <w:sz w:val="21"/>
          <w:szCs w:val="21"/>
          <w:highlight w:val="none"/>
        </w:rPr>
        <w:t>商务条款偏差表</w:t>
      </w:r>
    </w:p>
    <w:p w14:paraId="6D54188B">
      <w:pPr>
        <w:spacing w:line="360" w:lineRule="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.服务承诺</w:t>
      </w:r>
      <w:bookmarkEnd w:id="207"/>
      <w:bookmarkEnd w:id="208"/>
      <w:bookmarkEnd w:id="209"/>
      <w:bookmarkEnd w:id="210"/>
      <w:bookmarkEnd w:id="211"/>
      <w:bookmarkEnd w:id="212"/>
      <w:bookmarkEnd w:id="213"/>
      <w:bookmarkEnd w:id="214"/>
    </w:p>
    <w:p w14:paraId="1E5973B2">
      <w:pPr>
        <w:spacing w:line="360" w:lineRule="auto"/>
        <w:rPr>
          <w:rFonts w:hint="eastAsia" w:ascii="宋体" w:hAnsi="宋体" w:eastAsia="宋体"/>
          <w:color w:val="auto"/>
          <w:sz w:val="21"/>
          <w:szCs w:val="21"/>
          <w:highlight w:val="none"/>
        </w:rPr>
      </w:pPr>
      <w:bookmarkStart w:id="215" w:name="_Toc20444"/>
      <w:bookmarkStart w:id="216" w:name="_Toc26548"/>
      <w:bookmarkStart w:id="217" w:name="_Toc27305"/>
      <w:bookmarkStart w:id="218" w:name="_Toc509411871"/>
      <w:bookmarkStart w:id="219" w:name="_Toc27802"/>
      <w:bookmarkStart w:id="220" w:name="_Toc22673"/>
      <w:bookmarkStart w:id="221" w:name="_Toc5087"/>
      <w:bookmarkStart w:id="222" w:name="_Toc10060"/>
      <w:r>
        <w:rPr>
          <w:rFonts w:hint="eastAsia" w:ascii="宋体" w:hAnsi="宋体"/>
          <w:color w:val="auto"/>
          <w:sz w:val="21"/>
          <w:szCs w:val="21"/>
          <w:highlight w:val="none"/>
          <w:lang w:val="en-US" w:eastAsia="zh-CN"/>
        </w:rPr>
        <w:t>7</w:t>
      </w:r>
      <w:r>
        <w:rPr>
          <w:rFonts w:hint="eastAsia" w:ascii="宋体" w:hAnsi="宋体" w:eastAsia="宋体"/>
          <w:color w:val="auto"/>
          <w:sz w:val="21"/>
          <w:szCs w:val="21"/>
          <w:highlight w:val="none"/>
        </w:rPr>
        <w:t>.资格证明材料</w:t>
      </w:r>
      <w:bookmarkEnd w:id="215"/>
      <w:bookmarkEnd w:id="216"/>
      <w:bookmarkEnd w:id="217"/>
      <w:bookmarkEnd w:id="218"/>
      <w:bookmarkEnd w:id="219"/>
      <w:bookmarkEnd w:id="220"/>
      <w:bookmarkEnd w:id="221"/>
      <w:bookmarkEnd w:id="222"/>
    </w:p>
    <w:p w14:paraId="2436677D">
      <w:pPr>
        <w:spacing w:line="360" w:lineRule="auto"/>
        <w:rPr>
          <w:rFonts w:hint="eastAsia" w:ascii="宋体" w:hAnsi="宋体" w:eastAsia="宋体"/>
          <w:color w:val="auto"/>
          <w:sz w:val="21"/>
          <w:szCs w:val="21"/>
          <w:highlight w:val="none"/>
        </w:rPr>
      </w:pPr>
      <w:bookmarkStart w:id="223" w:name="_Toc5818"/>
      <w:bookmarkStart w:id="224" w:name="_Toc5299"/>
      <w:bookmarkStart w:id="225" w:name="_Toc6412"/>
      <w:bookmarkStart w:id="226" w:name="_Toc17026"/>
      <w:bookmarkStart w:id="227" w:name="_Toc17534"/>
      <w:bookmarkStart w:id="228" w:name="_Toc27361"/>
      <w:bookmarkStart w:id="229" w:name="_Toc19702"/>
      <w:bookmarkStart w:id="230" w:name="_Toc509411872"/>
      <w:r>
        <w:rPr>
          <w:rFonts w:hint="eastAsia" w:ascii="宋体" w:hAnsi="宋体"/>
          <w:color w:val="auto"/>
          <w:sz w:val="21"/>
          <w:szCs w:val="21"/>
          <w:highlight w:val="none"/>
          <w:lang w:val="en-US" w:eastAsia="zh-CN"/>
        </w:rPr>
        <w:t>8</w:t>
      </w:r>
      <w:r>
        <w:rPr>
          <w:rFonts w:hint="eastAsia" w:ascii="宋体" w:hAnsi="宋体" w:eastAsia="宋体"/>
          <w:color w:val="auto"/>
          <w:sz w:val="21"/>
          <w:szCs w:val="21"/>
          <w:highlight w:val="none"/>
        </w:rPr>
        <w:t>.法定代表人授权书</w:t>
      </w:r>
      <w:bookmarkEnd w:id="223"/>
      <w:bookmarkEnd w:id="224"/>
      <w:bookmarkEnd w:id="225"/>
      <w:bookmarkEnd w:id="226"/>
      <w:bookmarkEnd w:id="227"/>
      <w:bookmarkEnd w:id="228"/>
      <w:bookmarkEnd w:id="229"/>
      <w:bookmarkEnd w:id="230"/>
    </w:p>
    <w:p w14:paraId="6D185C5F">
      <w:pPr>
        <w:spacing w:line="360" w:lineRule="auto"/>
        <w:rPr>
          <w:rFonts w:hint="eastAsia" w:ascii="宋体" w:hAnsi="宋体" w:eastAsia="宋体"/>
          <w:color w:val="auto"/>
          <w:sz w:val="21"/>
          <w:szCs w:val="21"/>
          <w:highlight w:val="none"/>
        </w:rPr>
      </w:pPr>
      <w:bookmarkStart w:id="231" w:name="_Toc7668"/>
      <w:bookmarkStart w:id="232" w:name="_Toc11792"/>
      <w:bookmarkStart w:id="233" w:name="_Toc12791"/>
      <w:bookmarkStart w:id="234" w:name="_Toc31389"/>
      <w:bookmarkStart w:id="235" w:name="_Toc31584"/>
      <w:bookmarkStart w:id="236" w:name="_Toc509411873"/>
      <w:bookmarkStart w:id="237" w:name="_Toc20624"/>
      <w:bookmarkStart w:id="238" w:name="_Toc24793"/>
      <w:r>
        <w:rPr>
          <w:rFonts w:hint="eastAsia" w:ascii="宋体" w:hAnsi="宋体"/>
          <w:color w:val="auto"/>
          <w:sz w:val="21"/>
          <w:szCs w:val="21"/>
          <w:highlight w:val="none"/>
          <w:lang w:val="en-US" w:eastAsia="zh-CN"/>
        </w:rPr>
        <w:t>9</w:t>
      </w:r>
      <w:r>
        <w:rPr>
          <w:rFonts w:hint="eastAsia" w:ascii="宋体" w:hAnsi="宋体" w:eastAsia="宋体"/>
          <w:color w:val="auto"/>
          <w:sz w:val="21"/>
          <w:szCs w:val="21"/>
          <w:highlight w:val="none"/>
        </w:rPr>
        <w:t>.</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基本情况</w:t>
      </w:r>
      <w:bookmarkEnd w:id="231"/>
      <w:bookmarkEnd w:id="232"/>
      <w:bookmarkEnd w:id="233"/>
      <w:bookmarkEnd w:id="234"/>
      <w:bookmarkEnd w:id="235"/>
      <w:bookmarkEnd w:id="236"/>
      <w:bookmarkEnd w:id="237"/>
      <w:bookmarkEnd w:id="238"/>
    </w:p>
    <w:p w14:paraId="5F7AAC6C">
      <w:pPr>
        <w:spacing w:line="360" w:lineRule="auto"/>
        <w:rPr>
          <w:rFonts w:hint="eastAsia" w:ascii="宋体" w:hAnsi="宋体" w:eastAsia="宋体"/>
          <w:color w:val="auto"/>
          <w:sz w:val="21"/>
          <w:szCs w:val="21"/>
          <w:highlight w:val="none"/>
        </w:rPr>
      </w:pPr>
      <w:bookmarkStart w:id="239" w:name="_Toc509411874"/>
      <w:bookmarkStart w:id="240" w:name="_Toc24676"/>
      <w:bookmarkStart w:id="241" w:name="_Toc23438"/>
      <w:bookmarkStart w:id="242" w:name="_Toc23157"/>
      <w:bookmarkStart w:id="243" w:name="_Toc15803"/>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0</w:t>
      </w:r>
      <w:r>
        <w:rPr>
          <w:rFonts w:hint="eastAsia" w:ascii="宋体" w:hAnsi="宋体" w:eastAsia="宋体"/>
          <w:color w:val="auto"/>
          <w:sz w:val="21"/>
          <w:szCs w:val="21"/>
          <w:highlight w:val="none"/>
        </w:rPr>
        <w:t>.类似项目业绩情况表</w:t>
      </w:r>
      <w:bookmarkEnd w:id="239"/>
      <w:bookmarkEnd w:id="240"/>
      <w:bookmarkEnd w:id="241"/>
      <w:bookmarkEnd w:id="242"/>
      <w:bookmarkEnd w:id="243"/>
    </w:p>
    <w:p w14:paraId="4ACBFAF4">
      <w:pPr>
        <w:spacing w:line="360" w:lineRule="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w:t>
      </w: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lang w:val="en-US" w:eastAsia="zh-CN"/>
        </w:rPr>
        <w:t>.</w:t>
      </w:r>
      <w:r>
        <w:rPr>
          <w:rFonts w:hint="eastAsia" w:ascii="宋体" w:hAnsi="宋体"/>
          <w:color w:val="auto"/>
          <w:sz w:val="21"/>
          <w:szCs w:val="21"/>
          <w:highlight w:val="none"/>
          <w:lang w:val="en-US" w:eastAsia="zh-CN"/>
        </w:rPr>
        <w:t>施工组织设计方案</w:t>
      </w:r>
    </w:p>
    <w:p w14:paraId="753D24D7">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认为必要的其它材料</w:t>
      </w:r>
    </w:p>
    <w:p w14:paraId="1F57AD57">
      <w:pPr>
        <w:pStyle w:val="47"/>
        <w:spacing w:line="360" w:lineRule="auto"/>
        <w:rPr>
          <w:rFonts w:hint="eastAsia" w:eastAsia="宋体"/>
          <w:color w:val="auto"/>
          <w:sz w:val="21"/>
          <w:szCs w:val="21"/>
          <w:highlight w:val="none"/>
          <w:lang w:val="en-US" w:eastAsia="zh-CN"/>
        </w:rPr>
      </w:pPr>
      <w:r>
        <w:rPr>
          <w:rFonts w:hint="eastAsia" w:hAnsi="宋体"/>
          <w:color w:val="auto"/>
          <w:sz w:val="21"/>
          <w:szCs w:val="21"/>
          <w:highlight w:val="none"/>
          <w:lang w:val="en-US" w:eastAsia="zh-CN"/>
        </w:rPr>
        <w:t>13.</w:t>
      </w:r>
      <w:r>
        <w:rPr>
          <w:rFonts w:hint="eastAsia" w:ascii="宋体" w:hAnsi="宋体" w:eastAsia="宋体"/>
          <w:color w:val="auto"/>
          <w:sz w:val="21"/>
          <w:szCs w:val="21"/>
          <w:highlight w:val="none"/>
        </w:rPr>
        <w:t>磋商</w:t>
      </w:r>
      <w:r>
        <w:rPr>
          <w:rFonts w:hint="eastAsia" w:hAnsi="宋体"/>
          <w:color w:val="auto"/>
          <w:sz w:val="21"/>
          <w:szCs w:val="21"/>
          <w:highlight w:val="none"/>
          <w:lang w:eastAsia="zh-CN"/>
        </w:rPr>
        <w:t>报价（第二轮）</w:t>
      </w:r>
    </w:p>
    <w:p w14:paraId="77590E75">
      <w:pPr>
        <w:spacing w:line="360" w:lineRule="auto"/>
        <w:rPr>
          <w:rFonts w:hint="eastAsia" w:ascii="宋体" w:hAnsi="宋体" w:eastAsia="宋体"/>
          <w:color w:val="auto"/>
          <w:sz w:val="21"/>
          <w:szCs w:val="21"/>
          <w:highlight w:val="none"/>
        </w:rPr>
      </w:pPr>
      <w:bookmarkStart w:id="244" w:name="_Toc3649"/>
      <w:bookmarkStart w:id="245" w:name="_Toc21805"/>
      <w:bookmarkStart w:id="246" w:name="_Toc509411875"/>
      <w:r>
        <w:rPr>
          <w:rFonts w:hint="eastAsia" w:ascii="宋体" w:hAnsi="宋体" w:eastAsia="宋体"/>
          <w:color w:val="auto"/>
          <w:sz w:val="21"/>
          <w:szCs w:val="21"/>
          <w:highlight w:val="none"/>
        </w:rPr>
        <w:t>注：</w:t>
      </w:r>
      <w:bookmarkEnd w:id="244"/>
      <w:bookmarkEnd w:id="245"/>
      <w:bookmarkEnd w:id="246"/>
    </w:p>
    <w:p w14:paraId="032ECD61">
      <w:pPr>
        <w:spacing w:line="360" w:lineRule="auto"/>
        <w:rPr>
          <w:rFonts w:hint="eastAsia" w:ascii="宋体" w:hAnsi="宋体" w:eastAsia="宋体"/>
          <w:color w:val="auto"/>
          <w:sz w:val="21"/>
          <w:szCs w:val="21"/>
          <w:highlight w:val="none"/>
        </w:rPr>
      </w:pPr>
      <w:bookmarkStart w:id="247" w:name="_Toc31371"/>
      <w:bookmarkStart w:id="248" w:name="_Toc22621"/>
      <w:bookmarkStart w:id="249" w:name="_Toc509411876"/>
      <w:r>
        <w:rPr>
          <w:rFonts w:hint="eastAsia" w:ascii="宋体" w:hAnsi="宋体" w:eastAsia="宋体"/>
          <w:color w:val="auto"/>
          <w:sz w:val="21"/>
          <w:szCs w:val="21"/>
          <w:highlight w:val="none"/>
        </w:rPr>
        <w:t>请</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根据</w:t>
      </w:r>
      <w:r>
        <w:rPr>
          <w:rFonts w:hint="eastAsia" w:ascii="宋体" w:hAnsi="宋体"/>
          <w:color w:val="auto"/>
          <w:sz w:val="21"/>
          <w:szCs w:val="21"/>
          <w:highlight w:val="none"/>
          <w:lang w:eastAsia="zh-CN"/>
        </w:rPr>
        <w:t>采购</w:t>
      </w:r>
      <w:r>
        <w:rPr>
          <w:rFonts w:hint="eastAsia" w:ascii="宋体" w:hAnsi="宋体" w:eastAsia="宋体"/>
          <w:color w:val="auto"/>
          <w:sz w:val="21"/>
          <w:szCs w:val="21"/>
          <w:highlight w:val="none"/>
        </w:rPr>
        <w:t>文件的要求，结合自己的投标情况编制</w:t>
      </w:r>
      <w:r>
        <w:rPr>
          <w:rFonts w:hint="eastAsia" w:ascii="宋体" w:hAnsi="宋体"/>
          <w:color w:val="auto"/>
          <w:sz w:val="21"/>
          <w:szCs w:val="21"/>
          <w:highlight w:val="none"/>
          <w:lang w:eastAsia="zh-CN"/>
        </w:rPr>
        <w:t>磋商响应文件</w:t>
      </w:r>
      <w:r>
        <w:rPr>
          <w:rFonts w:hint="eastAsia" w:ascii="宋体" w:hAnsi="宋体" w:eastAsia="宋体"/>
          <w:color w:val="auto"/>
          <w:sz w:val="21"/>
          <w:szCs w:val="21"/>
          <w:highlight w:val="none"/>
        </w:rPr>
        <w:t>，</w:t>
      </w:r>
      <w:r>
        <w:rPr>
          <w:rFonts w:hint="eastAsia" w:ascii="宋体" w:hAnsi="宋体"/>
          <w:color w:val="auto"/>
          <w:sz w:val="21"/>
          <w:szCs w:val="21"/>
          <w:highlight w:val="none"/>
          <w:lang w:eastAsia="zh-CN"/>
        </w:rPr>
        <w:t>磋商响应文件</w:t>
      </w:r>
      <w:r>
        <w:rPr>
          <w:rFonts w:hint="eastAsia" w:ascii="宋体" w:hAnsi="宋体" w:eastAsia="宋体"/>
          <w:color w:val="auto"/>
          <w:sz w:val="21"/>
          <w:szCs w:val="21"/>
          <w:highlight w:val="none"/>
        </w:rPr>
        <w:t>内容不限于以上目录所列内容，文件中</w:t>
      </w:r>
      <w:r>
        <w:rPr>
          <w:rFonts w:hint="eastAsia" w:ascii="宋体" w:hAnsi="宋体"/>
          <w:color w:val="auto"/>
          <w:sz w:val="21"/>
          <w:szCs w:val="21"/>
          <w:highlight w:val="none"/>
          <w:lang w:eastAsia="zh-CN"/>
        </w:rPr>
        <w:t>复印件或扫描件</w:t>
      </w:r>
      <w:r>
        <w:rPr>
          <w:rFonts w:hint="eastAsia" w:ascii="宋体" w:hAnsi="宋体" w:eastAsia="宋体"/>
          <w:color w:val="auto"/>
          <w:sz w:val="21"/>
          <w:szCs w:val="21"/>
          <w:highlight w:val="none"/>
        </w:rPr>
        <w:t>均需加盖</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公章。请</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编制目录及页码，便于评标委员会查阅和评审</w:t>
      </w:r>
      <w:r>
        <w:rPr>
          <w:rFonts w:hint="eastAsia" w:ascii="宋体" w:hAnsi="宋体"/>
          <w:color w:val="auto"/>
          <w:sz w:val="21"/>
          <w:szCs w:val="21"/>
          <w:highlight w:val="none"/>
          <w:lang w:eastAsia="zh-CN"/>
        </w:rPr>
        <w:t>磋商响应文件</w:t>
      </w:r>
      <w:r>
        <w:rPr>
          <w:rFonts w:hint="eastAsia" w:ascii="宋体" w:hAnsi="宋体" w:eastAsia="宋体"/>
          <w:color w:val="auto"/>
          <w:sz w:val="21"/>
          <w:szCs w:val="21"/>
          <w:highlight w:val="none"/>
        </w:rPr>
        <w:t>。</w:t>
      </w:r>
      <w:bookmarkEnd w:id="247"/>
      <w:bookmarkEnd w:id="248"/>
      <w:bookmarkEnd w:id="249"/>
    </w:p>
    <w:p w14:paraId="2BDF0198">
      <w:pPr>
        <w:jc w:val="center"/>
        <w:rPr>
          <w:rFonts w:hint="eastAsia" w:ascii="宋体" w:hAnsi="宋体" w:eastAsia="宋体"/>
          <w:color w:val="auto"/>
          <w:sz w:val="28"/>
          <w:szCs w:val="28"/>
          <w:highlight w:val="none"/>
          <w:lang w:eastAsia="zh-CN"/>
        </w:rPr>
      </w:pPr>
      <w:r>
        <w:rPr>
          <w:rFonts w:hint="eastAsia"/>
          <w:color w:val="auto"/>
          <w:highlight w:val="none"/>
        </w:rPr>
        <w:br w:type="page"/>
      </w:r>
      <w:bookmarkEnd w:id="173"/>
      <w:bookmarkEnd w:id="174"/>
      <w:r>
        <w:rPr>
          <w:rFonts w:hint="eastAsia" w:ascii="宋体" w:hAnsi="宋体" w:eastAsia="宋体"/>
          <w:color w:val="auto"/>
          <w:sz w:val="28"/>
          <w:szCs w:val="28"/>
          <w:highlight w:val="none"/>
        </w:rPr>
        <w:t>1、</w:t>
      </w:r>
      <w:r>
        <w:rPr>
          <w:rFonts w:hint="eastAsia" w:ascii="宋体" w:hAnsi="宋体"/>
          <w:color w:val="auto"/>
          <w:sz w:val="28"/>
          <w:szCs w:val="28"/>
          <w:highlight w:val="none"/>
          <w:lang w:eastAsia="zh-CN"/>
        </w:rPr>
        <w:t>磋商响应承诺书</w:t>
      </w:r>
    </w:p>
    <w:p w14:paraId="3068AA2E">
      <w:pPr>
        <w:rPr>
          <w:rFonts w:hint="eastAsia" w:ascii="宋体" w:hAnsi="宋体" w:eastAsia="宋体"/>
          <w:color w:val="auto"/>
          <w:sz w:val="28"/>
          <w:szCs w:val="28"/>
          <w:highlight w:val="none"/>
        </w:rPr>
      </w:pPr>
    </w:p>
    <w:p w14:paraId="71BD30C8">
      <w:pPr>
        <w:pStyle w:val="11"/>
        <w:tabs>
          <w:tab w:val="left" w:pos="742"/>
        </w:tabs>
        <w:kinsoku w:val="0"/>
        <w:overflowPunct w:val="0"/>
        <w:spacing w:line="360" w:lineRule="auto"/>
        <w:ind w:right="145"/>
        <w:jc w:val="left"/>
        <w:rPr>
          <w:rFonts w:ascii="宋体" w:eastAsia="宋体" w:cs="宋体"/>
          <w:b w:val="0"/>
          <w:bCs w:val="0"/>
          <w:color w:val="auto"/>
          <w:sz w:val="21"/>
          <w:szCs w:val="21"/>
          <w:highlight w:val="none"/>
          <w:u w:val="single"/>
        </w:rPr>
      </w:pPr>
      <w:r>
        <w:rPr>
          <w:rFonts w:hint="eastAsia" w:ascii="宋体" w:eastAsia="宋体" w:cs="宋体"/>
          <w:b w:val="0"/>
          <w:bCs w:val="0"/>
          <w:color w:val="auto"/>
          <w:sz w:val="21"/>
          <w:szCs w:val="21"/>
          <w:highlight w:val="none"/>
        </w:rPr>
        <w:t>致：</w:t>
      </w:r>
      <w:r>
        <w:rPr>
          <w:rFonts w:hint="eastAsia" w:ascii="宋体" w:eastAsia="宋体" w:cs="宋体"/>
          <w:b w:val="0"/>
          <w:bCs w:val="0"/>
          <w:color w:val="auto"/>
          <w:sz w:val="21"/>
          <w:szCs w:val="21"/>
          <w:highlight w:val="none"/>
          <w:u w:val="single"/>
        </w:rPr>
        <w:t xml:space="preserve">     （采购人） </w:t>
      </w:r>
    </w:p>
    <w:p w14:paraId="4908D694">
      <w:pPr>
        <w:pStyle w:val="11"/>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根据贵单位</w:t>
      </w:r>
      <w:r>
        <w:rPr>
          <w:rFonts w:hint="eastAsia" w:ascii="宋体" w:eastAsia="宋体" w:cs="宋体"/>
          <w:b w:val="0"/>
          <w:bCs w:val="0"/>
          <w:color w:val="auto"/>
          <w:sz w:val="21"/>
          <w:szCs w:val="21"/>
          <w:highlight w:val="none"/>
          <w:u w:val="single"/>
        </w:rPr>
        <w:t xml:space="preserve">              （</w:t>
      </w:r>
      <w:r>
        <w:rPr>
          <w:rFonts w:hint="eastAsia" w:ascii="宋体" w:eastAsia="宋体" w:cs="宋体"/>
          <w:b w:val="0"/>
          <w:bCs w:val="0"/>
          <w:color w:val="auto"/>
          <w:sz w:val="21"/>
          <w:szCs w:val="21"/>
          <w:highlight w:val="none"/>
          <w:u w:val="single"/>
          <w:lang w:eastAsia="zh-CN"/>
        </w:rPr>
        <w:t>项目编号：</w:t>
      </w:r>
      <w:r>
        <w:rPr>
          <w:rFonts w:hint="eastAsia" w:ascii="宋体" w:eastAsia="宋体" w:cs="宋体"/>
          <w:b w:val="0"/>
          <w:bCs w:val="0"/>
          <w:color w:val="auto"/>
          <w:sz w:val="21"/>
          <w:szCs w:val="21"/>
          <w:highlight w:val="none"/>
          <w:u w:val="single"/>
          <w:lang w:val="en-US" w:eastAsia="zh-CN"/>
        </w:rPr>
        <w:t xml:space="preserve">     </w:t>
      </w:r>
      <w:r>
        <w:rPr>
          <w:rFonts w:hint="eastAsia" w:ascii="宋体" w:eastAsia="宋体" w:cs="宋体"/>
          <w:b w:val="0"/>
          <w:bCs w:val="0"/>
          <w:color w:val="auto"/>
          <w:sz w:val="21"/>
          <w:szCs w:val="21"/>
          <w:highlight w:val="none"/>
          <w:u w:val="single"/>
        </w:rPr>
        <w:t>）</w:t>
      </w:r>
      <w:r>
        <w:rPr>
          <w:rFonts w:hint="eastAsia" w:ascii="宋体" w:eastAsia="宋体" w:cs="宋体"/>
          <w:b w:val="0"/>
          <w:bCs w:val="0"/>
          <w:color w:val="auto"/>
          <w:sz w:val="21"/>
          <w:szCs w:val="21"/>
          <w:highlight w:val="none"/>
        </w:rPr>
        <w:t>竞争性磋商公告的要求，我们决定参加贵单位组织的</w:t>
      </w:r>
      <w:r>
        <w:rPr>
          <w:rFonts w:hint="eastAsia" w:ascii="宋体" w:eastAsia="宋体" w:cs="宋体"/>
          <w:b w:val="0"/>
          <w:bCs w:val="0"/>
          <w:color w:val="auto"/>
          <w:sz w:val="21"/>
          <w:szCs w:val="21"/>
          <w:highlight w:val="none"/>
          <w:u w:val="single"/>
        </w:rPr>
        <w:t xml:space="preserve">                         （项目名称）</w:t>
      </w:r>
      <w:r>
        <w:rPr>
          <w:rFonts w:hint="eastAsia" w:ascii="宋体" w:eastAsia="宋体" w:cs="宋体"/>
          <w:b w:val="0"/>
          <w:bCs w:val="0"/>
          <w:color w:val="auto"/>
          <w:sz w:val="21"/>
          <w:szCs w:val="21"/>
          <w:highlight w:val="none"/>
          <w:u w:val="single"/>
          <w:lang w:val="en-US" w:eastAsia="zh-CN"/>
        </w:rPr>
        <w:t xml:space="preserve">    </w:t>
      </w:r>
      <w:r>
        <w:rPr>
          <w:rFonts w:hint="eastAsia" w:ascii="宋体" w:eastAsia="宋体" w:cs="宋体"/>
          <w:b w:val="0"/>
          <w:bCs w:val="0"/>
          <w:color w:val="auto"/>
          <w:sz w:val="21"/>
          <w:szCs w:val="21"/>
          <w:highlight w:val="none"/>
          <w:u w:val="none"/>
          <w:lang w:val="en-US" w:eastAsia="zh-CN"/>
        </w:rPr>
        <w:t>标段</w:t>
      </w:r>
      <w:r>
        <w:rPr>
          <w:rFonts w:hint="eastAsia" w:ascii="宋体" w:eastAsia="宋体" w:cs="宋体"/>
          <w:b w:val="0"/>
          <w:bCs w:val="0"/>
          <w:color w:val="auto"/>
          <w:sz w:val="21"/>
          <w:szCs w:val="21"/>
          <w:highlight w:val="none"/>
        </w:rPr>
        <w:t>的竞争性磋商采购活动。我方授权</w:t>
      </w:r>
      <w:r>
        <w:rPr>
          <w:rFonts w:hint="eastAsia" w:ascii="宋体" w:eastAsia="宋体" w:cs="宋体"/>
          <w:b w:val="0"/>
          <w:bCs w:val="0"/>
          <w:color w:val="auto"/>
          <w:sz w:val="21"/>
          <w:szCs w:val="21"/>
          <w:highlight w:val="none"/>
          <w:u w:val="single"/>
        </w:rPr>
        <w:t xml:space="preserve">   </w:t>
      </w:r>
      <w:r>
        <w:rPr>
          <w:rFonts w:hint="eastAsia" w:ascii="宋体" w:eastAsia="宋体" w:cs="宋体"/>
          <w:b w:val="0"/>
          <w:bCs w:val="0"/>
          <w:color w:val="auto"/>
          <w:sz w:val="21"/>
          <w:szCs w:val="21"/>
          <w:highlight w:val="none"/>
          <w:u w:val="single"/>
          <w:lang w:val="en-US" w:eastAsia="zh-CN"/>
        </w:rPr>
        <w:t xml:space="preserve">  </w:t>
      </w:r>
      <w:r>
        <w:rPr>
          <w:rFonts w:hint="eastAsia" w:ascii="宋体" w:eastAsia="宋体" w:cs="宋体"/>
          <w:b w:val="0"/>
          <w:bCs w:val="0"/>
          <w:color w:val="auto"/>
          <w:sz w:val="21"/>
          <w:szCs w:val="21"/>
          <w:highlight w:val="none"/>
          <w:u w:val="single"/>
        </w:rPr>
        <w:t xml:space="preserve"> </w:t>
      </w:r>
      <w:r>
        <w:rPr>
          <w:rFonts w:hint="eastAsia" w:ascii="宋体" w:eastAsia="宋体" w:cs="宋体"/>
          <w:b w:val="0"/>
          <w:bCs w:val="0"/>
          <w:color w:val="auto"/>
          <w:sz w:val="21"/>
          <w:szCs w:val="21"/>
          <w:highlight w:val="none"/>
        </w:rPr>
        <w:t xml:space="preserve"> (姓名和职务)代表我方</w:t>
      </w:r>
      <w:r>
        <w:rPr>
          <w:rFonts w:hint="eastAsia" w:ascii="宋体" w:eastAsia="宋体" w:cs="宋体"/>
          <w:b w:val="0"/>
          <w:bCs w:val="0"/>
          <w:color w:val="auto"/>
          <w:sz w:val="21"/>
          <w:szCs w:val="21"/>
          <w:highlight w:val="none"/>
          <w:u w:val="single"/>
        </w:rPr>
        <w:t xml:space="preserve">           </w:t>
      </w:r>
      <w:r>
        <w:rPr>
          <w:rFonts w:hint="eastAsia" w:ascii="宋体" w:eastAsia="宋体" w:cs="宋体"/>
          <w:b w:val="0"/>
          <w:bCs w:val="0"/>
          <w:color w:val="auto"/>
          <w:sz w:val="21"/>
          <w:szCs w:val="21"/>
          <w:highlight w:val="none"/>
        </w:rPr>
        <w:t>（供应商的名称）全权处理本项目磋商的有关事宜。据此函，签字代表宣布同意如下：</w:t>
      </w:r>
    </w:p>
    <w:p w14:paraId="6C6E21F7">
      <w:pPr>
        <w:pStyle w:val="11"/>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1.依法依规、诚实守信、公平竞争参加本次磋商活动。</w:t>
      </w:r>
    </w:p>
    <w:p w14:paraId="2B42E217">
      <w:pPr>
        <w:pStyle w:val="11"/>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2.我方</w:t>
      </w:r>
      <w:bookmarkStart w:id="336" w:name="_GoBack"/>
      <w:bookmarkEnd w:id="336"/>
      <w:r>
        <w:rPr>
          <w:rFonts w:hint="eastAsia" w:ascii="宋体" w:eastAsia="宋体" w:cs="宋体"/>
          <w:b w:val="0"/>
          <w:bCs w:val="0"/>
          <w:color w:val="auto"/>
          <w:sz w:val="21"/>
          <w:szCs w:val="21"/>
          <w:highlight w:val="none"/>
        </w:rPr>
        <w:t>保证响应文件中的所有资料均为真实、准确、完整、有效的，且不具有任 何误导性，并无条件接受采购人或采购代理机构对其中任何资料进行核实（核对）的要 求。核对发现有虚假、不一致或我方无正当理由不按要求提供的，我方承诺响应文件无效并自愿承担一切法律责任。</w:t>
      </w:r>
    </w:p>
    <w:p w14:paraId="3F9F8F4E">
      <w:pPr>
        <w:pStyle w:val="11"/>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3.我方愿意按照竞争性磋商文件规定的各项要求，向采购人提供所需的服务项目，首次总报价为人民币</w:t>
      </w:r>
      <w:r>
        <w:rPr>
          <w:rFonts w:hint="eastAsia" w:ascii="宋体" w:eastAsia="宋体" w:cs="宋体"/>
          <w:b w:val="0"/>
          <w:bCs w:val="0"/>
          <w:color w:val="auto"/>
          <w:sz w:val="21"/>
          <w:szCs w:val="21"/>
          <w:highlight w:val="none"/>
          <w:u w:val="single"/>
        </w:rPr>
        <w:t xml:space="preserve">（大写）          </w:t>
      </w:r>
      <w:r>
        <w:rPr>
          <w:rFonts w:hint="eastAsia" w:ascii="宋体" w:eastAsia="宋体" w:cs="宋体"/>
          <w:b w:val="0"/>
          <w:bCs w:val="0"/>
          <w:color w:val="auto"/>
          <w:sz w:val="21"/>
          <w:szCs w:val="21"/>
          <w:highlight w:val="none"/>
          <w:u w:val="single"/>
          <w:lang w:eastAsia="zh-CN"/>
        </w:rPr>
        <w:t>（小写）</w:t>
      </w:r>
      <w:r>
        <w:rPr>
          <w:rFonts w:hint="eastAsia" w:ascii="宋体" w:eastAsia="宋体" w:cs="宋体"/>
          <w:b w:val="0"/>
          <w:bCs w:val="0"/>
          <w:color w:val="auto"/>
          <w:sz w:val="21"/>
          <w:szCs w:val="21"/>
          <w:highlight w:val="none"/>
          <w:u w:val="single"/>
        </w:rPr>
        <w:t xml:space="preserve">  </w:t>
      </w:r>
      <w:r>
        <w:rPr>
          <w:rFonts w:hint="eastAsia" w:ascii="宋体" w:eastAsia="宋体" w:cs="宋体"/>
          <w:b w:val="0"/>
          <w:bCs w:val="0"/>
          <w:color w:val="auto"/>
          <w:sz w:val="21"/>
          <w:szCs w:val="21"/>
          <w:highlight w:val="none"/>
        </w:rPr>
        <w:t>。</w:t>
      </w:r>
    </w:p>
    <w:p w14:paraId="39BFFC71">
      <w:pPr>
        <w:pStyle w:val="11"/>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4.如果我方的响应文件被接受，我们将履行磋商文件中规定的每一项要求，按期、按质、按量履行合同。</w:t>
      </w:r>
    </w:p>
    <w:p w14:paraId="70945246">
      <w:pPr>
        <w:pStyle w:val="11"/>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5.我方愿遵守《中华人民共和国政府采购法》及相关的政府采购法律法规，按《中华人民共和国</w:t>
      </w:r>
      <w:r>
        <w:rPr>
          <w:rFonts w:hint="eastAsia" w:ascii="宋体" w:eastAsia="宋体" w:cs="宋体"/>
          <w:b w:val="0"/>
          <w:bCs w:val="0"/>
          <w:color w:val="auto"/>
          <w:sz w:val="21"/>
          <w:szCs w:val="21"/>
          <w:highlight w:val="none"/>
          <w:lang w:eastAsia="zh-CN"/>
        </w:rPr>
        <w:t>民法典</w:t>
      </w:r>
      <w:r>
        <w:rPr>
          <w:rFonts w:hint="eastAsia" w:ascii="宋体" w:eastAsia="宋体" w:cs="宋体"/>
          <w:b w:val="0"/>
          <w:bCs w:val="0"/>
          <w:color w:val="auto"/>
          <w:sz w:val="21"/>
          <w:szCs w:val="21"/>
          <w:highlight w:val="none"/>
        </w:rPr>
        <w:t>》履行我方的全部责任。</w:t>
      </w:r>
    </w:p>
    <w:p w14:paraId="75B54BCB">
      <w:pPr>
        <w:pStyle w:val="11"/>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6.我方已认真仔细研究磋商文件全部内容，包括修改文件以及全部参考资料和有关附件。我们完全理解并同意放弃对这方面有不明及误解的权力。</w:t>
      </w:r>
    </w:p>
    <w:p w14:paraId="4522C06F">
      <w:pPr>
        <w:pStyle w:val="11"/>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7.本次磋商有效期自响应文件递交截止之日起60日历天。</w:t>
      </w:r>
    </w:p>
    <w:p w14:paraId="164EA225">
      <w:pPr>
        <w:pStyle w:val="11"/>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8.我方同意按照贵方的要求提供与磋商有关的一切数据或资料，理解贵方不一定接受最低报价的磋商。</w:t>
      </w:r>
    </w:p>
    <w:p w14:paraId="54CB20B5">
      <w:pPr>
        <w:pStyle w:val="11"/>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9.我方声明参加本次政府采购活动前3年内在经营活动中，我方没有重大违法记录（重大违法记录，是指供应商因违法经营受到刑事处罚或者责令停产停业、吊销许可证或者执照、较大数额罚款等行政处罚）。</w:t>
      </w:r>
    </w:p>
    <w:p w14:paraId="0F30237D">
      <w:pPr>
        <w:pStyle w:val="11"/>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 xml:space="preserve">10.我们同意提供本项目磋商文件要求的有关本次竞争性磋商的所有资料，并声明所提交的资料是准确的和真实的。 </w:t>
      </w:r>
    </w:p>
    <w:p w14:paraId="019B7222">
      <w:pPr>
        <w:pStyle w:val="11"/>
        <w:tabs>
          <w:tab w:val="left" w:pos="3337"/>
        </w:tabs>
        <w:kinsoku w:val="0"/>
        <w:overflowPunct w:val="0"/>
        <w:ind w:left="817" w:right="2105"/>
        <w:rPr>
          <w:rFonts w:ascii="宋体" w:eastAsia="宋体" w:cs="宋体"/>
          <w:b w:val="0"/>
          <w:bCs w:val="0"/>
          <w:color w:val="auto"/>
          <w:sz w:val="21"/>
          <w:szCs w:val="16"/>
          <w:highlight w:val="none"/>
        </w:rPr>
      </w:pPr>
      <w:r>
        <w:rPr>
          <w:rFonts w:hint="eastAsia" w:ascii="宋体" w:eastAsia="宋体" w:cs="宋体"/>
          <w:b w:val="0"/>
          <w:bCs w:val="0"/>
          <w:color w:val="auto"/>
          <w:sz w:val="21"/>
          <w:szCs w:val="16"/>
          <w:highlight w:val="none"/>
        </w:rPr>
        <w:t>详细地址：</w:t>
      </w:r>
      <w:r>
        <w:rPr>
          <w:rFonts w:hint="eastAsia" w:ascii="宋体" w:eastAsia="宋体" w:cs="宋体"/>
          <w:b w:val="0"/>
          <w:bCs w:val="0"/>
          <w:color w:val="auto"/>
          <w:sz w:val="21"/>
          <w:szCs w:val="16"/>
          <w:highlight w:val="none"/>
        </w:rPr>
        <w:tab/>
      </w:r>
      <w:r>
        <w:rPr>
          <w:rFonts w:hint="eastAsia" w:ascii="宋体" w:eastAsia="宋体" w:cs="宋体"/>
          <w:b w:val="0"/>
          <w:bCs w:val="0"/>
          <w:color w:val="auto"/>
          <w:sz w:val="21"/>
          <w:szCs w:val="16"/>
          <w:highlight w:val="none"/>
        </w:rPr>
        <w:t>邮政编码：</w:t>
      </w:r>
    </w:p>
    <w:p w14:paraId="28C08790">
      <w:pPr>
        <w:pStyle w:val="11"/>
        <w:tabs>
          <w:tab w:val="left" w:pos="3337"/>
        </w:tabs>
        <w:kinsoku w:val="0"/>
        <w:overflowPunct w:val="0"/>
        <w:ind w:left="817" w:right="2105"/>
        <w:rPr>
          <w:rFonts w:ascii="宋体" w:eastAsia="宋体" w:cs="宋体"/>
          <w:b w:val="0"/>
          <w:bCs w:val="0"/>
          <w:color w:val="auto"/>
          <w:sz w:val="21"/>
          <w:szCs w:val="16"/>
          <w:highlight w:val="none"/>
        </w:rPr>
      </w:pPr>
      <w:r>
        <w:rPr>
          <w:rFonts w:hint="eastAsia" w:ascii="宋体" w:eastAsia="宋体" w:cs="宋体"/>
          <w:b w:val="0"/>
          <w:bCs w:val="0"/>
          <w:color w:val="auto"/>
          <w:sz w:val="21"/>
          <w:szCs w:val="16"/>
          <w:highlight w:val="none"/>
        </w:rPr>
        <w:t>电话：</w:t>
      </w:r>
      <w:r>
        <w:rPr>
          <w:rFonts w:hint="eastAsia" w:ascii="宋体" w:eastAsia="宋体" w:cs="宋体"/>
          <w:b w:val="0"/>
          <w:bCs w:val="0"/>
          <w:color w:val="auto"/>
          <w:sz w:val="21"/>
          <w:szCs w:val="16"/>
          <w:highlight w:val="none"/>
        </w:rPr>
        <w:tab/>
      </w:r>
      <w:r>
        <w:rPr>
          <w:rFonts w:hint="eastAsia" w:ascii="宋体" w:eastAsia="宋体" w:cs="宋体"/>
          <w:b w:val="0"/>
          <w:bCs w:val="0"/>
          <w:color w:val="auto"/>
          <w:sz w:val="21"/>
          <w:szCs w:val="16"/>
          <w:highlight w:val="none"/>
        </w:rPr>
        <w:t>传真：</w:t>
      </w:r>
    </w:p>
    <w:p w14:paraId="541B4A5F">
      <w:pPr>
        <w:pStyle w:val="11"/>
        <w:tabs>
          <w:tab w:val="left" w:pos="5137"/>
        </w:tabs>
        <w:kinsoku w:val="0"/>
        <w:overflowPunct w:val="0"/>
        <w:spacing w:line="360" w:lineRule="auto"/>
        <w:ind w:right="2105"/>
        <w:rPr>
          <w:rFonts w:ascii="宋体" w:eastAsia="宋体" w:cs="宋体"/>
          <w:b w:val="0"/>
          <w:bCs w:val="0"/>
          <w:color w:val="auto"/>
          <w:sz w:val="21"/>
          <w:szCs w:val="16"/>
          <w:highlight w:val="none"/>
        </w:rPr>
      </w:pPr>
      <w:r>
        <w:rPr>
          <w:rFonts w:hint="eastAsia" w:ascii="宋体" w:eastAsia="宋体" w:cs="宋体"/>
          <w:b w:val="0"/>
          <w:bCs w:val="0"/>
          <w:color w:val="auto"/>
          <w:sz w:val="21"/>
          <w:szCs w:val="16"/>
          <w:highlight w:val="none"/>
        </w:rPr>
        <w:t>供应商 ：</w:t>
      </w:r>
      <w:r>
        <w:rPr>
          <w:rFonts w:hint="eastAsia" w:ascii="宋体" w:eastAsia="宋体" w:cs="宋体"/>
          <w:b w:val="0"/>
          <w:bCs w:val="0"/>
          <w:color w:val="auto"/>
          <w:sz w:val="21"/>
          <w:szCs w:val="16"/>
          <w:highlight w:val="none"/>
          <w:u w:val="single"/>
        </w:rPr>
        <w:t xml:space="preserve">        </w:t>
      </w:r>
      <w:r>
        <w:rPr>
          <w:rFonts w:hint="eastAsia" w:ascii="宋体" w:eastAsia="宋体" w:cs="宋体"/>
          <w:b w:val="0"/>
          <w:bCs w:val="0"/>
          <w:color w:val="auto"/>
          <w:sz w:val="21"/>
          <w:szCs w:val="16"/>
          <w:highlight w:val="none"/>
        </w:rPr>
        <w:t>（</w:t>
      </w:r>
      <w:r>
        <w:rPr>
          <w:rFonts w:hint="eastAsia" w:ascii="宋体" w:eastAsia="宋体" w:cs="宋体"/>
          <w:b w:val="0"/>
          <w:bCs w:val="0"/>
          <w:color w:val="auto"/>
          <w:sz w:val="21"/>
          <w:szCs w:val="16"/>
          <w:highlight w:val="none"/>
          <w:lang w:eastAsia="zh-CN"/>
        </w:rPr>
        <w:t>盖单位章或电子签章</w:t>
      </w:r>
      <w:r>
        <w:rPr>
          <w:rFonts w:hint="eastAsia" w:ascii="宋体" w:eastAsia="宋体" w:cs="宋体"/>
          <w:b w:val="0"/>
          <w:bCs w:val="0"/>
          <w:color w:val="auto"/>
          <w:sz w:val="21"/>
          <w:szCs w:val="16"/>
          <w:highlight w:val="none"/>
        </w:rPr>
        <w:t>）：</w:t>
      </w:r>
    </w:p>
    <w:p w14:paraId="0A12FF7F">
      <w:pPr>
        <w:pStyle w:val="11"/>
        <w:tabs>
          <w:tab w:val="left" w:pos="4218"/>
        </w:tabs>
        <w:kinsoku w:val="0"/>
        <w:overflowPunct w:val="0"/>
        <w:spacing w:line="360" w:lineRule="auto"/>
        <w:rPr>
          <w:rFonts w:ascii="宋体" w:eastAsia="宋体" w:cs="宋体"/>
          <w:b w:val="0"/>
          <w:bCs w:val="0"/>
          <w:color w:val="auto"/>
          <w:sz w:val="21"/>
          <w:szCs w:val="16"/>
          <w:highlight w:val="none"/>
        </w:rPr>
      </w:pPr>
      <w:r>
        <w:rPr>
          <w:rFonts w:hint="eastAsia" w:ascii="宋体" w:eastAsia="宋体" w:cs="宋体"/>
          <w:b w:val="0"/>
          <w:bCs w:val="0"/>
          <w:color w:val="auto"/>
          <w:spacing w:val="-1"/>
          <w:sz w:val="21"/>
          <w:szCs w:val="16"/>
          <w:highlight w:val="none"/>
        </w:rPr>
        <w:t>供应商法定代表人：</w:t>
      </w:r>
      <w:r>
        <w:rPr>
          <w:rFonts w:hint="eastAsia" w:ascii="宋体" w:eastAsia="宋体" w:cs="宋体"/>
          <w:b w:val="0"/>
          <w:bCs w:val="0"/>
          <w:color w:val="auto"/>
          <w:spacing w:val="-1"/>
          <w:sz w:val="21"/>
          <w:szCs w:val="16"/>
          <w:highlight w:val="none"/>
          <w:u w:val="single"/>
        </w:rPr>
        <w:tab/>
      </w:r>
      <w:r>
        <w:rPr>
          <w:rFonts w:hint="eastAsia" w:ascii="宋体" w:eastAsia="宋体" w:cs="宋体"/>
          <w:b w:val="0"/>
          <w:bCs w:val="0"/>
          <w:color w:val="auto"/>
          <w:sz w:val="21"/>
          <w:szCs w:val="16"/>
          <w:highlight w:val="none"/>
        </w:rPr>
        <w:t>（</w:t>
      </w:r>
      <w:r>
        <w:rPr>
          <w:rFonts w:hint="eastAsia" w:ascii="宋体" w:eastAsia="宋体" w:cs="宋体"/>
          <w:b w:val="0"/>
          <w:bCs w:val="0"/>
          <w:color w:val="auto"/>
          <w:sz w:val="21"/>
          <w:szCs w:val="16"/>
          <w:highlight w:val="none"/>
          <w:lang w:eastAsia="zh-CN"/>
        </w:rPr>
        <w:t>签字或盖章或电子签章</w:t>
      </w:r>
      <w:r>
        <w:rPr>
          <w:rFonts w:hint="eastAsia" w:ascii="宋体" w:eastAsia="宋体" w:cs="宋体"/>
          <w:b w:val="0"/>
          <w:bCs w:val="0"/>
          <w:color w:val="auto"/>
          <w:sz w:val="21"/>
          <w:szCs w:val="16"/>
          <w:highlight w:val="none"/>
        </w:rPr>
        <w:t>）</w:t>
      </w:r>
      <w:r>
        <w:rPr>
          <w:rFonts w:hint="eastAsia" w:ascii="宋体" w:eastAsia="宋体" w:cs="宋体"/>
          <w:b w:val="0"/>
          <w:bCs w:val="0"/>
          <w:color w:val="auto"/>
          <w:sz w:val="21"/>
          <w:szCs w:val="16"/>
          <w:highlight w:val="none"/>
        </w:rPr>
        <w:tab/>
      </w:r>
    </w:p>
    <w:p w14:paraId="02EFBAD8">
      <w:pPr>
        <w:pStyle w:val="11"/>
        <w:tabs>
          <w:tab w:val="left" w:pos="1200"/>
          <w:tab w:val="left" w:pos="2400"/>
          <w:tab w:val="left" w:pos="3360"/>
        </w:tabs>
        <w:kinsoku w:val="0"/>
        <w:overflowPunct w:val="0"/>
        <w:spacing w:line="240" w:lineRule="auto"/>
        <w:ind w:right="123"/>
        <w:jc w:val="left"/>
        <w:rPr>
          <w:rFonts w:hint="eastAsia" w:ascii="宋体" w:eastAsia="宋体" w:cs="宋体"/>
          <w:b w:val="0"/>
          <w:bCs w:val="0"/>
          <w:color w:val="auto"/>
          <w:sz w:val="21"/>
          <w:szCs w:val="16"/>
          <w:highlight w:val="none"/>
          <w:lang w:eastAsia="zh-CN"/>
        </w:rPr>
        <w:sectPr>
          <w:headerReference r:id="rId7" w:type="default"/>
          <w:footerReference r:id="rId8" w:type="default"/>
          <w:pgSz w:w="11911" w:h="16838"/>
          <w:pgMar w:top="1134" w:right="1689" w:bottom="1440" w:left="1689" w:header="720" w:footer="720" w:gutter="0"/>
          <w:pgNumType w:fmt="decimal"/>
          <w:cols w:space="720" w:num="1"/>
        </w:sectPr>
      </w:pPr>
      <w:r>
        <w:rPr>
          <w:rFonts w:hint="eastAsia" w:ascii="宋体" w:eastAsia="宋体" w:cs="宋体"/>
          <w:b w:val="0"/>
          <w:bCs w:val="0"/>
          <w:color w:val="auto"/>
          <w:sz w:val="21"/>
          <w:szCs w:val="16"/>
          <w:highlight w:val="none"/>
          <w:u w:val="single"/>
        </w:rPr>
        <w:t xml:space="preserve"> </w:t>
      </w:r>
      <w:r>
        <w:rPr>
          <w:rFonts w:hint="eastAsia" w:ascii="宋体" w:eastAsia="宋体" w:cs="宋体"/>
          <w:b w:val="0"/>
          <w:bCs w:val="0"/>
          <w:color w:val="auto"/>
          <w:sz w:val="21"/>
          <w:szCs w:val="16"/>
          <w:highlight w:val="none"/>
          <w:u w:val="single"/>
        </w:rPr>
        <w:tab/>
      </w:r>
      <w:r>
        <w:rPr>
          <w:rFonts w:hint="eastAsia" w:ascii="宋体" w:eastAsia="宋体" w:cs="宋体"/>
          <w:b w:val="0"/>
          <w:bCs w:val="0"/>
          <w:color w:val="auto"/>
          <w:spacing w:val="-1"/>
          <w:sz w:val="21"/>
          <w:szCs w:val="16"/>
          <w:highlight w:val="none"/>
        </w:rPr>
        <w:t>年</w:t>
      </w:r>
      <w:r>
        <w:rPr>
          <w:rFonts w:hint="eastAsia" w:ascii="宋体" w:eastAsia="宋体" w:cs="宋体"/>
          <w:b w:val="0"/>
          <w:bCs w:val="0"/>
          <w:color w:val="auto"/>
          <w:spacing w:val="-1"/>
          <w:sz w:val="21"/>
          <w:szCs w:val="16"/>
          <w:highlight w:val="none"/>
          <w:u w:val="single"/>
        </w:rPr>
        <w:tab/>
      </w:r>
      <w:r>
        <w:rPr>
          <w:rFonts w:hint="eastAsia" w:ascii="宋体" w:eastAsia="宋体" w:cs="宋体"/>
          <w:b w:val="0"/>
          <w:bCs w:val="0"/>
          <w:color w:val="auto"/>
          <w:spacing w:val="-1"/>
          <w:sz w:val="21"/>
          <w:szCs w:val="16"/>
          <w:highlight w:val="none"/>
        </w:rPr>
        <w:t>月</w:t>
      </w:r>
      <w:r>
        <w:rPr>
          <w:rFonts w:hint="eastAsia" w:ascii="宋体" w:eastAsia="宋体" w:cs="宋体"/>
          <w:b w:val="0"/>
          <w:bCs w:val="0"/>
          <w:color w:val="auto"/>
          <w:spacing w:val="-1"/>
          <w:sz w:val="21"/>
          <w:szCs w:val="16"/>
          <w:highlight w:val="none"/>
          <w:u w:val="single"/>
        </w:rPr>
        <w:tab/>
      </w:r>
      <w:r>
        <w:rPr>
          <w:rFonts w:hint="eastAsia" w:ascii="宋体" w:eastAsia="宋体" w:cs="宋体"/>
          <w:b w:val="0"/>
          <w:bCs w:val="0"/>
          <w:color w:val="auto"/>
          <w:spacing w:val="-1"/>
          <w:sz w:val="21"/>
          <w:szCs w:val="16"/>
          <w:highlight w:val="none"/>
          <w:u w:val="single"/>
          <w:lang w:val="en-US" w:eastAsia="zh-CN"/>
        </w:rPr>
        <w:t xml:space="preserve">  </w:t>
      </w:r>
      <w:r>
        <w:rPr>
          <w:rFonts w:hint="eastAsia" w:ascii="宋体" w:eastAsia="宋体" w:cs="宋体"/>
          <w:b w:val="0"/>
          <w:bCs w:val="0"/>
          <w:color w:val="auto"/>
          <w:spacing w:val="-1"/>
          <w:sz w:val="21"/>
          <w:szCs w:val="16"/>
          <w:highlight w:val="none"/>
          <w:u w:val="none"/>
          <w:lang w:eastAsia="zh-CN"/>
        </w:rPr>
        <w:t>日</w:t>
      </w:r>
    </w:p>
    <w:p w14:paraId="5FE61D20">
      <w:pPr>
        <w:jc w:val="center"/>
        <w:rPr>
          <w:rFonts w:hint="eastAsia" w:ascii="宋体" w:hAnsi="宋体" w:eastAsia="宋体"/>
          <w:color w:val="auto"/>
          <w:sz w:val="28"/>
          <w:szCs w:val="28"/>
          <w:highlight w:val="none"/>
        </w:rPr>
      </w:pPr>
      <w:r>
        <w:rPr>
          <w:rFonts w:hint="eastAsia" w:ascii="宋体" w:hAnsi="宋体"/>
          <w:color w:val="auto"/>
          <w:sz w:val="28"/>
          <w:szCs w:val="28"/>
          <w:highlight w:val="none"/>
          <w:lang w:val="en-US" w:eastAsia="zh-CN"/>
        </w:rPr>
        <w:t>2.</w:t>
      </w:r>
      <w:r>
        <w:rPr>
          <w:rFonts w:hint="eastAsia" w:ascii="宋体" w:hAnsi="宋体" w:eastAsia="宋体"/>
          <w:color w:val="auto"/>
          <w:sz w:val="28"/>
          <w:szCs w:val="28"/>
          <w:highlight w:val="none"/>
        </w:rPr>
        <w:t>磋商响应函附录（第一轮报价）</w:t>
      </w:r>
    </w:p>
    <w:tbl>
      <w:tblPr>
        <w:tblStyle w:val="27"/>
        <w:tblW w:w="84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6"/>
        <w:gridCol w:w="6120"/>
      </w:tblGrid>
      <w:tr w14:paraId="57085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43165AAA">
            <w:pPr>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120" w:type="dxa"/>
            <w:tcBorders>
              <w:top w:val="single" w:color="auto" w:sz="4" w:space="0"/>
              <w:left w:val="single" w:color="auto" w:sz="4" w:space="0"/>
              <w:bottom w:val="single" w:color="auto" w:sz="4" w:space="0"/>
              <w:right w:val="single" w:color="auto" w:sz="4" w:space="0"/>
            </w:tcBorders>
            <w:vAlign w:val="center"/>
          </w:tcPr>
          <w:p w14:paraId="609ABF4F">
            <w:pPr>
              <w:spacing w:before="0" w:beforeAutospacing="0" w:after="0" w:afterAutospacing="0"/>
              <w:ind w:left="0" w:right="0"/>
              <w:jc w:val="center"/>
              <w:rPr>
                <w:rFonts w:hint="eastAsia" w:ascii="宋体" w:hAnsi="宋体" w:eastAsia="宋体" w:cs="宋体"/>
                <w:color w:val="auto"/>
                <w:sz w:val="24"/>
                <w:szCs w:val="24"/>
                <w:highlight w:val="none"/>
              </w:rPr>
            </w:pPr>
          </w:p>
        </w:tc>
      </w:tr>
      <w:tr w14:paraId="10E61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3A235494">
            <w:pPr>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Times New Roman" w:cs="宋体"/>
                <w:color w:val="auto"/>
                <w:sz w:val="24"/>
                <w:szCs w:val="24"/>
                <w:highlight w:val="none"/>
                <w:lang w:eastAsia="zh-CN"/>
              </w:rPr>
              <w:t>项目编号</w:t>
            </w:r>
          </w:p>
        </w:tc>
        <w:tc>
          <w:tcPr>
            <w:tcW w:w="6120" w:type="dxa"/>
            <w:tcBorders>
              <w:top w:val="single" w:color="auto" w:sz="4" w:space="0"/>
              <w:left w:val="single" w:color="auto" w:sz="4" w:space="0"/>
              <w:bottom w:val="single" w:color="auto" w:sz="4" w:space="0"/>
              <w:right w:val="single" w:color="auto" w:sz="4" w:space="0"/>
            </w:tcBorders>
            <w:vAlign w:val="center"/>
          </w:tcPr>
          <w:p w14:paraId="4EC8C018">
            <w:pPr>
              <w:spacing w:before="0" w:beforeAutospacing="0" w:after="0" w:afterAutospacing="0"/>
              <w:ind w:left="108" w:right="0"/>
              <w:jc w:val="center"/>
              <w:rPr>
                <w:rFonts w:hint="eastAsia" w:ascii="宋体" w:hAnsi="宋体" w:eastAsia="宋体" w:cs="宋体"/>
                <w:color w:val="auto"/>
                <w:sz w:val="24"/>
                <w:szCs w:val="24"/>
                <w:highlight w:val="none"/>
              </w:rPr>
            </w:pPr>
          </w:p>
        </w:tc>
      </w:tr>
      <w:tr w14:paraId="68CB1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517EC1B3">
            <w:pPr>
              <w:spacing w:before="0" w:beforeAutospacing="0" w:after="0" w:afterAutospacing="0"/>
              <w:ind w:left="0" w:right="0"/>
              <w:jc w:val="center"/>
              <w:rPr>
                <w:rFonts w:hint="default" w:ascii="宋体" w:hAnsi="宋体" w:eastAsia="Times New Roman" w:cs="宋体"/>
                <w:color w:val="auto"/>
                <w:sz w:val="24"/>
                <w:szCs w:val="24"/>
                <w:highlight w:val="none"/>
                <w:lang w:val="en-US" w:eastAsia="zh-CN"/>
              </w:rPr>
            </w:pPr>
            <w:r>
              <w:rPr>
                <w:rFonts w:hint="eastAsia" w:ascii="宋体" w:hAnsi="宋体" w:eastAsia="Times New Roman" w:cs="宋体"/>
                <w:color w:val="auto"/>
                <w:sz w:val="24"/>
                <w:szCs w:val="24"/>
                <w:highlight w:val="none"/>
                <w:lang w:val="en-US" w:eastAsia="zh-CN"/>
              </w:rPr>
              <w:t>标段</w:t>
            </w:r>
          </w:p>
        </w:tc>
        <w:tc>
          <w:tcPr>
            <w:tcW w:w="6120" w:type="dxa"/>
            <w:tcBorders>
              <w:top w:val="single" w:color="auto" w:sz="4" w:space="0"/>
              <w:left w:val="single" w:color="auto" w:sz="4" w:space="0"/>
              <w:bottom w:val="single" w:color="auto" w:sz="4" w:space="0"/>
              <w:right w:val="single" w:color="auto" w:sz="4" w:space="0"/>
            </w:tcBorders>
            <w:vAlign w:val="center"/>
          </w:tcPr>
          <w:p w14:paraId="5F220581">
            <w:pPr>
              <w:spacing w:before="0" w:beforeAutospacing="0" w:after="0" w:afterAutospacing="0"/>
              <w:ind w:left="108" w:right="0"/>
              <w:jc w:val="center"/>
              <w:rPr>
                <w:rFonts w:hint="eastAsia" w:ascii="宋体" w:hAnsi="宋体" w:eastAsia="宋体" w:cs="宋体"/>
                <w:color w:val="auto"/>
                <w:sz w:val="24"/>
                <w:szCs w:val="24"/>
                <w:highlight w:val="none"/>
              </w:rPr>
            </w:pPr>
          </w:p>
        </w:tc>
      </w:tr>
      <w:tr w14:paraId="59409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0291F9DE">
            <w:pPr>
              <w:spacing w:before="0" w:beforeAutospacing="0" w:after="0" w:afterAutospacing="0"/>
              <w:ind w:left="0" w:right="0"/>
              <w:jc w:val="center"/>
              <w:rPr>
                <w:rFonts w:hint="default" w:ascii="宋体" w:hAnsi="宋体" w:eastAsia="Times New Roman" w:cs="宋体"/>
                <w:color w:val="auto"/>
                <w:sz w:val="24"/>
                <w:szCs w:val="24"/>
                <w:highlight w:val="none"/>
                <w:lang w:val="en-US" w:eastAsia="zh-CN"/>
              </w:rPr>
            </w:pPr>
            <w:r>
              <w:rPr>
                <w:rFonts w:hint="eastAsia" w:ascii="宋体" w:hAnsi="宋体" w:eastAsia="Times New Roman" w:cs="宋体"/>
                <w:color w:val="auto"/>
                <w:sz w:val="24"/>
                <w:szCs w:val="24"/>
                <w:highlight w:val="none"/>
                <w:lang w:val="en-US" w:eastAsia="zh-CN"/>
              </w:rPr>
              <w:t>采购内容</w:t>
            </w:r>
          </w:p>
        </w:tc>
        <w:tc>
          <w:tcPr>
            <w:tcW w:w="6120" w:type="dxa"/>
            <w:tcBorders>
              <w:top w:val="single" w:color="auto" w:sz="4" w:space="0"/>
              <w:left w:val="single" w:color="auto" w:sz="4" w:space="0"/>
              <w:bottom w:val="single" w:color="auto" w:sz="4" w:space="0"/>
              <w:right w:val="single" w:color="auto" w:sz="4" w:space="0"/>
            </w:tcBorders>
            <w:vAlign w:val="center"/>
          </w:tcPr>
          <w:p w14:paraId="581AA321">
            <w:pPr>
              <w:spacing w:before="0" w:beforeAutospacing="0" w:after="0" w:afterAutospacing="0"/>
              <w:ind w:left="108" w:right="0"/>
              <w:jc w:val="center"/>
              <w:rPr>
                <w:rFonts w:hint="eastAsia" w:ascii="宋体" w:hAnsi="宋体" w:eastAsia="宋体" w:cs="宋体"/>
                <w:color w:val="auto"/>
                <w:sz w:val="24"/>
                <w:szCs w:val="24"/>
                <w:highlight w:val="none"/>
              </w:rPr>
            </w:pPr>
          </w:p>
        </w:tc>
      </w:tr>
      <w:tr w14:paraId="2C39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7"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2DD1242C">
            <w:pPr>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Times New Roman"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6120" w:type="dxa"/>
            <w:tcBorders>
              <w:top w:val="single" w:color="auto" w:sz="4" w:space="0"/>
              <w:left w:val="single" w:color="auto" w:sz="4" w:space="0"/>
              <w:bottom w:val="single" w:color="auto" w:sz="4" w:space="0"/>
              <w:right w:val="single" w:color="auto" w:sz="4" w:space="0"/>
            </w:tcBorders>
            <w:vAlign w:val="center"/>
          </w:tcPr>
          <w:p w14:paraId="60C203F1">
            <w:pPr>
              <w:spacing w:before="0" w:beforeAutospacing="0" w:after="0" w:afterAutospacing="0"/>
              <w:ind w:left="0" w:right="0"/>
              <w:jc w:val="center"/>
              <w:rPr>
                <w:rFonts w:hint="eastAsia" w:ascii="宋体" w:hAnsi="宋体" w:eastAsia="宋体" w:cs="宋体"/>
                <w:color w:val="auto"/>
                <w:sz w:val="24"/>
                <w:szCs w:val="24"/>
                <w:highlight w:val="none"/>
              </w:rPr>
            </w:pPr>
          </w:p>
        </w:tc>
      </w:tr>
      <w:tr w14:paraId="6ED32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14496B53">
            <w:pPr>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6120" w:type="dxa"/>
            <w:tcBorders>
              <w:top w:val="single" w:color="auto" w:sz="4" w:space="0"/>
              <w:left w:val="single" w:color="auto" w:sz="4" w:space="0"/>
              <w:bottom w:val="single" w:color="auto" w:sz="4" w:space="0"/>
              <w:right w:val="single" w:color="auto" w:sz="4" w:space="0"/>
            </w:tcBorders>
            <w:vAlign w:val="center"/>
          </w:tcPr>
          <w:p w14:paraId="69FA0705">
            <w:pPr>
              <w:spacing w:before="0" w:beforeAutospacing="0" w:after="0" w:afterAutospacing="0"/>
              <w:ind w:left="1309" w:right="0" w:hanging="1201" w:hangingChars="600"/>
              <w:rPr>
                <w:rFonts w:hint="eastAsia" w:ascii="宋体" w:hAnsi="宋体" w:eastAsia="宋体" w:cs="宋体"/>
                <w:color w:val="auto"/>
                <w:sz w:val="24"/>
                <w:szCs w:val="24"/>
                <w:highlight w:val="none"/>
              </w:rPr>
            </w:pPr>
            <w:r>
              <w:rPr>
                <w:rFonts w:hint="eastAsia" w:ascii="Times New Roman" w:hAnsi="Times New Roman" w:eastAsia="Times New Roman" w:cs="Times New Roman"/>
                <w:b/>
                <w:bCs/>
                <w:color w:val="auto"/>
                <w:sz w:val="20"/>
                <w:szCs w:val="20"/>
                <w:highlight w:val="none"/>
              </w:rPr>
              <w:t>（</w:t>
            </w:r>
            <w:r>
              <w:rPr>
                <w:rFonts w:hint="eastAsia" w:ascii="Times New Roman" w:hAnsi="Times New Roman" w:cs="Times New Roman"/>
                <w:b/>
                <w:bCs/>
                <w:color w:val="auto"/>
                <w:sz w:val="20"/>
                <w:szCs w:val="20"/>
                <w:highlight w:val="none"/>
                <w:lang w:eastAsia="zh-CN"/>
              </w:rPr>
              <w:t>供应商</w:t>
            </w:r>
            <w:r>
              <w:rPr>
                <w:rFonts w:hint="eastAsia" w:ascii="Times New Roman" w:hAnsi="Times New Roman" w:eastAsia="Times New Roman" w:cs="Times New Roman"/>
                <w:b/>
                <w:bCs/>
                <w:color w:val="auto"/>
                <w:sz w:val="20"/>
                <w:szCs w:val="20"/>
                <w:highlight w:val="none"/>
              </w:rPr>
              <w:t>应在此填列第一次报价，但以</w:t>
            </w:r>
            <w:r>
              <w:rPr>
                <w:rFonts w:hint="eastAsia" w:ascii="Times New Roman" w:hAnsi="Times New Roman" w:cs="Times New Roman"/>
                <w:b/>
                <w:bCs/>
                <w:color w:val="auto"/>
                <w:sz w:val="20"/>
                <w:szCs w:val="20"/>
                <w:highlight w:val="none"/>
                <w:lang w:eastAsia="zh-CN"/>
              </w:rPr>
              <w:t>供应商</w:t>
            </w:r>
            <w:r>
              <w:rPr>
                <w:rFonts w:hint="eastAsia" w:ascii="Times New Roman" w:hAnsi="Times New Roman" w:eastAsia="Times New Roman" w:cs="Times New Roman"/>
                <w:b/>
                <w:bCs/>
                <w:color w:val="auto"/>
                <w:sz w:val="20"/>
                <w:szCs w:val="20"/>
                <w:highlight w:val="none"/>
              </w:rPr>
              <w:t>最后一次的磋商报价为成交价）</w:t>
            </w:r>
          </w:p>
        </w:tc>
      </w:tr>
      <w:tr w14:paraId="0B55C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51253105">
            <w:pPr>
              <w:spacing w:before="0" w:beforeAutospacing="0" w:after="0" w:afterAutospacing="0"/>
              <w:ind w:left="0" w:right="0"/>
              <w:jc w:val="center"/>
              <w:rPr>
                <w:rFonts w:hint="default" w:ascii="宋体" w:hAnsi="宋体" w:eastAsia="Times New Roman" w:cs="宋体"/>
                <w:color w:val="auto"/>
                <w:sz w:val="24"/>
                <w:szCs w:val="24"/>
                <w:highlight w:val="none"/>
                <w:lang w:val="en-US" w:eastAsia="zh-CN"/>
              </w:rPr>
            </w:pPr>
            <w:r>
              <w:rPr>
                <w:rFonts w:hint="eastAsia" w:ascii="宋体" w:hAnsi="宋体" w:eastAsia="Times New Roman" w:cs="宋体"/>
                <w:color w:val="auto"/>
                <w:sz w:val="24"/>
                <w:szCs w:val="24"/>
                <w:highlight w:val="none"/>
                <w:lang w:val="en-US" w:eastAsia="zh-CN"/>
              </w:rPr>
              <w:t>工期</w:t>
            </w:r>
          </w:p>
        </w:tc>
        <w:tc>
          <w:tcPr>
            <w:tcW w:w="6120" w:type="dxa"/>
            <w:tcBorders>
              <w:top w:val="single" w:color="auto" w:sz="4" w:space="0"/>
              <w:left w:val="single" w:color="auto" w:sz="4" w:space="0"/>
              <w:bottom w:val="single" w:color="auto" w:sz="4" w:space="0"/>
              <w:right w:val="single" w:color="auto" w:sz="4" w:space="0"/>
            </w:tcBorders>
            <w:vAlign w:val="center"/>
          </w:tcPr>
          <w:p w14:paraId="4EC8786D">
            <w:pPr>
              <w:spacing w:before="0" w:beforeAutospacing="0" w:after="0" w:afterAutospacing="0"/>
              <w:ind w:left="1309" w:right="0" w:hanging="1201" w:hangingChars="600"/>
              <w:rPr>
                <w:rFonts w:hint="eastAsia" w:ascii="Times New Roman" w:hAnsi="Times New Roman" w:eastAsia="Times New Roman" w:cs="Times New Roman"/>
                <w:b/>
                <w:bCs/>
                <w:color w:val="auto"/>
                <w:sz w:val="20"/>
                <w:szCs w:val="20"/>
                <w:highlight w:val="none"/>
              </w:rPr>
            </w:pPr>
          </w:p>
        </w:tc>
      </w:tr>
      <w:tr w14:paraId="682A2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6B924959">
            <w:pPr>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lang w:val="en-US" w:eastAsia="zh-CN"/>
              </w:rPr>
              <w:t>合同履行期限</w:t>
            </w:r>
          </w:p>
        </w:tc>
        <w:tc>
          <w:tcPr>
            <w:tcW w:w="6120" w:type="dxa"/>
            <w:tcBorders>
              <w:top w:val="single" w:color="auto" w:sz="4" w:space="0"/>
              <w:left w:val="single" w:color="auto" w:sz="4" w:space="0"/>
              <w:bottom w:val="single" w:color="auto" w:sz="4" w:space="0"/>
              <w:right w:val="single" w:color="auto" w:sz="4" w:space="0"/>
            </w:tcBorders>
            <w:vAlign w:val="center"/>
          </w:tcPr>
          <w:p w14:paraId="17CD7F7D">
            <w:pPr>
              <w:spacing w:before="0" w:beforeAutospacing="0" w:after="0" w:afterAutospacing="0"/>
              <w:ind w:left="1309" w:right="0" w:hanging="1440" w:hangingChars="600"/>
              <w:rPr>
                <w:rFonts w:hint="eastAsia" w:ascii="宋体" w:hAnsi="宋体" w:eastAsia="宋体" w:cs="宋体"/>
                <w:color w:val="auto"/>
                <w:sz w:val="24"/>
                <w:szCs w:val="24"/>
                <w:highlight w:val="none"/>
              </w:rPr>
            </w:pPr>
          </w:p>
        </w:tc>
      </w:tr>
      <w:tr w14:paraId="48712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51313909">
            <w:pPr>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Times New Roman" w:cs="宋体"/>
                <w:color w:val="auto"/>
                <w:sz w:val="24"/>
                <w:szCs w:val="24"/>
                <w:highlight w:val="none"/>
                <w:lang w:eastAsia="zh-CN"/>
              </w:rPr>
              <w:t>项目经理</w:t>
            </w:r>
          </w:p>
        </w:tc>
        <w:tc>
          <w:tcPr>
            <w:tcW w:w="6120" w:type="dxa"/>
            <w:tcBorders>
              <w:top w:val="single" w:color="auto" w:sz="4" w:space="0"/>
              <w:left w:val="single" w:color="auto" w:sz="4" w:space="0"/>
              <w:bottom w:val="single" w:color="auto" w:sz="4" w:space="0"/>
              <w:right w:val="single" w:color="auto" w:sz="4" w:space="0"/>
            </w:tcBorders>
            <w:vAlign w:val="center"/>
          </w:tcPr>
          <w:p w14:paraId="28181BD3">
            <w:pPr>
              <w:spacing w:before="0" w:beforeAutospacing="0" w:after="0" w:afterAutospacing="0"/>
              <w:ind w:left="1309" w:right="0" w:hanging="1440" w:hangingChars="600"/>
              <w:rPr>
                <w:rFonts w:hint="eastAsia" w:ascii="宋体" w:hAnsi="宋体" w:eastAsia="宋体" w:cs="宋体"/>
                <w:color w:val="auto"/>
                <w:sz w:val="24"/>
                <w:szCs w:val="24"/>
                <w:highlight w:val="none"/>
              </w:rPr>
            </w:pPr>
          </w:p>
        </w:tc>
      </w:tr>
      <w:tr w14:paraId="1E6C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0D4C9D41">
            <w:pPr>
              <w:spacing w:before="0" w:beforeAutospacing="0" w:after="0" w:afterAutospacing="0"/>
              <w:ind w:left="0" w:right="0"/>
              <w:jc w:val="center"/>
              <w:rPr>
                <w:rFonts w:hint="eastAsia" w:ascii="宋体" w:hAnsi="宋体" w:eastAsia="Times New Roman" w:cs="宋体"/>
                <w:color w:val="auto"/>
                <w:sz w:val="24"/>
                <w:szCs w:val="24"/>
                <w:highlight w:val="none"/>
                <w:lang w:eastAsia="zh-CN"/>
              </w:rPr>
            </w:pPr>
            <w:r>
              <w:rPr>
                <w:rFonts w:hint="eastAsia" w:ascii="宋体" w:hAnsi="宋体" w:eastAsia="Times New Roman" w:cs="宋体"/>
                <w:color w:val="auto"/>
                <w:sz w:val="24"/>
                <w:szCs w:val="24"/>
                <w:highlight w:val="none"/>
                <w:lang w:eastAsia="zh-CN"/>
              </w:rPr>
              <w:t>项目经理证书编号</w:t>
            </w:r>
          </w:p>
        </w:tc>
        <w:tc>
          <w:tcPr>
            <w:tcW w:w="6120" w:type="dxa"/>
            <w:tcBorders>
              <w:top w:val="single" w:color="auto" w:sz="4" w:space="0"/>
              <w:left w:val="single" w:color="auto" w:sz="4" w:space="0"/>
              <w:bottom w:val="single" w:color="auto" w:sz="4" w:space="0"/>
              <w:right w:val="single" w:color="auto" w:sz="4" w:space="0"/>
            </w:tcBorders>
            <w:vAlign w:val="center"/>
          </w:tcPr>
          <w:p w14:paraId="707B863C">
            <w:pPr>
              <w:spacing w:before="0" w:beforeAutospacing="0" w:after="0" w:afterAutospacing="0"/>
              <w:ind w:left="1309" w:right="0" w:hanging="1440" w:hangingChars="600"/>
              <w:rPr>
                <w:rFonts w:hint="eastAsia" w:ascii="宋体" w:hAnsi="宋体" w:eastAsia="宋体" w:cs="宋体"/>
                <w:color w:val="auto"/>
                <w:sz w:val="24"/>
                <w:szCs w:val="24"/>
                <w:highlight w:val="none"/>
              </w:rPr>
            </w:pPr>
          </w:p>
        </w:tc>
      </w:tr>
      <w:tr w14:paraId="0CD78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0F11348C">
            <w:pPr>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6120" w:type="dxa"/>
            <w:tcBorders>
              <w:top w:val="single" w:color="auto" w:sz="4" w:space="0"/>
              <w:left w:val="single" w:color="auto" w:sz="4" w:space="0"/>
              <w:bottom w:val="single" w:color="auto" w:sz="4" w:space="0"/>
              <w:right w:val="single" w:color="auto" w:sz="4" w:space="0"/>
            </w:tcBorders>
            <w:vAlign w:val="center"/>
          </w:tcPr>
          <w:p w14:paraId="655FA622">
            <w:pPr>
              <w:spacing w:before="0" w:beforeAutospacing="0" w:after="0" w:afterAutospacing="0"/>
              <w:ind w:left="1309" w:right="0" w:hanging="1440" w:hangingChars="600"/>
              <w:rPr>
                <w:rFonts w:hint="eastAsia" w:ascii="宋体" w:hAnsi="宋体" w:eastAsia="宋体" w:cs="宋体"/>
                <w:color w:val="auto"/>
                <w:sz w:val="24"/>
                <w:szCs w:val="24"/>
                <w:highlight w:val="none"/>
              </w:rPr>
            </w:pPr>
          </w:p>
        </w:tc>
      </w:tr>
      <w:tr w14:paraId="4D51B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2AFFADDC">
            <w:pPr>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联系方式</w:t>
            </w:r>
          </w:p>
        </w:tc>
        <w:tc>
          <w:tcPr>
            <w:tcW w:w="6120" w:type="dxa"/>
            <w:tcBorders>
              <w:top w:val="single" w:color="auto" w:sz="4" w:space="0"/>
              <w:left w:val="single" w:color="auto" w:sz="4" w:space="0"/>
              <w:bottom w:val="single" w:color="auto" w:sz="4" w:space="0"/>
              <w:right w:val="single" w:color="auto" w:sz="4" w:space="0"/>
            </w:tcBorders>
            <w:vAlign w:val="center"/>
          </w:tcPr>
          <w:p w14:paraId="0333AC62">
            <w:pPr>
              <w:spacing w:before="0" w:beforeAutospacing="0" w:after="0" w:afterAutospacing="0"/>
              <w:ind w:left="1309" w:right="0" w:hanging="1440" w:hangingChars="600"/>
              <w:rPr>
                <w:rFonts w:hint="eastAsia" w:ascii="宋体" w:hAnsi="宋体" w:eastAsia="宋体" w:cs="宋体"/>
                <w:color w:val="auto"/>
                <w:sz w:val="24"/>
                <w:szCs w:val="24"/>
                <w:highlight w:val="none"/>
              </w:rPr>
            </w:pPr>
          </w:p>
        </w:tc>
      </w:tr>
      <w:tr w14:paraId="6240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01167338">
            <w:pPr>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120" w:type="dxa"/>
            <w:tcBorders>
              <w:top w:val="single" w:color="auto" w:sz="4" w:space="0"/>
              <w:left w:val="single" w:color="auto" w:sz="4" w:space="0"/>
              <w:bottom w:val="single" w:color="auto" w:sz="4" w:space="0"/>
              <w:right w:val="single" w:color="auto" w:sz="4" w:space="0"/>
            </w:tcBorders>
            <w:vAlign w:val="center"/>
          </w:tcPr>
          <w:p w14:paraId="319089DB">
            <w:pPr>
              <w:spacing w:before="0" w:beforeAutospacing="0" w:after="0" w:afterAutospacing="0"/>
              <w:ind w:left="1309" w:right="0" w:hanging="1440" w:hangingChars="600"/>
              <w:rPr>
                <w:rFonts w:hint="eastAsia" w:ascii="宋体" w:hAnsi="宋体" w:eastAsia="宋体" w:cs="宋体"/>
                <w:color w:val="auto"/>
                <w:sz w:val="24"/>
                <w:szCs w:val="24"/>
                <w:highlight w:val="none"/>
              </w:rPr>
            </w:pPr>
          </w:p>
        </w:tc>
      </w:tr>
    </w:tbl>
    <w:p w14:paraId="590E37F7">
      <w:pPr>
        <w:pStyle w:val="12"/>
        <w:spacing w:line="600" w:lineRule="exact"/>
        <w:jc w:val="right"/>
        <w:rPr>
          <w:rFonts w:hint="eastAsia" w:ascii="宋体" w:hAnsi="宋体" w:eastAsia="宋体" w:cs="宋体"/>
          <w:color w:val="auto"/>
          <w:sz w:val="24"/>
          <w:szCs w:val="24"/>
          <w:highlight w:val="none"/>
        </w:rPr>
      </w:pPr>
    </w:p>
    <w:p w14:paraId="01E8EE8D">
      <w:pPr>
        <w:pStyle w:val="12"/>
        <w:spacing w:line="600" w:lineRule="exact"/>
        <w:jc w:val="right"/>
        <w:rPr>
          <w:rFonts w:hint="eastAsia" w:ascii="宋体" w:hAnsi="宋体" w:eastAsia="宋体" w:cs="宋体"/>
          <w:color w:val="auto"/>
          <w:sz w:val="24"/>
          <w:szCs w:val="24"/>
          <w:highlight w:val="none"/>
        </w:rPr>
      </w:pPr>
    </w:p>
    <w:p w14:paraId="185B6E6A">
      <w:pPr>
        <w:spacing w:line="360" w:lineRule="auto"/>
        <w:jc w:val="right"/>
        <w:rPr>
          <w:rFonts w:ascii="宋体" w:hAnsi="宋体" w:cs="宋体"/>
          <w:color w:val="auto"/>
          <w:w w:val="99"/>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lang w:eastAsia="zh-CN"/>
        </w:rPr>
        <w:t>盖单位章或电子签章</w:t>
      </w:r>
      <w:r>
        <w:rPr>
          <w:rFonts w:hint="eastAsia" w:ascii="宋体" w:hAnsi="宋体" w:cs="宋体"/>
          <w:color w:val="auto"/>
          <w:szCs w:val="21"/>
          <w:highlight w:val="none"/>
        </w:rPr>
        <w:t>）</w:t>
      </w:r>
      <w:r>
        <w:rPr>
          <w:rFonts w:hint="eastAsia" w:ascii="宋体" w:hAnsi="宋体" w:cs="宋体"/>
          <w:color w:val="auto"/>
          <w:w w:val="99"/>
          <w:szCs w:val="21"/>
          <w:highlight w:val="none"/>
        </w:rPr>
        <w:t xml:space="preserve"> </w:t>
      </w:r>
    </w:p>
    <w:p w14:paraId="72D88013">
      <w:pPr>
        <w:spacing w:line="360" w:lineRule="auto"/>
        <w:jc w:val="right"/>
        <w:rPr>
          <w:rFonts w:ascii="宋体" w:hAnsi="宋体" w:cs="宋体"/>
          <w:color w:val="auto"/>
          <w:w w:val="99"/>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lang w:eastAsia="zh-CN"/>
        </w:rPr>
        <w:t>签字或盖章或电子签章</w:t>
      </w:r>
      <w:r>
        <w:rPr>
          <w:rFonts w:hint="eastAsia" w:ascii="宋体" w:hAnsi="宋体" w:cs="宋体"/>
          <w:color w:val="auto"/>
          <w:szCs w:val="21"/>
          <w:highlight w:val="none"/>
        </w:rPr>
        <w:t>）：</w:t>
      </w:r>
      <w:r>
        <w:rPr>
          <w:rFonts w:hint="eastAsia" w:ascii="宋体" w:hAnsi="宋体" w:cs="宋体"/>
          <w:color w:val="auto"/>
          <w:w w:val="99"/>
          <w:szCs w:val="21"/>
          <w:highlight w:val="none"/>
        </w:rPr>
        <w:t xml:space="preserve"> </w:t>
      </w:r>
    </w:p>
    <w:p w14:paraId="60F32B18">
      <w:pPr>
        <w:pStyle w:val="11"/>
        <w:tabs>
          <w:tab w:val="left" w:pos="600"/>
          <w:tab w:val="left" w:pos="1440"/>
          <w:tab w:val="left" w:pos="2400"/>
        </w:tabs>
        <w:kinsoku w:val="0"/>
        <w:overflowPunct w:val="0"/>
        <w:ind w:right="123" w:firstLine="5668" w:firstLineChars="2600"/>
        <w:jc w:val="left"/>
        <w:rPr>
          <w:rFonts w:ascii="宋体" w:eastAsia="宋体" w:cs="宋体"/>
          <w:color w:val="auto"/>
          <w:sz w:val="21"/>
          <w:szCs w:val="21"/>
          <w:highlight w:val="none"/>
          <w:u w:val="none"/>
        </w:rPr>
        <w:sectPr>
          <w:pgSz w:w="11911" w:h="16838"/>
          <w:pgMar w:top="1440" w:right="1803" w:bottom="1440" w:left="1803" w:header="720" w:footer="720" w:gutter="0"/>
          <w:pgNumType w:fmt="decimal"/>
          <w:cols w:space="720" w:num="1"/>
        </w:sectPr>
      </w:pPr>
      <w:r>
        <w:rPr>
          <w:rFonts w:hint="eastAsia" w:ascii="宋体" w:eastAsia="宋体" w:cs="宋体"/>
          <w:b w:val="0"/>
          <w:bCs w:val="0"/>
          <w:color w:val="auto"/>
          <w:sz w:val="21"/>
          <w:szCs w:val="21"/>
          <w:highlight w:val="none"/>
          <w:u w:val="single"/>
        </w:rPr>
        <w:t xml:space="preserve">  </w:t>
      </w:r>
      <w:r>
        <w:rPr>
          <w:rFonts w:hint="eastAsia" w:ascii="宋体" w:eastAsia="宋体" w:cs="宋体"/>
          <w:b w:val="0"/>
          <w:bCs w:val="0"/>
          <w:color w:val="auto"/>
          <w:sz w:val="21"/>
          <w:szCs w:val="21"/>
          <w:highlight w:val="none"/>
          <w:u w:val="single"/>
        </w:rPr>
        <w:tab/>
      </w:r>
      <w:r>
        <w:rPr>
          <w:rFonts w:hint="eastAsia" w:ascii="宋体" w:eastAsia="宋体" w:cs="宋体"/>
          <w:b w:val="0"/>
          <w:bCs w:val="0"/>
          <w:color w:val="auto"/>
          <w:spacing w:val="-1"/>
          <w:sz w:val="21"/>
          <w:szCs w:val="21"/>
          <w:highlight w:val="none"/>
        </w:rPr>
        <w:t>年</w:t>
      </w:r>
      <w:r>
        <w:rPr>
          <w:rFonts w:hint="eastAsia" w:ascii="宋体" w:eastAsia="宋体" w:cs="宋体"/>
          <w:b w:val="0"/>
          <w:bCs w:val="0"/>
          <w:color w:val="auto"/>
          <w:spacing w:val="-1"/>
          <w:sz w:val="21"/>
          <w:szCs w:val="21"/>
          <w:highlight w:val="none"/>
          <w:u w:val="single"/>
        </w:rPr>
        <w:tab/>
      </w:r>
      <w:r>
        <w:rPr>
          <w:rFonts w:hint="eastAsia" w:ascii="宋体" w:eastAsia="宋体" w:cs="宋体"/>
          <w:b w:val="0"/>
          <w:bCs w:val="0"/>
          <w:color w:val="auto"/>
          <w:spacing w:val="-1"/>
          <w:sz w:val="21"/>
          <w:szCs w:val="21"/>
          <w:highlight w:val="none"/>
          <w:u w:val="single"/>
        </w:rPr>
        <w:t xml:space="preserve">    </w:t>
      </w:r>
      <w:r>
        <w:rPr>
          <w:rFonts w:hint="eastAsia" w:ascii="宋体" w:eastAsia="宋体" w:cs="宋体"/>
          <w:b w:val="0"/>
          <w:bCs w:val="0"/>
          <w:color w:val="auto"/>
          <w:spacing w:val="-1"/>
          <w:sz w:val="21"/>
          <w:szCs w:val="21"/>
          <w:highlight w:val="none"/>
        </w:rPr>
        <w:t>月</w:t>
      </w:r>
      <w:r>
        <w:rPr>
          <w:rFonts w:hint="eastAsia" w:ascii="宋体" w:eastAsia="宋体" w:cs="宋体"/>
          <w:b w:val="0"/>
          <w:bCs w:val="0"/>
          <w:color w:val="auto"/>
          <w:spacing w:val="-1"/>
          <w:sz w:val="21"/>
          <w:szCs w:val="21"/>
          <w:highlight w:val="none"/>
          <w:u w:val="single"/>
        </w:rPr>
        <w:t xml:space="preserve">     </w:t>
      </w:r>
      <w:r>
        <w:rPr>
          <w:rFonts w:hint="eastAsia" w:ascii="宋体" w:eastAsia="宋体" w:cs="宋体"/>
          <w:b w:val="0"/>
          <w:bCs w:val="0"/>
          <w:color w:val="auto"/>
          <w:spacing w:val="-1"/>
          <w:sz w:val="21"/>
          <w:szCs w:val="21"/>
          <w:highlight w:val="none"/>
          <w:u w:val="none"/>
          <w:lang w:eastAsia="zh-CN"/>
        </w:rPr>
        <w:t>日</w:t>
      </w:r>
      <w:r>
        <w:rPr>
          <w:rFonts w:hint="eastAsia" w:ascii="宋体" w:eastAsia="宋体" w:cs="宋体"/>
          <w:b w:val="0"/>
          <w:bCs w:val="0"/>
          <w:color w:val="auto"/>
          <w:spacing w:val="-1"/>
          <w:sz w:val="21"/>
          <w:szCs w:val="21"/>
          <w:highlight w:val="none"/>
          <w:u w:val="none"/>
        </w:rPr>
        <w:t xml:space="preserve"> </w:t>
      </w:r>
    </w:p>
    <w:p w14:paraId="7A81E604">
      <w:pPr>
        <w:jc w:val="center"/>
        <w:rPr>
          <w:rFonts w:hint="eastAsia" w:ascii="宋体" w:hAnsi="宋体" w:eastAsia="宋体"/>
          <w:color w:val="auto"/>
          <w:sz w:val="28"/>
          <w:szCs w:val="28"/>
          <w:highlight w:val="none"/>
        </w:rPr>
      </w:pPr>
      <w:r>
        <w:rPr>
          <w:rFonts w:hint="eastAsia" w:ascii="宋体" w:hAnsi="宋体" w:eastAsia="宋体"/>
          <w:bCs/>
          <w:color w:val="auto"/>
          <w:sz w:val="28"/>
          <w:szCs w:val="28"/>
          <w:highlight w:val="none"/>
        </w:rPr>
        <w:t>3、</w:t>
      </w:r>
      <w:r>
        <w:rPr>
          <w:rFonts w:hint="eastAsia" w:ascii="宋体" w:hAnsi="宋体"/>
          <w:bCs/>
          <w:color w:val="auto"/>
          <w:sz w:val="28"/>
          <w:szCs w:val="28"/>
          <w:highlight w:val="none"/>
          <w:lang w:eastAsia="zh-CN"/>
        </w:rPr>
        <w:t>已标价工程量清单</w:t>
      </w:r>
    </w:p>
    <w:p w14:paraId="47DA0BAD">
      <w:pPr>
        <w:pStyle w:val="25"/>
        <w:rPr>
          <w:rFonts w:hint="eastAsia"/>
          <w:color w:val="auto"/>
          <w:highlight w:val="none"/>
        </w:rPr>
      </w:pPr>
    </w:p>
    <w:p w14:paraId="05A683B7">
      <w:pPr>
        <w:pStyle w:val="25"/>
        <w:rPr>
          <w:rFonts w:hint="eastAsia"/>
          <w:color w:val="auto"/>
          <w:highlight w:val="none"/>
        </w:rPr>
      </w:pPr>
    </w:p>
    <w:p w14:paraId="58A32EB8">
      <w:pPr>
        <w:pStyle w:val="25"/>
        <w:rPr>
          <w:rFonts w:hint="eastAsia"/>
          <w:color w:val="auto"/>
          <w:highlight w:val="none"/>
        </w:rPr>
      </w:pPr>
    </w:p>
    <w:p w14:paraId="156C5507">
      <w:pPr>
        <w:pStyle w:val="25"/>
        <w:rPr>
          <w:rFonts w:hint="eastAsia"/>
          <w:color w:val="auto"/>
          <w:highlight w:val="none"/>
        </w:rPr>
      </w:pPr>
    </w:p>
    <w:p w14:paraId="5E5A6AC6">
      <w:pPr>
        <w:pStyle w:val="25"/>
        <w:rPr>
          <w:rFonts w:hint="eastAsia"/>
          <w:color w:val="auto"/>
          <w:highlight w:val="none"/>
        </w:rPr>
      </w:pPr>
    </w:p>
    <w:p w14:paraId="3ACD3859">
      <w:pPr>
        <w:pStyle w:val="25"/>
        <w:rPr>
          <w:rFonts w:hint="eastAsia"/>
          <w:color w:val="auto"/>
          <w:highlight w:val="none"/>
        </w:rPr>
      </w:pPr>
    </w:p>
    <w:p w14:paraId="6D187D28">
      <w:pPr>
        <w:pStyle w:val="25"/>
        <w:rPr>
          <w:rFonts w:hint="eastAsia"/>
          <w:color w:val="auto"/>
          <w:highlight w:val="none"/>
        </w:rPr>
      </w:pPr>
    </w:p>
    <w:p w14:paraId="09D5277F">
      <w:pPr>
        <w:pStyle w:val="25"/>
        <w:rPr>
          <w:rFonts w:hint="eastAsia"/>
          <w:color w:val="auto"/>
          <w:highlight w:val="none"/>
        </w:rPr>
      </w:pPr>
    </w:p>
    <w:p w14:paraId="2717F43D">
      <w:pPr>
        <w:pStyle w:val="25"/>
        <w:rPr>
          <w:rFonts w:hint="eastAsia"/>
          <w:color w:val="auto"/>
          <w:highlight w:val="none"/>
        </w:rPr>
      </w:pPr>
    </w:p>
    <w:p w14:paraId="61C490D3">
      <w:pPr>
        <w:pStyle w:val="25"/>
        <w:rPr>
          <w:rFonts w:hint="eastAsia"/>
          <w:color w:val="auto"/>
          <w:highlight w:val="none"/>
        </w:rPr>
      </w:pPr>
    </w:p>
    <w:p w14:paraId="05ACDECE">
      <w:pPr>
        <w:pStyle w:val="25"/>
        <w:rPr>
          <w:rFonts w:hint="eastAsia"/>
          <w:color w:val="auto"/>
          <w:highlight w:val="none"/>
        </w:rPr>
      </w:pPr>
    </w:p>
    <w:p w14:paraId="5D59A058">
      <w:pPr>
        <w:pStyle w:val="25"/>
        <w:rPr>
          <w:rFonts w:hint="eastAsia"/>
          <w:color w:val="auto"/>
          <w:highlight w:val="none"/>
        </w:rPr>
      </w:pPr>
    </w:p>
    <w:p w14:paraId="6BAC381F">
      <w:pPr>
        <w:pStyle w:val="25"/>
        <w:rPr>
          <w:rFonts w:hint="eastAsia"/>
          <w:color w:val="auto"/>
          <w:highlight w:val="none"/>
        </w:rPr>
      </w:pPr>
    </w:p>
    <w:p w14:paraId="180D64F7">
      <w:pPr>
        <w:pStyle w:val="25"/>
        <w:rPr>
          <w:rFonts w:hint="eastAsia"/>
          <w:color w:val="auto"/>
          <w:highlight w:val="none"/>
        </w:rPr>
      </w:pPr>
    </w:p>
    <w:p w14:paraId="62D6969B">
      <w:pPr>
        <w:pStyle w:val="25"/>
        <w:rPr>
          <w:rFonts w:hint="eastAsia"/>
          <w:color w:val="auto"/>
          <w:highlight w:val="none"/>
        </w:rPr>
      </w:pPr>
    </w:p>
    <w:p w14:paraId="32A267D0">
      <w:pPr>
        <w:pStyle w:val="25"/>
        <w:rPr>
          <w:rFonts w:hint="eastAsia"/>
          <w:color w:val="auto"/>
          <w:highlight w:val="none"/>
        </w:rPr>
      </w:pPr>
    </w:p>
    <w:p w14:paraId="232355ED">
      <w:pPr>
        <w:pStyle w:val="25"/>
        <w:rPr>
          <w:rFonts w:hint="eastAsia"/>
          <w:color w:val="auto"/>
          <w:highlight w:val="none"/>
        </w:rPr>
      </w:pPr>
    </w:p>
    <w:p w14:paraId="319F994C">
      <w:pPr>
        <w:pStyle w:val="25"/>
        <w:rPr>
          <w:rFonts w:hint="eastAsia"/>
          <w:color w:val="auto"/>
          <w:highlight w:val="none"/>
        </w:rPr>
      </w:pPr>
    </w:p>
    <w:p w14:paraId="6FF11876">
      <w:pPr>
        <w:pStyle w:val="25"/>
        <w:rPr>
          <w:rFonts w:hint="eastAsia"/>
          <w:color w:val="auto"/>
          <w:highlight w:val="none"/>
        </w:rPr>
      </w:pPr>
    </w:p>
    <w:p w14:paraId="66333193">
      <w:pPr>
        <w:pStyle w:val="26"/>
        <w:rPr>
          <w:rFonts w:hint="eastAsia"/>
          <w:color w:val="auto"/>
          <w:highlight w:val="none"/>
        </w:rPr>
      </w:pPr>
    </w:p>
    <w:p w14:paraId="6CB0E6E9">
      <w:pPr>
        <w:pStyle w:val="26"/>
        <w:rPr>
          <w:rFonts w:hint="eastAsia"/>
          <w:color w:val="auto"/>
          <w:highlight w:val="none"/>
        </w:rPr>
      </w:pPr>
    </w:p>
    <w:p w14:paraId="3AD1691E">
      <w:pPr>
        <w:pStyle w:val="26"/>
        <w:rPr>
          <w:rFonts w:hint="eastAsia"/>
          <w:color w:val="auto"/>
          <w:highlight w:val="none"/>
        </w:rPr>
      </w:pPr>
    </w:p>
    <w:p w14:paraId="0A0A08BB">
      <w:pPr>
        <w:pStyle w:val="26"/>
        <w:rPr>
          <w:rFonts w:hint="eastAsia"/>
          <w:color w:val="auto"/>
          <w:highlight w:val="none"/>
        </w:rPr>
      </w:pPr>
    </w:p>
    <w:p w14:paraId="70B3683D">
      <w:pPr>
        <w:pStyle w:val="26"/>
        <w:rPr>
          <w:rFonts w:hint="eastAsia"/>
          <w:color w:val="auto"/>
          <w:highlight w:val="none"/>
        </w:rPr>
      </w:pPr>
    </w:p>
    <w:p w14:paraId="7EE78F29">
      <w:pPr>
        <w:pStyle w:val="26"/>
        <w:rPr>
          <w:rFonts w:hint="eastAsia"/>
          <w:color w:val="auto"/>
          <w:highlight w:val="none"/>
        </w:rPr>
      </w:pPr>
    </w:p>
    <w:p w14:paraId="4A27078F">
      <w:pPr>
        <w:pStyle w:val="26"/>
        <w:rPr>
          <w:rFonts w:hint="eastAsia"/>
          <w:color w:val="auto"/>
          <w:highlight w:val="none"/>
        </w:rPr>
      </w:pPr>
    </w:p>
    <w:p w14:paraId="4CDCFFE6">
      <w:pPr>
        <w:pStyle w:val="26"/>
        <w:rPr>
          <w:rFonts w:hint="eastAsia"/>
          <w:color w:val="auto"/>
          <w:highlight w:val="none"/>
        </w:rPr>
      </w:pPr>
    </w:p>
    <w:p w14:paraId="36CB2A24">
      <w:pPr>
        <w:pStyle w:val="26"/>
        <w:rPr>
          <w:rFonts w:hint="eastAsia"/>
          <w:color w:val="auto"/>
          <w:highlight w:val="none"/>
        </w:rPr>
      </w:pPr>
    </w:p>
    <w:p w14:paraId="380623F5">
      <w:pPr>
        <w:pStyle w:val="26"/>
        <w:rPr>
          <w:rFonts w:hint="eastAsia"/>
          <w:color w:val="auto"/>
          <w:highlight w:val="none"/>
        </w:rPr>
      </w:pPr>
    </w:p>
    <w:p w14:paraId="2099EA03">
      <w:pPr>
        <w:pStyle w:val="26"/>
        <w:rPr>
          <w:rFonts w:hint="eastAsia"/>
          <w:color w:val="auto"/>
          <w:highlight w:val="none"/>
        </w:rPr>
      </w:pPr>
    </w:p>
    <w:p w14:paraId="1D56704C">
      <w:pPr>
        <w:pStyle w:val="26"/>
        <w:rPr>
          <w:rFonts w:hint="eastAsia"/>
          <w:color w:val="auto"/>
          <w:highlight w:val="none"/>
        </w:rPr>
      </w:pPr>
    </w:p>
    <w:p w14:paraId="71F40B87">
      <w:pPr>
        <w:pStyle w:val="26"/>
        <w:rPr>
          <w:rFonts w:hint="eastAsia"/>
          <w:color w:val="auto"/>
          <w:highlight w:val="none"/>
        </w:rPr>
      </w:pPr>
    </w:p>
    <w:p w14:paraId="34F91D5C">
      <w:pPr>
        <w:pStyle w:val="25"/>
        <w:rPr>
          <w:rFonts w:hint="eastAsia"/>
          <w:color w:val="auto"/>
          <w:highlight w:val="none"/>
        </w:rPr>
      </w:pPr>
    </w:p>
    <w:p w14:paraId="0F86C78B">
      <w:pPr>
        <w:pStyle w:val="25"/>
        <w:rPr>
          <w:rFonts w:hint="eastAsia"/>
          <w:color w:val="auto"/>
          <w:highlight w:val="none"/>
        </w:rPr>
      </w:pPr>
    </w:p>
    <w:p w14:paraId="2D0A0DAD">
      <w:pPr>
        <w:jc w:val="center"/>
        <w:rPr>
          <w:rFonts w:hint="eastAsia" w:ascii="宋体" w:hAnsi="宋体" w:eastAsia="宋体"/>
          <w:b/>
          <w:color w:val="auto"/>
          <w:spacing w:val="6"/>
          <w:sz w:val="28"/>
          <w:szCs w:val="28"/>
          <w:highlight w:val="none"/>
        </w:rPr>
      </w:pPr>
      <w:bookmarkStart w:id="250" w:name="_Toc17043"/>
      <w:bookmarkStart w:id="251" w:name="_Toc29920"/>
      <w:bookmarkStart w:id="252" w:name="_Toc26596"/>
      <w:bookmarkStart w:id="253" w:name="_Toc23409"/>
      <w:bookmarkStart w:id="254" w:name="_Toc31599"/>
      <w:bookmarkStart w:id="255" w:name="_Toc691"/>
      <w:bookmarkStart w:id="256" w:name="_Toc21725"/>
      <w:bookmarkStart w:id="257" w:name="_Toc68"/>
      <w:bookmarkStart w:id="258" w:name="_Toc21127"/>
      <w:bookmarkStart w:id="259" w:name="_Toc20204"/>
      <w:bookmarkStart w:id="260" w:name="_Toc10887"/>
      <w:bookmarkStart w:id="261" w:name="_Toc6882"/>
      <w:bookmarkStart w:id="262" w:name="_Toc11459"/>
      <w:r>
        <w:rPr>
          <w:rFonts w:hint="eastAsia" w:ascii="宋体" w:hAnsi="宋体"/>
          <w:bCs/>
          <w:color w:val="auto"/>
          <w:sz w:val="28"/>
          <w:szCs w:val="28"/>
          <w:highlight w:val="none"/>
          <w:lang w:val="en-US" w:eastAsia="zh-CN"/>
        </w:rPr>
        <w:t>4</w:t>
      </w:r>
      <w:r>
        <w:rPr>
          <w:rFonts w:hint="eastAsia" w:ascii="宋体" w:hAnsi="宋体" w:eastAsia="宋体"/>
          <w:bCs/>
          <w:color w:val="auto"/>
          <w:sz w:val="28"/>
          <w:szCs w:val="28"/>
          <w:highlight w:val="none"/>
        </w:rPr>
        <w:t>、中小企业声明函</w:t>
      </w:r>
      <w:bookmarkEnd w:id="250"/>
      <w:bookmarkEnd w:id="251"/>
      <w:bookmarkEnd w:id="252"/>
      <w:bookmarkEnd w:id="253"/>
      <w:bookmarkEnd w:id="254"/>
      <w:bookmarkEnd w:id="255"/>
      <w:bookmarkEnd w:id="256"/>
      <w:bookmarkEnd w:id="257"/>
      <w:bookmarkEnd w:id="258"/>
      <w:bookmarkEnd w:id="259"/>
      <w:bookmarkEnd w:id="260"/>
      <w:bookmarkEnd w:id="261"/>
      <w:bookmarkEnd w:id="262"/>
    </w:p>
    <w:p w14:paraId="2A100C97">
      <w:pPr>
        <w:rPr>
          <w:rFonts w:hint="eastAsia" w:ascii="宋体" w:hAnsi="宋体" w:eastAsia="宋体"/>
          <w:b/>
          <w:color w:val="auto"/>
          <w:spacing w:val="6"/>
          <w:sz w:val="24"/>
          <w:szCs w:val="24"/>
          <w:highlight w:val="none"/>
        </w:rPr>
      </w:pPr>
    </w:p>
    <w:p w14:paraId="24FE406C">
      <w:pPr>
        <w:adjustRightInd w:val="0"/>
        <w:snapToGrid w:val="0"/>
        <w:spacing w:line="360" w:lineRule="auto"/>
        <w:jc w:val="left"/>
        <w:rPr>
          <w:rFonts w:hint="eastAsia" w:ascii="宋体" w:hAnsi="宋体" w:cs="宋体"/>
          <w:color w:val="auto"/>
          <w:szCs w:val="21"/>
          <w:highlight w:val="none"/>
        </w:rPr>
      </w:pPr>
    </w:p>
    <w:p w14:paraId="7227D31E">
      <w:pPr>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本公司郑重声明，根据《政府采购促进中小企业发展</w:t>
      </w:r>
      <w:r>
        <w:rPr>
          <w:rFonts w:hint="eastAsia" w:ascii="宋体" w:hAnsi="宋体" w:cs="宋体"/>
          <w:color w:val="auto"/>
          <w:szCs w:val="21"/>
          <w:highlight w:val="none"/>
          <w:lang w:eastAsia="zh-CN"/>
        </w:rPr>
        <w:t>管理</w:t>
      </w:r>
      <w:r>
        <w:rPr>
          <w:rFonts w:hint="eastAsia" w:ascii="宋体" w:hAnsi="宋体" w:cs="宋体"/>
          <w:color w:val="auto"/>
          <w:szCs w:val="21"/>
          <w:highlight w:val="none"/>
        </w:rPr>
        <w:t>办法》（财库[20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46</w:t>
      </w:r>
      <w:r>
        <w:rPr>
          <w:rFonts w:hint="eastAsia" w:ascii="宋体" w:hAnsi="宋体" w:cs="宋体"/>
          <w:color w:val="auto"/>
          <w:szCs w:val="21"/>
          <w:highlight w:val="none"/>
        </w:rPr>
        <w:t>号）的规定，本公司</w:t>
      </w:r>
      <w:r>
        <w:rPr>
          <w:rFonts w:hint="eastAsia" w:ascii="宋体" w:hAnsi="宋体" w:cs="宋体"/>
          <w:color w:val="auto"/>
          <w:szCs w:val="21"/>
          <w:highlight w:val="none"/>
          <w:lang w:eastAsia="zh-CN"/>
        </w:rPr>
        <w:t>参加</w:t>
      </w:r>
      <w:r>
        <w:rPr>
          <w:rFonts w:hint="eastAsia" w:ascii="宋体" w:hAnsi="宋体" w:cs="宋体"/>
          <w:color w:val="auto"/>
          <w:szCs w:val="21"/>
          <w:highlight w:val="none"/>
        </w:rPr>
        <w:t>______</w:t>
      </w:r>
      <w:r>
        <w:rPr>
          <w:rFonts w:hint="eastAsia" w:ascii="宋体" w:hAnsi="宋体" w:cs="宋体"/>
          <w:color w:val="auto"/>
          <w:szCs w:val="21"/>
          <w:highlight w:val="none"/>
          <w:lang w:val="en-US" w:eastAsia="zh-CN"/>
        </w:rPr>
        <w:t>（采购人名称）</w:t>
      </w:r>
      <w:r>
        <w:rPr>
          <w:rFonts w:hint="eastAsia" w:ascii="宋体" w:hAnsi="宋体" w:cs="宋体"/>
          <w:color w:val="auto"/>
          <w:szCs w:val="21"/>
          <w:highlight w:val="none"/>
        </w:rPr>
        <w:t>______</w:t>
      </w:r>
      <w:r>
        <w:rPr>
          <w:rFonts w:hint="eastAsia" w:ascii="宋体" w:hAnsi="宋体" w:cs="宋体"/>
          <w:color w:val="auto"/>
          <w:szCs w:val="21"/>
          <w:highlight w:val="none"/>
          <w:lang w:val="en-US" w:eastAsia="zh-CN"/>
        </w:rPr>
        <w:t>（项目名称）采购活动，</w:t>
      </w:r>
      <w:r>
        <w:rPr>
          <w:rFonts w:hint="eastAsia" w:ascii="宋体" w:hAnsi="宋体" w:cs="宋体"/>
          <w:szCs w:val="21"/>
          <w:highlight w:val="none"/>
          <w:lang w:eastAsia="zh-CN"/>
        </w:rPr>
        <w:t>工程的施工单位全部为符合政策要求的中小企业</w:t>
      </w:r>
      <w:r>
        <w:rPr>
          <w:rFonts w:hint="eastAsia" w:ascii="宋体" w:hAnsi="宋体" w:eastAsia="宋体" w:cs="宋体"/>
          <w:szCs w:val="21"/>
          <w:highlight w:val="none"/>
        </w:rPr>
        <w:t>。相关企业的具体情况如下</w:t>
      </w:r>
      <w:r>
        <w:rPr>
          <w:rFonts w:hint="eastAsia" w:ascii="宋体" w:hAnsi="宋体" w:eastAsia="宋体" w:cs="宋体"/>
          <w:szCs w:val="21"/>
          <w:highlight w:val="none"/>
          <w:lang w:eastAsia="zh-CN"/>
        </w:rPr>
        <w:t>：</w:t>
      </w:r>
    </w:p>
    <w:p w14:paraId="3D531131">
      <w:pPr>
        <w:adjustRightInd w:val="0"/>
        <w:snapToGrid w:val="0"/>
        <w:spacing w:line="360" w:lineRule="auto"/>
        <w:jc w:val="left"/>
        <w:rPr>
          <w:rFonts w:hint="eastAsia" w:ascii="宋体" w:hAnsi="宋体" w:cs="宋体"/>
          <w:color w:val="auto"/>
          <w:szCs w:val="21"/>
          <w:highlight w:val="none"/>
        </w:rPr>
      </w:pPr>
    </w:p>
    <w:p w14:paraId="04BFE200">
      <w:pPr>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1.______</w:t>
      </w:r>
      <w:r>
        <w:rPr>
          <w:rFonts w:hint="eastAsia" w:ascii="宋体" w:hAnsi="宋体" w:cs="宋体"/>
          <w:color w:val="auto"/>
          <w:szCs w:val="21"/>
          <w:highlight w:val="none"/>
          <w:lang w:eastAsia="zh-CN"/>
        </w:rPr>
        <w:t>（标的名称），属于</w:t>
      </w:r>
      <w:r>
        <w:rPr>
          <w:rFonts w:hint="eastAsia" w:ascii="宋体" w:hAnsi="宋体" w:cs="宋体"/>
          <w:color w:val="auto"/>
          <w:szCs w:val="21"/>
          <w:highlight w:val="none"/>
          <w:u w:val="single"/>
          <w:lang w:eastAsia="zh-CN"/>
        </w:rPr>
        <w:t>建筑业</w:t>
      </w:r>
      <w:r>
        <w:rPr>
          <w:rFonts w:hint="eastAsia" w:ascii="宋体" w:hAnsi="宋体" w:cs="宋体"/>
          <w:color w:val="auto"/>
          <w:szCs w:val="21"/>
          <w:highlight w:val="none"/>
          <w:lang w:val="en-US" w:eastAsia="zh-CN"/>
        </w:rPr>
        <w:t>行业，承建企业为</w:t>
      </w:r>
      <w:r>
        <w:rPr>
          <w:rFonts w:hint="eastAsia" w:ascii="宋体" w:hAnsi="宋体" w:cs="宋体"/>
          <w:color w:val="auto"/>
          <w:szCs w:val="21"/>
          <w:highlight w:val="none"/>
        </w:rPr>
        <w:t>______</w:t>
      </w:r>
      <w:r>
        <w:rPr>
          <w:rFonts w:hint="eastAsia" w:ascii="宋体" w:hAnsi="宋体" w:cs="宋体"/>
          <w:color w:val="auto"/>
          <w:szCs w:val="21"/>
          <w:highlight w:val="none"/>
          <w:lang w:val="en-US" w:eastAsia="zh-CN"/>
        </w:rPr>
        <w:t>（企业名称），从业人员</w:t>
      </w:r>
      <w:r>
        <w:rPr>
          <w:rFonts w:hint="eastAsia" w:ascii="宋体" w:hAnsi="宋体" w:cs="宋体"/>
          <w:color w:val="auto"/>
          <w:szCs w:val="21"/>
          <w:highlight w:val="none"/>
        </w:rPr>
        <w:t>______</w:t>
      </w:r>
      <w:r>
        <w:rPr>
          <w:rFonts w:hint="eastAsia" w:ascii="宋体" w:hAnsi="宋体" w:cs="宋体"/>
          <w:color w:val="auto"/>
          <w:szCs w:val="21"/>
          <w:highlight w:val="none"/>
          <w:lang w:val="en-US" w:eastAsia="zh-CN"/>
        </w:rPr>
        <w:t>人，营业收入为</w:t>
      </w:r>
      <w:r>
        <w:rPr>
          <w:rFonts w:hint="eastAsia" w:ascii="宋体" w:hAnsi="宋体" w:cs="宋体"/>
          <w:color w:val="auto"/>
          <w:szCs w:val="21"/>
          <w:highlight w:val="none"/>
        </w:rPr>
        <w:t>______</w:t>
      </w:r>
      <w:r>
        <w:rPr>
          <w:rFonts w:hint="eastAsia" w:ascii="宋体" w:hAnsi="宋体" w:cs="宋体"/>
          <w:color w:val="auto"/>
          <w:szCs w:val="21"/>
          <w:highlight w:val="none"/>
          <w:lang w:val="en-US" w:eastAsia="zh-CN"/>
        </w:rPr>
        <w:t>万元，资产总额为</w:t>
      </w:r>
      <w:r>
        <w:rPr>
          <w:rFonts w:hint="eastAsia" w:ascii="宋体" w:hAnsi="宋体" w:cs="宋体"/>
          <w:color w:val="auto"/>
          <w:szCs w:val="21"/>
          <w:highlight w:val="none"/>
        </w:rPr>
        <w:t>______</w:t>
      </w:r>
      <w:r>
        <w:rPr>
          <w:rFonts w:hint="eastAsia" w:ascii="宋体" w:hAnsi="宋体" w:cs="宋体"/>
          <w:color w:val="auto"/>
          <w:szCs w:val="21"/>
          <w:highlight w:val="none"/>
          <w:lang w:val="en-US" w:eastAsia="zh-CN"/>
        </w:rPr>
        <w:t>万元，属于</w:t>
      </w:r>
      <w:r>
        <w:rPr>
          <w:rFonts w:hint="eastAsia" w:ascii="宋体" w:hAnsi="宋体" w:cs="宋体"/>
          <w:color w:val="auto"/>
          <w:szCs w:val="21"/>
          <w:highlight w:val="none"/>
        </w:rPr>
        <w:t>______（请填写：中型、小型、微型）企业。</w:t>
      </w:r>
    </w:p>
    <w:p w14:paraId="1038CFC1">
      <w:pPr>
        <w:adjustRightInd w:val="0"/>
        <w:snapToGrid w:val="0"/>
        <w:spacing w:line="360" w:lineRule="auto"/>
        <w:jc w:val="left"/>
        <w:rPr>
          <w:rFonts w:hint="eastAsia" w:ascii="宋体" w:hAnsi="宋体" w:cs="宋体"/>
          <w:color w:val="auto"/>
          <w:szCs w:val="21"/>
          <w:highlight w:val="none"/>
        </w:rPr>
      </w:pPr>
    </w:p>
    <w:p w14:paraId="40B91455">
      <w:pPr>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______</w:t>
      </w:r>
      <w:r>
        <w:rPr>
          <w:rFonts w:hint="eastAsia" w:ascii="宋体" w:hAnsi="宋体" w:cs="宋体"/>
          <w:color w:val="auto"/>
          <w:szCs w:val="21"/>
          <w:highlight w:val="none"/>
          <w:lang w:eastAsia="zh-CN"/>
        </w:rPr>
        <w:t>（标的名称），属于</w:t>
      </w:r>
      <w:r>
        <w:rPr>
          <w:rFonts w:hint="eastAsia" w:ascii="宋体" w:hAnsi="宋体" w:cs="宋体"/>
          <w:color w:val="auto"/>
          <w:szCs w:val="21"/>
          <w:highlight w:val="none"/>
          <w:u w:val="single"/>
          <w:lang w:eastAsia="zh-CN"/>
        </w:rPr>
        <w:t>建筑业</w:t>
      </w:r>
      <w:r>
        <w:rPr>
          <w:rFonts w:hint="eastAsia" w:ascii="宋体" w:hAnsi="宋体" w:cs="宋体"/>
          <w:color w:val="auto"/>
          <w:szCs w:val="21"/>
          <w:highlight w:val="none"/>
          <w:lang w:val="en-US" w:eastAsia="zh-CN"/>
        </w:rPr>
        <w:t>行业，承建企业为</w:t>
      </w:r>
      <w:r>
        <w:rPr>
          <w:rFonts w:hint="eastAsia" w:ascii="宋体" w:hAnsi="宋体" w:cs="宋体"/>
          <w:color w:val="auto"/>
          <w:szCs w:val="21"/>
          <w:highlight w:val="none"/>
        </w:rPr>
        <w:t>______</w:t>
      </w:r>
      <w:r>
        <w:rPr>
          <w:rFonts w:hint="eastAsia" w:ascii="宋体" w:hAnsi="宋体" w:cs="宋体"/>
          <w:color w:val="auto"/>
          <w:szCs w:val="21"/>
          <w:highlight w:val="none"/>
          <w:lang w:val="en-US" w:eastAsia="zh-CN"/>
        </w:rPr>
        <w:t xml:space="preserve">（企业名称），从业人员 </w:t>
      </w:r>
      <w:r>
        <w:rPr>
          <w:rFonts w:hint="eastAsia" w:ascii="宋体" w:hAnsi="宋体" w:cs="宋体"/>
          <w:color w:val="auto"/>
          <w:szCs w:val="21"/>
          <w:highlight w:val="none"/>
        </w:rPr>
        <w:t>______</w:t>
      </w:r>
      <w:r>
        <w:rPr>
          <w:rFonts w:hint="eastAsia" w:ascii="宋体" w:hAnsi="宋体" w:cs="宋体"/>
          <w:color w:val="auto"/>
          <w:szCs w:val="21"/>
          <w:highlight w:val="none"/>
          <w:lang w:val="en-US" w:eastAsia="zh-CN"/>
        </w:rPr>
        <w:t>人，营业收入为</w:t>
      </w:r>
      <w:r>
        <w:rPr>
          <w:rFonts w:hint="eastAsia" w:ascii="宋体" w:hAnsi="宋体" w:cs="宋体"/>
          <w:color w:val="auto"/>
          <w:szCs w:val="21"/>
          <w:highlight w:val="none"/>
        </w:rPr>
        <w:t>______</w:t>
      </w:r>
      <w:r>
        <w:rPr>
          <w:rFonts w:hint="eastAsia" w:ascii="宋体" w:hAnsi="宋体" w:cs="宋体"/>
          <w:color w:val="auto"/>
          <w:szCs w:val="21"/>
          <w:highlight w:val="none"/>
          <w:lang w:val="en-US" w:eastAsia="zh-CN"/>
        </w:rPr>
        <w:t>万元，资产总额为</w:t>
      </w:r>
      <w:r>
        <w:rPr>
          <w:rFonts w:hint="eastAsia" w:ascii="宋体" w:hAnsi="宋体" w:cs="宋体"/>
          <w:color w:val="auto"/>
          <w:szCs w:val="21"/>
          <w:highlight w:val="none"/>
        </w:rPr>
        <w:t>______</w:t>
      </w:r>
      <w:r>
        <w:rPr>
          <w:rFonts w:hint="eastAsia" w:ascii="宋体" w:hAnsi="宋体" w:cs="宋体"/>
          <w:color w:val="auto"/>
          <w:szCs w:val="21"/>
          <w:highlight w:val="none"/>
          <w:lang w:val="en-US" w:eastAsia="zh-CN"/>
        </w:rPr>
        <w:t>万元，属于</w:t>
      </w:r>
      <w:r>
        <w:rPr>
          <w:rFonts w:hint="eastAsia" w:ascii="宋体" w:hAnsi="宋体" w:cs="宋体"/>
          <w:color w:val="auto"/>
          <w:szCs w:val="21"/>
          <w:highlight w:val="none"/>
        </w:rPr>
        <w:t>______（请填写：中型、小型、微型）企业。</w:t>
      </w:r>
    </w:p>
    <w:p w14:paraId="14E17989">
      <w:pPr>
        <w:adjustRightInd w:val="0"/>
        <w:snapToGrid w:val="0"/>
        <w:spacing w:line="360" w:lineRule="auto"/>
        <w:jc w:val="left"/>
        <w:rPr>
          <w:rFonts w:hint="eastAsia" w:ascii="宋体" w:hAnsi="宋体" w:cs="宋体"/>
          <w:color w:val="auto"/>
          <w:szCs w:val="21"/>
          <w:highlight w:val="none"/>
        </w:rPr>
      </w:pPr>
    </w:p>
    <w:p w14:paraId="7B371712">
      <w:pPr>
        <w:adjustRightInd w:val="0"/>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14:paraId="0A23F152">
      <w:pPr>
        <w:adjustRightInd w:val="0"/>
        <w:snapToGrid w:val="0"/>
        <w:spacing w:line="360" w:lineRule="auto"/>
        <w:jc w:val="left"/>
        <w:rPr>
          <w:rFonts w:hint="eastAsia" w:ascii="宋体" w:hAnsi="宋体" w:cs="宋体"/>
          <w:color w:val="auto"/>
          <w:szCs w:val="21"/>
          <w:highlight w:val="none"/>
          <w:lang w:val="en-US" w:eastAsia="zh-CN"/>
        </w:rPr>
      </w:pPr>
    </w:p>
    <w:p w14:paraId="033B7B90">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46C5D0C">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B340DA">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注：从业人员、营业收入、资产总额填报上一年度数据，无上一年度数据的新成立企业可不填报。</w:t>
      </w:r>
    </w:p>
    <w:p w14:paraId="06B058E6">
      <w:pPr>
        <w:adjustRightInd w:val="0"/>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6305E07">
      <w:pPr>
        <w:adjustRightInd w:val="0"/>
        <w:snapToGrid w:val="0"/>
        <w:spacing w:line="360" w:lineRule="auto"/>
        <w:jc w:val="right"/>
        <w:rPr>
          <w:rFonts w:hint="eastAsia" w:ascii="宋体" w:hAnsi="宋体" w:cs="宋体"/>
          <w:color w:val="auto"/>
          <w:sz w:val="24"/>
          <w:highlight w:val="none"/>
        </w:rPr>
      </w:pPr>
    </w:p>
    <w:p w14:paraId="6C875C5D">
      <w:pPr>
        <w:adjustRightInd w:val="0"/>
        <w:snapToGrid w:val="0"/>
        <w:spacing w:line="360" w:lineRule="auto"/>
        <w:jc w:val="both"/>
        <w:rPr>
          <w:rFonts w:hint="eastAsia" w:ascii="宋体" w:hAnsi="宋体" w:cs="宋体"/>
          <w:color w:val="auto"/>
          <w:sz w:val="24"/>
          <w:highlight w:val="none"/>
          <w:lang w:val="en-US" w:eastAsia="zh-CN"/>
        </w:rPr>
      </w:pPr>
    </w:p>
    <w:p w14:paraId="4161154F">
      <w:pPr>
        <w:adjustRightInd w:val="0"/>
        <w:snapToGrid w:val="0"/>
        <w:spacing w:line="360" w:lineRule="auto"/>
        <w:jc w:val="righ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企业名称：（盖章或电子签章）</w:t>
      </w:r>
    </w:p>
    <w:p w14:paraId="5A3AB198">
      <w:pPr>
        <w:adjustRightInd w:val="0"/>
        <w:snapToGrid w:val="0"/>
        <w:spacing w:line="360" w:lineRule="auto"/>
        <w:ind w:firstLine="6240" w:firstLineChars="260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日期：</w:t>
      </w:r>
    </w:p>
    <w:p w14:paraId="4CC8063C">
      <w:pPr>
        <w:rPr>
          <w:rFonts w:hint="eastAsia" w:ascii="宋体" w:hAnsi="宋体" w:eastAsia="宋体"/>
          <w:color w:val="auto"/>
          <w:sz w:val="24"/>
          <w:szCs w:val="24"/>
          <w:highlight w:val="none"/>
        </w:rPr>
      </w:pPr>
    </w:p>
    <w:p w14:paraId="128966FF">
      <w:pPr>
        <w:jc w:val="center"/>
        <w:rPr>
          <w:rFonts w:hint="eastAsia" w:ascii="宋体" w:hAnsi="宋体" w:eastAsia="宋体"/>
          <w:bCs/>
          <w:color w:val="auto"/>
          <w:sz w:val="28"/>
          <w:szCs w:val="28"/>
          <w:highlight w:val="none"/>
        </w:rPr>
      </w:pPr>
      <w:bookmarkStart w:id="263" w:name="_Toc7454"/>
      <w:bookmarkStart w:id="264" w:name="_Toc15382"/>
      <w:bookmarkStart w:id="265" w:name="_Toc17529"/>
      <w:bookmarkStart w:id="266" w:name="_Toc16847"/>
      <w:bookmarkStart w:id="267" w:name="_Toc4102"/>
      <w:bookmarkStart w:id="268" w:name="_Toc15591"/>
    </w:p>
    <w:p w14:paraId="73418807">
      <w:pPr>
        <w:jc w:val="center"/>
        <w:rPr>
          <w:rFonts w:hint="eastAsia" w:ascii="宋体" w:hAnsi="宋体" w:eastAsia="宋体"/>
          <w:bCs/>
          <w:color w:val="auto"/>
          <w:sz w:val="28"/>
          <w:szCs w:val="28"/>
          <w:highlight w:val="none"/>
        </w:rPr>
      </w:pPr>
    </w:p>
    <w:p w14:paraId="681E6718">
      <w:pPr>
        <w:jc w:val="center"/>
        <w:rPr>
          <w:rFonts w:hint="eastAsia" w:ascii="宋体" w:hAnsi="宋体" w:eastAsia="宋体"/>
          <w:bCs/>
          <w:color w:val="auto"/>
          <w:sz w:val="28"/>
          <w:szCs w:val="28"/>
          <w:highlight w:val="none"/>
        </w:rPr>
      </w:pPr>
    </w:p>
    <w:bookmarkEnd w:id="263"/>
    <w:bookmarkEnd w:id="264"/>
    <w:bookmarkEnd w:id="265"/>
    <w:bookmarkEnd w:id="266"/>
    <w:bookmarkEnd w:id="267"/>
    <w:bookmarkEnd w:id="268"/>
    <w:p w14:paraId="6EDD9FDF">
      <w:pPr>
        <w:pStyle w:val="25"/>
        <w:rPr>
          <w:rFonts w:hint="eastAsia"/>
          <w:color w:val="auto"/>
          <w:highlight w:val="none"/>
        </w:rPr>
      </w:pPr>
    </w:p>
    <w:p w14:paraId="7283CC41">
      <w:pPr>
        <w:pStyle w:val="26"/>
        <w:rPr>
          <w:rFonts w:hint="eastAsia"/>
          <w:highlight w:val="none"/>
        </w:rPr>
      </w:pPr>
    </w:p>
    <w:p w14:paraId="0C886AC4">
      <w:pPr>
        <w:jc w:val="center"/>
        <w:rPr>
          <w:rFonts w:hint="eastAsia" w:ascii="宋体" w:hAnsi="宋体" w:eastAsia="宋体"/>
          <w:bCs/>
          <w:color w:val="auto"/>
          <w:sz w:val="28"/>
          <w:szCs w:val="28"/>
          <w:highlight w:val="none"/>
        </w:rPr>
      </w:pPr>
      <w:r>
        <w:rPr>
          <w:rFonts w:hint="eastAsia" w:ascii="宋体" w:hAnsi="宋体"/>
          <w:bCs/>
          <w:color w:val="auto"/>
          <w:sz w:val="28"/>
          <w:szCs w:val="28"/>
          <w:highlight w:val="none"/>
          <w:lang w:val="en-US" w:eastAsia="zh-CN"/>
        </w:rPr>
        <w:t>5</w:t>
      </w:r>
      <w:r>
        <w:rPr>
          <w:rFonts w:hint="eastAsia" w:ascii="宋体" w:hAnsi="宋体" w:eastAsia="宋体"/>
          <w:bCs/>
          <w:color w:val="auto"/>
          <w:sz w:val="28"/>
          <w:szCs w:val="28"/>
          <w:highlight w:val="none"/>
        </w:rPr>
        <w:t>、商务条款偏差表</w:t>
      </w:r>
    </w:p>
    <w:p w14:paraId="716A0499">
      <w:pPr>
        <w:pStyle w:val="25"/>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供应商</w:t>
      </w:r>
      <w:r>
        <w:rPr>
          <w:rFonts w:hint="eastAsia" w:ascii="宋体" w:hAnsi="宋体" w:eastAsia="宋体"/>
          <w:color w:val="auto"/>
          <w:sz w:val="24"/>
          <w:szCs w:val="24"/>
          <w:highlight w:val="none"/>
        </w:rPr>
        <w:t xml:space="preserve">名称：  </w:t>
      </w:r>
    </w:p>
    <w:tbl>
      <w:tblPr>
        <w:tblStyle w:val="27"/>
        <w:tblW w:w="8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1308"/>
        <w:gridCol w:w="1308"/>
        <w:gridCol w:w="1308"/>
        <w:gridCol w:w="1309"/>
      </w:tblGrid>
      <w:tr w14:paraId="52FD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1AF0140C">
            <w:pPr>
              <w:spacing w:before="0" w:beforeAutospacing="0" w:after="0" w:afterAutospacing="0"/>
              <w:ind w:left="0" w:right="0"/>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序号</w:t>
            </w:r>
          </w:p>
        </w:tc>
        <w:tc>
          <w:tcPr>
            <w:tcW w:w="2835" w:type="dxa"/>
            <w:vAlign w:val="center"/>
          </w:tcPr>
          <w:p w14:paraId="084041E3">
            <w:pPr>
              <w:spacing w:before="0" w:beforeAutospacing="0" w:after="0" w:afterAutospacing="0"/>
              <w:ind w:left="0" w:right="0"/>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内容</w:t>
            </w:r>
          </w:p>
        </w:tc>
        <w:tc>
          <w:tcPr>
            <w:tcW w:w="1308" w:type="dxa"/>
            <w:vAlign w:val="center"/>
          </w:tcPr>
          <w:p w14:paraId="09B31059">
            <w:pPr>
              <w:spacing w:before="0" w:beforeAutospacing="0" w:after="0" w:afterAutospacing="0"/>
              <w:ind w:left="0" w:right="0"/>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标书要求</w:t>
            </w:r>
          </w:p>
        </w:tc>
        <w:tc>
          <w:tcPr>
            <w:tcW w:w="1308" w:type="dxa"/>
            <w:vAlign w:val="center"/>
          </w:tcPr>
          <w:p w14:paraId="5DD2031B">
            <w:pPr>
              <w:spacing w:before="0" w:beforeAutospacing="0" w:after="0" w:afterAutospacing="0"/>
              <w:ind w:left="0" w:right="0"/>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投标响应</w:t>
            </w:r>
          </w:p>
        </w:tc>
        <w:tc>
          <w:tcPr>
            <w:tcW w:w="1308" w:type="dxa"/>
            <w:vAlign w:val="center"/>
          </w:tcPr>
          <w:p w14:paraId="5021DCF5">
            <w:pPr>
              <w:spacing w:before="0" w:beforeAutospacing="0" w:after="0" w:afterAutospacing="0"/>
              <w:ind w:left="0" w:right="0"/>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是否偏离</w:t>
            </w:r>
          </w:p>
        </w:tc>
        <w:tc>
          <w:tcPr>
            <w:tcW w:w="1309" w:type="dxa"/>
            <w:vAlign w:val="center"/>
          </w:tcPr>
          <w:p w14:paraId="3B443FD6">
            <w:pPr>
              <w:spacing w:before="0" w:beforeAutospacing="0" w:after="0" w:afterAutospacing="0"/>
              <w:ind w:left="0" w:right="0"/>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备注</w:t>
            </w:r>
          </w:p>
        </w:tc>
      </w:tr>
      <w:tr w14:paraId="26D7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40B736E7">
            <w:pPr>
              <w:spacing w:before="0" w:beforeAutospacing="0" w:after="0" w:afterAutospacing="0"/>
              <w:ind w:left="0" w:right="0"/>
              <w:jc w:val="center"/>
              <w:rPr>
                <w:rFonts w:hint="eastAsia" w:ascii="宋体" w:hAnsi="宋体" w:eastAsia="宋体" w:cs="仿宋"/>
                <w:color w:val="auto"/>
                <w:sz w:val="24"/>
                <w:szCs w:val="24"/>
                <w:highlight w:val="none"/>
                <w:lang w:eastAsia="zh-CN"/>
              </w:rPr>
            </w:pPr>
            <w:r>
              <w:rPr>
                <w:rFonts w:hint="eastAsia" w:ascii="宋体" w:hAnsi="宋体" w:eastAsia="Times New Roman" w:cs="仿宋"/>
                <w:color w:val="auto"/>
                <w:sz w:val="24"/>
                <w:szCs w:val="24"/>
                <w:highlight w:val="none"/>
                <w:lang w:val="en-US" w:eastAsia="zh-CN"/>
              </w:rPr>
              <w:t>1</w:t>
            </w:r>
          </w:p>
        </w:tc>
        <w:tc>
          <w:tcPr>
            <w:tcW w:w="2835" w:type="dxa"/>
            <w:vAlign w:val="center"/>
          </w:tcPr>
          <w:p w14:paraId="29F51B7E">
            <w:pPr>
              <w:spacing w:before="0" w:beforeAutospacing="0" w:after="0" w:afterAutospacing="0"/>
              <w:ind w:left="0" w:right="0"/>
              <w:jc w:val="left"/>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lang w:val="en-US" w:eastAsia="zh-CN"/>
              </w:rPr>
              <w:t>合同履行期限</w:t>
            </w:r>
          </w:p>
        </w:tc>
        <w:tc>
          <w:tcPr>
            <w:tcW w:w="1308" w:type="dxa"/>
            <w:vAlign w:val="top"/>
          </w:tcPr>
          <w:p w14:paraId="51B31F7A">
            <w:pPr>
              <w:spacing w:before="0" w:beforeAutospacing="0" w:after="0" w:afterAutospacing="0"/>
              <w:ind w:left="0" w:right="0"/>
              <w:rPr>
                <w:rFonts w:ascii="宋体" w:hAnsi="宋体" w:eastAsia="宋体" w:cs="Times New Roman"/>
                <w:color w:val="auto"/>
                <w:sz w:val="24"/>
                <w:szCs w:val="24"/>
                <w:highlight w:val="none"/>
              </w:rPr>
            </w:pPr>
          </w:p>
        </w:tc>
        <w:tc>
          <w:tcPr>
            <w:tcW w:w="1308" w:type="dxa"/>
            <w:vAlign w:val="top"/>
          </w:tcPr>
          <w:p w14:paraId="0B7CC60A">
            <w:pPr>
              <w:spacing w:before="0" w:beforeAutospacing="0" w:after="0" w:afterAutospacing="0"/>
              <w:ind w:left="0" w:right="0"/>
              <w:rPr>
                <w:rFonts w:ascii="宋体" w:hAnsi="宋体" w:eastAsia="宋体" w:cs="Times New Roman"/>
                <w:color w:val="auto"/>
                <w:sz w:val="24"/>
                <w:szCs w:val="24"/>
                <w:highlight w:val="none"/>
              </w:rPr>
            </w:pPr>
          </w:p>
        </w:tc>
        <w:tc>
          <w:tcPr>
            <w:tcW w:w="1308" w:type="dxa"/>
            <w:vAlign w:val="top"/>
          </w:tcPr>
          <w:p w14:paraId="0B050F62">
            <w:pPr>
              <w:spacing w:before="0" w:beforeAutospacing="0" w:after="0" w:afterAutospacing="0"/>
              <w:ind w:left="0" w:right="0"/>
              <w:rPr>
                <w:rFonts w:ascii="宋体" w:hAnsi="宋体" w:eastAsia="宋体" w:cs="Times New Roman"/>
                <w:color w:val="auto"/>
                <w:sz w:val="24"/>
                <w:szCs w:val="24"/>
                <w:highlight w:val="none"/>
              </w:rPr>
            </w:pPr>
          </w:p>
        </w:tc>
        <w:tc>
          <w:tcPr>
            <w:tcW w:w="1309" w:type="dxa"/>
            <w:vAlign w:val="top"/>
          </w:tcPr>
          <w:p w14:paraId="43E116F4">
            <w:pPr>
              <w:spacing w:before="0" w:beforeAutospacing="0" w:after="0" w:afterAutospacing="0"/>
              <w:ind w:left="0" w:right="0"/>
              <w:rPr>
                <w:rFonts w:ascii="宋体" w:hAnsi="宋体" w:eastAsia="宋体" w:cs="Times New Roman"/>
                <w:color w:val="auto"/>
                <w:sz w:val="24"/>
                <w:szCs w:val="24"/>
                <w:highlight w:val="none"/>
              </w:rPr>
            </w:pPr>
          </w:p>
        </w:tc>
      </w:tr>
      <w:tr w14:paraId="4520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41761604">
            <w:pPr>
              <w:spacing w:before="0" w:beforeAutospacing="0" w:after="0" w:afterAutospacing="0"/>
              <w:ind w:left="0" w:right="0"/>
              <w:jc w:val="center"/>
              <w:rPr>
                <w:rFonts w:hint="default" w:ascii="宋体" w:hAnsi="宋体" w:eastAsia="Times New Roman" w:cs="仿宋"/>
                <w:color w:val="auto"/>
                <w:sz w:val="24"/>
                <w:szCs w:val="24"/>
                <w:highlight w:val="none"/>
                <w:lang w:val="en-US" w:eastAsia="zh-CN"/>
              </w:rPr>
            </w:pPr>
            <w:r>
              <w:rPr>
                <w:rFonts w:hint="eastAsia" w:ascii="宋体" w:hAnsi="宋体" w:eastAsia="Times New Roman" w:cs="仿宋"/>
                <w:color w:val="auto"/>
                <w:sz w:val="24"/>
                <w:szCs w:val="24"/>
                <w:highlight w:val="none"/>
                <w:lang w:val="en-US" w:eastAsia="zh-CN"/>
              </w:rPr>
              <w:t>2</w:t>
            </w:r>
          </w:p>
        </w:tc>
        <w:tc>
          <w:tcPr>
            <w:tcW w:w="2835" w:type="dxa"/>
            <w:vAlign w:val="center"/>
          </w:tcPr>
          <w:p w14:paraId="3520FC62">
            <w:pPr>
              <w:spacing w:before="0" w:beforeAutospacing="0" w:after="0" w:afterAutospacing="0"/>
              <w:ind w:left="0" w:right="0"/>
              <w:jc w:val="left"/>
              <w:rPr>
                <w:rFonts w:hint="eastAsia" w:ascii="宋体" w:hAnsi="宋体" w:eastAsia="Times New Roman" w:cs="仿宋"/>
                <w:color w:val="auto"/>
                <w:sz w:val="24"/>
                <w:szCs w:val="24"/>
                <w:highlight w:val="none"/>
                <w:lang w:eastAsia="zh-CN"/>
              </w:rPr>
            </w:pPr>
            <w:r>
              <w:rPr>
                <w:rFonts w:hint="eastAsia" w:ascii="宋体" w:hAnsi="宋体" w:eastAsia="Times New Roman" w:cs="仿宋"/>
                <w:color w:val="auto"/>
                <w:sz w:val="24"/>
                <w:szCs w:val="24"/>
                <w:highlight w:val="none"/>
                <w:lang w:val="en-US" w:eastAsia="zh-CN"/>
              </w:rPr>
              <w:t>采购</w:t>
            </w:r>
            <w:r>
              <w:rPr>
                <w:rFonts w:hint="eastAsia" w:ascii="宋体" w:hAnsi="宋体" w:eastAsia="Times New Roman" w:cs="仿宋"/>
                <w:color w:val="auto"/>
                <w:sz w:val="24"/>
                <w:szCs w:val="24"/>
                <w:highlight w:val="none"/>
                <w:lang w:eastAsia="zh-CN"/>
              </w:rPr>
              <w:t>内容</w:t>
            </w:r>
          </w:p>
        </w:tc>
        <w:tc>
          <w:tcPr>
            <w:tcW w:w="1308" w:type="dxa"/>
            <w:vAlign w:val="top"/>
          </w:tcPr>
          <w:p w14:paraId="0388FC2D">
            <w:pPr>
              <w:spacing w:before="0" w:beforeAutospacing="0" w:after="0" w:afterAutospacing="0"/>
              <w:ind w:left="0" w:right="0"/>
              <w:rPr>
                <w:rFonts w:ascii="宋体" w:hAnsi="宋体" w:eastAsia="宋体" w:cs="Times New Roman"/>
                <w:color w:val="auto"/>
                <w:sz w:val="24"/>
                <w:szCs w:val="24"/>
                <w:highlight w:val="none"/>
              </w:rPr>
            </w:pPr>
          </w:p>
        </w:tc>
        <w:tc>
          <w:tcPr>
            <w:tcW w:w="1308" w:type="dxa"/>
            <w:vAlign w:val="top"/>
          </w:tcPr>
          <w:p w14:paraId="64744411">
            <w:pPr>
              <w:spacing w:before="0" w:beforeAutospacing="0" w:after="0" w:afterAutospacing="0"/>
              <w:ind w:left="0" w:right="0"/>
              <w:rPr>
                <w:rFonts w:ascii="宋体" w:hAnsi="宋体" w:eastAsia="宋体" w:cs="Times New Roman"/>
                <w:color w:val="auto"/>
                <w:sz w:val="24"/>
                <w:szCs w:val="24"/>
                <w:highlight w:val="none"/>
              </w:rPr>
            </w:pPr>
          </w:p>
        </w:tc>
        <w:tc>
          <w:tcPr>
            <w:tcW w:w="1308" w:type="dxa"/>
            <w:vAlign w:val="top"/>
          </w:tcPr>
          <w:p w14:paraId="0A8F9A73">
            <w:pPr>
              <w:spacing w:before="0" w:beforeAutospacing="0" w:after="0" w:afterAutospacing="0"/>
              <w:ind w:left="0" w:right="0"/>
              <w:rPr>
                <w:rFonts w:ascii="宋体" w:hAnsi="宋体" w:eastAsia="宋体" w:cs="Times New Roman"/>
                <w:color w:val="auto"/>
                <w:sz w:val="24"/>
                <w:szCs w:val="24"/>
                <w:highlight w:val="none"/>
              </w:rPr>
            </w:pPr>
          </w:p>
        </w:tc>
        <w:tc>
          <w:tcPr>
            <w:tcW w:w="1309" w:type="dxa"/>
            <w:vAlign w:val="top"/>
          </w:tcPr>
          <w:p w14:paraId="4A0CC018">
            <w:pPr>
              <w:spacing w:before="0" w:beforeAutospacing="0" w:after="0" w:afterAutospacing="0"/>
              <w:ind w:left="0" w:right="0"/>
              <w:rPr>
                <w:rFonts w:ascii="宋体" w:hAnsi="宋体" w:eastAsia="宋体" w:cs="Times New Roman"/>
                <w:color w:val="auto"/>
                <w:sz w:val="24"/>
                <w:szCs w:val="24"/>
                <w:highlight w:val="none"/>
              </w:rPr>
            </w:pPr>
          </w:p>
        </w:tc>
      </w:tr>
      <w:tr w14:paraId="2872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39B5AF52">
            <w:pPr>
              <w:spacing w:before="0" w:beforeAutospacing="0" w:after="0" w:afterAutospacing="0"/>
              <w:ind w:left="0" w:right="0"/>
              <w:jc w:val="center"/>
              <w:rPr>
                <w:rFonts w:hint="eastAsia" w:ascii="宋体" w:hAnsi="宋体" w:eastAsia="宋体" w:cs="仿宋"/>
                <w:color w:val="auto"/>
                <w:sz w:val="24"/>
                <w:szCs w:val="24"/>
                <w:highlight w:val="none"/>
                <w:lang w:eastAsia="zh-CN"/>
              </w:rPr>
            </w:pPr>
            <w:r>
              <w:rPr>
                <w:rFonts w:hint="eastAsia" w:ascii="宋体" w:hAnsi="宋体" w:eastAsia="Times New Roman" w:cs="仿宋"/>
                <w:color w:val="auto"/>
                <w:sz w:val="24"/>
                <w:szCs w:val="24"/>
                <w:highlight w:val="none"/>
                <w:lang w:val="en-US" w:eastAsia="zh-CN"/>
              </w:rPr>
              <w:t>3</w:t>
            </w:r>
          </w:p>
        </w:tc>
        <w:tc>
          <w:tcPr>
            <w:tcW w:w="2835" w:type="dxa"/>
            <w:vAlign w:val="center"/>
          </w:tcPr>
          <w:p w14:paraId="4BB0E070">
            <w:pPr>
              <w:spacing w:before="0" w:beforeAutospacing="0" w:after="0" w:afterAutospacing="0"/>
              <w:ind w:left="0" w:right="0"/>
              <w:jc w:val="left"/>
              <w:rPr>
                <w:rFonts w:hint="default" w:ascii="宋体" w:hAnsi="宋体" w:eastAsia="宋体" w:cs="仿宋"/>
                <w:color w:val="auto"/>
                <w:sz w:val="24"/>
                <w:szCs w:val="24"/>
                <w:highlight w:val="none"/>
                <w:lang w:val="en-US" w:eastAsia="zh-CN"/>
              </w:rPr>
            </w:pPr>
            <w:r>
              <w:rPr>
                <w:rFonts w:hint="eastAsia" w:ascii="宋体" w:hAnsi="宋体" w:cs="仿宋"/>
                <w:color w:val="auto"/>
                <w:sz w:val="24"/>
                <w:szCs w:val="24"/>
                <w:highlight w:val="none"/>
                <w:lang w:val="en-US" w:eastAsia="zh-CN"/>
              </w:rPr>
              <w:t>质量要求</w:t>
            </w:r>
          </w:p>
        </w:tc>
        <w:tc>
          <w:tcPr>
            <w:tcW w:w="1308" w:type="dxa"/>
            <w:vAlign w:val="top"/>
          </w:tcPr>
          <w:p w14:paraId="4D2C650F">
            <w:pPr>
              <w:spacing w:before="0" w:beforeAutospacing="0" w:after="0" w:afterAutospacing="0"/>
              <w:ind w:left="0" w:right="0"/>
              <w:rPr>
                <w:rFonts w:ascii="宋体" w:hAnsi="宋体" w:eastAsia="宋体" w:cs="Times New Roman"/>
                <w:color w:val="auto"/>
                <w:sz w:val="24"/>
                <w:szCs w:val="24"/>
                <w:highlight w:val="none"/>
              </w:rPr>
            </w:pPr>
          </w:p>
        </w:tc>
        <w:tc>
          <w:tcPr>
            <w:tcW w:w="1308" w:type="dxa"/>
            <w:vAlign w:val="top"/>
          </w:tcPr>
          <w:p w14:paraId="61F79367">
            <w:pPr>
              <w:spacing w:before="0" w:beforeAutospacing="0" w:after="0" w:afterAutospacing="0"/>
              <w:ind w:left="0" w:right="0"/>
              <w:rPr>
                <w:rFonts w:ascii="宋体" w:hAnsi="宋体" w:eastAsia="宋体" w:cs="Times New Roman"/>
                <w:color w:val="auto"/>
                <w:sz w:val="24"/>
                <w:szCs w:val="24"/>
                <w:highlight w:val="none"/>
              </w:rPr>
            </w:pPr>
          </w:p>
        </w:tc>
        <w:tc>
          <w:tcPr>
            <w:tcW w:w="1308" w:type="dxa"/>
            <w:vAlign w:val="top"/>
          </w:tcPr>
          <w:p w14:paraId="523DA06E">
            <w:pPr>
              <w:spacing w:before="0" w:beforeAutospacing="0" w:after="0" w:afterAutospacing="0"/>
              <w:ind w:left="0" w:right="0"/>
              <w:rPr>
                <w:rFonts w:ascii="宋体" w:hAnsi="宋体" w:eastAsia="宋体" w:cs="Times New Roman"/>
                <w:color w:val="auto"/>
                <w:sz w:val="24"/>
                <w:szCs w:val="24"/>
                <w:highlight w:val="none"/>
              </w:rPr>
            </w:pPr>
          </w:p>
        </w:tc>
        <w:tc>
          <w:tcPr>
            <w:tcW w:w="1309" w:type="dxa"/>
            <w:vAlign w:val="top"/>
          </w:tcPr>
          <w:p w14:paraId="68A47332">
            <w:pPr>
              <w:spacing w:before="0" w:beforeAutospacing="0" w:after="0" w:afterAutospacing="0"/>
              <w:ind w:left="0" w:right="0"/>
              <w:rPr>
                <w:rFonts w:ascii="宋体" w:hAnsi="宋体" w:eastAsia="宋体" w:cs="Times New Roman"/>
                <w:color w:val="auto"/>
                <w:sz w:val="24"/>
                <w:szCs w:val="24"/>
                <w:highlight w:val="none"/>
              </w:rPr>
            </w:pPr>
          </w:p>
        </w:tc>
      </w:tr>
      <w:tr w14:paraId="2AEC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660ACF40">
            <w:pPr>
              <w:spacing w:before="0" w:beforeAutospacing="0" w:after="0" w:afterAutospacing="0"/>
              <w:ind w:left="0" w:right="0"/>
              <w:jc w:val="center"/>
              <w:rPr>
                <w:rFonts w:hint="eastAsia" w:ascii="宋体" w:hAnsi="宋体" w:eastAsia="宋体" w:cs="仿宋"/>
                <w:color w:val="auto"/>
                <w:sz w:val="24"/>
                <w:szCs w:val="24"/>
                <w:highlight w:val="none"/>
                <w:lang w:eastAsia="zh-CN"/>
              </w:rPr>
            </w:pPr>
            <w:r>
              <w:rPr>
                <w:rFonts w:hint="eastAsia" w:ascii="宋体" w:hAnsi="宋体" w:eastAsia="Times New Roman" w:cs="仿宋"/>
                <w:color w:val="auto"/>
                <w:sz w:val="24"/>
                <w:szCs w:val="24"/>
                <w:highlight w:val="none"/>
                <w:lang w:val="en-US" w:eastAsia="zh-CN"/>
              </w:rPr>
              <w:t>4</w:t>
            </w:r>
          </w:p>
        </w:tc>
        <w:tc>
          <w:tcPr>
            <w:tcW w:w="2835" w:type="dxa"/>
            <w:vAlign w:val="center"/>
          </w:tcPr>
          <w:p w14:paraId="56A55C43">
            <w:pPr>
              <w:spacing w:before="0" w:beforeAutospacing="0" w:after="0" w:afterAutospacing="0"/>
              <w:ind w:left="0" w:right="0"/>
              <w:jc w:val="left"/>
              <w:rPr>
                <w:rFonts w:ascii="宋体" w:hAnsi="宋体" w:eastAsia="宋体" w:cs="仿宋"/>
                <w:color w:val="auto"/>
                <w:sz w:val="24"/>
                <w:szCs w:val="24"/>
                <w:highlight w:val="none"/>
              </w:rPr>
            </w:pPr>
            <w:r>
              <w:rPr>
                <w:rFonts w:hint="eastAsia" w:ascii="宋体" w:hAnsi="宋体" w:cs="仿宋"/>
                <w:color w:val="auto"/>
                <w:sz w:val="24"/>
                <w:szCs w:val="24"/>
                <w:highlight w:val="none"/>
                <w:lang w:val="en-US" w:eastAsia="zh-CN"/>
              </w:rPr>
              <w:t>磋商</w:t>
            </w:r>
            <w:r>
              <w:rPr>
                <w:rFonts w:hint="eastAsia" w:ascii="宋体" w:hAnsi="宋体" w:eastAsia="宋体" w:cs="仿宋"/>
                <w:color w:val="auto"/>
                <w:sz w:val="24"/>
                <w:szCs w:val="24"/>
                <w:highlight w:val="none"/>
              </w:rPr>
              <w:t>有效期</w:t>
            </w:r>
          </w:p>
        </w:tc>
        <w:tc>
          <w:tcPr>
            <w:tcW w:w="1308" w:type="dxa"/>
            <w:vAlign w:val="top"/>
          </w:tcPr>
          <w:p w14:paraId="57F82875">
            <w:pPr>
              <w:spacing w:before="0" w:beforeAutospacing="0" w:after="0" w:afterAutospacing="0"/>
              <w:ind w:left="0" w:right="0"/>
              <w:rPr>
                <w:rFonts w:ascii="宋体" w:hAnsi="宋体" w:eastAsia="宋体" w:cs="Times New Roman"/>
                <w:color w:val="auto"/>
                <w:sz w:val="24"/>
                <w:szCs w:val="24"/>
                <w:highlight w:val="none"/>
              </w:rPr>
            </w:pPr>
          </w:p>
        </w:tc>
        <w:tc>
          <w:tcPr>
            <w:tcW w:w="1308" w:type="dxa"/>
            <w:vAlign w:val="top"/>
          </w:tcPr>
          <w:p w14:paraId="4E2A68E2">
            <w:pPr>
              <w:spacing w:before="0" w:beforeAutospacing="0" w:after="0" w:afterAutospacing="0"/>
              <w:ind w:left="0" w:right="0"/>
              <w:rPr>
                <w:rFonts w:ascii="宋体" w:hAnsi="宋体" w:eastAsia="宋体" w:cs="Times New Roman"/>
                <w:color w:val="auto"/>
                <w:sz w:val="24"/>
                <w:szCs w:val="24"/>
                <w:highlight w:val="none"/>
              </w:rPr>
            </w:pPr>
          </w:p>
        </w:tc>
        <w:tc>
          <w:tcPr>
            <w:tcW w:w="1308" w:type="dxa"/>
            <w:vAlign w:val="top"/>
          </w:tcPr>
          <w:p w14:paraId="3FF93330">
            <w:pPr>
              <w:spacing w:before="0" w:beforeAutospacing="0" w:after="0" w:afterAutospacing="0"/>
              <w:ind w:left="0" w:right="0"/>
              <w:rPr>
                <w:rFonts w:ascii="宋体" w:hAnsi="宋体" w:eastAsia="宋体" w:cs="Times New Roman"/>
                <w:color w:val="auto"/>
                <w:sz w:val="24"/>
                <w:szCs w:val="24"/>
                <w:highlight w:val="none"/>
              </w:rPr>
            </w:pPr>
          </w:p>
        </w:tc>
        <w:tc>
          <w:tcPr>
            <w:tcW w:w="1309" w:type="dxa"/>
            <w:vAlign w:val="top"/>
          </w:tcPr>
          <w:p w14:paraId="22C9F590">
            <w:pPr>
              <w:spacing w:before="0" w:beforeAutospacing="0" w:after="0" w:afterAutospacing="0"/>
              <w:ind w:left="0" w:right="0"/>
              <w:rPr>
                <w:rFonts w:ascii="宋体" w:hAnsi="宋体" w:eastAsia="宋体" w:cs="Times New Roman"/>
                <w:color w:val="auto"/>
                <w:sz w:val="24"/>
                <w:szCs w:val="24"/>
                <w:highlight w:val="none"/>
              </w:rPr>
            </w:pPr>
          </w:p>
        </w:tc>
      </w:tr>
      <w:tr w14:paraId="1C32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4C7ECF6C">
            <w:pPr>
              <w:spacing w:before="0" w:beforeAutospacing="0" w:after="0" w:afterAutospacing="0"/>
              <w:ind w:left="0" w:right="0"/>
              <w:jc w:val="center"/>
              <w:rPr>
                <w:rFonts w:hint="eastAsia" w:ascii="宋体" w:hAnsi="宋体" w:eastAsia="宋体" w:cs="仿宋"/>
                <w:color w:val="auto"/>
                <w:sz w:val="24"/>
                <w:szCs w:val="24"/>
                <w:highlight w:val="none"/>
                <w:lang w:eastAsia="zh-CN"/>
              </w:rPr>
            </w:pPr>
            <w:r>
              <w:rPr>
                <w:rFonts w:hint="eastAsia" w:ascii="宋体" w:hAnsi="宋体" w:eastAsia="Times New Roman" w:cs="仿宋"/>
                <w:color w:val="auto"/>
                <w:sz w:val="24"/>
                <w:szCs w:val="24"/>
                <w:highlight w:val="none"/>
                <w:lang w:val="en-US" w:eastAsia="zh-CN"/>
              </w:rPr>
              <w:t>5</w:t>
            </w:r>
          </w:p>
        </w:tc>
        <w:tc>
          <w:tcPr>
            <w:tcW w:w="2835" w:type="dxa"/>
            <w:vAlign w:val="center"/>
          </w:tcPr>
          <w:p w14:paraId="61FB6884">
            <w:pPr>
              <w:spacing w:before="0" w:beforeAutospacing="0" w:after="0" w:afterAutospacing="0"/>
              <w:ind w:left="0" w:right="0"/>
              <w:jc w:val="left"/>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其他（如有）</w:t>
            </w:r>
          </w:p>
        </w:tc>
        <w:tc>
          <w:tcPr>
            <w:tcW w:w="1308" w:type="dxa"/>
            <w:vAlign w:val="top"/>
          </w:tcPr>
          <w:p w14:paraId="55E5E893">
            <w:pPr>
              <w:spacing w:before="0" w:beforeAutospacing="0" w:after="0" w:afterAutospacing="0"/>
              <w:ind w:left="0" w:right="0"/>
              <w:rPr>
                <w:rFonts w:ascii="宋体" w:hAnsi="宋体" w:eastAsia="宋体" w:cs="Times New Roman"/>
                <w:color w:val="auto"/>
                <w:sz w:val="24"/>
                <w:szCs w:val="24"/>
                <w:highlight w:val="none"/>
              </w:rPr>
            </w:pPr>
          </w:p>
        </w:tc>
        <w:tc>
          <w:tcPr>
            <w:tcW w:w="1308" w:type="dxa"/>
            <w:vAlign w:val="top"/>
          </w:tcPr>
          <w:p w14:paraId="0BBF5D55">
            <w:pPr>
              <w:spacing w:before="0" w:beforeAutospacing="0" w:after="0" w:afterAutospacing="0"/>
              <w:ind w:left="0" w:right="0"/>
              <w:rPr>
                <w:rFonts w:ascii="宋体" w:hAnsi="宋体" w:eastAsia="宋体" w:cs="Times New Roman"/>
                <w:color w:val="auto"/>
                <w:sz w:val="24"/>
                <w:szCs w:val="24"/>
                <w:highlight w:val="none"/>
              </w:rPr>
            </w:pPr>
          </w:p>
        </w:tc>
        <w:tc>
          <w:tcPr>
            <w:tcW w:w="1308" w:type="dxa"/>
            <w:vAlign w:val="top"/>
          </w:tcPr>
          <w:p w14:paraId="6C1B023A">
            <w:pPr>
              <w:spacing w:before="0" w:beforeAutospacing="0" w:after="0" w:afterAutospacing="0"/>
              <w:ind w:left="0" w:right="0"/>
              <w:rPr>
                <w:rFonts w:ascii="宋体" w:hAnsi="宋体" w:eastAsia="宋体" w:cs="Times New Roman"/>
                <w:color w:val="auto"/>
                <w:sz w:val="24"/>
                <w:szCs w:val="24"/>
                <w:highlight w:val="none"/>
              </w:rPr>
            </w:pPr>
          </w:p>
        </w:tc>
        <w:tc>
          <w:tcPr>
            <w:tcW w:w="1309" w:type="dxa"/>
            <w:vAlign w:val="top"/>
          </w:tcPr>
          <w:p w14:paraId="56DB2033">
            <w:pPr>
              <w:spacing w:before="0" w:beforeAutospacing="0" w:after="0" w:afterAutospacing="0"/>
              <w:ind w:left="0" w:right="0"/>
              <w:rPr>
                <w:rFonts w:ascii="宋体" w:hAnsi="宋体" w:eastAsia="宋体" w:cs="Times New Roman"/>
                <w:color w:val="auto"/>
                <w:sz w:val="24"/>
                <w:szCs w:val="24"/>
                <w:highlight w:val="none"/>
              </w:rPr>
            </w:pPr>
          </w:p>
        </w:tc>
      </w:tr>
    </w:tbl>
    <w:p w14:paraId="2FF23463">
      <w:pPr>
        <w:pStyle w:val="25"/>
        <w:ind w:left="479" w:leftChars="114" w:hanging="240" w:hangingChars="100"/>
        <w:rPr>
          <w:rFonts w:hint="eastAsia"/>
          <w:color w:val="auto"/>
          <w:highlight w:val="none"/>
        </w:rPr>
      </w:pPr>
      <w:r>
        <w:rPr>
          <w:rFonts w:hint="eastAsia" w:ascii="宋体" w:hAnsi="宋体"/>
          <w:color w:val="auto"/>
          <w:sz w:val="24"/>
          <w:szCs w:val="24"/>
          <w:highlight w:val="none"/>
          <w:lang w:eastAsia="zh-CN"/>
        </w:rPr>
        <w:t>供应商</w:t>
      </w:r>
      <w:r>
        <w:rPr>
          <w:rFonts w:hint="eastAsia" w:ascii="宋体" w:hAnsi="宋体" w:eastAsia="宋体"/>
          <w:color w:val="auto"/>
          <w:sz w:val="24"/>
          <w:szCs w:val="24"/>
          <w:highlight w:val="none"/>
        </w:rPr>
        <w:t>代表(</w:t>
      </w:r>
      <w:r>
        <w:rPr>
          <w:rFonts w:hint="eastAsia" w:ascii="宋体" w:hAnsi="宋体"/>
          <w:color w:val="auto"/>
          <w:sz w:val="24"/>
          <w:szCs w:val="24"/>
          <w:highlight w:val="none"/>
          <w:lang w:eastAsia="zh-CN"/>
        </w:rPr>
        <w:t>签字或盖章或电子签章</w:t>
      </w:r>
      <w:r>
        <w:rPr>
          <w:rFonts w:hint="eastAsia" w:ascii="宋体" w:hAnsi="宋体" w:eastAsia="宋体"/>
          <w:color w:val="auto"/>
          <w:sz w:val="24"/>
          <w:szCs w:val="24"/>
          <w:highlight w:val="none"/>
        </w:rPr>
        <w:t xml:space="preserve">)：         </w:t>
      </w:r>
      <w:r>
        <w:rPr>
          <w:rFonts w:hint="eastAsia" w:ascii="宋体" w:hAnsi="宋体"/>
          <w:color w:val="auto"/>
          <w:sz w:val="24"/>
          <w:szCs w:val="24"/>
          <w:highlight w:val="none"/>
          <w:lang w:eastAsia="zh-CN"/>
        </w:rPr>
        <w:t>供应商</w:t>
      </w:r>
      <w:r>
        <w:rPr>
          <w:rFonts w:hint="eastAsia" w:ascii="宋体" w:hAnsi="宋体" w:eastAsia="宋体"/>
          <w:color w:val="auto"/>
          <w:sz w:val="24"/>
          <w:szCs w:val="24"/>
          <w:highlight w:val="none"/>
        </w:rPr>
        <w:t>(公章</w:t>
      </w:r>
      <w:r>
        <w:rPr>
          <w:rFonts w:hint="eastAsia" w:ascii="宋体" w:hAnsi="宋体"/>
          <w:color w:val="auto"/>
          <w:sz w:val="24"/>
          <w:szCs w:val="24"/>
          <w:highlight w:val="none"/>
          <w:lang w:eastAsia="zh-CN"/>
        </w:rPr>
        <w:t>或电子签章</w:t>
      </w:r>
      <w:r>
        <w:rPr>
          <w:rFonts w:hint="eastAsia" w:ascii="宋体" w:hAnsi="宋体" w:eastAsia="宋体"/>
          <w:color w:val="auto"/>
          <w:sz w:val="24"/>
          <w:szCs w:val="24"/>
          <w:highlight w:val="none"/>
        </w:rPr>
        <w:t>)：         日</w:t>
      </w:r>
      <w:r>
        <w:rPr>
          <w:rFonts w:hint="eastAsia" w:ascii="宋体" w:hAnsi="宋体"/>
          <w:color w:val="auto"/>
          <w:sz w:val="24"/>
          <w:szCs w:val="24"/>
          <w:highlight w:val="none"/>
          <w:lang w:val="en-US" w:eastAsia="zh-CN"/>
        </w:rPr>
        <w:t xml:space="preserve">  </w:t>
      </w:r>
      <w:r>
        <w:rPr>
          <w:rFonts w:hint="eastAsia" w:ascii="宋体" w:hAnsi="宋体" w:eastAsia="宋体"/>
          <w:color w:val="auto"/>
          <w:sz w:val="24"/>
          <w:szCs w:val="24"/>
          <w:highlight w:val="none"/>
        </w:rPr>
        <w:t>期</w:t>
      </w:r>
      <w:r>
        <w:rPr>
          <w:rFonts w:hint="eastAsia"/>
          <w:color w:val="auto"/>
          <w:highlight w:val="none"/>
        </w:rPr>
        <w:t>：</w:t>
      </w:r>
    </w:p>
    <w:p w14:paraId="01F6B22F">
      <w:pPr>
        <w:pStyle w:val="25"/>
        <w:rPr>
          <w:rFonts w:hint="eastAsia"/>
          <w:color w:val="auto"/>
          <w:highlight w:val="none"/>
        </w:rPr>
      </w:pPr>
    </w:p>
    <w:p w14:paraId="20593393">
      <w:pPr>
        <w:pStyle w:val="25"/>
        <w:rPr>
          <w:rFonts w:hint="eastAsia"/>
          <w:color w:val="auto"/>
          <w:highlight w:val="none"/>
        </w:rPr>
      </w:pPr>
    </w:p>
    <w:p w14:paraId="57F6FD1E">
      <w:pPr>
        <w:pStyle w:val="25"/>
        <w:rPr>
          <w:rFonts w:hint="eastAsia"/>
          <w:color w:val="auto"/>
          <w:highlight w:val="none"/>
        </w:rPr>
      </w:pPr>
    </w:p>
    <w:p w14:paraId="7D2A4D63">
      <w:pPr>
        <w:spacing w:line="360" w:lineRule="auto"/>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注：供应商</w:t>
      </w:r>
      <w:r>
        <w:rPr>
          <w:rFonts w:hint="eastAsia" w:ascii="宋体" w:hAnsi="宋体" w:eastAsia="宋体"/>
          <w:color w:val="auto"/>
          <w:sz w:val="24"/>
          <w:szCs w:val="24"/>
          <w:highlight w:val="none"/>
        </w:rPr>
        <w:t>可根据需要自行增减表格行数。</w:t>
      </w:r>
    </w:p>
    <w:p w14:paraId="390D3AC7">
      <w:pPr>
        <w:pStyle w:val="25"/>
        <w:rPr>
          <w:rFonts w:hint="eastAsia"/>
          <w:color w:val="auto"/>
          <w:highlight w:val="none"/>
        </w:rPr>
      </w:pPr>
    </w:p>
    <w:p w14:paraId="34CCDA25">
      <w:pPr>
        <w:pStyle w:val="25"/>
        <w:rPr>
          <w:rFonts w:hint="eastAsia"/>
          <w:color w:val="auto"/>
          <w:highlight w:val="none"/>
        </w:rPr>
      </w:pPr>
    </w:p>
    <w:p w14:paraId="539358EB">
      <w:pPr>
        <w:pStyle w:val="25"/>
        <w:rPr>
          <w:rFonts w:hint="eastAsia"/>
          <w:color w:val="auto"/>
          <w:highlight w:val="none"/>
        </w:rPr>
      </w:pPr>
    </w:p>
    <w:p w14:paraId="3204205C">
      <w:pPr>
        <w:pStyle w:val="25"/>
        <w:rPr>
          <w:rFonts w:hint="eastAsia"/>
          <w:color w:val="auto"/>
          <w:highlight w:val="none"/>
        </w:rPr>
      </w:pPr>
    </w:p>
    <w:p w14:paraId="3B464EBA">
      <w:pPr>
        <w:pStyle w:val="25"/>
        <w:rPr>
          <w:rFonts w:hint="eastAsia"/>
          <w:color w:val="auto"/>
          <w:highlight w:val="none"/>
        </w:rPr>
      </w:pPr>
    </w:p>
    <w:p w14:paraId="41DF3B99">
      <w:pPr>
        <w:pStyle w:val="25"/>
        <w:rPr>
          <w:rFonts w:hint="eastAsia"/>
          <w:color w:val="auto"/>
          <w:highlight w:val="none"/>
        </w:rPr>
      </w:pPr>
    </w:p>
    <w:p w14:paraId="3950F4F2">
      <w:pPr>
        <w:pStyle w:val="26"/>
        <w:rPr>
          <w:rFonts w:hint="eastAsia"/>
          <w:color w:val="auto"/>
          <w:highlight w:val="none"/>
        </w:rPr>
      </w:pPr>
    </w:p>
    <w:p w14:paraId="12780D84">
      <w:pPr>
        <w:pStyle w:val="26"/>
        <w:rPr>
          <w:rFonts w:hint="eastAsia"/>
          <w:color w:val="auto"/>
          <w:highlight w:val="none"/>
        </w:rPr>
      </w:pPr>
    </w:p>
    <w:p w14:paraId="410640E3">
      <w:pPr>
        <w:pStyle w:val="26"/>
        <w:rPr>
          <w:rFonts w:hint="eastAsia"/>
          <w:color w:val="auto"/>
          <w:highlight w:val="none"/>
        </w:rPr>
      </w:pPr>
    </w:p>
    <w:p w14:paraId="2DDF55D9">
      <w:pPr>
        <w:pStyle w:val="26"/>
        <w:rPr>
          <w:rFonts w:hint="eastAsia"/>
          <w:color w:val="auto"/>
          <w:highlight w:val="none"/>
        </w:rPr>
      </w:pPr>
    </w:p>
    <w:p w14:paraId="7CDC2BB9">
      <w:pPr>
        <w:pStyle w:val="26"/>
        <w:rPr>
          <w:rFonts w:hint="eastAsia"/>
          <w:color w:val="auto"/>
          <w:highlight w:val="none"/>
        </w:rPr>
      </w:pPr>
    </w:p>
    <w:p w14:paraId="6AF9CAB3">
      <w:pPr>
        <w:pStyle w:val="26"/>
        <w:rPr>
          <w:rFonts w:hint="eastAsia"/>
          <w:color w:val="auto"/>
          <w:highlight w:val="none"/>
        </w:rPr>
      </w:pPr>
    </w:p>
    <w:p w14:paraId="65241E75">
      <w:pPr>
        <w:pStyle w:val="26"/>
        <w:rPr>
          <w:rFonts w:hint="eastAsia"/>
          <w:color w:val="auto"/>
          <w:highlight w:val="none"/>
        </w:rPr>
      </w:pPr>
    </w:p>
    <w:p w14:paraId="5DA11895">
      <w:pPr>
        <w:pStyle w:val="25"/>
        <w:rPr>
          <w:rFonts w:hint="eastAsia"/>
          <w:color w:val="auto"/>
          <w:highlight w:val="none"/>
        </w:rPr>
      </w:pPr>
    </w:p>
    <w:p w14:paraId="7738C0E9">
      <w:pPr>
        <w:rPr>
          <w:rFonts w:hint="eastAsia"/>
          <w:color w:val="auto"/>
          <w:highlight w:val="none"/>
        </w:rPr>
      </w:pPr>
    </w:p>
    <w:p w14:paraId="344A1AB7">
      <w:pPr>
        <w:pStyle w:val="25"/>
        <w:rPr>
          <w:rFonts w:hint="eastAsia"/>
          <w:color w:val="auto"/>
          <w:highlight w:val="none"/>
        </w:rPr>
      </w:pPr>
    </w:p>
    <w:p w14:paraId="0D0E9D47">
      <w:pPr>
        <w:jc w:val="center"/>
        <w:rPr>
          <w:rFonts w:hint="eastAsia" w:ascii="宋体" w:hAnsi="宋体" w:eastAsia="宋体"/>
          <w:bCs/>
          <w:color w:val="auto"/>
          <w:sz w:val="28"/>
          <w:szCs w:val="28"/>
          <w:highlight w:val="none"/>
        </w:rPr>
      </w:pPr>
      <w:bookmarkStart w:id="269" w:name="_Toc23086"/>
      <w:bookmarkStart w:id="270" w:name="_Toc509411890"/>
      <w:bookmarkStart w:id="271" w:name="_Toc22632"/>
      <w:bookmarkStart w:id="272" w:name="_Toc12714"/>
      <w:bookmarkStart w:id="273" w:name="_Toc26765"/>
      <w:bookmarkStart w:id="274" w:name="_Toc12126"/>
      <w:bookmarkStart w:id="275" w:name="_Toc17107"/>
      <w:bookmarkStart w:id="276" w:name="_Toc32615"/>
      <w:bookmarkStart w:id="277" w:name="_Toc12527"/>
      <w:bookmarkStart w:id="278" w:name="_Toc15178"/>
      <w:bookmarkStart w:id="279" w:name="_Toc30953"/>
      <w:bookmarkStart w:id="280" w:name="_Toc29393"/>
      <w:bookmarkStart w:id="281" w:name="_Toc32354"/>
      <w:bookmarkStart w:id="282" w:name="_Toc15865"/>
      <w:r>
        <w:rPr>
          <w:rFonts w:hint="eastAsia" w:ascii="宋体" w:hAnsi="宋体"/>
          <w:bCs/>
          <w:color w:val="auto"/>
          <w:sz w:val="28"/>
          <w:szCs w:val="28"/>
          <w:highlight w:val="none"/>
          <w:lang w:val="en-US" w:eastAsia="zh-CN"/>
        </w:rPr>
        <w:t>6</w:t>
      </w:r>
      <w:r>
        <w:rPr>
          <w:rFonts w:hint="eastAsia" w:ascii="宋体" w:hAnsi="宋体" w:eastAsia="宋体"/>
          <w:bCs/>
          <w:color w:val="auto"/>
          <w:sz w:val="28"/>
          <w:szCs w:val="28"/>
          <w:highlight w:val="none"/>
        </w:rPr>
        <w:t>、服务承诺</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1084B70E">
      <w:pPr>
        <w:rPr>
          <w:rFonts w:hint="eastAsia" w:ascii="宋体" w:hAnsi="宋体" w:eastAsia="宋体"/>
          <w:bCs/>
          <w:color w:val="auto"/>
          <w:sz w:val="24"/>
          <w:szCs w:val="24"/>
          <w:highlight w:val="none"/>
        </w:rPr>
      </w:pPr>
    </w:p>
    <w:p w14:paraId="104BC70D">
      <w:pPr>
        <w:numPr>
          <w:ilvl w:val="0"/>
          <w:numId w:val="8"/>
        </w:numPr>
        <w:spacing w:line="360" w:lineRule="auto"/>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施工单位名称</w:t>
      </w:r>
      <w:r>
        <w:rPr>
          <w:rFonts w:hint="eastAsia" w:ascii="宋体" w:hAnsi="宋体" w:eastAsia="宋体"/>
          <w:color w:val="auto"/>
          <w:sz w:val="24"/>
          <w:szCs w:val="24"/>
          <w:highlight w:val="none"/>
        </w:rPr>
        <w:t>、地点、联系方式。</w:t>
      </w:r>
    </w:p>
    <w:p w14:paraId="6FDB1163">
      <w:pPr>
        <w:numPr>
          <w:ilvl w:val="0"/>
          <w:numId w:val="8"/>
        </w:numPr>
        <w:spacing w:line="360" w:lineRule="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履职尽责承诺</w:t>
      </w:r>
    </w:p>
    <w:p w14:paraId="79DB5546">
      <w:pPr>
        <w:numPr>
          <w:ilvl w:val="0"/>
          <w:numId w:val="8"/>
        </w:numPr>
        <w:spacing w:line="360" w:lineRule="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供应商认为需要说明的其他服务承诺。</w:t>
      </w:r>
    </w:p>
    <w:p w14:paraId="13B5CDC5">
      <w:pPr>
        <w:spacing w:line="360" w:lineRule="auto"/>
        <w:rPr>
          <w:rFonts w:hint="eastAsia" w:ascii="宋体" w:hAnsi="宋体" w:eastAsia="宋体"/>
          <w:color w:val="auto"/>
          <w:sz w:val="24"/>
          <w:szCs w:val="24"/>
          <w:highlight w:val="none"/>
        </w:rPr>
      </w:pPr>
    </w:p>
    <w:p w14:paraId="771508F6">
      <w:pPr>
        <w:spacing w:line="360" w:lineRule="auto"/>
        <w:rPr>
          <w:rFonts w:hint="eastAsia" w:ascii="宋体" w:hAnsi="宋体" w:eastAsia="宋体"/>
          <w:color w:val="auto"/>
          <w:sz w:val="24"/>
          <w:szCs w:val="24"/>
          <w:highlight w:val="none"/>
        </w:rPr>
      </w:pPr>
    </w:p>
    <w:p w14:paraId="13E4EEFE">
      <w:pPr>
        <w:spacing w:line="360" w:lineRule="auto"/>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供应商</w:t>
      </w:r>
      <w:r>
        <w:rPr>
          <w:rFonts w:hint="eastAsia" w:ascii="宋体" w:hAnsi="宋体" w:eastAsia="宋体"/>
          <w:color w:val="auto"/>
          <w:sz w:val="24"/>
          <w:szCs w:val="24"/>
          <w:highlight w:val="none"/>
        </w:rPr>
        <w:t>（公章</w:t>
      </w:r>
      <w:r>
        <w:rPr>
          <w:rFonts w:hint="eastAsia" w:ascii="宋体" w:hAnsi="宋体"/>
          <w:color w:val="auto"/>
          <w:sz w:val="24"/>
          <w:szCs w:val="24"/>
          <w:highlight w:val="none"/>
          <w:lang w:eastAsia="zh-CN"/>
        </w:rPr>
        <w:t>或电子签章</w:t>
      </w:r>
      <w:r>
        <w:rPr>
          <w:rFonts w:hint="eastAsia" w:ascii="宋体" w:hAnsi="宋体" w:eastAsia="宋体"/>
          <w:color w:val="auto"/>
          <w:sz w:val="24"/>
          <w:szCs w:val="24"/>
          <w:highlight w:val="none"/>
        </w:rPr>
        <w:t>）：</w:t>
      </w:r>
    </w:p>
    <w:p w14:paraId="3FD0FA59">
      <w:pPr>
        <w:spacing w:line="360" w:lineRule="auto"/>
        <w:rPr>
          <w:rFonts w:hint="eastAsia" w:ascii="宋体" w:hAnsi="宋体" w:eastAsia="宋体"/>
          <w:color w:val="auto"/>
          <w:sz w:val="24"/>
          <w:szCs w:val="24"/>
          <w:highlight w:val="none"/>
        </w:rPr>
      </w:pPr>
      <w:r>
        <w:rPr>
          <w:rFonts w:hint="eastAsia" w:ascii="宋体" w:hAnsi="宋体"/>
          <w:color w:val="auto"/>
          <w:sz w:val="24"/>
          <w:highlight w:val="none"/>
          <w:lang w:eastAsia="zh-CN"/>
        </w:rPr>
        <w:t>供应商</w:t>
      </w:r>
      <w:r>
        <w:rPr>
          <w:rFonts w:hint="eastAsia" w:ascii="宋体" w:hAnsi="宋体" w:eastAsia="宋体"/>
          <w:color w:val="auto"/>
          <w:sz w:val="24"/>
          <w:highlight w:val="none"/>
        </w:rPr>
        <w:t>代表（</w:t>
      </w:r>
      <w:r>
        <w:rPr>
          <w:rFonts w:hint="eastAsia" w:ascii="宋体" w:hAnsi="宋体"/>
          <w:color w:val="auto"/>
          <w:sz w:val="24"/>
          <w:highlight w:val="none"/>
          <w:lang w:eastAsia="zh-CN"/>
        </w:rPr>
        <w:t>签字或盖章或电子签章</w:t>
      </w:r>
      <w:r>
        <w:rPr>
          <w:rFonts w:hint="eastAsia" w:ascii="宋体" w:hAnsi="宋体" w:eastAsia="宋体"/>
          <w:color w:val="auto"/>
          <w:sz w:val="24"/>
          <w:highlight w:val="none"/>
        </w:rPr>
        <w:t>）</w:t>
      </w:r>
      <w:r>
        <w:rPr>
          <w:rFonts w:hint="eastAsia" w:ascii="宋体" w:hAnsi="宋体" w:eastAsia="宋体"/>
          <w:color w:val="auto"/>
          <w:sz w:val="24"/>
          <w:szCs w:val="24"/>
          <w:highlight w:val="none"/>
        </w:rPr>
        <w:t xml:space="preserve">：  </w:t>
      </w:r>
    </w:p>
    <w:p w14:paraId="5097C9AE">
      <w:pPr>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日          期：</w:t>
      </w:r>
    </w:p>
    <w:p w14:paraId="1826BE1D">
      <w:pPr>
        <w:rPr>
          <w:rFonts w:hint="eastAsia" w:ascii="宋体" w:hAnsi="宋体" w:eastAsia="宋体"/>
          <w:color w:val="auto"/>
          <w:sz w:val="24"/>
          <w:szCs w:val="24"/>
          <w:highlight w:val="none"/>
        </w:rPr>
      </w:pPr>
    </w:p>
    <w:p w14:paraId="4F4F214B">
      <w:pPr>
        <w:rPr>
          <w:rFonts w:hint="eastAsia" w:ascii="宋体" w:hAnsi="宋体" w:eastAsia="宋体"/>
          <w:bCs/>
          <w:color w:val="auto"/>
          <w:sz w:val="24"/>
          <w:highlight w:val="none"/>
        </w:rPr>
      </w:pPr>
    </w:p>
    <w:p w14:paraId="069F837D">
      <w:pPr>
        <w:rPr>
          <w:rFonts w:hint="eastAsia" w:ascii="宋体" w:hAnsi="宋体" w:eastAsia="宋体"/>
          <w:bCs/>
          <w:color w:val="auto"/>
          <w:highlight w:val="none"/>
        </w:rPr>
      </w:pPr>
    </w:p>
    <w:p w14:paraId="0C2E1849">
      <w:pPr>
        <w:rPr>
          <w:rFonts w:hint="eastAsia" w:ascii="宋体" w:hAnsi="宋体" w:eastAsia="宋体"/>
          <w:bCs/>
          <w:color w:val="auto"/>
          <w:highlight w:val="none"/>
        </w:rPr>
      </w:pPr>
    </w:p>
    <w:p w14:paraId="17018309">
      <w:pPr>
        <w:rPr>
          <w:rFonts w:hint="eastAsia" w:ascii="宋体" w:hAnsi="宋体" w:eastAsia="宋体"/>
          <w:bCs/>
          <w:color w:val="auto"/>
          <w:highlight w:val="none"/>
        </w:rPr>
      </w:pPr>
    </w:p>
    <w:p w14:paraId="7D7414C9">
      <w:pPr>
        <w:rPr>
          <w:rFonts w:hint="eastAsia" w:ascii="宋体" w:hAnsi="宋体" w:eastAsia="宋体"/>
          <w:bCs/>
          <w:color w:val="auto"/>
          <w:highlight w:val="none"/>
        </w:rPr>
      </w:pPr>
    </w:p>
    <w:p w14:paraId="51F1977F">
      <w:pPr>
        <w:rPr>
          <w:rFonts w:hint="eastAsia" w:ascii="宋体" w:hAnsi="宋体" w:eastAsia="宋体"/>
          <w:bCs/>
          <w:color w:val="auto"/>
          <w:highlight w:val="none"/>
        </w:rPr>
      </w:pPr>
    </w:p>
    <w:p w14:paraId="1ABC43FB">
      <w:pPr>
        <w:rPr>
          <w:rFonts w:hint="eastAsia" w:ascii="宋体" w:hAnsi="宋体" w:eastAsia="宋体"/>
          <w:bCs/>
          <w:color w:val="auto"/>
          <w:highlight w:val="none"/>
        </w:rPr>
      </w:pPr>
    </w:p>
    <w:p w14:paraId="1399207E">
      <w:pPr>
        <w:rPr>
          <w:rFonts w:hint="eastAsia" w:ascii="宋体" w:hAnsi="宋体" w:eastAsia="宋体"/>
          <w:bCs/>
          <w:color w:val="auto"/>
          <w:highlight w:val="none"/>
        </w:rPr>
      </w:pPr>
    </w:p>
    <w:p w14:paraId="031D5574">
      <w:pPr>
        <w:rPr>
          <w:rFonts w:hint="eastAsia" w:ascii="宋体" w:hAnsi="宋体" w:eastAsia="宋体"/>
          <w:bCs/>
          <w:color w:val="auto"/>
          <w:highlight w:val="none"/>
        </w:rPr>
      </w:pPr>
    </w:p>
    <w:p w14:paraId="4D47A1E9">
      <w:pPr>
        <w:rPr>
          <w:rFonts w:hint="eastAsia" w:ascii="宋体" w:hAnsi="宋体" w:eastAsia="宋体"/>
          <w:bCs/>
          <w:color w:val="auto"/>
          <w:highlight w:val="none"/>
        </w:rPr>
      </w:pPr>
    </w:p>
    <w:p w14:paraId="3A90D5EA">
      <w:pPr>
        <w:rPr>
          <w:rFonts w:hint="eastAsia" w:ascii="宋体" w:hAnsi="宋体" w:eastAsia="宋体"/>
          <w:bCs/>
          <w:color w:val="auto"/>
          <w:highlight w:val="none"/>
        </w:rPr>
      </w:pPr>
    </w:p>
    <w:p w14:paraId="0214A5CF">
      <w:pPr>
        <w:pStyle w:val="11"/>
        <w:rPr>
          <w:rFonts w:hint="eastAsia" w:ascii="宋体" w:hAnsi="宋体" w:eastAsia="宋体"/>
          <w:bCs/>
          <w:color w:val="auto"/>
          <w:highlight w:val="none"/>
        </w:rPr>
      </w:pPr>
    </w:p>
    <w:p w14:paraId="4C310500">
      <w:pPr>
        <w:pStyle w:val="11"/>
        <w:rPr>
          <w:rFonts w:hint="eastAsia" w:ascii="宋体" w:hAnsi="宋体" w:eastAsia="宋体"/>
          <w:bCs/>
          <w:color w:val="auto"/>
          <w:highlight w:val="none"/>
        </w:rPr>
      </w:pPr>
    </w:p>
    <w:p w14:paraId="59A24C79">
      <w:pPr>
        <w:pStyle w:val="11"/>
        <w:rPr>
          <w:rFonts w:hint="eastAsia" w:ascii="宋体" w:hAnsi="宋体" w:eastAsia="宋体"/>
          <w:bCs/>
          <w:color w:val="auto"/>
          <w:highlight w:val="none"/>
        </w:rPr>
      </w:pPr>
    </w:p>
    <w:p w14:paraId="0848EF4E">
      <w:pPr>
        <w:pStyle w:val="11"/>
        <w:rPr>
          <w:rFonts w:hint="eastAsia" w:ascii="宋体" w:hAnsi="宋体" w:eastAsia="宋体"/>
          <w:bCs/>
          <w:color w:val="auto"/>
          <w:highlight w:val="none"/>
        </w:rPr>
      </w:pPr>
    </w:p>
    <w:p w14:paraId="764F165A">
      <w:pPr>
        <w:pStyle w:val="11"/>
        <w:rPr>
          <w:rFonts w:hint="eastAsia" w:ascii="宋体" w:hAnsi="宋体" w:eastAsia="宋体"/>
          <w:bCs/>
          <w:color w:val="auto"/>
          <w:highlight w:val="none"/>
        </w:rPr>
      </w:pPr>
    </w:p>
    <w:p w14:paraId="2F2ECD53">
      <w:pPr>
        <w:pStyle w:val="11"/>
        <w:rPr>
          <w:rFonts w:hint="eastAsia" w:ascii="宋体" w:hAnsi="宋体" w:eastAsia="宋体"/>
          <w:bCs/>
          <w:color w:val="auto"/>
          <w:highlight w:val="none"/>
        </w:rPr>
      </w:pPr>
    </w:p>
    <w:p w14:paraId="3122CBA5">
      <w:pPr>
        <w:pStyle w:val="11"/>
        <w:rPr>
          <w:rFonts w:hint="eastAsia" w:ascii="宋体" w:hAnsi="宋体" w:eastAsia="宋体"/>
          <w:bCs/>
          <w:color w:val="auto"/>
          <w:highlight w:val="none"/>
        </w:rPr>
      </w:pPr>
    </w:p>
    <w:p w14:paraId="752D5D70">
      <w:pPr>
        <w:pStyle w:val="20"/>
        <w:rPr>
          <w:rFonts w:hint="eastAsia"/>
          <w:color w:val="auto"/>
          <w:highlight w:val="none"/>
        </w:rPr>
      </w:pPr>
    </w:p>
    <w:p w14:paraId="5EFC9FDE">
      <w:pPr>
        <w:pStyle w:val="11"/>
        <w:rPr>
          <w:rFonts w:hint="eastAsia" w:ascii="宋体" w:hAnsi="宋体" w:eastAsia="宋体"/>
          <w:bCs/>
          <w:color w:val="auto"/>
          <w:highlight w:val="none"/>
        </w:rPr>
      </w:pPr>
    </w:p>
    <w:p w14:paraId="270C430A">
      <w:pPr>
        <w:rPr>
          <w:rFonts w:hint="eastAsia" w:ascii="宋体" w:hAnsi="宋体" w:eastAsia="宋体"/>
          <w:bCs/>
          <w:color w:val="auto"/>
          <w:highlight w:val="none"/>
        </w:rPr>
      </w:pPr>
    </w:p>
    <w:p w14:paraId="68D64F77">
      <w:pPr>
        <w:pStyle w:val="25"/>
        <w:rPr>
          <w:rFonts w:hint="eastAsia"/>
          <w:color w:val="auto"/>
          <w:highlight w:val="none"/>
        </w:rPr>
      </w:pPr>
    </w:p>
    <w:p w14:paraId="4713F43F">
      <w:pPr>
        <w:pStyle w:val="26"/>
        <w:rPr>
          <w:rFonts w:hint="eastAsia"/>
        </w:rPr>
      </w:pPr>
    </w:p>
    <w:p w14:paraId="07572741">
      <w:pPr>
        <w:rPr>
          <w:rFonts w:hint="eastAsia" w:ascii="宋体" w:hAnsi="宋体" w:eastAsia="宋体"/>
          <w:bCs/>
          <w:color w:val="auto"/>
          <w:highlight w:val="none"/>
        </w:rPr>
      </w:pPr>
    </w:p>
    <w:p w14:paraId="59A61287">
      <w:pPr>
        <w:numPr>
          <w:ilvl w:val="0"/>
          <w:numId w:val="0"/>
        </w:numPr>
        <w:ind w:left="2940" w:leftChars="0"/>
        <w:jc w:val="left"/>
        <w:rPr>
          <w:rFonts w:hint="eastAsia" w:ascii="宋体" w:hAnsi="宋体"/>
          <w:bCs/>
          <w:color w:val="auto"/>
          <w:sz w:val="28"/>
          <w:szCs w:val="28"/>
          <w:highlight w:val="none"/>
          <w:lang w:val="en-US" w:eastAsia="zh-CN"/>
        </w:rPr>
      </w:pPr>
      <w:bookmarkStart w:id="283" w:name="_Toc8165"/>
      <w:bookmarkStart w:id="284" w:name="_Toc13540"/>
      <w:bookmarkStart w:id="285" w:name="_Toc30876"/>
      <w:bookmarkStart w:id="286" w:name="_Toc17966"/>
      <w:bookmarkStart w:id="287" w:name="_Toc217"/>
      <w:bookmarkStart w:id="288" w:name="_Toc25716"/>
      <w:bookmarkStart w:id="289" w:name="_Toc16789"/>
      <w:bookmarkStart w:id="290" w:name="_Toc25911"/>
      <w:bookmarkStart w:id="291" w:name="_Toc31745"/>
      <w:bookmarkStart w:id="292" w:name="_Toc10760"/>
      <w:bookmarkStart w:id="293" w:name="_Toc29695"/>
    </w:p>
    <w:p w14:paraId="68CEBCA6">
      <w:pPr>
        <w:numPr>
          <w:ilvl w:val="0"/>
          <w:numId w:val="0"/>
        </w:numPr>
        <w:ind w:left="2940" w:leftChars="0"/>
        <w:jc w:val="left"/>
        <w:rPr>
          <w:rFonts w:hint="eastAsia"/>
          <w:color w:val="auto"/>
          <w:highlight w:val="none"/>
        </w:rPr>
      </w:pPr>
      <w:r>
        <w:rPr>
          <w:rFonts w:hint="eastAsia" w:ascii="宋体" w:hAnsi="宋体"/>
          <w:bCs/>
          <w:color w:val="auto"/>
          <w:sz w:val="28"/>
          <w:szCs w:val="28"/>
          <w:highlight w:val="none"/>
          <w:lang w:val="en-US" w:eastAsia="zh-CN"/>
        </w:rPr>
        <w:t>7、</w:t>
      </w:r>
      <w:r>
        <w:rPr>
          <w:rFonts w:hint="eastAsia" w:ascii="宋体" w:hAnsi="宋体" w:eastAsia="宋体"/>
          <w:bCs/>
          <w:color w:val="auto"/>
          <w:sz w:val="28"/>
          <w:szCs w:val="28"/>
          <w:highlight w:val="none"/>
        </w:rPr>
        <w:t>资格证明材料</w:t>
      </w:r>
      <w:bookmarkEnd w:id="283"/>
      <w:bookmarkEnd w:id="284"/>
      <w:bookmarkEnd w:id="285"/>
      <w:bookmarkEnd w:id="286"/>
      <w:bookmarkEnd w:id="287"/>
      <w:bookmarkEnd w:id="288"/>
      <w:bookmarkEnd w:id="289"/>
      <w:bookmarkEnd w:id="290"/>
      <w:bookmarkEnd w:id="291"/>
      <w:bookmarkEnd w:id="292"/>
      <w:bookmarkEnd w:id="293"/>
    </w:p>
    <w:p w14:paraId="76E9E737">
      <w:pPr>
        <w:keepNext w:val="0"/>
        <w:keepLines w:val="0"/>
        <w:pageBreakBefore w:val="0"/>
        <w:widowControl w:val="0"/>
        <w:kinsoku/>
        <w:wordWrap/>
        <w:overflowPunct/>
        <w:topLinePunct w:val="0"/>
        <w:autoSpaceDE/>
        <w:autoSpaceDN/>
        <w:bidi w:val="0"/>
        <w:adjustRightInd/>
        <w:snapToGrid/>
        <w:spacing w:line="493" w:lineRule="exact"/>
        <w:ind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1.满足《中华人民共和国政府采购法》第二十二条规定：</w:t>
      </w:r>
    </w:p>
    <w:p w14:paraId="2BF6B779">
      <w:pPr>
        <w:keepNext w:val="0"/>
        <w:keepLines w:val="0"/>
        <w:pageBreakBefore w:val="0"/>
        <w:widowControl w:val="0"/>
        <w:kinsoku/>
        <w:wordWrap/>
        <w:overflowPunct/>
        <w:topLinePunct w:val="0"/>
        <w:autoSpaceDE/>
        <w:autoSpaceDN/>
        <w:bidi w:val="0"/>
        <w:adjustRightInd/>
        <w:snapToGrid/>
        <w:spacing w:line="493"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（1）具有独立承担民事责任的能力，需提供有效的营业执照；</w:t>
      </w:r>
    </w:p>
    <w:p w14:paraId="6E9BDF7A">
      <w:pPr>
        <w:keepNext w:val="0"/>
        <w:keepLines w:val="0"/>
        <w:pageBreakBefore w:val="0"/>
        <w:widowControl w:val="0"/>
        <w:kinsoku/>
        <w:wordWrap/>
        <w:overflowPunct/>
        <w:topLinePunct w:val="0"/>
        <w:autoSpaceDE/>
        <w:autoSpaceDN/>
        <w:bidi w:val="0"/>
        <w:adjustRightInd/>
        <w:snapToGrid/>
        <w:spacing w:line="493"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（2）具有良好的商业信誉和健全的财务会计制度（供应商需出具承诺书，格式自拟）；</w:t>
      </w:r>
    </w:p>
    <w:p w14:paraId="30385861">
      <w:pPr>
        <w:keepNext w:val="0"/>
        <w:keepLines w:val="0"/>
        <w:pageBreakBefore w:val="0"/>
        <w:widowControl w:val="0"/>
        <w:kinsoku/>
        <w:wordWrap/>
        <w:overflowPunct/>
        <w:topLinePunct w:val="0"/>
        <w:autoSpaceDE/>
        <w:autoSpaceDN/>
        <w:bidi w:val="0"/>
        <w:adjustRightInd/>
        <w:snapToGrid/>
        <w:spacing w:line="493"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（3）具有履行合同所必需的设备和专业技术能力（供应商需出具承诺书，格式自拟）；</w:t>
      </w:r>
    </w:p>
    <w:p w14:paraId="147B181E">
      <w:pPr>
        <w:keepNext w:val="0"/>
        <w:keepLines w:val="0"/>
        <w:pageBreakBefore w:val="0"/>
        <w:widowControl w:val="0"/>
        <w:kinsoku/>
        <w:wordWrap/>
        <w:overflowPunct/>
        <w:topLinePunct w:val="0"/>
        <w:autoSpaceDE/>
        <w:autoSpaceDN/>
        <w:bidi w:val="0"/>
        <w:adjustRightInd/>
        <w:snapToGrid/>
        <w:spacing w:line="493" w:lineRule="exact"/>
        <w:ind w:left="420" w:leftChars="200" w:firstLine="0" w:firstLineChars="0"/>
        <w:textAlignment w:val="auto"/>
        <w:rPr>
          <w:rFonts w:hint="eastAsia"/>
          <w:lang w:val="en-US" w:eastAsia="zh-CN"/>
        </w:rPr>
      </w:pPr>
      <w:r>
        <w:rPr>
          <w:rFonts w:hint="eastAsia" w:ascii="宋体" w:hAnsi="宋体" w:eastAsia="宋体" w:cs="宋体"/>
          <w:color w:val="auto"/>
          <w:kern w:val="2"/>
          <w:sz w:val="21"/>
          <w:szCs w:val="21"/>
          <w:highlight w:val="none"/>
          <w:lang w:val="en-US" w:eastAsia="zh-CN"/>
        </w:rPr>
        <w:t>（4）具有依法缴纳税收和社会保障资金的良好记录（供应商需出具承诺书，格式自拟）；（5）参加政府采购活动前三年内，在经营活动中没有重大违法记录（供应商需出具承诺书，格式自拟）。</w:t>
      </w:r>
    </w:p>
    <w:p w14:paraId="1C01E087">
      <w:pPr>
        <w:keepNext w:val="0"/>
        <w:keepLines w:val="0"/>
        <w:pageBreakBefore w:val="0"/>
        <w:widowControl w:val="0"/>
        <w:kinsoku/>
        <w:wordWrap/>
        <w:overflowPunct/>
        <w:topLinePunct w:val="0"/>
        <w:autoSpaceDE/>
        <w:autoSpaceDN/>
        <w:bidi w:val="0"/>
        <w:adjustRightInd/>
        <w:snapToGrid/>
        <w:spacing w:line="493" w:lineRule="exact"/>
        <w:ind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2.落实的政府采购政策：</w:t>
      </w:r>
    </w:p>
    <w:p w14:paraId="0CCE1731">
      <w:pPr>
        <w:keepNext w:val="0"/>
        <w:keepLines w:val="0"/>
        <w:pageBreakBefore w:val="0"/>
        <w:widowControl w:val="0"/>
        <w:kinsoku/>
        <w:wordWrap/>
        <w:overflowPunct/>
        <w:topLinePunct w:val="0"/>
        <w:autoSpaceDE/>
        <w:autoSpaceDN/>
        <w:bidi w:val="0"/>
        <w:adjustRightInd/>
        <w:snapToGrid/>
        <w:spacing w:line="493"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rPr>
        <w:t>本项目落实促进中小型企业发展政策（监狱企业、残疾人福利性企业视同小微企业），优先采购节能环保产品，政府强制采购节能产品等</w:t>
      </w:r>
      <w:r>
        <w:rPr>
          <w:rFonts w:hint="eastAsia" w:ascii="宋体" w:hAnsi="宋体" w:cs="宋体"/>
          <w:color w:val="auto"/>
          <w:sz w:val="21"/>
          <w:szCs w:val="21"/>
          <w:highlight w:val="none"/>
          <w:lang w:val="en-US" w:eastAsia="zh-CN"/>
        </w:rPr>
        <w:t>。</w:t>
      </w:r>
    </w:p>
    <w:p w14:paraId="314886DB">
      <w:pPr>
        <w:keepNext w:val="0"/>
        <w:keepLines w:val="0"/>
        <w:pageBreakBefore w:val="0"/>
        <w:widowControl w:val="0"/>
        <w:kinsoku/>
        <w:wordWrap/>
        <w:overflowPunct/>
        <w:topLinePunct w:val="0"/>
        <w:autoSpaceDE/>
        <w:autoSpaceDN/>
        <w:bidi w:val="0"/>
        <w:adjustRightInd/>
        <w:snapToGrid/>
        <w:spacing w:line="493"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3.本项目的特定资格要求：</w:t>
      </w:r>
    </w:p>
    <w:p w14:paraId="10662D8C">
      <w:pPr>
        <w:keepNext w:val="0"/>
        <w:keepLines w:val="0"/>
        <w:pageBreakBefore w:val="0"/>
        <w:widowControl w:val="0"/>
        <w:kinsoku/>
        <w:wordWrap/>
        <w:overflowPunct/>
        <w:topLinePunct w:val="0"/>
        <w:autoSpaceDE/>
        <w:autoSpaceDN/>
        <w:bidi w:val="0"/>
        <w:adjustRightInd/>
        <w:snapToGrid/>
        <w:spacing w:line="493" w:lineRule="exact"/>
        <w:ind w:firstLine="420" w:firstLineChars="200"/>
        <w:textAlignment w:val="auto"/>
        <w:rPr>
          <w:rFonts w:hint="eastAsia"/>
          <w:lang w:val="en-US" w:eastAsia="zh-CN"/>
        </w:rPr>
      </w:pPr>
      <w:r>
        <w:rPr>
          <w:rFonts w:hint="eastAsia"/>
          <w:lang w:val="en-US" w:eastAsia="zh-CN"/>
        </w:rPr>
        <w:t>（1）一标段供应商须具有水利水电工程施工总承包叁级及以上资质；具有有效的安全生产许可证；拟派项目经理须具有水利水电专业二级及以上注册建造师资格（不含临时）及有效的安全生产考核合格证，项目经理未在其他在建工程中担任项目经理并出具无在建承诺书，拟派的项目经理（建造师）提供在本单位缴纳的近三个月任意一个月的社保证明（新成立企业从成立之日起算）；</w:t>
      </w:r>
    </w:p>
    <w:p w14:paraId="4B3F201B">
      <w:pPr>
        <w:keepNext w:val="0"/>
        <w:keepLines w:val="0"/>
        <w:pageBreakBefore w:val="0"/>
        <w:widowControl w:val="0"/>
        <w:kinsoku/>
        <w:wordWrap/>
        <w:overflowPunct/>
        <w:topLinePunct w:val="0"/>
        <w:autoSpaceDE/>
        <w:autoSpaceDN/>
        <w:bidi w:val="0"/>
        <w:adjustRightInd/>
        <w:snapToGrid/>
        <w:spacing w:line="493" w:lineRule="exact"/>
        <w:ind w:firstLine="420" w:firstLineChars="200"/>
        <w:textAlignment w:val="auto"/>
        <w:rPr>
          <w:rFonts w:hint="eastAsia"/>
          <w:lang w:val="en-US" w:eastAsia="zh-CN"/>
        </w:rPr>
      </w:pPr>
      <w:r>
        <w:rPr>
          <w:rFonts w:hint="eastAsia"/>
          <w:lang w:val="en-US" w:eastAsia="zh-CN"/>
        </w:rPr>
        <w:t>二标段供应商须具有市政公用工程施工总承包叁级及以上资质，具备有效的安全生产许可证；拟派项目经理须具有市政专业贰级及以上注册建造师资格（不含临时）及有效的安全生产考核合格证，项目经理未在其他在建工程中担任项目经理并出具无在建承诺书，拟派的项目经理（建造师）提供在本单位缴纳的近三个月任意一个月的社保证明（新成立企业从成立之日起算）；</w:t>
      </w:r>
    </w:p>
    <w:p w14:paraId="3D8BFEA4">
      <w:pPr>
        <w:keepNext w:val="0"/>
        <w:keepLines w:val="0"/>
        <w:pageBreakBefore w:val="0"/>
        <w:widowControl w:val="0"/>
        <w:kinsoku/>
        <w:wordWrap/>
        <w:overflowPunct/>
        <w:topLinePunct w:val="0"/>
        <w:autoSpaceDE/>
        <w:autoSpaceDN/>
        <w:bidi w:val="0"/>
        <w:adjustRightInd/>
        <w:snapToGrid/>
        <w:spacing w:line="493" w:lineRule="exact"/>
        <w:ind w:firstLine="420" w:firstLineChars="200"/>
        <w:textAlignment w:val="auto"/>
        <w:rPr>
          <w:rFonts w:hint="eastAsia"/>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注：采购代理机构在开标当天将对所有参与本项目投标的供应商的信用情况（失信被执行人、重大税收违法失信主体、政府采购严重违法失信行为记录名单）进行查询。若在开标当天查询到供应商有相关负面信息的，则该供应商为无效供应商。</w:t>
      </w:r>
    </w:p>
    <w:p w14:paraId="1841F63B">
      <w:pPr>
        <w:keepNext w:val="0"/>
        <w:keepLines w:val="0"/>
        <w:pageBreakBefore w:val="0"/>
        <w:widowControl w:val="0"/>
        <w:kinsoku/>
        <w:wordWrap/>
        <w:overflowPunct/>
        <w:topLinePunct w:val="0"/>
        <w:autoSpaceDE/>
        <w:autoSpaceDN/>
        <w:bidi w:val="0"/>
        <w:adjustRightInd/>
        <w:snapToGrid/>
        <w:spacing w:line="493" w:lineRule="exact"/>
        <w:ind w:firstLine="420" w:firstLineChars="200"/>
        <w:textAlignment w:val="auto"/>
        <w:rPr>
          <w:rFonts w:hint="eastAsia"/>
          <w:lang w:val="en-US" w:eastAsia="zh-CN"/>
        </w:rPr>
      </w:pPr>
      <w:r>
        <w:rPr>
          <w:rFonts w:hint="eastAsia"/>
          <w:lang w:val="en-US" w:eastAsia="zh-CN"/>
        </w:rPr>
        <w:t>（3）须提供《中小企业声明函》（详见采购文件格式）；</w:t>
      </w:r>
    </w:p>
    <w:p w14:paraId="5CE96A38">
      <w:pPr>
        <w:keepNext w:val="0"/>
        <w:keepLines w:val="0"/>
        <w:pageBreakBefore w:val="0"/>
        <w:widowControl w:val="0"/>
        <w:kinsoku/>
        <w:wordWrap/>
        <w:overflowPunct/>
        <w:topLinePunct w:val="0"/>
        <w:autoSpaceDE/>
        <w:autoSpaceDN/>
        <w:bidi w:val="0"/>
        <w:adjustRightInd/>
        <w:snapToGrid/>
        <w:spacing w:line="493" w:lineRule="exact"/>
        <w:ind w:firstLine="420" w:firstLineChars="200"/>
        <w:textAlignment w:val="auto"/>
        <w:rPr>
          <w:rFonts w:hint="eastAsia"/>
          <w:lang w:val="en-US" w:eastAsia="zh-CN"/>
        </w:rPr>
      </w:pPr>
      <w:r>
        <w:rPr>
          <w:rFonts w:hint="eastAsia"/>
          <w:lang w:val="en-US" w:eastAsia="zh-CN"/>
        </w:rPr>
        <w:t>（4）单位负责人为同一人或者存在直接控股、管理关系的不同单位，不得同时参加同一合同项下的政府采购活动【提供“国家企业信用信息公示系统”中公示的公司基础信息包含股东及出资信息截图，查询时间在公告发布之后投标截止时间之前。】</w:t>
      </w:r>
    </w:p>
    <w:p w14:paraId="2CE3E433">
      <w:pPr>
        <w:spacing w:line="360" w:lineRule="auto"/>
        <w:ind w:left="0" w:leftChars="0"/>
        <w:jc w:val="center"/>
        <w:rPr>
          <w:rFonts w:hint="eastAsia" w:ascii="宋体" w:hAnsi="宋体" w:eastAsia="宋体"/>
          <w:bCs/>
          <w:color w:val="auto"/>
          <w:highlight w:val="none"/>
        </w:rPr>
      </w:pPr>
      <w:r>
        <w:rPr>
          <w:rFonts w:hint="eastAsia" w:ascii="宋体" w:hAnsi="宋体" w:eastAsia="宋体"/>
          <w:color w:val="auto"/>
          <w:sz w:val="24"/>
          <w:highlight w:val="none"/>
        </w:rPr>
        <w:br w:type="page"/>
      </w:r>
      <w:bookmarkStart w:id="294" w:name="_Toc1264"/>
      <w:bookmarkStart w:id="295" w:name="_Toc5336"/>
      <w:bookmarkStart w:id="296" w:name="_Toc25549"/>
      <w:bookmarkStart w:id="297" w:name="_Toc24870"/>
      <w:bookmarkStart w:id="298" w:name="_Toc22012"/>
      <w:bookmarkStart w:id="299" w:name="_Toc9874"/>
      <w:bookmarkStart w:id="300" w:name="_Toc11478"/>
      <w:bookmarkStart w:id="301" w:name="_Toc32409"/>
      <w:bookmarkStart w:id="302" w:name="_Toc3462"/>
      <w:bookmarkStart w:id="303" w:name="_Toc20355"/>
      <w:bookmarkStart w:id="304" w:name="_Toc8296"/>
      <w:r>
        <w:rPr>
          <w:rFonts w:hint="eastAsia" w:ascii="宋体" w:hAnsi="宋体"/>
          <w:bCs/>
          <w:color w:val="auto"/>
          <w:sz w:val="28"/>
          <w:szCs w:val="28"/>
          <w:highlight w:val="none"/>
          <w:lang w:val="en-US" w:eastAsia="zh-CN"/>
        </w:rPr>
        <w:t>8</w:t>
      </w:r>
      <w:r>
        <w:rPr>
          <w:rFonts w:hint="eastAsia" w:ascii="宋体" w:hAnsi="宋体" w:eastAsia="宋体"/>
          <w:bCs/>
          <w:color w:val="auto"/>
          <w:sz w:val="28"/>
          <w:szCs w:val="28"/>
          <w:highlight w:val="none"/>
        </w:rPr>
        <w:t>、法定代表人授权书</w:t>
      </w:r>
      <w:bookmarkEnd w:id="294"/>
      <w:bookmarkEnd w:id="295"/>
      <w:bookmarkEnd w:id="296"/>
      <w:bookmarkEnd w:id="297"/>
      <w:bookmarkEnd w:id="298"/>
      <w:bookmarkEnd w:id="299"/>
      <w:bookmarkEnd w:id="300"/>
      <w:bookmarkEnd w:id="301"/>
      <w:bookmarkEnd w:id="302"/>
      <w:bookmarkEnd w:id="303"/>
      <w:bookmarkEnd w:id="304"/>
    </w:p>
    <w:p w14:paraId="07DC4F97">
      <w:pPr>
        <w:rPr>
          <w:rFonts w:hint="eastAsia" w:ascii="宋体" w:hAnsi="宋体" w:eastAsia="宋体"/>
          <w:b/>
          <w:color w:val="auto"/>
          <w:sz w:val="24"/>
          <w:szCs w:val="24"/>
          <w:highlight w:val="none"/>
        </w:rPr>
      </w:pPr>
    </w:p>
    <w:p w14:paraId="18459BC9">
      <w:pPr>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（姓名）系</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（投标单位名称）的法定代表人，现授权委托本单位在职员工</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（姓名，职务）（身份证号码：</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）作为</w:t>
      </w:r>
      <w:r>
        <w:rPr>
          <w:rFonts w:hint="eastAsia" w:ascii="宋体" w:hAnsi="宋体"/>
          <w:color w:val="auto"/>
          <w:sz w:val="24"/>
          <w:szCs w:val="24"/>
          <w:highlight w:val="none"/>
          <w:lang w:eastAsia="zh-CN"/>
        </w:rPr>
        <w:t>供应商</w:t>
      </w:r>
      <w:r>
        <w:rPr>
          <w:rFonts w:hint="eastAsia" w:ascii="宋体" w:hAnsi="宋体" w:eastAsia="宋体"/>
          <w:color w:val="auto"/>
          <w:sz w:val="24"/>
          <w:szCs w:val="24"/>
          <w:highlight w:val="none"/>
        </w:rPr>
        <w:t>代表以我方的名义参加贵单位组织的</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项目（</w:t>
      </w:r>
      <w:r>
        <w:rPr>
          <w:rFonts w:hint="eastAsia" w:ascii="宋体" w:hAnsi="宋体"/>
          <w:color w:val="auto"/>
          <w:sz w:val="24"/>
          <w:szCs w:val="24"/>
          <w:highlight w:val="none"/>
          <w:lang w:eastAsia="zh-CN"/>
        </w:rPr>
        <w:t>项目编号</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）的投标活动，并代表我方全权处理一切与之有关的具体事务和签署相关文件，我均予以承认。</w:t>
      </w:r>
    </w:p>
    <w:p w14:paraId="45EB6AAE">
      <w:pPr>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代理人无权转让委托权。</w:t>
      </w:r>
    </w:p>
    <w:p w14:paraId="37BB4E99">
      <w:pPr>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本授权书于    年   月   日签名生效，本授权书至投标有效期结束前始终有效。</w:t>
      </w:r>
    </w:p>
    <w:p w14:paraId="2F045C87">
      <w:pPr>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48F091BC">
      <w:pPr>
        <w:ind w:firstLine="480" w:firstLineChars="200"/>
        <w:rPr>
          <w:rFonts w:hint="eastAsia" w:ascii="宋体" w:hAnsi="宋体" w:eastAsia="宋体"/>
          <w:color w:val="auto"/>
          <w:sz w:val="24"/>
          <w:szCs w:val="24"/>
          <w:highlight w:val="none"/>
        </w:rPr>
      </w:pPr>
    </w:p>
    <w:p w14:paraId="359494DD">
      <w:pPr>
        <w:ind w:firstLine="480" w:firstLineChars="200"/>
        <w:rPr>
          <w:rFonts w:hint="eastAsia" w:ascii="宋体" w:hAnsi="宋体" w:eastAsia="宋体"/>
          <w:color w:val="auto"/>
          <w:sz w:val="24"/>
          <w:szCs w:val="24"/>
          <w:highlight w:val="none"/>
        </w:rPr>
      </w:pPr>
    </w:p>
    <w:p w14:paraId="60A361B9">
      <w:pPr>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供应商</w:t>
      </w:r>
      <w:r>
        <w:rPr>
          <w:rFonts w:hint="eastAsia" w:ascii="宋体" w:hAnsi="宋体" w:eastAsia="宋体"/>
          <w:color w:val="auto"/>
          <w:sz w:val="24"/>
          <w:szCs w:val="24"/>
          <w:highlight w:val="none"/>
        </w:rPr>
        <w:t>（公章）：</w:t>
      </w:r>
    </w:p>
    <w:p w14:paraId="6C8DC65A">
      <w:pPr>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法定代表人（授权人）</w:t>
      </w:r>
      <w:r>
        <w:rPr>
          <w:rFonts w:hint="eastAsia" w:ascii="宋体" w:hAnsi="宋体"/>
          <w:color w:val="auto"/>
          <w:sz w:val="24"/>
          <w:szCs w:val="24"/>
          <w:highlight w:val="none"/>
          <w:lang w:eastAsia="zh-CN"/>
        </w:rPr>
        <w:t>签字或盖章或电子签章</w:t>
      </w:r>
      <w:r>
        <w:rPr>
          <w:rFonts w:hint="eastAsia" w:ascii="宋体" w:hAnsi="宋体" w:eastAsia="宋体"/>
          <w:color w:val="auto"/>
          <w:sz w:val="24"/>
          <w:szCs w:val="24"/>
          <w:highlight w:val="none"/>
        </w:rPr>
        <w:t>：</w:t>
      </w:r>
    </w:p>
    <w:p w14:paraId="255B3AAF">
      <w:pPr>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供应商</w:t>
      </w:r>
      <w:r>
        <w:rPr>
          <w:rFonts w:hint="eastAsia" w:ascii="宋体" w:hAnsi="宋体" w:eastAsia="宋体"/>
          <w:color w:val="auto"/>
          <w:sz w:val="24"/>
          <w:szCs w:val="24"/>
          <w:highlight w:val="none"/>
        </w:rPr>
        <w:t>代表（被授权人）</w:t>
      </w:r>
      <w:r>
        <w:rPr>
          <w:rFonts w:hint="eastAsia" w:ascii="宋体" w:hAnsi="宋体"/>
          <w:color w:val="auto"/>
          <w:sz w:val="24"/>
          <w:szCs w:val="24"/>
          <w:highlight w:val="none"/>
          <w:lang w:eastAsia="zh-CN"/>
        </w:rPr>
        <w:t>签字或盖章或电子签章</w:t>
      </w:r>
      <w:r>
        <w:rPr>
          <w:rFonts w:hint="eastAsia" w:ascii="宋体" w:hAnsi="宋体" w:eastAsia="宋体"/>
          <w:color w:val="auto"/>
          <w:sz w:val="24"/>
          <w:szCs w:val="24"/>
          <w:highlight w:val="none"/>
        </w:rPr>
        <w:t>：</w:t>
      </w:r>
    </w:p>
    <w:p w14:paraId="400E3FC4">
      <w:pPr>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日    期：</w:t>
      </w:r>
    </w:p>
    <w:p w14:paraId="6A1B3135">
      <w:pPr>
        <w:ind w:firstLine="420" w:firstLineChars="200"/>
        <w:rPr>
          <w:rFonts w:hint="eastAsia" w:ascii="宋体" w:hAnsi="宋体" w:eastAsia="宋体"/>
          <w:color w:val="auto"/>
          <w:highlight w:val="none"/>
        </w:rPr>
      </w:pPr>
    </w:p>
    <w:p w14:paraId="597C19C3">
      <w:pPr>
        <w:rPr>
          <w:rFonts w:hint="eastAsia" w:ascii="宋体" w:hAnsi="宋体" w:eastAsia="宋体"/>
          <w:color w:val="auto"/>
          <w:highlight w:val="none"/>
          <w:lang w:eastAsia="zh-CN"/>
        </w:rPr>
      </w:pPr>
      <w:bookmarkStart w:id="305" w:name="_Toc441"/>
      <w:bookmarkStart w:id="306" w:name="_Toc509411891"/>
      <w:bookmarkStart w:id="307" w:name="_Toc12746"/>
      <w:r>
        <w:rPr>
          <w:rFonts w:hint="eastAsia" w:ascii="宋体" w:hAnsi="宋体" w:eastAsia="宋体"/>
          <w:bCs/>
          <w:color w:val="auto"/>
          <w:sz w:val="24"/>
          <w:szCs w:val="24"/>
          <w:highlight w:val="none"/>
        </w:rPr>
        <w:t>附：法定代表人、</w:t>
      </w:r>
      <w:r>
        <w:rPr>
          <w:rFonts w:hint="eastAsia" w:ascii="宋体" w:hAnsi="宋体"/>
          <w:bCs/>
          <w:color w:val="auto"/>
          <w:sz w:val="24"/>
          <w:szCs w:val="24"/>
          <w:highlight w:val="none"/>
          <w:lang w:eastAsia="zh-CN"/>
        </w:rPr>
        <w:t>供应商</w:t>
      </w:r>
      <w:r>
        <w:rPr>
          <w:rFonts w:hint="eastAsia" w:ascii="宋体" w:hAnsi="宋体" w:eastAsia="宋体"/>
          <w:bCs/>
          <w:color w:val="auto"/>
          <w:sz w:val="24"/>
          <w:szCs w:val="24"/>
          <w:highlight w:val="none"/>
        </w:rPr>
        <w:t>代表（被授权人）身份证正面和反面</w:t>
      </w:r>
      <w:bookmarkEnd w:id="305"/>
      <w:bookmarkEnd w:id="306"/>
      <w:bookmarkEnd w:id="307"/>
      <w:r>
        <w:rPr>
          <w:rFonts w:hint="eastAsia" w:ascii="宋体" w:hAnsi="宋体"/>
          <w:bCs/>
          <w:color w:val="auto"/>
          <w:sz w:val="24"/>
          <w:szCs w:val="24"/>
          <w:highlight w:val="none"/>
          <w:lang w:eastAsia="zh-CN"/>
        </w:rPr>
        <w:t>复印件或扫描件。</w:t>
      </w:r>
    </w:p>
    <w:p w14:paraId="5D5EA8B3">
      <w:pPr>
        <w:pStyle w:val="25"/>
        <w:rPr>
          <w:rFonts w:hint="eastAsia"/>
          <w:color w:val="auto"/>
          <w:highlight w:val="none"/>
        </w:rPr>
      </w:pPr>
    </w:p>
    <w:p w14:paraId="5CB7063E">
      <w:pPr>
        <w:pStyle w:val="25"/>
        <w:rPr>
          <w:rFonts w:hint="eastAsia"/>
          <w:color w:val="auto"/>
          <w:highlight w:val="none"/>
        </w:rPr>
      </w:pPr>
    </w:p>
    <w:p w14:paraId="2B2558C5">
      <w:pPr>
        <w:pStyle w:val="25"/>
        <w:rPr>
          <w:rFonts w:hint="eastAsia"/>
          <w:color w:val="auto"/>
          <w:highlight w:val="none"/>
        </w:rPr>
      </w:pPr>
    </w:p>
    <w:p w14:paraId="54542113">
      <w:pPr>
        <w:pStyle w:val="25"/>
        <w:rPr>
          <w:rFonts w:hint="eastAsia"/>
          <w:color w:val="auto"/>
          <w:highlight w:val="none"/>
        </w:rPr>
      </w:pPr>
    </w:p>
    <w:p w14:paraId="2C900423">
      <w:pPr>
        <w:pStyle w:val="25"/>
        <w:rPr>
          <w:rFonts w:hint="eastAsia"/>
          <w:color w:val="auto"/>
          <w:highlight w:val="none"/>
        </w:rPr>
      </w:pPr>
    </w:p>
    <w:p w14:paraId="6707413F">
      <w:pPr>
        <w:pStyle w:val="26"/>
        <w:rPr>
          <w:rFonts w:hint="eastAsia"/>
          <w:color w:val="auto"/>
          <w:highlight w:val="none"/>
        </w:rPr>
      </w:pPr>
    </w:p>
    <w:p w14:paraId="68885956">
      <w:pPr>
        <w:pStyle w:val="26"/>
        <w:rPr>
          <w:rFonts w:hint="eastAsia"/>
          <w:color w:val="auto"/>
          <w:highlight w:val="none"/>
        </w:rPr>
      </w:pPr>
    </w:p>
    <w:p w14:paraId="359D9785">
      <w:pPr>
        <w:pStyle w:val="26"/>
        <w:rPr>
          <w:rFonts w:hint="eastAsia"/>
          <w:color w:val="auto"/>
          <w:highlight w:val="none"/>
        </w:rPr>
      </w:pPr>
    </w:p>
    <w:p w14:paraId="556243D2">
      <w:pPr>
        <w:pStyle w:val="26"/>
        <w:rPr>
          <w:rFonts w:hint="eastAsia"/>
          <w:color w:val="auto"/>
          <w:highlight w:val="none"/>
        </w:rPr>
      </w:pPr>
    </w:p>
    <w:p w14:paraId="5E74EBB1">
      <w:pPr>
        <w:pStyle w:val="26"/>
        <w:rPr>
          <w:rFonts w:hint="eastAsia"/>
          <w:color w:val="auto"/>
          <w:highlight w:val="none"/>
        </w:rPr>
      </w:pPr>
    </w:p>
    <w:p w14:paraId="406A2D96">
      <w:pPr>
        <w:pStyle w:val="26"/>
        <w:rPr>
          <w:rFonts w:hint="eastAsia"/>
          <w:color w:val="auto"/>
          <w:highlight w:val="none"/>
        </w:rPr>
      </w:pPr>
    </w:p>
    <w:p w14:paraId="1DCD07D6">
      <w:pPr>
        <w:pStyle w:val="26"/>
        <w:rPr>
          <w:rFonts w:hint="eastAsia"/>
          <w:color w:val="auto"/>
          <w:highlight w:val="none"/>
        </w:rPr>
      </w:pPr>
    </w:p>
    <w:p w14:paraId="34E0A01F">
      <w:pPr>
        <w:pStyle w:val="26"/>
        <w:rPr>
          <w:rFonts w:hint="eastAsia"/>
          <w:color w:val="auto"/>
          <w:highlight w:val="none"/>
        </w:rPr>
      </w:pPr>
    </w:p>
    <w:p w14:paraId="657D7B31">
      <w:pPr>
        <w:pStyle w:val="26"/>
        <w:rPr>
          <w:rFonts w:hint="eastAsia"/>
          <w:color w:val="auto"/>
          <w:highlight w:val="none"/>
        </w:rPr>
      </w:pPr>
    </w:p>
    <w:p w14:paraId="674E0D08">
      <w:pPr>
        <w:pStyle w:val="26"/>
        <w:rPr>
          <w:rFonts w:hint="eastAsia"/>
          <w:color w:val="auto"/>
          <w:highlight w:val="none"/>
        </w:rPr>
      </w:pPr>
    </w:p>
    <w:p w14:paraId="4794DF49">
      <w:pPr>
        <w:pStyle w:val="26"/>
        <w:rPr>
          <w:rFonts w:hint="eastAsia"/>
          <w:color w:val="auto"/>
          <w:highlight w:val="none"/>
        </w:rPr>
      </w:pPr>
    </w:p>
    <w:p w14:paraId="3632A06E">
      <w:pPr>
        <w:pStyle w:val="26"/>
        <w:rPr>
          <w:rFonts w:hint="eastAsia"/>
          <w:color w:val="auto"/>
          <w:highlight w:val="none"/>
        </w:rPr>
      </w:pPr>
    </w:p>
    <w:p w14:paraId="5EA3E109">
      <w:pPr>
        <w:pStyle w:val="26"/>
        <w:rPr>
          <w:rFonts w:hint="eastAsia"/>
          <w:color w:val="auto"/>
          <w:highlight w:val="none"/>
        </w:rPr>
      </w:pPr>
    </w:p>
    <w:p w14:paraId="4B46E765">
      <w:pPr>
        <w:rPr>
          <w:rFonts w:hint="eastAsia" w:ascii="宋体" w:hAnsi="宋体" w:eastAsia="宋体"/>
          <w:color w:val="auto"/>
          <w:sz w:val="24"/>
          <w:szCs w:val="24"/>
          <w:highlight w:val="none"/>
        </w:rPr>
      </w:pPr>
    </w:p>
    <w:p w14:paraId="48F76722">
      <w:pPr>
        <w:rPr>
          <w:rFonts w:hint="eastAsia" w:ascii="宋体" w:hAnsi="宋体" w:eastAsia="宋体"/>
          <w:bCs/>
          <w:color w:val="auto"/>
          <w:highlight w:val="none"/>
        </w:rPr>
      </w:pPr>
    </w:p>
    <w:p w14:paraId="0AB525C0">
      <w:pPr>
        <w:jc w:val="center"/>
        <w:rPr>
          <w:rFonts w:hint="eastAsia" w:ascii="宋体" w:hAnsi="宋体" w:eastAsia="宋体"/>
          <w:color w:val="auto"/>
          <w:sz w:val="28"/>
          <w:szCs w:val="28"/>
          <w:highlight w:val="none"/>
        </w:rPr>
      </w:pPr>
      <w:bookmarkStart w:id="308" w:name="_Toc20561"/>
      <w:bookmarkStart w:id="309" w:name="_Toc14997"/>
      <w:bookmarkStart w:id="310" w:name="_Toc1947"/>
      <w:bookmarkStart w:id="311" w:name="_Toc22410"/>
      <w:bookmarkStart w:id="312" w:name="_Toc15023"/>
      <w:bookmarkStart w:id="313" w:name="_Toc647"/>
      <w:bookmarkStart w:id="314" w:name="_Toc5424"/>
      <w:bookmarkStart w:id="315" w:name="_Toc1871"/>
      <w:bookmarkStart w:id="316" w:name="_Toc9467"/>
      <w:bookmarkStart w:id="317" w:name="_Toc12980"/>
      <w:bookmarkStart w:id="318" w:name="_Toc16147"/>
      <w:r>
        <w:rPr>
          <w:rFonts w:hint="eastAsia" w:ascii="宋体" w:hAnsi="宋体"/>
          <w:bCs/>
          <w:color w:val="auto"/>
          <w:sz w:val="28"/>
          <w:szCs w:val="28"/>
          <w:highlight w:val="none"/>
          <w:lang w:val="en-US" w:eastAsia="zh-CN"/>
        </w:rPr>
        <w:t>9</w:t>
      </w:r>
      <w:r>
        <w:rPr>
          <w:rFonts w:hint="eastAsia" w:ascii="宋体" w:hAnsi="宋体" w:eastAsia="宋体"/>
          <w:bCs/>
          <w:color w:val="auto"/>
          <w:sz w:val="28"/>
          <w:szCs w:val="28"/>
          <w:highlight w:val="none"/>
        </w:rPr>
        <w:t>、</w:t>
      </w:r>
      <w:r>
        <w:rPr>
          <w:rFonts w:hint="eastAsia" w:ascii="宋体" w:hAnsi="宋体"/>
          <w:bCs/>
          <w:color w:val="auto"/>
          <w:sz w:val="28"/>
          <w:szCs w:val="28"/>
          <w:highlight w:val="none"/>
          <w:lang w:eastAsia="zh-CN"/>
        </w:rPr>
        <w:t>供应商</w:t>
      </w:r>
      <w:r>
        <w:rPr>
          <w:rFonts w:hint="eastAsia" w:ascii="宋体" w:hAnsi="宋体" w:eastAsia="宋体"/>
          <w:bCs/>
          <w:color w:val="auto"/>
          <w:sz w:val="28"/>
          <w:szCs w:val="28"/>
          <w:highlight w:val="none"/>
        </w:rPr>
        <w:t>基本情况</w:t>
      </w:r>
      <w:bookmarkEnd w:id="308"/>
      <w:bookmarkEnd w:id="309"/>
      <w:bookmarkEnd w:id="310"/>
      <w:bookmarkEnd w:id="311"/>
      <w:bookmarkEnd w:id="312"/>
      <w:bookmarkEnd w:id="313"/>
      <w:bookmarkEnd w:id="314"/>
      <w:bookmarkEnd w:id="315"/>
      <w:bookmarkEnd w:id="316"/>
      <w:bookmarkEnd w:id="317"/>
      <w:bookmarkEnd w:id="318"/>
    </w:p>
    <w:p w14:paraId="1189E388">
      <w:pPr>
        <w:jc w:val="center"/>
        <w:rPr>
          <w:rFonts w:hint="eastAsia" w:ascii="宋体" w:hAnsi="宋体" w:eastAsia="宋体"/>
          <w:color w:val="auto"/>
          <w:sz w:val="24"/>
          <w:highlight w:val="none"/>
        </w:rPr>
      </w:pPr>
      <w:r>
        <w:rPr>
          <w:rFonts w:hint="eastAsia" w:ascii="宋体" w:hAnsi="宋体" w:eastAsia="宋体"/>
          <w:color w:val="auto"/>
          <w:sz w:val="24"/>
          <w:highlight w:val="none"/>
        </w:rPr>
        <w:t>（如实编写</w:t>
      </w:r>
      <w:r>
        <w:rPr>
          <w:rFonts w:hint="eastAsia" w:ascii="宋体" w:hAnsi="宋体"/>
          <w:color w:val="auto"/>
          <w:sz w:val="24"/>
          <w:highlight w:val="none"/>
          <w:lang w:eastAsia="zh-CN"/>
        </w:rPr>
        <w:t>供应商</w:t>
      </w:r>
      <w:r>
        <w:rPr>
          <w:rFonts w:hint="eastAsia" w:ascii="宋体" w:hAnsi="宋体" w:eastAsia="宋体"/>
          <w:color w:val="auto"/>
          <w:sz w:val="24"/>
          <w:highlight w:val="none"/>
        </w:rPr>
        <w:t>基本情况，格式自拟）</w:t>
      </w:r>
    </w:p>
    <w:p w14:paraId="48DCF67A">
      <w:pPr>
        <w:rPr>
          <w:rFonts w:hint="eastAsia" w:ascii="宋体" w:hAnsi="宋体" w:eastAsia="宋体"/>
          <w:color w:val="auto"/>
          <w:highlight w:val="none"/>
        </w:rPr>
      </w:pPr>
    </w:p>
    <w:p w14:paraId="198C12D5">
      <w:pPr>
        <w:rPr>
          <w:rFonts w:hint="eastAsia" w:ascii="宋体" w:hAnsi="宋体" w:eastAsia="宋体"/>
          <w:color w:val="auto"/>
          <w:highlight w:val="none"/>
        </w:rPr>
      </w:pPr>
    </w:p>
    <w:p w14:paraId="16C1CB10">
      <w:pPr>
        <w:rPr>
          <w:rFonts w:hint="eastAsia" w:ascii="宋体" w:hAnsi="宋体" w:eastAsia="宋体"/>
          <w:color w:val="auto"/>
          <w:highlight w:val="none"/>
        </w:rPr>
      </w:pPr>
    </w:p>
    <w:p w14:paraId="5898CD38">
      <w:pPr>
        <w:rPr>
          <w:rFonts w:hint="eastAsia" w:ascii="宋体" w:hAnsi="宋体" w:eastAsia="宋体"/>
          <w:color w:val="auto"/>
          <w:highlight w:val="none"/>
        </w:rPr>
      </w:pPr>
    </w:p>
    <w:p w14:paraId="73C8C311">
      <w:pPr>
        <w:rPr>
          <w:rFonts w:hint="eastAsia" w:ascii="宋体" w:hAnsi="宋体" w:eastAsia="宋体"/>
          <w:color w:val="auto"/>
          <w:highlight w:val="none"/>
        </w:rPr>
      </w:pPr>
    </w:p>
    <w:p w14:paraId="0AB960BD">
      <w:pPr>
        <w:rPr>
          <w:rFonts w:hint="eastAsia" w:ascii="宋体" w:hAnsi="宋体" w:eastAsia="宋体"/>
          <w:color w:val="auto"/>
          <w:highlight w:val="none"/>
        </w:rPr>
      </w:pPr>
    </w:p>
    <w:p w14:paraId="10AD9165">
      <w:pPr>
        <w:rPr>
          <w:rFonts w:hint="eastAsia" w:ascii="宋体" w:hAnsi="宋体" w:eastAsia="宋体"/>
          <w:color w:val="auto"/>
          <w:highlight w:val="none"/>
        </w:rPr>
      </w:pPr>
    </w:p>
    <w:p w14:paraId="17AC6D33">
      <w:pPr>
        <w:rPr>
          <w:rFonts w:hint="eastAsia" w:ascii="宋体" w:hAnsi="宋体" w:eastAsia="宋体"/>
          <w:color w:val="auto"/>
          <w:highlight w:val="none"/>
        </w:rPr>
      </w:pPr>
    </w:p>
    <w:p w14:paraId="6DC0E07D">
      <w:pPr>
        <w:rPr>
          <w:rFonts w:hint="eastAsia" w:ascii="宋体" w:hAnsi="宋体" w:eastAsia="宋体"/>
          <w:color w:val="auto"/>
          <w:highlight w:val="none"/>
        </w:rPr>
      </w:pPr>
    </w:p>
    <w:p w14:paraId="3DCAC1AA">
      <w:pPr>
        <w:rPr>
          <w:rFonts w:hint="eastAsia" w:ascii="宋体" w:hAnsi="宋体" w:eastAsia="宋体"/>
          <w:color w:val="auto"/>
          <w:highlight w:val="none"/>
        </w:rPr>
      </w:pPr>
    </w:p>
    <w:p w14:paraId="6D1311BE">
      <w:pPr>
        <w:pStyle w:val="25"/>
        <w:rPr>
          <w:rFonts w:hint="eastAsia"/>
          <w:color w:val="auto"/>
          <w:highlight w:val="none"/>
        </w:rPr>
      </w:pPr>
    </w:p>
    <w:p w14:paraId="6ACF0099">
      <w:pPr>
        <w:pStyle w:val="25"/>
        <w:rPr>
          <w:rFonts w:hint="eastAsia"/>
          <w:color w:val="auto"/>
          <w:highlight w:val="none"/>
        </w:rPr>
      </w:pPr>
    </w:p>
    <w:p w14:paraId="7B948E49">
      <w:pPr>
        <w:pStyle w:val="25"/>
        <w:rPr>
          <w:rFonts w:hint="eastAsia"/>
          <w:color w:val="auto"/>
          <w:highlight w:val="none"/>
        </w:rPr>
      </w:pPr>
    </w:p>
    <w:p w14:paraId="58C37E28">
      <w:pPr>
        <w:pStyle w:val="25"/>
        <w:rPr>
          <w:rFonts w:hint="eastAsia"/>
          <w:color w:val="auto"/>
          <w:highlight w:val="none"/>
        </w:rPr>
      </w:pPr>
    </w:p>
    <w:p w14:paraId="06A0F0EE">
      <w:pPr>
        <w:pStyle w:val="25"/>
        <w:rPr>
          <w:rFonts w:hint="eastAsia"/>
          <w:color w:val="auto"/>
          <w:highlight w:val="none"/>
        </w:rPr>
      </w:pPr>
    </w:p>
    <w:p w14:paraId="4D4E2E78">
      <w:pPr>
        <w:pStyle w:val="25"/>
        <w:rPr>
          <w:rFonts w:hint="eastAsia"/>
          <w:color w:val="auto"/>
          <w:highlight w:val="none"/>
        </w:rPr>
      </w:pPr>
    </w:p>
    <w:p w14:paraId="2002580F">
      <w:pPr>
        <w:pStyle w:val="25"/>
        <w:rPr>
          <w:rFonts w:hint="eastAsia"/>
          <w:color w:val="auto"/>
          <w:highlight w:val="none"/>
        </w:rPr>
      </w:pPr>
    </w:p>
    <w:p w14:paraId="414927C8">
      <w:pPr>
        <w:pStyle w:val="25"/>
        <w:rPr>
          <w:rFonts w:hint="eastAsia"/>
          <w:color w:val="auto"/>
          <w:highlight w:val="none"/>
        </w:rPr>
      </w:pPr>
    </w:p>
    <w:p w14:paraId="1C4511FA">
      <w:pPr>
        <w:rPr>
          <w:rFonts w:hint="eastAsia" w:ascii="宋体" w:hAnsi="宋体" w:eastAsia="宋体"/>
          <w:color w:val="auto"/>
          <w:highlight w:val="none"/>
        </w:rPr>
      </w:pPr>
    </w:p>
    <w:p w14:paraId="4A71ED0C">
      <w:pPr>
        <w:pStyle w:val="25"/>
        <w:rPr>
          <w:rFonts w:hint="eastAsia"/>
          <w:color w:val="auto"/>
          <w:highlight w:val="none"/>
        </w:rPr>
      </w:pPr>
    </w:p>
    <w:p w14:paraId="7198AC0B">
      <w:pPr>
        <w:pStyle w:val="26"/>
        <w:rPr>
          <w:rFonts w:hint="eastAsia"/>
          <w:color w:val="auto"/>
          <w:highlight w:val="none"/>
        </w:rPr>
      </w:pPr>
    </w:p>
    <w:p w14:paraId="08BA2429">
      <w:pPr>
        <w:pStyle w:val="26"/>
        <w:rPr>
          <w:rFonts w:hint="eastAsia"/>
          <w:color w:val="auto"/>
          <w:highlight w:val="none"/>
        </w:rPr>
      </w:pPr>
    </w:p>
    <w:p w14:paraId="7A390803">
      <w:pPr>
        <w:pStyle w:val="26"/>
        <w:rPr>
          <w:rFonts w:hint="eastAsia"/>
          <w:color w:val="auto"/>
          <w:highlight w:val="none"/>
        </w:rPr>
      </w:pPr>
    </w:p>
    <w:p w14:paraId="08A8CFFF">
      <w:pPr>
        <w:pStyle w:val="26"/>
        <w:rPr>
          <w:rFonts w:hint="eastAsia"/>
          <w:color w:val="auto"/>
          <w:highlight w:val="none"/>
        </w:rPr>
      </w:pPr>
    </w:p>
    <w:p w14:paraId="08419C17">
      <w:pPr>
        <w:pStyle w:val="26"/>
        <w:rPr>
          <w:rFonts w:hint="eastAsia"/>
          <w:color w:val="auto"/>
          <w:highlight w:val="none"/>
        </w:rPr>
      </w:pPr>
    </w:p>
    <w:p w14:paraId="0A2E742C">
      <w:pPr>
        <w:pStyle w:val="26"/>
        <w:rPr>
          <w:rFonts w:hint="eastAsia"/>
          <w:color w:val="auto"/>
          <w:highlight w:val="none"/>
        </w:rPr>
      </w:pPr>
    </w:p>
    <w:p w14:paraId="2BC9B7CA">
      <w:pPr>
        <w:pStyle w:val="26"/>
        <w:rPr>
          <w:rFonts w:hint="eastAsia"/>
          <w:color w:val="auto"/>
          <w:highlight w:val="none"/>
        </w:rPr>
      </w:pPr>
    </w:p>
    <w:p w14:paraId="74A861D0">
      <w:pPr>
        <w:pStyle w:val="26"/>
        <w:rPr>
          <w:rFonts w:hint="eastAsia"/>
          <w:color w:val="auto"/>
          <w:highlight w:val="none"/>
        </w:rPr>
      </w:pPr>
    </w:p>
    <w:p w14:paraId="5D1F7B2A">
      <w:pPr>
        <w:pStyle w:val="26"/>
        <w:rPr>
          <w:rFonts w:hint="eastAsia"/>
          <w:color w:val="auto"/>
          <w:highlight w:val="none"/>
        </w:rPr>
      </w:pPr>
    </w:p>
    <w:p w14:paraId="22989952">
      <w:pPr>
        <w:pStyle w:val="26"/>
        <w:rPr>
          <w:rFonts w:hint="eastAsia"/>
          <w:color w:val="auto"/>
          <w:highlight w:val="none"/>
        </w:rPr>
      </w:pPr>
    </w:p>
    <w:p w14:paraId="21AF0185">
      <w:pPr>
        <w:pStyle w:val="26"/>
        <w:rPr>
          <w:rFonts w:hint="eastAsia"/>
          <w:color w:val="auto"/>
          <w:highlight w:val="none"/>
        </w:rPr>
      </w:pPr>
    </w:p>
    <w:p w14:paraId="2BB461F2">
      <w:pPr>
        <w:pStyle w:val="26"/>
        <w:rPr>
          <w:rFonts w:hint="eastAsia"/>
          <w:color w:val="auto"/>
          <w:highlight w:val="none"/>
        </w:rPr>
      </w:pPr>
    </w:p>
    <w:p w14:paraId="2352594E">
      <w:pPr>
        <w:pStyle w:val="26"/>
        <w:rPr>
          <w:rFonts w:hint="eastAsia"/>
          <w:color w:val="auto"/>
          <w:highlight w:val="none"/>
        </w:rPr>
      </w:pPr>
    </w:p>
    <w:p w14:paraId="24E52A07">
      <w:pPr>
        <w:pStyle w:val="26"/>
        <w:rPr>
          <w:rFonts w:hint="eastAsia"/>
          <w:color w:val="auto"/>
          <w:highlight w:val="none"/>
        </w:rPr>
      </w:pPr>
    </w:p>
    <w:p w14:paraId="6F86AFE3">
      <w:pPr>
        <w:pStyle w:val="26"/>
        <w:rPr>
          <w:rFonts w:hint="eastAsia"/>
          <w:color w:val="auto"/>
          <w:highlight w:val="none"/>
        </w:rPr>
      </w:pPr>
    </w:p>
    <w:p w14:paraId="6475673B">
      <w:pPr>
        <w:rPr>
          <w:rFonts w:hint="eastAsia" w:ascii="宋体" w:hAnsi="宋体" w:eastAsia="宋体"/>
          <w:color w:val="auto"/>
          <w:highlight w:val="none"/>
        </w:rPr>
      </w:pPr>
    </w:p>
    <w:p w14:paraId="2AD5BA29">
      <w:pPr>
        <w:rPr>
          <w:rFonts w:hint="eastAsia" w:ascii="宋体" w:hAnsi="宋体" w:eastAsia="宋体"/>
          <w:color w:val="auto"/>
          <w:highlight w:val="none"/>
        </w:rPr>
      </w:pPr>
    </w:p>
    <w:p w14:paraId="61B7E00B">
      <w:pPr>
        <w:rPr>
          <w:rFonts w:hint="eastAsia" w:ascii="宋体" w:hAnsi="宋体" w:eastAsia="宋体"/>
          <w:color w:val="auto"/>
          <w:highlight w:val="none"/>
        </w:rPr>
      </w:pPr>
    </w:p>
    <w:p w14:paraId="78BDC2DC">
      <w:pPr>
        <w:jc w:val="center"/>
        <w:rPr>
          <w:rFonts w:hint="eastAsia" w:ascii="宋体" w:hAnsi="宋体" w:eastAsia="宋体"/>
          <w:color w:val="auto"/>
          <w:sz w:val="28"/>
          <w:szCs w:val="28"/>
          <w:highlight w:val="none"/>
        </w:rPr>
      </w:pPr>
      <w:bookmarkStart w:id="319" w:name="_Toc2559"/>
      <w:bookmarkStart w:id="320" w:name="_Toc29287"/>
      <w:bookmarkStart w:id="321" w:name="_Toc14349"/>
      <w:bookmarkStart w:id="322" w:name="_Toc4166"/>
      <w:bookmarkStart w:id="323" w:name="_Toc3508"/>
      <w:bookmarkStart w:id="324" w:name="_Toc28025"/>
      <w:bookmarkStart w:id="325" w:name="_Toc1995"/>
      <w:bookmarkStart w:id="326" w:name="_Toc26997"/>
      <w:bookmarkStart w:id="327" w:name="_Toc19378"/>
      <w:bookmarkStart w:id="328" w:name="_Toc24476"/>
      <w:bookmarkStart w:id="329" w:name="_Toc24441"/>
      <w:r>
        <w:rPr>
          <w:rFonts w:hint="eastAsia" w:ascii="宋体" w:hAnsi="宋体" w:eastAsia="宋体"/>
          <w:bCs/>
          <w:color w:val="auto"/>
          <w:sz w:val="28"/>
          <w:szCs w:val="28"/>
          <w:highlight w:val="none"/>
        </w:rPr>
        <w:t>1</w:t>
      </w:r>
      <w:r>
        <w:rPr>
          <w:rFonts w:hint="eastAsia" w:ascii="宋体" w:hAnsi="宋体"/>
          <w:bCs/>
          <w:color w:val="auto"/>
          <w:sz w:val="28"/>
          <w:szCs w:val="28"/>
          <w:highlight w:val="none"/>
          <w:lang w:val="en-US" w:eastAsia="zh-CN"/>
        </w:rPr>
        <w:t>0</w:t>
      </w:r>
      <w:r>
        <w:rPr>
          <w:rFonts w:hint="eastAsia" w:ascii="宋体" w:hAnsi="宋体" w:eastAsia="宋体"/>
          <w:bCs/>
          <w:color w:val="auto"/>
          <w:sz w:val="28"/>
          <w:szCs w:val="28"/>
          <w:highlight w:val="none"/>
        </w:rPr>
        <w:t>、类似项目业绩情况表</w:t>
      </w:r>
      <w:bookmarkEnd w:id="319"/>
      <w:bookmarkEnd w:id="320"/>
      <w:bookmarkEnd w:id="321"/>
      <w:bookmarkEnd w:id="322"/>
      <w:bookmarkEnd w:id="323"/>
      <w:bookmarkEnd w:id="324"/>
      <w:bookmarkEnd w:id="325"/>
      <w:bookmarkEnd w:id="326"/>
      <w:bookmarkEnd w:id="327"/>
      <w:bookmarkEnd w:id="328"/>
      <w:bookmarkEnd w:id="329"/>
    </w:p>
    <w:p w14:paraId="68042FBE">
      <w:pPr>
        <w:rPr>
          <w:rFonts w:hint="eastAsia" w:ascii="宋体" w:hAnsi="宋体" w:eastAsia="宋体"/>
          <w:b/>
          <w:color w:val="auto"/>
          <w:spacing w:val="10"/>
          <w:sz w:val="24"/>
          <w:szCs w:val="24"/>
          <w:highlight w:val="none"/>
        </w:rPr>
      </w:pPr>
      <w:bookmarkStart w:id="330" w:name="_Toc32395"/>
      <w:bookmarkStart w:id="331" w:name="_Toc31590"/>
      <w:bookmarkStart w:id="332" w:name="_Toc509411892"/>
      <w:r>
        <w:rPr>
          <w:rFonts w:hint="eastAsia" w:ascii="宋体" w:hAnsi="宋体"/>
          <w:color w:val="auto"/>
          <w:sz w:val="24"/>
          <w:szCs w:val="24"/>
          <w:highlight w:val="none"/>
          <w:lang w:eastAsia="zh-CN"/>
        </w:rPr>
        <w:t>供应商</w:t>
      </w:r>
      <w:r>
        <w:rPr>
          <w:rFonts w:hint="eastAsia" w:ascii="宋体" w:hAnsi="宋体" w:eastAsia="宋体"/>
          <w:color w:val="auto"/>
          <w:sz w:val="24"/>
          <w:szCs w:val="24"/>
          <w:highlight w:val="none"/>
        </w:rPr>
        <w:t>名称：</w:t>
      </w:r>
      <w:bookmarkEnd w:id="330"/>
      <w:bookmarkEnd w:id="331"/>
      <w:bookmarkEnd w:id="332"/>
      <w:r>
        <w:rPr>
          <w:rFonts w:hint="eastAsia" w:ascii="宋体" w:hAnsi="宋体" w:eastAsia="宋体"/>
          <w:color w:val="auto"/>
          <w:sz w:val="24"/>
          <w:szCs w:val="24"/>
          <w:highlight w:val="none"/>
        </w:rPr>
        <w:t xml:space="preserve">                                </w:t>
      </w:r>
    </w:p>
    <w:tbl>
      <w:tblPr>
        <w:tblStyle w:val="27"/>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1487"/>
        <w:gridCol w:w="1262"/>
        <w:gridCol w:w="1219"/>
        <w:gridCol w:w="1219"/>
        <w:gridCol w:w="1310"/>
      </w:tblGrid>
      <w:tr w14:paraId="0CA9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3" w:type="dxa"/>
            <w:vAlign w:val="center"/>
          </w:tcPr>
          <w:p w14:paraId="3A830965">
            <w:pPr>
              <w:spacing w:before="0" w:beforeAutospacing="0" w:after="0" w:afterAutospacing="0"/>
              <w:ind w:left="0" w:right="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序号</w:t>
            </w:r>
          </w:p>
        </w:tc>
        <w:tc>
          <w:tcPr>
            <w:tcW w:w="1732" w:type="dxa"/>
            <w:vAlign w:val="center"/>
          </w:tcPr>
          <w:p w14:paraId="4F12B38B">
            <w:pPr>
              <w:spacing w:before="0" w:beforeAutospacing="0" w:after="0" w:afterAutospacing="0"/>
              <w:ind w:left="0" w:right="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项目名称</w:t>
            </w:r>
          </w:p>
        </w:tc>
        <w:tc>
          <w:tcPr>
            <w:tcW w:w="1487" w:type="dxa"/>
            <w:vAlign w:val="center"/>
          </w:tcPr>
          <w:p w14:paraId="79A0CA8E">
            <w:pPr>
              <w:spacing w:before="0" w:beforeAutospacing="0" w:after="0" w:afterAutospacing="0"/>
              <w:ind w:left="0" w:right="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合同金额（元）</w:t>
            </w:r>
          </w:p>
        </w:tc>
        <w:tc>
          <w:tcPr>
            <w:tcW w:w="1262" w:type="dxa"/>
            <w:vAlign w:val="center"/>
          </w:tcPr>
          <w:p w14:paraId="0D562ABE">
            <w:pPr>
              <w:spacing w:before="0" w:beforeAutospacing="0" w:after="0" w:afterAutospacing="0"/>
              <w:ind w:left="0" w:right="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合同签订时间</w:t>
            </w:r>
          </w:p>
        </w:tc>
        <w:tc>
          <w:tcPr>
            <w:tcW w:w="1219" w:type="dxa"/>
            <w:vAlign w:val="center"/>
          </w:tcPr>
          <w:p w14:paraId="5A651009">
            <w:pPr>
              <w:spacing w:before="0" w:beforeAutospacing="0" w:after="0" w:afterAutospacing="0"/>
              <w:ind w:left="0" w:right="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采购单位（甲方）名称</w:t>
            </w:r>
          </w:p>
        </w:tc>
        <w:tc>
          <w:tcPr>
            <w:tcW w:w="1219" w:type="dxa"/>
            <w:vAlign w:val="center"/>
          </w:tcPr>
          <w:p w14:paraId="0CE9A448">
            <w:pPr>
              <w:spacing w:before="0" w:beforeAutospacing="0" w:after="0" w:afterAutospacing="0"/>
              <w:ind w:left="0" w:right="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联系人</w:t>
            </w:r>
          </w:p>
        </w:tc>
        <w:tc>
          <w:tcPr>
            <w:tcW w:w="1310" w:type="dxa"/>
            <w:vAlign w:val="center"/>
          </w:tcPr>
          <w:p w14:paraId="62EF0898">
            <w:pPr>
              <w:spacing w:before="0" w:beforeAutospacing="0" w:after="0" w:afterAutospacing="0"/>
              <w:ind w:left="0" w:right="0"/>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rPr>
              <w:t>联系</w:t>
            </w:r>
            <w:r>
              <w:rPr>
                <w:rFonts w:hint="eastAsia" w:ascii="宋体" w:hAnsi="宋体" w:eastAsia="Times New Roman" w:cs="Times New Roman"/>
                <w:bCs/>
                <w:color w:val="auto"/>
                <w:sz w:val="24"/>
                <w:szCs w:val="24"/>
                <w:highlight w:val="none"/>
                <w:lang w:eastAsia="zh-CN"/>
              </w:rPr>
              <w:t>方式</w:t>
            </w:r>
          </w:p>
        </w:tc>
      </w:tr>
      <w:tr w14:paraId="4225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0F6EB0FB">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732" w:type="dxa"/>
            <w:vAlign w:val="center"/>
          </w:tcPr>
          <w:p w14:paraId="7F38E377">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487" w:type="dxa"/>
            <w:vAlign w:val="center"/>
          </w:tcPr>
          <w:p w14:paraId="11DE07AD">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262" w:type="dxa"/>
            <w:vAlign w:val="center"/>
          </w:tcPr>
          <w:p w14:paraId="193B5E13">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219" w:type="dxa"/>
            <w:vAlign w:val="center"/>
          </w:tcPr>
          <w:p w14:paraId="40D0B51B">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219" w:type="dxa"/>
            <w:vAlign w:val="center"/>
          </w:tcPr>
          <w:p w14:paraId="1F6EF383">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310" w:type="dxa"/>
            <w:vAlign w:val="center"/>
          </w:tcPr>
          <w:p w14:paraId="30C4B967">
            <w:pPr>
              <w:spacing w:before="0" w:beforeAutospacing="0" w:after="0" w:afterAutospacing="0"/>
              <w:ind w:left="0" w:right="0"/>
              <w:rPr>
                <w:rFonts w:hint="eastAsia" w:ascii="宋体" w:hAnsi="宋体" w:eastAsia="宋体" w:cs="Times New Roman"/>
                <w:bCs/>
                <w:color w:val="auto"/>
                <w:w w:val="90"/>
                <w:sz w:val="24"/>
                <w:szCs w:val="24"/>
                <w:highlight w:val="none"/>
              </w:rPr>
            </w:pPr>
          </w:p>
        </w:tc>
      </w:tr>
      <w:tr w14:paraId="68DB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27EC2C5E">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732" w:type="dxa"/>
            <w:vAlign w:val="center"/>
          </w:tcPr>
          <w:p w14:paraId="2CD6579E">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487" w:type="dxa"/>
            <w:vAlign w:val="center"/>
          </w:tcPr>
          <w:p w14:paraId="00E8B435">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262" w:type="dxa"/>
            <w:vAlign w:val="center"/>
          </w:tcPr>
          <w:p w14:paraId="65684B4F">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219" w:type="dxa"/>
            <w:vAlign w:val="center"/>
          </w:tcPr>
          <w:p w14:paraId="500A6138">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219" w:type="dxa"/>
            <w:vAlign w:val="center"/>
          </w:tcPr>
          <w:p w14:paraId="1AAC97F7">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310" w:type="dxa"/>
            <w:vAlign w:val="center"/>
          </w:tcPr>
          <w:p w14:paraId="39AB4AEE">
            <w:pPr>
              <w:spacing w:before="0" w:beforeAutospacing="0" w:after="0" w:afterAutospacing="0"/>
              <w:ind w:left="0" w:right="0"/>
              <w:rPr>
                <w:rFonts w:hint="eastAsia" w:ascii="宋体" w:hAnsi="宋体" w:eastAsia="宋体" w:cs="Times New Roman"/>
                <w:bCs/>
                <w:color w:val="auto"/>
                <w:w w:val="90"/>
                <w:sz w:val="24"/>
                <w:szCs w:val="24"/>
                <w:highlight w:val="none"/>
              </w:rPr>
            </w:pPr>
          </w:p>
        </w:tc>
      </w:tr>
      <w:tr w14:paraId="0326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30D2D9A4">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732" w:type="dxa"/>
            <w:vAlign w:val="center"/>
          </w:tcPr>
          <w:p w14:paraId="1590ED59">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487" w:type="dxa"/>
            <w:vAlign w:val="center"/>
          </w:tcPr>
          <w:p w14:paraId="3AE71061">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262" w:type="dxa"/>
            <w:vAlign w:val="center"/>
          </w:tcPr>
          <w:p w14:paraId="555830F5">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219" w:type="dxa"/>
            <w:vAlign w:val="center"/>
          </w:tcPr>
          <w:p w14:paraId="5E4586FB">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219" w:type="dxa"/>
            <w:vAlign w:val="center"/>
          </w:tcPr>
          <w:p w14:paraId="760CC33E">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310" w:type="dxa"/>
            <w:vAlign w:val="center"/>
          </w:tcPr>
          <w:p w14:paraId="70666BC6">
            <w:pPr>
              <w:spacing w:before="0" w:beforeAutospacing="0" w:after="0" w:afterAutospacing="0"/>
              <w:ind w:left="0" w:right="0"/>
              <w:rPr>
                <w:rFonts w:hint="eastAsia" w:ascii="宋体" w:hAnsi="宋体" w:eastAsia="宋体" w:cs="Times New Roman"/>
                <w:bCs/>
                <w:color w:val="auto"/>
                <w:w w:val="90"/>
                <w:sz w:val="24"/>
                <w:szCs w:val="24"/>
                <w:highlight w:val="none"/>
              </w:rPr>
            </w:pPr>
          </w:p>
        </w:tc>
      </w:tr>
      <w:tr w14:paraId="2E97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20B65180">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732" w:type="dxa"/>
            <w:vAlign w:val="center"/>
          </w:tcPr>
          <w:p w14:paraId="4655BD72">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487" w:type="dxa"/>
            <w:vAlign w:val="center"/>
          </w:tcPr>
          <w:p w14:paraId="6A5232EB">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262" w:type="dxa"/>
            <w:vAlign w:val="center"/>
          </w:tcPr>
          <w:p w14:paraId="554421B1">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219" w:type="dxa"/>
            <w:vAlign w:val="center"/>
          </w:tcPr>
          <w:p w14:paraId="02C6DB9F">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219" w:type="dxa"/>
            <w:vAlign w:val="center"/>
          </w:tcPr>
          <w:p w14:paraId="0AF05AB8">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310" w:type="dxa"/>
            <w:vAlign w:val="center"/>
          </w:tcPr>
          <w:p w14:paraId="3D5645AD">
            <w:pPr>
              <w:spacing w:before="0" w:beforeAutospacing="0" w:after="0" w:afterAutospacing="0"/>
              <w:ind w:left="0" w:right="0"/>
              <w:rPr>
                <w:rFonts w:hint="eastAsia" w:ascii="宋体" w:hAnsi="宋体" w:eastAsia="宋体" w:cs="Times New Roman"/>
                <w:bCs/>
                <w:color w:val="auto"/>
                <w:w w:val="90"/>
                <w:sz w:val="24"/>
                <w:szCs w:val="24"/>
                <w:highlight w:val="none"/>
              </w:rPr>
            </w:pPr>
          </w:p>
        </w:tc>
      </w:tr>
      <w:tr w14:paraId="12C6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54BEB9C6">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732" w:type="dxa"/>
            <w:vAlign w:val="center"/>
          </w:tcPr>
          <w:p w14:paraId="4112CE8A">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487" w:type="dxa"/>
            <w:vAlign w:val="center"/>
          </w:tcPr>
          <w:p w14:paraId="72909DBC">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262" w:type="dxa"/>
            <w:vAlign w:val="center"/>
          </w:tcPr>
          <w:p w14:paraId="000F297E">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219" w:type="dxa"/>
            <w:vAlign w:val="center"/>
          </w:tcPr>
          <w:p w14:paraId="6A07C95F">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219" w:type="dxa"/>
            <w:vAlign w:val="center"/>
          </w:tcPr>
          <w:p w14:paraId="502CA0AB">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310" w:type="dxa"/>
            <w:vAlign w:val="center"/>
          </w:tcPr>
          <w:p w14:paraId="2F119E17">
            <w:pPr>
              <w:spacing w:before="0" w:beforeAutospacing="0" w:after="0" w:afterAutospacing="0"/>
              <w:ind w:left="0" w:right="0"/>
              <w:rPr>
                <w:rFonts w:hint="eastAsia" w:ascii="宋体" w:hAnsi="宋体" w:eastAsia="宋体" w:cs="Times New Roman"/>
                <w:bCs/>
                <w:color w:val="auto"/>
                <w:w w:val="90"/>
                <w:sz w:val="24"/>
                <w:szCs w:val="24"/>
                <w:highlight w:val="none"/>
              </w:rPr>
            </w:pPr>
          </w:p>
        </w:tc>
      </w:tr>
      <w:tr w14:paraId="75C3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061995A3">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732" w:type="dxa"/>
            <w:vAlign w:val="center"/>
          </w:tcPr>
          <w:p w14:paraId="38C251E0">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487" w:type="dxa"/>
            <w:vAlign w:val="center"/>
          </w:tcPr>
          <w:p w14:paraId="1786BA01">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262" w:type="dxa"/>
            <w:vAlign w:val="center"/>
          </w:tcPr>
          <w:p w14:paraId="66CD2351">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219" w:type="dxa"/>
            <w:vAlign w:val="center"/>
          </w:tcPr>
          <w:p w14:paraId="3655E1A4">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219" w:type="dxa"/>
            <w:vAlign w:val="center"/>
          </w:tcPr>
          <w:p w14:paraId="75D67899">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310" w:type="dxa"/>
            <w:vAlign w:val="center"/>
          </w:tcPr>
          <w:p w14:paraId="4FCF9964">
            <w:pPr>
              <w:spacing w:before="0" w:beforeAutospacing="0" w:after="0" w:afterAutospacing="0"/>
              <w:ind w:left="0" w:right="0"/>
              <w:rPr>
                <w:rFonts w:hint="eastAsia" w:ascii="宋体" w:hAnsi="宋体" w:eastAsia="宋体" w:cs="Times New Roman"/>
                <w:bCs/>
                <w:color w:val="auto"/>
                <w:w w:val="90"/>
                <w:sz w:val="24"/>
                <w:szCs w:val="24"/>
                <w:highlight w:val="none"/>
              </w:rPr>
            </w:pPr>
          </w:p>
        </w:tc>
      </w:tr>
      <w:tr w14:paraId="0D0D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1D9CF928">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732" w:type="dxa"/>
            <w:vAlign w:val="center"/>
          </w:tcPr>
          <w:p w14:paraId="6BBB7FCE">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487" w:type="dxa"/>
            <w:vAlign w:val="center"/>
          </w:tcPr>
          <w:p w14:paraId="0822B1FC">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262" w:type="dxa"/>
            <w:vAlign w:val="center"/>
          </w:tcPr>
          <w:p w14:paraId="2B14A136">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219" w:type="dxa"/>
            <w:vAlign w:val="center"/>
          </w:tcPr>
          <w:p w14:paraId="71989214">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219" w:type="dxa"/>
            <w:vAlign w:val="center"/>
          </w:tcPr>
          <w:p w14:paraId="7F3B2D9E">
            <w:pPr>
              <w:spacing w:before="0" w:beforeAutospacing="0" w:after="0" w:afterAutospacing="0"/>
              <w:ind w:left="0" w:right="0"/>
              <w:rPr>
                <w:rFonts w:hint="eastAsia" w:ascii="宋体" w:hAnsi="宋体" w:eastAsia="宋体" w:cs="Times New Roman"/>
                <w:bCs/>
                <w:color w:val="auto"/>
                <w:w w:val="90"/>
                <w:sz w:val="24"/>
                <w:szCs w:val="24"/>
                <w:highlight w:val="none"/>
              </w:rPr>
            </w:pPr>
          </w:p>
        </w:tc>
        <w:tc>
          <w:tcPr>
            <w:tcW w:w="1310" w:type="dxa"/>
            <w:vAlign w:val="center"/>
          </w:tcPr>
          <w:p w14:paraId="641B5FFD">
            <w:pPr>
              <w:spacing w:before="0" w:beforeAutospacing="0" w:after="0" w:afterAutospacing="0"/>
              <w:ind w:left="0" w:right="0"/>
              <w:rPr>
                <w:rFonts w:hint="eastAsia" w:ascii="宋体" w:hAnsi="宋体" w:eastAsia="宋体" w:cs="Times New Roman"/>
                <w:bCs/>
                <w:color w:val="auto"/>
                <w:w w:val="90"/>
                <w:sz w:val="24"/>
                <w:szCs w:val="24"/>
                <w:highlight w:val="none"/>
              </w:rPr>
            </w:pPr>
          </w:p>
        </w:tc>
      </w:tr>
    </w:tbl>
    <w:p w14:paraId="3928CFD2">
      <w:pPr>
        <w:rPr>
          <w:rFonts w:hint="eastAsia" w:ascii="宋体" w:hAnsi="宋体" w:eastAsia="宋体"/>
          <w:bCs/>
          <w:color w:val="auto"/>
          <w:sz w:val="24"/>
          <w:szCs w:val="24"/>
          <w:highlight w:val="none"/>
        </w:rPr>
      </w:pPr>
      <w:bookmarkStart w:id="333" w:name="_Toc509411893"/>
      <w:bookmarkStart w:id="334" w:name="_Toc12642"/>
      <w:bookmarkStart w:id="335" w:name="_Toc7888"/>
      <w:r>
        <w:rPr>
          <w:rFonts w:hint="eastAsia" w:ascii="宋体" w:hAnsi="宋体"/>
          <w:bCs/>
          <w:color w:val="auto"/>
          <w:sz w:val="24"/>
          <w:szCs w:val="24"/>
          <w:highlight w:val="none"/>
          <w:lang w:eastAsia="zh-CN"/>
        </w:rPr>
        <w:t>供应商</w:t>
      </w:r>
      <w:r>
        <w:rPr>
          <w:rFonts w:hint="eastAsia" w:ascii="宋体" w:hAnsi="宋体" w:eastAsia="宋体"/>
          <w:bCs/>
          <w:color w:val="auto"/>
          <w:sz w:val="24"/>
          <w:szCs w:val="24"/>
          <w:highlight w:val="none"/>
        </w:rPr>
        <w:t>代表（</w:t>
      </w:r>
      <w:r>
        <w:rPr>
          <w:rFonts w:hint="eastAsia" w:ascii="宋体" w:hAnsi="宋体"/>
          <w:color w:val="auto"/>
          <w:sz w:val="24"/>
          <w:highlight w:val="none"/>
          <w:lang w:eastAsia="zh-CN"/>
        </w:rPr>
        <w:t>签字或盖章或电子签章</w:t>
      </w:r>
      <w:r>
        <w:rPr>
          <w:rFonts w:hint="eastAsia" w:ascii="宋体" w:hAnsi="宋体" w:eastAsia="宋体"/>
          <w:color w:val="auto"/>
          <w:sz w:val="24"/>
          <w:highlight w:val="none"/>
        </w:rPr>
        <w:t>）</w:t>
      </w:r>
      <w:r>
        <w:rPr>
          <w:rFonts w:hint="eastAsia" w:ascii="宋体" w:hAnsi="宋体" w:eastAsia="宋体"/>
          <w:bCs/>
          <w:color w:val="auto"/>
          <w:sz w:val="24"/>
          <w:szCs w:val="24"/>
          <w:highlight w:val="none"/>
        </w:rPr>
        <w:t xml:space="preserve">：               </w:t>
      </w:r>
      <w:r>
        <w:rPr>
          <w:rFonts w:hint="eastAsia" w:ascii="宋体" w:hAnsi="宋体"/>
          <w:bCs/>
          <w:color w:val="auto"/>
          <w:sz w:val="24"/>
          <w:szCs w:val="24"/>
          <w:highlight w:val="none"/>
          <w:lang w:eastAsia="zh-CN"/>
        </w:rPr>
        <w:t>供应商</w:t>
      </w:r>
      <w:r>
        <w:rPr>
          <w:rFonts w:hint="eastAsia" w:ascii="宋体" w:hAnsi="宋体" w:eastAsia="宋体"/>
          <w:bCs/>
          <w:color w:val="auto"/>
          <w:sz w:val="24"/>
          <w:szCs w:val="24"/>
          <w:highlight w:val="none"/>
        </w:rPr>
        <w:t>（公章）：          日期：</w:t>
      </w:r>
      <w:bookmarkEnd w:id="333"/>
      <w:bookmarkEnd w:id="334"/>
      <w:bookmarkEnd w:id="335"/>
    </w:p>
    <w:p w14:paraId="19A12B24">
      <w:pPr>
        <w:rPr>
          <w:rFonts w:hint="eastAsia" w:ascii="宋体" w:hAnsi="宋体" w:eastAsia="宋体"/>
          <w:color w:val="auto"/>
          <w:sz w:val="24"/>
          <w:szCs w:val="24"/>
          <w:highlight w:val="none"/>
        </w:rPr>
      </w:pPr>
    </w:p>
    <w:p w14:paraId="574A8C68">
      <w:pPr>
        <w:rPr>
          <w:rFonts w:hint="eastAsia" w:ascii="宋体" w:hAnsi="宋体" w:eastAsia="宋体"/>
          <w:bCs/>
          <w:color w:val="auto"/>
          <w:spacing w:val="10"/>
          <w:sz w:val="24"/>
          <w:szCs w:val="24"/>
          <w:highlight w:val="none"/>
        </w:rPr>
      </w:pPr>
    </w:p>
    <w:p w14:paraId="24EFE1B1">
      <w:pPr>
        <w:pStyle w:val="25"/>
        <w:rPr>
          <w:rFonts w:hint="eastAsia"/>
          <w:color w:val="auto"/>
          <w:highlight w:val="none"/>
        </w:rPr>
      </w:pPr>
    </w:p>
    <w:p w14:paraId="04C33A2D">
      <w:pPr>
        <w:pStyle w:val="25"/>
        <w:rPr>
          <w:rFonts w:hint="eastAsia"/>
          <w:color w:val="auto"/>
          <w:highlight w:val="none"/>
        </w:rPr>
      </w:pPr>
    </w:p>
    <w:p w14:paraId="18A76667">
      <w:pPr>
        <w:pStyle w:val="25"/>
        <w:rPr>
          <w:rFonts w:hint="eastAsia"/>
          <w:color w:val="auto"/>
          <w:highlight w:val="none"/>
        </w:rPr>
      </w:pPr>
    </w:p>
    <w:p w14:paraId="4E0D1B34">
      <w:pPr>
        <w:spacing w:line="360" w:lineRule="auto"/>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注：供应商</w:t>
      </w:r>
      <w:r>
        <w:rPr>
          <w:rFonts w:hint="eastAsia" w:ascii="宋体" w:hAnsi="宋体" w:eastAsia="宋体"/>
          <w:color w:val="auto"/>
          <w:sz w:val="24"/>
          <w:szCs w:val="24"/>
          <w:highlight w:val="none"/>
        </w:rPr>
        <w:t>可根据需要自行增减表格行数。</w:t>
      </w:r>
    </w:p>
    <w:p w14:paraId="18BD2BDD">
      <w:pPr>
        <w:pStyle w:val="11"/>
        <w:rPr>
          <w:rFonts w:hint="eastAsia" w:ascii="宋体" w:hAnsi="宋体" w:eastAsia="宋体"/>
          <w:color w:val="auto"/>
          <w:sz w:val="24"/>
          <w:szCs w:val="24"/>
          <w:highlight w:val="none"/>
        </w:rPr>
      </w:pPr>
    </w:p>
    <w:p w14:paraId="3ED7273F">
      <w:pPr>
        <w:pStyle w:val="20"/>
        <w:rPr>
          <w:rFonts w:hint="eastAsia" w:ascii="宋体" w:hAnsi="宋体" w:eastAsia="宋体"/>
          <w:color w:val="auto"/>
          <w:sz w:val="24"/>
          <w:szCs w:val="24"/>
          <w:highlight w:val="none"/>
        </w:rPr>
      </w:pPr>
    </w:p>
    <w:p w14:paraId="0A1DAD00">
      <w:pPr>
        <w:pStyle w:val="20"/>
        <w:rPr>
          <w:rFonts w:hint="eastAsia" w:ascii="宋体" w:hAnsi="宋体" w:eastAsia="宋体"/>
          <w:color w:val="auto"/>
          <w:sz w:val="24"/>
          <w:szCs w:val="24"/>
          <w:highlight w:val="none"/>
        </w:rPr>
      </w:pPr>
    </w:p>
    <w:p w14:paraId="661F2207">
      <w:pPr>
        <w:pStyle w:val="20"/>
        <w:rPr>
          <w:rFonts w:hint="eastAsia" w:ascii="宋体" w:hAnsi="宋体" w:eastAsia="宋体"/>
          <w:color w:val="auto"/>
          <w:sz w:val="24"/>
          <w:szCs w:val="24"/>
          <w:highlight w:val="none"/>
        </w:rPr>
      </w:pPr>
    </w:p>
    <w:p w14:paraId="45B4DD4A">
      <w:pPr>
        <w:pStyle w:val="20"/>
        <w:rPr>
          <w:rFonts w:hint="eastAsia" w:ascii="宋体" w:hAnsi="宋体" w:eastAsia="宋体"/>
          <w:color w:val="auto"/>
          <w:sz w:val="24"/>
          <w:szCs w:val="24"/>
          <w:highlight w:val="none"/>
        </w:rPr>
      </w:pPr>
    </w:p>
    <w:p w14:paraId="2076170B">
      <w:pPr>
        <w:pStyle w:val="20"/>
        <w:rPr>
          <w:rFonts w:hint="eastAsia" w:ascii="宋体" w:hAnsi="宋体" w:eastAsia="宋体"/>
          <w:color w:val="auto"/>
          <w:sz w:val="24"/>
          <w:szCs w:val="24"/>
          <w:highlight w:val="none"/>
        </w:rPr>
      </w:pPr>
    </w:p>
    <w:p w14:paraId="3BF60D00">
      <w:pPr>
        <w:pStyle w:val="20"/>
        <w:rPr>
          <w:rFonts w:hint="eastAsia" w:ascii="宋体" w:hAnsi="宋体" w:eastAsia="宋体"/>
          <w:color w:val="auto"/>
          <w:sz w:val="24"/>
          <w:szCs w:val="24"/>
          <w:highlight w:val="none"/>
        </w:rPr>
      </w:pPr>
    </w:p>
    <w:p w14:paraId="04974EC6">
      <w:pPr>
        <w:pStyle w:val="20"/>
        <w:rPr>
          <w:rFonts w:hint="eastAsia" w:ascii="宋体" w:hAnsi="宋体" w:eastAsia="宋体"/>
          <w:color w:val="auto"/>
          <w:sz w:val="24"/>
          <w:szCs w:val="24"/>
          <w:highlight w:val="none"/>
        </w:rPr>
      </w:pPr>
    </w:p>
    <w:p w14:paraId="1CDBFCB2">
      <w:pPr>
        <w:pStyle w:val="20"/>
        <w:jc w:val="center"/>
        <w:rPr>
          <w:rFonts w:hint="default" w:ascii="宋体" w:hAnsi="宋体" w:eastAsia="宋体"/>
          <w:color w:val="auto"/>
          <w:sz w:val="28"/>
          <w:szCs w:val="28"/>
          <w:highlight w:val="none"/>
          <w:lang w:val="en-US" w:eastAsia="zh-CN"/>
        </w:rPr>
      </w:pPr>
      <w:r>
        <w:rPr>
          <w:rFonts w:hint="eastAsia" w:ascii="宋体" w:eastAsia="宋体"/>
          <w:color w:val="auto"/>
          <w:sz w:val="28"/>
          <w:szCs w:val="28"/>
          <w:highlight w:val="none"/>
          <w:lang w:val="en-US" w:eastAsia="zh-CN"/>
        </w:rPr>
        <w:t>11、施工组织设计方案</w:t>
      </w:r>
    </w:p>
    <w:p w14:paraId="166D2B4A">
      <w:pPr>
        <w:pStyle w:val="20"/>
        <w:rPr>
          <w:rFonts w:hint="eastAsia" w:ascii="宋体" w:hAnsi="宋体" w:eastAsia="宋体"/>
          <w:color w:val="auto"/>
          <w:sz w:val="24"/>
          <w:szCs w:val="24"/>
          <w:highlight w:val="none"/>
        </w:rPr>
      </w:pPr>
    </w:p>
    <w:p w14:paraId="7C0EFE7D">
      <w:pPr>
        <w:pStyle w:val="20"/>
        <w:rPr>
          <w:rFonts w:hint="eastAsia" w:ascii="宋体" w:hAnsi="宋体" w:eastAsia="宋体"/>
          <w:color w:val="auto"/>
          <w:sz w:val="24"/>
          <w:szCs w:val="24"/>
          <w:highlight w:val="none"/>
        </w:rPr>
      </w:pPr>
    </w:p>
    <w:p w14:paraId="456009E0">
      <w:pPr>
        <w:pStyle w:val="20"/>
        <w:rPr>
          <w:rFonts w:hint="eastAsia" w:ascii="宋体" w:hAnsi="宋体" w:eastAsia="宋体"/>
          <w:color w:val="auto"/>
          <w:sz w:val="24"/>
          <w:szCs w:val="24"/>
          <w:highlight w:val="none"/>
        </w:rPr>
      </w:pPr>
    </w:p>
    <w:p w14:paraId="2229C5F7">
      <w:pPr>
        <w:pStyle w:val="25"/>
        <w:rPr>
          <w:rFonts w:hint="eastAsia"/>
          <w:color w:val="auto"/>
          <w:highlight w:val="none"/>
        </w:rPr>
      </w:pPr>
    </w:p>
    <w:p w14:paraId="5F5EF47C">
      <w:pPr>
        <w:pStyle w:val="25"/>
        <w:rPr>
          <w:rFonts w:hint="eastAsia"/>
          <w:color w:val="auto"/>
          <w:highlight w:val="none"/>
        </w:rPr>
      </w:pPr>
    </w:p>
    <w:p w14:paraId="677DB1F3">
      <w:pPr>
        <w:pStyle w:val="25"/>
        <w:rPr>
          <w:rFonts w:hint="eastAsia"/>
          <w:color w:val="auto"/>
          <w:highlight w:val="none"/>
        </w:rPr>
      </w:pPr>
    </w:p>
    <w:p w14:paraId="1D016BCE">
      <w:pPr>
        <w:pStyle w:val="26"/>
        <w:rPr>
          <w:rFonts w:hint="eastAsia"/>
          <w:color w:val="auto"/>
          <w:highlight w:val="none"/>
        </w:rPr>
      </w:pPr>
    </w:p>
    <w:p w14:paraId="5D02B1BE">
      <w:pPr>
        <w:pStyle w:val="26"/>
        <w:rPr>
          <w:rFonts w:hint="eastAsia"/>
          <w:color w:val="auto"/>
          <w:highlight w:val="none"/>
        </w:rPr>
      </w:pPr>
    </w:p>
    <w:p w14:paraId="57FBCE08">
      <w:pPr>
        <w:pStyle w:val="26"/>
        <w:rPr>
          <w:rFonts w:hint="eastAsia"/>
          <w:color w:val="auto"/>
          <w:highlight w:val="none"/>
        </w:rPr>
      </w:pPr>
    </w:p>
    <w:p w14:paraId="41F13755">
      <w:pPr>
        <w:pStyle w:val="26"/>
        <w:rPr>
          <w:rFonts w:hint="eastAsia"/>
          <w:color w:val="auto"/>
          <w:highlight w:val="none"/>
        </w:rPr>
      </w:pPr>
    </w:p>
    <w:p w14:paraId="26E37392">
      <w:pPr>
        <w:pStyle w:val="26"/>
        <w:rPr>
          <w:rFonts w:hint="eastAsia"/>
          <w:color w:val="auto"/>
          <w:highlight w:val="none"/>
        </w:rPr>
      </w:pPr>
    </w:p>
    <w:p w14:paraId="1018517A">
      <w:pPr>
        <w:pStyle w:val="26"/>
        <w:rPr>
          <w:rFonts w:hint="eastAsia"/>
          <w:color w:val="auto"/>
          <w:highlight w:val="none"/>
        </w:rPr>
      </w:pPr>
    </w:p>
    <w:p w14:paraId="7E0CF8FB">
      <w:pPr>
        <w:pStyle w:val="26"/>
        <w:rPr>
          <w:rFonts w:hint="eastAsia"/>
          <w:color w:val="auto"/>
          <w:highlight w:val="none"/>
        </w:rPr>
      </w:pPr>
    </w:p>
    <w:p w14:paraId="4D1A867F">
      <w:pPr>
        <w:pStyle w:val="26"/>
        <w:rPr>
          <w:rFonts w:hint="eastAsia"/>
          <w:color w:val="auto"/>
          <w:highlight w:val="none"/>
        </w:rPr>
      </w:pPr>
    </w:p>
    <w:p w14:paraId="2E54AD23">
      <w:pPr>
        <w:pStyle w:val="26"/>
        <w:rPr>
          <w:rFonts w:hint="eastAsia"/>
          <w:color w:val="auto"/>
          <w:highlight w:val="none"/>
        </w:rPr>
      </w:pPr>
    </w:p>
    <w:p w14:paraId="698571EA">
      <w:pPr>
        <w:pStyle w:val="26"/>
        <w:rPr>
          <w:rFonts w:hint="eastAsia"/>
          <w:color w:val="auto"/>
          <w:highlight w:val="none"/>
        </w:rPr>
      </w:pPr>
    </w:p>
    <w:p w14:paraId="7742F747">
      <w:pPr>
        <w:pStyle w:val="26"/>
        <w:rPr>
          <w:rFonts w:hint="eastAsia"/>
          <w:color w:val="auto"/>
          <w:highlight w:val="none"/>
        </w:rPr>
      </w:pPr>
    </w:p>
    <w:p w14:paraId="6F9F843A">
      <w:pPr>
        <w:pStyle w:val="26"/>
        <w:rPr>
          <w:rFonts w:hint="eastAsia"/>
          <w:color w:val="auto"/>
          <w:highlight w:val="none"/>
        </w:rPr>
      </w:pPr>
    </w:p>
    <w:p w14:paraId="2CDDBD9F">
      <w:pPr>
        <w:pStyle w:val="26"/>
        <w:rPr>
          <w:rFonts w:hint="eastAsia"/>
          <w:color w:val="auto"/>
          <w:highlight w:val="none"/>
        </w:rPr>
      </w:pPr>
    </w:p>
    <w:p w14:paraId="175F6647">
      <w:pPr>
        <w:pStyle w:val="26"/>
        <w:rPr>
          <w:rFonts w:hint="eastAsia"/>
          <w:color w:val="auto"/>
          <w:highlight w:val="none"/>
        </w:rPr>
      </w:pPr>
    </w:p>
    <w:p w14:paraId="14A8457E">
      <w:pPr>
        <w:pStyle w:val="26"/>
        <w:rPr>
          <w:rFonts w:hint="eastAsia"/>
          <w:color w:val="auto"/>
          <w:highlight w:val="none"/>
        </w:rPr>
      </w:pPr>
    </w:p>
    <w:p w14:paraId="57A02388">
      <w:pPr>
        <w:pStyle w:val="26"/>
        <w:rPr>
          <w:rFonts w:hint="eastAsia"/>
          <w:color w:val="auto"/>
          <w:highlight w:val="none"/>
        </w:rPr>
      </w:pPr>
    </w:p>
    <w:p w14:paraId="71791FAF">
      <w:pPr>
        <w:pStyle w:val="26"/>
        <w:rPr>
          <w:rFonts w:hint="eastAsia"/>
          <w:color w:val="auto"/>
          <w:highlight w:val="none"/>
        </w:rPr>
      </w:pPr>
    </w:p>
    <w:p w14:paraId="4B273573">
      <w:pPr>
        <w:pStyle w:val="26"/>
        <w:rPr>
          <w:rFonts w:hint="eastAsia"/>
          <w:color w:val="auto"/>
          <w:highlight w:val="none"/>
        </w:rPr>
      </w:pPr>
    </w:p>
    <w:p w14:paraId="5A62DB30">
      <w:pPr>
        <w:pStyle w:val="26"/>
        <w:rPr>
          <w:rFonts w:hint="eastAsia"/>
          <w:color w:val="auto"/>
          <w:highlight w:val="none"/>
        </w:rPr>
      </w:pPr>
    </w:p>
    <w:p w14:paraId="4BD8F9BA">
      <w:pPr>
        <w:pStyle w:val="26"/>
        <w:rPr>
          <w:rFonts w:hint="eastAsia"/>
          <w:color w:val="auto"/>
          <w:highlight w:val="none"/>
        </w:rPr>
      </w:pPr>
    </w:p>
    <w:p w14:paraId="54502C00">
      <w:pPr>
        <w:pStyle w:val="26"/>
        <w:rPr>
          <w:rFonts w:hint="eastAsia"/>
          <w:color w:val="auto"/>
          <w:highlight w:val="none"/>
        </w:rPr>
      </w:pPr>
    </w:p>
    <w:p w14:paraId="4CA1C37F">
      <w:pPr>
        <w:pStyle w:val="26"/>
        <w:rPr>
          <w:rFonts w:hint="eastAsia"/>
          <w:color w:val="auto"/>
          <w:highlight w:val="none"/>
        </w:rPr>
      </w:pPr>
    </w:p>
    <w:p w14:paraId="78D721AB">
      <w:pPr>
        <w:pStyle w:val="26"/>
        <w:rPr>
          <w:rFonts w:hint="eastAsia"/>
          <w:color w:val="auto"/>
          <w:highlight w:val="none"/>
        </w:rPr>
      </w:pPr>
    </w:p>
    <w:p w14:paraId="591B603A">
      <w:pPr>
        <w:pStyle w:val="26"/>
        <w:rPr>
          <w:rFonts w:hint="eastAsia"/>
          <w:color w:val="auto"/>
          <w:highlight w:val="none"/>
        </w:rPr>
      </w:pPr>
    </w:p>
    <w:p w14:paraId="722D30E0">
      <w:pPr>
        <w:pStyle w:val="26"/>
        <w:rPr>
          <w:rFonts w:hint="eastAsia"/>
          <w:color w:val="auto"/>
          <w:highlight w:val="none"/>
        </w:rPr>
      </w:pPr>
    </w:p>
    <w:p w14:paraId="05AB2892">
      <w:pPr>
        <w:pStyle w:val="26"/>
        <w:rPr>
          <w:rFonts w:hint="eastAsia"/>
          <w:color w:val="auto"/>
          <w:highlight w:val="none"/>
        </w:rPr>
      </w:pPr>
    </w:p>
    <w:p w14:paraId="294621EC">
      <w:pPr>
        <w:pStyle w:val="26"/>
        <w:rPr>
          <w:rFonts w:hint="eastAsia"/>
          <w:color w:val="auto"/>
          <w:highlight w:val="none"/>
        </w:rPr>
      </w:pPr>
    </w:p>
    <w:p w14:paraId="46CF8130">
      <w:pPr>
        <w:pStyle w:val="26"/>
        <w:rPr>
          <w:rFonts w:hint="eastAsia"/>
          <w:color w:val="auto"/>
          <w:highlight w:val="none"/>
        </w:rPr>
      </w:pPr>
    </w:p>
    <w:p w14:paraId="745E932A">
      <w:pPr>
        <w:pStyle w:val="25"/>
        <w:numPr>
          <w:ilvl w:val="0"/>
          <w:numId w:val="0"/>
        </w:numPr>
        <w:ind w:leftChars="100"/>
        <w:jc w:val="center"/>
        <w:rPr>
          <w:rFonts w:hint="eastAsia" w:ascii="宋体" w:hAnsi="宋体" w:eastAsia="宋体"/>
          <w:bCs/>
          <w:color w:val="auto"/>
          <w:sz w:val="28"/>
          <w:szCs w:val="28"/>
          <w:highlight w:val="none"/>
        </w:rPr>
      </w:pPr>
      <w:r>
        <w:rPr>
          <w:rFonts w:hint="eastAsia" w:ascii="宋体" w:hAnsi="宋体"/>
          <w:bCs/>
          <w:color w:val="auto"/>
          <w:sz w:val="28"/>
          <w:szCs w:val="28"/>
          <w:highlight w:val="none"/>
          <w:lang w:val="en-US" w:eastAsia="zh-CN"/>
        </w:rPr>
        <w:t>12、</w:t>
      </w:r>
      <w:r>
        <w:rPr>
          <w:rFonts w:hint="eastAsia" w:ascii="宋体" w:hAnsi="宋体"/>
          <w:bCs/>
          <w:color w:val="auto"/>
          <w:sz w:val="28"/>
          <w:szCs w:val="28"/>
          <w:highlight w:val="none"/>
          <w:lang w:eastAsia="zh-CN"/>
        </w:rPr>
        <w:t>供应商</w:t>
      </w:r>
      <w:r>
        <w:rPr>
          <w:rFonts w:hint="eastAsia" w:ascii="宋体" w:hAnsi="宋体" w:eastAsia="宋体"/>
          <w:bCs/>
          <w:color w:val="auto"/>
          <w:sz w:val="28"/>
          <w:szCs w:val="28"/>
          <w:highlight w:val="none"/>
        </w:rPr>
        <w:t>认为必要的其它材料</w:t>
      </w:r>
    </w:p>
    <w:p w14:paraId="39ACEFE7">
      <w:pPr>
        <w:pStyle w:val="26"/>
        <w:numPr>
          <w:ilvl w:val="0"/>
          <w:numId w:val="0"/>
        </w:numPr>
        <w:ind w:leftChars="400"/>
        <w:rPr>
          <w:rFonts w:hint="eastAsia"/>
          <w:color w:val="auto"/>
          <w:highlight w:val="none"/>
        </w:rPr>
      </w:pPr>
    </w:p>
    <w:p w14:paraId="7B7388EE">
      <w:pPr>
        <w:pStyle w:val="26"/>
        <w:widowControl w:val="0"/>
        <w:numPr>
          <w:ilvl w:val="0"/>
          <w:numId w:val="0"/>
        </w:numPr>
        <w:spacing w:after="120" w:afterLines="0" w:line="240" w:lineRule="auto"/>
        <w:jc w:val="both"/>
        <w:rPr>
          <w:color w:val="auto"/>
          <w:highlight w:val="none"/>
        </w:rPr>
      </w:pPr>
    </w:p>
    <w:p w14:paraId="036CB6A1">
      <w:pPr>
        <w:pStyle w:val="26"/>
        <w:widowControl w:val="0"/>
        <w:numPr>
          <w:ilvl w:val="0"/>
          <w:numId w:val="0"/>
        </w:numPr>
        <w:spacing w:after="120" w:afterLines="0" w:line="240" w:lineRule="auto"/>
        <w:jc w:val="both"/>
        <w:rPr>
          <w:color w:val="auto"/>
          <w:highlight w:val="none"/>
        </w:rPr>
      </w:pPr>
    </w:p>
    <w:p w14:paraId="6CD9A6BA">
      <w:pPr>
        <w:pStyle w:val="26"/>
        <w:widowControl w:val="0"/>
        <w:numPr>
          <w:ilvl w:val="0"/>
          <w:numId w:val="0"/>
        </w:numPr>
        <w:spacing w:after="120" w:afterLines="0" w:line="240" w:lineRule="auto"/>
        <w:jc w:val="both"/>
        <w:rPr>
          <w:color w:val="auto"/>
          <w:highlight w:val="none"/>
        </w:rPr>
      </w:pPr>
    </w:p>
    <w:p w14:paraId="21B1D2E7">
      <w:pPr>
        <w:pStyle w:val="26"/>
        <w:widowControl w:val="0"/>
        <w:numPr>
          <w:ilvl w:val="0"/>
          <w:numId w:val="0"/>
        </w:numPr>
        <w:spacing w:after="120" w:afterLines="0" w:line="240" w:lineRule="auto"/>
        <w:jc w:val="both"/>
        <w:rPr>
          <w:color w:val="auto"/>
          <w:highlight w:val="none"/>
        </w:rPr>
      </w:pPr>
    </w:p>
    <w:p w14:paraId="1A14EE01">
      <w:pPr>
        <w:pStyle w:val="26"/>
        <w:widowControl w:val="0"/>
        <w:numPr>
          <w:ilvl w:val="0"/>
          <w:numId w:val="0"/>
        </w:numPr>
        <w:spacing w:after="120" w:afterLines="0" w:line="240" w:lineRule="auto"/>
        <w:jc w:val="both"/>
        <w:rPr>
          <w:color w:val="auto"/>
          <w:highlight w:val="none"/>
        </w:rPr>
      </w:pPr>
    </w:p>
    <w:p w14:paraId="707CB1EE">
      <w:pPr>
        <w:pStyle w:val="26"/>
        <w:widowControl w:val="0"/>
        <w:numPr>
          <w:ilvl w:val="0"/>
          <w:numId w:val="0"/>
        </w:numPr>
        <w:spacing w:after="120" w:afterLines="0" w:line="240" w:lineRule="auto"/>
        <w:jc w:val="both"/>
        <w:rPr>
          <w:color w:val="auto"/>
          <w:highlight w:val="none"/>
        </w:rPr>
      </w:pPr>
    </w:p>
    <w:p w14:paraId="462A7BBA">
      <w:pPr>
        <w:pStyle w:val="26"/>
        <w:widowControl w:val="0"/>
        <w:numPr>
          <w:ilvl w:val="0"/>
          <w:numId w:val="0"/>
        </w:numPr>
        <w:spacing w:after="120" w:afterLines="0" w:line="240" w:lineRule="auto"/>
        <w:jc w:val="both"/>
        <w:rPr>
          <w:color w:val="auto"/>
          <w:highlight w:val="none"/>
        </w:rPr>
      </w:pPr>
    </w:p>
    <w:p w14:paraId="488FCF5D">
      <w:pPr>
        <w:pStyle w:val="26"/>
        <w:widowControl w:val="0"/>
        <w:numPr>
          <w:ilvl w:val="0"/>
          <w:numId w:val="0"/>
        </w:numPr>
        <w:spacing w:after="120" w:afterLines="0" w:line="240" w:lineRule="auto"/>
        <w:jc w:val="both"/>
        <w:rPr>
          <w:color w:val="auto"/>
          <w:highlight w:val="none"/>
        </w:rPr>
      </w:pPr>
    </w:p>
    <w:p w14:paraId="7B217925">
      <w:pPr>
        <w:pStyle w:val="26"/>
        <w:widowControl w:val="0"/>
        <w:numPr>
          <w:ilvl w:val="0"/>
          <w:numId w:val="0"/>
        </w:numPr>
        <w:spacing w:after="120" w:afterLines="0" w:line="240" w:lineRule="auto"/>
        <w:jc w:val="both"/>
        <w:rPr>
          <w:color w:val="auto"/>
          <w:highlight w:val="none"/>
        </w:rPr>
      </w:pPr>
    </w:p>
    <w:p w14:paraId="6F2B1140">
      <w:pPr>
        <w:pStyle w:val="26"/>
        <w:widowControl w:val="0"/>
        <w:numPr>
          <w:ilvl w:val="0"/>
          <w:numId w:val="0"/>
        </w:numPr>
        <w:spacing w:after="120" w:afterLines="0" w:line="240" w:lineRule="auto"/>
        <w:jc w:val="both"/>
        <w:rPr>
          <w:color w:val="auto"/>
          <w:highlight w:val="none"/>
        </w:rPr>
      </w:pPr>
    </w:p>
    <w:p w14:paraId="162AF9A6">
      <w:pPr>
        <w:pStyle w:val="26"/>
        <w:widowControl w:val="0"/>
        <w:numPr>
          <w:ilvl w:val="0"/>
          <w:numId w:val="0"/>
        </w:numPr>
        <w:spacing w:after="120" w:afterLines="0" w:line="240" w:lineRule="auto"/>
        <w:jc w:val="both"/>
        <w:rPr>
          <w:color w:val="auto"/>
          <w:highlight w:val="none"/>
        </w:rPr>
      </w:pPr>
    </w:p>
    <w:p w14:paraId="2D5AFC3A">
      <w:pPr>
        <w:pStyle w:val="26"/>
        <w:widowControl w:val="0"/>
        <w:numPr>
          <w:ilvl w:val="0"/>
          <w:numId w:val="0"/>
        </w:numPr>
        <w:spacing w:after="120" w:afterLines="0" w:line="240" w:lineRule="auto"/>
        <w:jc w:val="both"/>
        <w:rPr>
          <w:color w:val="auto"/>
          <w:highlight w:val="none"/>
        </w:rPr>
      </w:pPr>
    </w:p>
    <w:p w14:paraId="2000F0FD">
      <w:pPr>
        <w:pStyle w:val="26"/>
        <w:widowControl w:val="0"/>
        <w:numPr>
          <w:ilvl w:val="0"/>
          <w:numId w:val="0"/>
        </w:numPr>
        <w:spacing w:after="120" w:afterLines="0" w:line="240" w:lineRule="auto"/>
        <w:jc w:val="both"/>
        <w:rPr>
          <w:color w:val="auto"/>
          <w:highlight w:val="none"/>
        </w:rPr>
      </w:pPr>
    </w:p>
    <w:p w14:paraId="6494D243">
      <w:pPr>
        <w:pStyle w:val="26"/>
        <w:widowControl w:val="0"/>
        <w:numPr>
          <w:ilvl w:val="0"/>
          <w:numId w:val="0"/>
        </w:numPr>
        <w:spacing w:after="120" w:afterLines="0" w:line="240" w:lineRule="auto"/>
        <w:jc w:val="both"/>
        <w:rPr>
          <w:color w:val="auto"/>
          <w:highlight w:val="none"/>
        </w:rPr>
      </w:pPr>
    </w:p>
    <w:p w14:paraId="322FA57A">
      <w:pPr>
        <w:pStyle w:val="26"/>
        <w:widowControl w:val="0"/>
        <w:numPr>
          <w:ilvl w:val="0"/>
          <w:numId w:val="0"/>
        </w:numPr>
        <w:spacing w:after="120" w:afterLines="0" w:line="240" w:lineRule="auto"/>
        <w:jc w:val="both"/>
        <w:rPr>
          <w:color w:val="auto"/>
          <w:highlight w:val="none"/>
        </w:rPr>
      </w:pPr>
    </w:p>
    <w:p w14:paraId="12BF7F78">
      <w:pPr>
        <w:pStyle w:val="26"/>
        <w:widowControl w:val="0"/>
        <w:numPr>
          <w:ilvl w:val="0"/>
          <w:numId w:val="0"/>
        </w:numPr>
        <w:spacing w:after="120" w:afterLines="0" w:line="240" w:lineRule="auto"/>
        <w:jc w:val="both"/>
        <w:rPr>
          <w:color w:val="auto"/>
          <w:highlight w:val="none"/>
        </w:rPr>
      </w:pPr>
    </w:p>
    <w:p w14:paraId="168C2512">
      <w:pPr>
        <w:pStyle w:val="26"/>
        <w:widowControl w:val="0"/>
        <w:numPr>
          <w:ilvl w:val="0"/>
          <w:numId w:val="0"/>
        </w:numPr>
        <w:spacing w:after="120" w:afterLines="0" w:line="240" w:lineRule="auto"/>
        <w:jc w:val="both"/>
        <w:rPr>
          <w:color w:val="auto"/>
          <w:highlight w:val="none"/>
        </w:rPr>
      </w:pPr>
    </w:p>
    <w:p w14:paraId="79608E2B">
      <w:pPr>
        <w:pStyle w:val="26"/>
        <w:widowControl w:val="0"/>
        <w:numPr>
          <w:ilvl w:val="0"/>
          <w:numId w:val="0"/>
        </w:numPr>
        <w:spacing w:after="120" w:afterLines="0" w:line="240" w:lineRule="auto"/>
        <w:jc w:val="both"/>
        <w:rPr>
          <w:color w:val="auto"/>
          <w:highlight w:val="none"/>
        </w:rPr>
      </w:pPr>
    </w:p>
    <w:p w14:paraId="5AA05D6F">
      <w:pPr>
        <w:pStyle w:val="26"/>
        <w:widowControl w:val="0"/>
        <w:numPr>
          <w:ilvl w:val="0"/>
          <w:numId w:val="0"/>
        </w:numPr>
        <w:spacing w:after="120" w:afterLines="0" w:line="240" w:lineRule="auto"/>
        <w:jc w:val="both"/>
        <w:rPr>
          <w:color w:val="auto"/>
          <w:highlight w:val="none"/>
        </w:rPr>
      </w:pPr>
    </w:p>
    <w:p w14:paraId="6D1D3FF4">
      <w:pPr>
        <w:pStyle w:val="26"/>
        <w:widowControl w:val="0"/>
        <w:numPr>
          <w:ilvl w:val="0"/>
          <w:numId w:val="0"/>
        </w:numPr>
        <w:spacing w:after="120" w:afterLines="0" w:line="240" w:lineRule="auto"/>
        <w:jc w:val="both"/>
        <w:rPr>
          <w:color w:val="auto"/>
          <w:highlight w:val="none"/>
        </w:rPr>
      </w:pPr>
    </w:p>
    <w:p w14:paraId="75AA4C8F">
      <w:pPr>
        <w:pStyle w:val="26"/>
        <w:widowControl w:val="0"/>
        <w:numPr>
          <w:ilvl w:val="0"/>
          <w:numId w:val="0"/>
        </w:numPr>
        <w:spacing w:after="120" w:afterLines="0" w:line="240" w:lineRule="auto"/>
        <w:jc w:val="both"/>
        <w:rPr>
          <w:color w:val="auto"/>
          <w:highlight w:val="none"/>
        </w:rPr>
      </w:pPr>
    </w:p>
    <w:p w14:paraId="7303B2AE">
      <w:pPr>
        <w:pStyle w:val="26"/>
        <w:widowControl w:val="0"/>
        <w:numPr>
          <w:ilvl w:val="0"/>
          <w:numId w:val="0"/>
        </w:numPr>
        <w:spacing w:after="120" w:afterLines="0" w:line="240" w:lineRule="auto"/>
        <w:jc w:val="both"/>
        <w:rPr>
          <w:color w:val="auto"/>
          <w:highlight w:val="none"/>
        </w:rPr>
      </w:pPr>
    </w:p>
    <w:p w14:paraId="6B25E651">
      <w:pPr>
        <w:pStyle w:val="26"/>
        <w:widowControl w:val="0"/>
        <w:numPr>
          <w:ilvl w:val="0"/>
          <w:numId w:val="0"/>
        </w:numPr>
        <w:spacing w:after="120" w:afterLines="0" w:line="240" w:lineRule="auto"/>
        <w:jc w:val="both"/>
        <w:rPr>
          <w:color w:val="auto"/>
          <w:highlight w:val="none"/>
        </w:rPr>
      </w:pPr>
    </w:p>
    <w:p w14:paraId="0B75E0B1">
      <w:pPr>
        <w:pStyle w:val="26"/>
        <w:widowControl w:val="0"/>
        <w:numPr>
          <w:ilvl w:val="0"/>
          <w:numId w:val="0"/>
        </w:numPr>
        <w:spacing w:after="120" w:afterLines="0" w:line="240" w:lineRule="auto"/>
        <w:jc w:val="both"/>
        <w:rPr>
          <w:color w:val="auto"/>
          <w:highlight w:val="none"/>
        </w:rPr>
      </w:pPr>
    </w:p>
    <w:p w14:paraId="5BD1C2C5">
      <w:pPr>
        <w:pStyle w:val="26"/>
        <w:widowControl w:val="0"/>
        <w:numPr>
          <w:ilvl w:val="0"/>
          <w:numId w:val="0"/>
        </w:numPr>
        <w:spacing w:after="120" w:afterLines="0" w:line="240" w:lineRule="auto"/>
        <w:jc w:val="both"/>
        <w:rPr>
          <w:color w:val="auto"/>
          <w:highlight w:val="none"/>
        </w:rPr>
      </w:pPr>
    </w:p>
    <w:p w14:paraId="0E5C90E2">
      <w:pPr>
        <w:pStyle w:val="26"/>
        <w:widowControl w:val="0"/>
        <w:numPr>
          <w:ilvl w:val="0"/>
          <w:numId w:val="0"/>
        </w:numPr>
        <w:spacing w:after="120" w:afterLines="0" w:line="240" w:lineRule="auto"/>
        <w:jc w:val="both"/>
        <w:rPr>
          <w:color w:val="auto"/>
          <w:highlight w:val="none"/>
        </w:rPr>
      </w:pPr>
    </w:p>
    <w:p w14:paraId="61499915">
      <w:pPr>
        <w:pStyle w:val="26"/>
        <w:widowControl w:val="0"/>
        <w:numPr>
          <w:ilvl w:val="0"/>
          <w:numId w:val="0"/>
        </w:numPr>
        <w:spacing w:after="120" w:afterLines="0" w:line="240" w:lineRule="auto"/>
        <w:jc w:val="both"/>
        <w:rPr>
          <w:color w:val="auto"/>
          <w:highlight w:val="none"/>
        </w:rPr>
      </w:pPr>
    </w:p>
    <w:p w14:paraId="632CA2D4">
      <w:pPr>
        <w:pStyle w:val="26"/>
        <w:widowControl w:val="0"/>
        <w:numPr>
          <w:ilvl w:val="0"/>
          <w:numId w:val="0"/>
        </w:numPr>
        <w:spacing w:after="120" w:afterLines="0" w:line="240" w:lineRule="auto"/>
        <w:jc w:val="both"/>
        <w:rPr>
          <w:color w:val="auto"/>
          <w:highlight w:val="none"/>
        </w:rPr>
      </w:pPr>
    </w:p>
    <w:p w14:paraId="448CC75F">
      <w:pPr>
        <w:pStyle w:val="26"/>
        <w:widowControl w:val="0"/>
        <w:numPr>
          <w:ilvl w:val="0"/>
          <w:numId w:val="0"/>
        </w:numPr>
        <w:spacing w:after="120" w:afterLines="0" w:line="240" w:lineRule="auto"/>
        <w:jc w:val="both"/>
        <w:rPr>
          <w:color w:val="auto"/>
          <w:highlight w:val="none"/>
        </w:rPr>
      </w:pPr>
    </w:p>
    <w:p w14:paraId="2F2833C8">
      <w:pPr>
        <w:pStyle w:val="26"/>
        <w:widowControl w:val="0"/>
        <w:numPr>
          <w:ilvl w:val="0"/>
          <w:numId w:val="0"/>
        </w:numPr>
        <w:spacing w:after="120" w:afterLines="0" w:line="240" w:lineRule="auto"/>
        <w:jc w:val="both"/>
        <w:rPr>
          <w:color w:val="auto"/>
          <w:highlight w:val="none"/>
        </w:rPr>
      </w:pPr>
    </w:p>
    <w:p w14:paraId="4877AFB4">
      <w:pPr>
        <w:pStyle w:val="26"/>
        <w:widowControl w:val="0"/>
        <w:numPr>
          <w:ilvl w:val="0"/>
          <w:numId w:val="0"/>
        </w:numPr>
        <w:spacing w:after="120" w:afterLines="0" w:line="240" w:lineRule="auto"/>
        <w:jc w:val="both"/>
        <w:rPr>
          <w:color w:val="auto"/>
          <w:highlight w:val="none"/>
        </w:rPr>
      </w:pPr>
    </w:p>
    <w:p w14:paraId="5B1901E4">
      <w:pPr>
        <w:pStyle w:val="26"/>
        <w:widowControl w:val="0"/>
        <w:numPr>
          <w:ilvl w:val="0"/>
          <w:numId w:val="0"/>
        </w:numPr>
        <w:spacing w:after="120" w:afterLines="0" w:line="240" w:lineRule="auto"/>
        <w:jc w:val="both"/>
        <w:rPr>
          <w:color w:val="auto"/>
          <w:highlight w:val="none"/>
        </w:rPr>
      </w:pPr>
    </w:p>
    <w:p w14:paraId="57A865F4">
      <w:pPr>
        <w:pStyle w:val="26"/>
        <w:widowControl w:val="0"/>
        <w:numPr>
          <w:ilvl w:val="0"/>
          <w:numId w:val="0"/>
        </w:numPr>
        <w:spacing w:after="120" w:afterLines="0" w:line="240" w:lineRule="auto"/>
        <w:jc w:val="both"/>
        <w:rPr>
          <w:color w:val="auto"/>
          <w:highlight w:val="none"/>
        </w:rPr>
      </w:pPr>
    </w:p>
    <w:p w14:paraId="781B0C8F">
      <w:pPr>
        <w:pStyle w:val="8"/>
        <w:rPr>
          <w:highlight w:val="none"/>
        </w:rPr>
      </w:pPr>
    </w:p>
    <w:p w14:paraId="0C5EC46C">
      <w:pPr>
        <w:pStyle w:val="26"/>
        <w:widowControl w:val="0"/>
        <w:numPr>
          <w:ilvl w:val="0"/>
          <w:numId w:val="0"/>
        </w:numPr>
        <w:spacing w:after="120" w:afterLines="0" w:line="240" w:lineRule="auto"/>
        <w:jc w:val="center"/>
        <w:rPr>
          <w:rFonts w:hint="eastAsia"/>
          <w:b w:val="0"/>
          <w:bCs w:val="0"/>
          <w:color w:val="auto"/>
          <w:sz w:val="28"/>
          <w:szCs w:val="28"/>
          <w:highlight w:val="none"/>
          <w:lang w:eastAsia="zh-CN"/>
        </w:rPr>
      </w:pPr>
      <w:r>
        <w:rPr>
          <w:rFonts w:hint="eastAsia"/>
          <w:b w:val="0"/>
          <w:bCs w:val="0"/>
          <w:color w:val="auto"/>
          <w:sz w:val="28"/>
          <w:szCs w:val="28"/>
          <w:highlight w:val="none"/>
          <w:lang w:val="en-US" w:eastAsia="zh-CN"/>
        </w:rPr>
        <w:t>13、</w:t>
      </w:r>
      <w:r>
        <w:rPr>
          <w:rFonts w:hint="eastAsia"/>
          <w:b w:val="0"/>
          <w:bCs w:val="0"/>
          <w:color w:val="auto"/>
          <w:sz w:val="28"/>
          <w:szCs w:val="28"/>
          <w:highlight w:val="none"/>
          <w:lang w:eastAsia="zh-CN"/>
        </w:rPr>
        <w:t>磋商报价（第二轮）</w:t>
      </w:r>
    </w:p>
    <w:p w14:paraId="1814D406">
      <w:pPr>
        <w:pStyle w:val="26"/>
        <w:widowControl w:val="0"/>
        <w:numPr>
          <w:ilvl w:val="0"/>
          <w:numId w:val="0"/>
        </w:numPr>
        <w:spacing w:after="120" w:afterLines="0" w:line="240" w:lineRule="auto"/>
        <w:jc w:val="center"/>
        <w:rPr>
          <w:rFonts w:hint="eastAsia"/>
          <w:b w:val="0"/>
          <w:bCs w:val="0"/>
          <w:color w:val="auto"/>
          <w:sz w:val="28"/>
          <w:szCs w:val="28"/>
          <w:highlight w:val="none"/>
          <w:lang w:val="en-US" w:eastAsia="zh-CN"/>
        </w:rPr>
      </w:pPr>
    </w:p>
    <w:p w14:paraId="20862EB2">
      <w:pPr>
        <w:pStyle w:val="26"/>
        <w:widowControl w:val="0"/>
        <w:numPr>
          <w:ilvl w:val="0"/>
          <w:numId w:val="0"/>
        </w:numPr>
        <w:spacing w:after="120" w:afterLines="0" w:line="240" w:lineRule="auto"/>
        <w:jc w:val="center"/>
        <w:rPr>
          <w:rFonts w:hint="eastAsia"/>
          <w:b w:val="0"/>
          <w:bCs w:val="0"/>
          <w:color w:val="auto"/>
          <w:sz w:val="28"/>
          <w:szCs w:val="28"/>
          <w:highlight w:val="none"/>
          <w:lang w:val="en-US" w:eastAsia="zh-CN"/>
        </w:rPr>
      </w:pPr>
    </w:p>
    <w:p w14:paraId="0643C5C2">
      <w:pPr>
        <w:pStyle w:val="26"/>
        <w:widowControl w:val="0"/>
        <w:numPr>
          <w:ilvl w:val="0"/>
          <w:numId w:val="0"/>
        </w:numPr>
        <w:spacing w:after="120" w:afterLines="0" w:line="240" w:lineRule="auto"/>
        <w:jc w:val="center"/>
        <w:rPr>
          <w:rFonts w:hint="eastAsia"/>
          <w:b w:val="0"/>
          <w:bCs w:val="0"/>
          <w:color w:val="auto"/>
          <w:sz w:val="28"/>
          <w:szCs w:val="28"/>
          <w:highlight w:val="none"/>
          <w:lang w:val="en-US" w:eastAsia="zh-CN"/>
        </w:rPr>
      </w:pPr>
    </w:p>
    <w:p w14:paraId="3BBB00C5">
      <w:pPr>
        <w:pStyle w:val="26"/>
        <w:widowControl w:val="0"/>
        <w:numPr>
          <w:ilvl w:val="0"/>
          <w:numId w:val="0"/>
        </w:numPr>
        <w:spacing w:after="120" w:afterLines="0" w:line="240" w:lineRule="auto"/>
        <w:jc w:val="center"/>
        <w:rPr>
          <w:rFonts w:hint="eastAsia"/>
          <w:b w:val="0"/>
          <w:bCs w:val="0"/>
          <w:color w:val="auto"/>
          <w:sz w:val="28"/>
          <w:szCs w:val="28"/>
          <w:highlight w:val="none"/>
          <w:lang w:val="en-US" w:eastAsia="zh-CN"/>
        </w:rPr>
      </w:pPr>
    </w:p>
    <w:p w14:paraId="7358C8FC">
      <w:pPr>
        <w:pStyle w:val="26"/>
        <w:widowControl w:val="0"/>
        <w:numPr>
          <w:ilvl w:val="0"/>
          <w:numId w:val="0"/>
        </w:numPr>
        <w:spacing w:after="120" w:afterLines="0" w:line="240" w:lineRule="auto"/>
        <w:jc w:val="center"/>
        <w:rPr>
          <w:rFonts w:hint="eastAsia"/>
          <w:b w:val="0"/>
          <w:bCs w:val="0"/>
          <w:color w:val="auto"/>
          <w:sz w:val="28"/>
          <w:szCs w:val="28"/>
          <w:highlight w:val="none"/>
          <w:lang w:val="en-US" w:eastAsia="zh-CN"/>
        </w:rPr>
      </w:pPr>
    </w:p>
    <w:p w14:paraId="7B9B5CE0">
      <w:pPr>
        <w:pStyle w:val="26"/>
        <w:widowControl w:val="0"/>
        <w:numPr>
          <w:ilvl w:val="0"/>
          <w:numId w:val="0"/>
        </w:numPr>
        <w:spacing w:after="120" w:afterLines="0" w:line="240" w:lineRule="auto"/>
        <w:jc w:val="center"/>
        <w:rPr>
          <w:rFonts w:hint="eastAsia"/>
          <w:b w:val="0"/>
          <w:bCs w:val="0"/>
          <w:color w:val="auto"/>
          <w:sz w:val="28"/>
          <w:szCs w:val="28"/>
          <w:highlight w:val="none"/>
          <w:lang w:val="en-US" w:eastAsia="zh-CN"/>
        </w:rPr>
      </w:pPr>
    </w:p>
    <w:p w14:paraId="14B11E28">
      <w:pPr>
        <w:pStyle w:val="26"/>
        <w:widowControl w:val="0"/>
        <w:numPr>
          <w:ilvl w:val="0"/>
          <w:numId w:val="0"/>
        </w:numPr>
        <w:wordWrap/>
        <w:adjustRightInd/>
        <w:snapToGrid/>
        <w:spacing w:after="120" w:afterLines="0" w:line="360" w:lineRule="auto"/>
        <w:ind w:firstLine="420" w:firstLineChars="200"/>
        <w:jc w:val="left"/>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注：所有供应商开标结束后，在进行第二轮报价前，应一直保持在线状态，方便第二轮报价及时通知。</w:t>
      </w:r>
    </w:p>
    <w:p w14:paraId="5274FEF1">
      <w:pPr>
        <w:rPr>
          <w:color w:val="auto"/>
          <w:highlight w:val="none"/>
        </w:rPr>
      </w:pPr>
    </w:p>
    <w:sectPr>
      <w:headerReference r:id="rId9" w:type="default"/>
      <w:footerReference r:id="rId10" w:type="default"/>
      <w:pgSz w:w="11911" w:h="16838"/>
      <w:pgMar w:top="1440" w:right="1803" w:bottom="1440" w:left="1803"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B5AD28-A240-44E7-84DC-71FBFAC48C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5B2880E-30D8-4779-AAE3-8DFAC8CDEC58}"/>
  </w:font>
  <w:font w:name="汉鼎简楷体">
    <w:altName w:val="宋体"/>
    <w:panose1 w:val="00000000000000000000"/>
    <w:charset w:val="86"/>
    <w:family w:val="auto"/>
    <w:pitch w:val="default"/>
    <w:sig w:usb0="00000000" w:usb1="00000000" w:usb2="00000010" w:usb3="00000000" w:csb0="00040000" w:csb1="00000000"/>
    <w:embedRegular r:id="rId3" w:fontKey="{01645B86-D520-40AB-BAAD-E4E079AEEE42}"/>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6EAB60AA-ECE2-4453-A436-3A6E4BF2B83D}"/>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embedRegular r:id="rId5" w:fontKey="{7F191A91-ADA4-499A-8B5C-5253ABBA196B}"/>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embedRegular r:id="rId6" w:fontKey="{ED8568F2-0568-42AD-995B-5061048289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6FA4F">
    <w:pPr>
      <w:pStyle w:val="15"/>
      <w:jc w:val="both"/>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4CAD6B8">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pUdO/EAQAAjwMAAA4AAABkcnMvZTJvRG9jLnhtbK1TzY7TMBC+I/EO&#10;lu80abV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pUdO/EAQAAjwMAAA4AAAAAAAAAAQAgAAAAHwEAAGRycy9lMm9Eb2MueG1s&#10;UEsFBgAAAAAGAAYAWQEAAFUFAAAAAA==&#10;">
              <v:fill on="f" focussize="0,0"/>
              <v:stroke on="f"/>
              <v:imagedata o:title=""/>
              <o:lock v:ext="edit" aspectratio="f"/>
              <v:textbox inset="0mm,0mm,0mm,0mm" style="mso-fit-shape-to-text:t;">
                <w:txbxContent>
                  <w:p w14:paraId="64CAD6B8">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F9A56">
    <w:pPr>
      <w:pStyle w:val="15"/>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F7A4699">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1">
                      <a:spAutoFit/>
                    </wps:bodyPr>
                  </wps:wsp>
                </a:graphicData>
              </a:graphic>
            </wp:anchor>
          </w:drawing>
        </mc:Choice>
        <mc:Fallback>
          <w:pict>
            <v:rect id="矩形 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F2iGA3BAQAAjwMAAA4AAAAAAAAAAQAgAAAAHwEAAGRycy9lMm9Eb2MueG1sUEsF&#10;BgAAAAAGAAYAWQEAAFIFAAAAAA==&#10;">
              <v:fill on="f" focussize="0,0"/>
              <v:stroke on="f"/>
              <v:imagedata o:title=""/>
              <o:lock v:ext="edit" aspectratio="f"/>
              <v:textbox inset="0mm,0mm,0mm,0mm" style="mso-fit-shape-to-text:t;">
                <w:txbxContent>
                  <w:p w14:paraId="4F7A4699">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83E2B">
    <w:pPr>
      <w:pStyle w:val="15"/>
      <w:jc w:val="center"/>
      <w:rPr>
        <w:rFonts w:hint="eastAsia" w:eastAsia="宋体"/>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FA3CDE">
                          <w:pPr>
                            <w:pStyle w:val="1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cUhcsBAACc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jHFIXLAQAAnAMAAA4AAAAAAAAAAQAgAAAAHgEAAGRycy9lMm9E&#10;b2MueG1sUEsFBgAAAAAGAAYAWQEAAFsFAAAAAA==&#10;">
              <v:fill on="f" focussize="0,0"/>
              <v:stroke on="f"/>
              <v:imagedata o:title=""/>
              <o:lock v:ext="edit" aspectratio="f"/>
              <v:textbox inset="0mm,0mm,0mm,0mm" style="mso-fit-shape-to-text:t;">
                <w:txbxContent>
                  <w:p w14:paraId="4CFA3CDE">
                    <w:pPr>
                      <w:pStyle w:val="1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99E49">
    <w:pPr>
      <w:pStyle w:val="15"/>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3448C8F">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9uXj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T9uXjEAQAAjwMAAA4AAAAAAAAAAQAgAAAAHwEAAGRycy9lMm9Eb2MueG1s&#10;UEsFBgAAAAAGAAYAWQEAAFUFAAAAAA==&#10;">
              <v:fill on="f" focussize="0,0"/>
              <v:stroke on="f"/>
              <v:imagedata o:title=""/>
              <o:lock v:ext="edit" aspectratio="f"/>
              <v:textbox inset="0mm,0mm,0mm,0mm" style="mso-fit-shape-to-text:t;">
                <w:txbxContent>
                  <w:p w14:paraId="73448C8F">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169ED">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9F0D8">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08201">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9D47F">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E2080"/>
    <w:multiLevelType w:val="singleLevel"/>
    <w:tmpl w:val="A2AE2080"/>
    <w:lvl w:ilvl="0" w:tentative="0">
      <w:start w:val="5"/>
      <w:numFmt w:val="chineseCounting"/>
      <w:suff w:val="space"/>
      <w:lvlText w:val="第%1章"/>
      <w:lvlJc w:val="left"/>
      <w:rPr>
        <w:rFonts w:hint="eastAsia"/>
      </w:rPr>
    </w:lvl>
  </w:abstractNum>
  <w:abstractNum w:abstractNumId="1">
    <w:nsid w:val="BDB85143"/>
    <w:multiLevelType w:val="singleLevel"/>
    <w:tmpl w:val="BDB85143"/>
    <w:lvl w:ilvl="0" w:tentative="0">
      <w:start w:val="1"/>
      <w:numFmt w:val="decimal"/>
      <w:suff w:val="nothing"/>
      <w:lvlText w:val="%1、"/>
      <w:lvlJc w:val="left"/>
    </w:lvl>
  </w:abstractNum>
  <w:abstractNum w:abstractNumId="2">
    <w:nsid w:val="F3BF84BB"/>
    <w:multiLevelType w:val="singleLevel"/>
    <w:tmpl w:val="F3BF84BB"/>
    <w:lvl w:ilvl="0" w:tentative="0">
      <w:start w:val="3"/>
      <w:numFmt w:val="chineseCounting"/>
      <w:suff w:val="space"/>
      <w:lvlText w:val="第%1章"/>
      <w:lvlJc w:val="left"/>
      <w:rPr>
        <w:rFonts w:hint="eastAsia"/>
      </w:rPr>
    </w:lvl>
  </w:abstractNum>
  <w:abstractNum w:abstractNumId="3">
    <w:nsid w:val="F582B28B"/>
    <w:multiLevelType w:val="singleLevel"/>
    <w:tmpl w:val="F582B28B"/>
    <w:lvl w:ilvl="0" w:tentative="0">
      <w:start w:val="2"/>
      <w:numFmt w:val="decimal"/>
      <w:lvlText w:val="%1."/>
      <w:lvlJc w:val="left"/>
      <w:pPr>
        <w:tabs>
          <w:tab w:val="left" w:pos="312"/>
        </w:tabs>
      </w:pPr>
    </w:lvl>
  </w:abstractNum>
  <w:abstractNum w:abstractNumId="4">
    <w:nsid w:val="00000008"/>
    <w:multiLevelType w:val="multilevel"/>
    <w:tmpl w:val="00000008"/>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000012"/>
    <w:multiLevelType w:val="singleLevel"/>
    <w:tmpl w:val="00000012"/>
    <w:lvl w:ilvl="0" w:tentative="0">
      <w:start w:val="1"/>
      <w:numFmt w:val="decimal"/>
      <w:pStyle w:val="53"/>
      <w:lvlText w:val="%1."/>
      <w:lvlJc w:val="left"/>
      <w:pPr>
        <w:tabs>
          <w:tab w:val="left" w:pos="1200"/>
        </w:tabs>
        <w:ind w:left="1200" w:hanging="360"/>
      </w:pPr>
    </w:lvl>
  </w:abstractNum>
  <w:abstractNum w:abstractNumId="7">
    <w:nsid w:val="7D13271B"/>
    <w:multiLevelType w:val="singleLevel"/>
    <w:tmpl w:val="7D13271B"/>
    <w:lvl w:ilvl="0" w:tentative="0">
      <w:start w:val="1"/>
      <w:numFmt w:val="decimal"/>
      <w:lvlText w:val="%1."/>
      <w:lvlJc w:val="left"/>
      <w:pPr>
        <w:tabs>
          <w:tab w:val="left" w:pos="312"/>
        </w:tabs>
      </w:pPr>
    </w:lvl>
  </w:abstractNum>
  <w:num w:numId="1">
    <w:abstractNumId w:val="4"/>
  </w:num>
  <w:num w:numId="2">
    <w:abstractNumId w:val="6"/>
  </w:num>
  <w:num w:numId="3">
    <w:abstractNumId w:val="7"/>
  </w:num>
  <w:num w:numId="4">
    <w:abstractNumId w:val="5"/>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GFjYzNiYTBhYzk2YmY2OWU2NzZjMWE1NmUxZGMifQ=="/>
    <w:docVar w:name="KSO_WPS_MARK_KEY" w:val="acfa1953-cd24-40a1-89be-f055336f0283"/>
  </w:docVars>
  <w:rsids>
    <w:rsidRoot w:val="00A55041"/>
    <w:rsid w:val="00004EEE"/>
    <w:rsid w:val="000E53AE"/>
    <w:rsid w:val="002E1F6F"/>
    <w:rsid w:val="00314D84"/>
    <w:rsid w:val="00316269"/>
    <w:rsid w:val="003532FE"/>
    <w:rsid w:val="003F6EE1"/>
    <w:rsid w:val="00416450"/>
    <w:rsid w:val="005F4163"/>
    <w:rsid w:val="006E3F98"/>
    <w:rsid w:val="0075194C"/>
    <w:rsid w:val="007A3406"/>
    <w:rsid w:val="008A4EAD"/>
    <w:rsid w:val="009009B7"/>
    <w:rsid w:val="00956C5B"/>
    <w:rsid w:val="00975D66"/>
    <w:rsid w:val="009C7964"/>
    <w:rsid w:val="009E70F5"/>
    <w:rsid w:val="00A55041"/>
    <w:rsid w:val="00B47A81"/>
    <w:rsid w:val="00BD28F7"/>
    <w:rsid w:val="00C66630"/>
    <w:rsid w:val="00DE7077"/>
    <w:rsid w:val="00EB7E60"/>
    <w:rsid w:val="00EC00DA"/>
    <w:rsid w:val="00F431B9"/>
    <w:rsid w:val="01097E6E"/>
    <w:rsid w:val="01137943"/>
    <w:rsid w:val="011B0745"/>
    <w:rsid w:val="012E39BC"/>
    <w:rsid w:val="017E34AF"/>
    <w:rsid w:val="01944B1E"/>
    <w:rsid w:val="0196601E"/>
    <w:rsid w:val="019E3125"/>
    <w:rsid w:val="01D15AEA"/>
    <w:rsid w:val="01DF5ECB"/>
    <w:rsid w:val="020B07BA"/>
    <w:rsid w:val="021138F7"/>
    <w:rsid w:val="02281B92"/>
    <w:rsid w:val="02290945"/>
    <w:rsid w:val="022C3D0F"/>
    <w:rsid w:val="02447174"/>
    <w:rsid w:val="024A56FE"/>
    <w:rsid w:val="026143C7"/>
    <w:rsid w:val="02666832"/>
    <w:rsid w:val="026B3007"/>
    <w:rsid w:val="026B5680"/>
    <w:rsid w:val="029007B5"/>
    <w:rsid w:val="029E2FA2"/>
    <w:rsid w:val="02A1111E"/>
    <w:rsid w:val="02AD1871"/>
    <w:rsid w:val="02B56978"/>
    <w:rsid w:val="02B768ED"/>
    <w:rsid w:val="02D64744"/>
    <w:rsid w:val="02DA4630"/>
    <w:rsid w:val="02E00616"/>
    <w:rsid w:val="02E35293"/>
    <w:rsid w:val="02EB4148"/>
    <w:rsid w:val="02EB5262"/>
    <w:rsid w:val="02FF66D3"/>
    <w:rsid w:val="0301396B"/>
    <w:rsid w:val="03015901"/>
    <w:rsid w:val="03197AE2"/>
    <w:rsid w:val="031C6D0F"/>
    <w:rsid w:val="03215DBB"/>
    <w:rsid w:val="03280EF8"/>
    <w:rsid w:val="03345AEF"/>
    <w:rsid w:val="03471C42"/>
    <w:rsid w:val="034A7629"/>
    <w:rsid w:val="03521A41"/>
    <w:rsid w:val="03685798"/>
    <w:rsid w:val="036A6DDA"/>
    <w:rsid w:val="03860948"/>
    <w:rsid w:val="038D497C"/>
    <w:rsid w:val="03AC38D7"/>
    <w:rsid w:val="03B46C2F"/>
    <w:rsid w:val="03C70210"/>
    <w:rsid w:val="03CA6453"/>
    <w:rsid w:val="03ED19F3"/>
    <w:rsid w:val="03F25030"/>
    <w:rsid w:val="0402799B"/>
    <w:rsid w:val="04076027"/>
    <w:rsid w:val="040F7BF6"/>
    <w:rsid w:val="04153A87"/>
    <w:rsid w:val="04162219"/>
    <w:rsid w:val="04176207"/>
    <w:rsid w:val="041871BE"/>
    <w:rsid w:val="042E69E2"/>
    <w:rsid w:val="04312352"/>
    <w:rsid w:val="0431629A"/>
    <w:rsid w:val="044E0E32"/>
    <w:rsid w:val="04500A4D"/>
    <w:rsid w:val="0452796F"/>
    <w:rsid w:val="045743D0"/>
    <w:rsid w:val="04581CB1"/>
    <w:rsid w:val="04636EA7"/>
    <w:rsid w:val="046D4195"/>
    <w:rsid w:val="04891E6A"/>
    <w:rsid w:val="0491070F"/>
    <w:rsid w:val="04934A97"/>
    <w:rsid w:val="04952FCD"/>
    <w:rsid w:val="049E4141"/>
    <w:rsid w:val="04A1639B"/>
    <w:rsid w:val="04B354CF"/>
    <w:rsid w:val="04C17F62"/>
    <w:rsid w:val="04CC1D57"/>
    <w:rsid w:val="04CE6DB8"/>
    <w:rsid w:val="04D60F61"/>
    <w:rsid w:val="04F259A4"/>
    <w:rsid w:val="050B57E3"/>
    <w:rsid w:val="051300AE"/>
    <w:rsid w:val="05132F0E"/>
    <w:rsid w:val="051536FE"/>
    <w:rsid w:val="05501DFD"/>
    <w:rsid w:val="055155A3"/>
    <w:rsid w:val="055627B3"/>
    <w:rsid w:val="055866A0"/>
    <w:rsid w:val="055F2BCB"/>
    <w:rsid w:val="056C43F9"/>
    <w:rsid w:val="0570053C"/>
    <w:rsid w:val="057E3667"/>
    <w:rsid w:val="057F57CA"/>
    <w:rsid w:val="05A14BA7"/>
    <w:rsid w:val="05A84572"/>
    <w:rsid w:val="05BB24F7"/>
    <w:rsid w:val="05E80E12"/>
    <w:rsid w:val="05EC0902"/>
    <w:rsid w:val="05ED115B"/>
    <w:rsid w:val="05FF7391"/>
    <w:rsid w:val="060043AE"/>
    <w:rsid w:val="06085010"/>
    <w:rsid w:val="060A0966"/>
    <w:rsid w:val="06264FD6"/>
    <w:rsid w:val="063B53E6"/>
    <w:rsid w:val="065169B7"/>
    <w:rsid w:val="06784ADD"/>
    <w:rsid w:val="06825337"/>
    <w:rsid w:val="069F5975"/>
    <w:rsid w:val="06B97E60"/>
    <w:rsid w:val="06CC603E"/>
    <w:rsid w:val="06E23AB3"/>
    <w:rsid w:val="06ED1BD3"/>
    <w:rsid w:val="07093564"/>
    <w:rsid w:val="07260519"/>
    <w:rsid w:val="072916E2"/>
    <w:rsid w:val="072C6C75"/>
    <w:rsid w:val="073A2995"/>
    <w:rsid w:val="073A569E"/>
    <w:rsid w:val="073E6F3C"/>
    <w:rsid w:val="07461592"/>
    <w:rsid w:val="07462BA8"/>
    <w:rsid w:val="075345D3"/>
    <w:rsid w:val="0756645B"/>
    <w:rsid w:val="076C2BA4"/>
    <w:rsid w:val="078D4321"/>
    <w:rsid w:val="07A73A79"/>
    <w:rsid w:val="07B40FAC"/>
    <w:rsid w:val="07B7297B"/>
    <w:rsid w:val="07CD206E"/>
    <w:rsid w:val="07F41CF0"/>
    <w:rsid w:val="07FB307F"/>
    <w:rsid w:val="08145EEF"/>
    <w:rsid w:val="08183C31"/>
    <w:rsid w:val="081D1247"/>
    <w:rsid w:val="082A5712"/>
    <w:rsid w:val="082D0EFD"/>
    <w:rsid w:val="08387E2F"/>
    <w:rsid w:val="0841550D"/>
    <w:rsid w:val="08457F80"/>
    <w:rsid w:val="086C262D"/>
    <w:rsid w:val="087D1CE6"/>
    <w:rsid w:val="08850B9A"/>
    <w:rsid w:val="08990393"/>
    <w:rsid w:val="089C6F9F"/>
    <w:rsid w:val="08AC5436"/>
    <w:rsid w:val="08B35707"/>
    <w:rsid w:val="08B54035"/>
    <w:rsid w:val="08B9367A"/>
    <w:rsid w:val="08CD4B4E"/>
    <w:rsid w:val="08D4742C"/>
    <w:rsid w:val="08E5064E"/>
    <w:rsid w:val="090E0CED"/>
    <w:rsid w:val="09164210"/>
    <w:rsid w:val="094B3FAB"/>
    <w:rsid w:val="094E3682"/>
    <w:rsid w:val="09727863"/>
    <w:rsid w:val="09880942"/>
    <w:rsid w:val="098D50D2"/>
    <w:rsid w:val="098E3A7F"/>
    <w:rsid w:val="098F1CD1"/>
    <w:rsid w:val="09A8358A"/>
    <w:rsid w:val="09BE2D78"/>
    <w:rsid w:val="09C2104E"/>
    <w:rsid w:val="09CA0F24"/>
    <w:rsid w:val="09E2527B"/>
    <w:rsid w:val="09EE4050"/>
    <w:rsid w:val="0A165F4E"/>
    <w:rsid w:val="0A1A1ABD"/>
    <w:rsid w:val="0A2A6F5C"/>
    <w:rsid w:val="0A3208AE"/>
    <w:rsid w:val="0A446064"/>
    <w:rsid w:val="0A466107"/>
    <w:rsid w:val="0A5B7E05"/>
    <w:rsid w:val="0A6F1448"/>
    <w:rsid w:val="0A726EFC"/>
    <w:rsid w:val="0A930B1E"/>
    <w:rsid w:val="0A9E1902"/>
    <w:rsid w:val="0AA90C24"/>
    <w:rsid w:val="0AB551BF"/>
    <w:rsid w:val="0AB75CD0"/>
    <w:rsid w:val="0ABD0ABF"/>
    <w:rsid w:val="0AC3411D"/>
    <w:rsid w:val="0AD025A1"/>
    <w:rsid w:val="0AD41965"/>
    <w:rsid w:val="0AD77D20"/>
    <w:rsid w:val="0ADF4592"/>
    <w:rsid w:val="0AE4604C"/>
    <w:rsid w:val="0AE917BE"/>
    <w:rsid w:val="0AED6323"/>
    <w:rsid w:val="0AF26211"/>
    <w:rsid w:val="0AF81AF7"/>
    <w:rsid w:val="0B091922"/>
    <w:rsid w:val="0B240511"/>
    <w:rsid w:val="0B2428ED"/>
    <w:rsid w:val="0B293A5F"/>
    <w:rsid w:val="0B2E7143"/>
    <w:rsid w:val="0B334FD6"/>
    <w:rsid w:val="0B3D6181"/>
    <w:rsid w:val="0B4214C2"/>
    <w:rsid w:val="0B4B6558"/>
    <w:rsid w:val="0B500328"/>
    <w:rsid w:val="0B550CF2"/>
    <w:rsid w:val="0B720CBA"/>
    <w:rsid w:val="0B7423F7"/>
    <w:rsid w:val="0B883A47"/>
    <w:rsid w:val="0B907F82"/>
    <w:rsid w:val="0BAA53CD"/>
    <w:rsid w:val="0BAA7BE9"/>
    <w:rsid w:val="0BB91287"/>
    <w:rsid w:val="0BBE689D"/>
    <w:rsid w:val="0BC34CFF"/>
    <w:rsid w:val="0BDE0283"/>
    <w:rsid w:val="0BE853EC"/>
    <w:rsid w:val="0BED187B"/>
    <w:rsid w:val="0BED37EB"/>
    <w:rsid w:val="0C083FBC"/>
    <w:rsid w:val="0C0B4328"/>
    <w:rsid w:val="0C201306"/>
    <w:rsid w:val="0C25691C"/>
    <w:rsid w:val="0C2B30D4"/>
    <w:rsid w:val="0C4274CE"/>
    <w:rsid w:val="0C4C20FB"/>
    <w:rsid w:val="0C4E0B8C"/>
    <w:rsid w:val="0C605BA6"/>
    <w:rsid w:val="0C760F26"/>
    <w:rsid w:val="0C9D4705"/>
    <w:rsid w:val="0CA914B5"/>
    <w:rsid w:val="0CAD6813"/>
    <w:rsid w:val="0CB72DB9"/>
    <w:rsid w:val="0CCA1272"/>
    <w:rsid w:val="0CDE6ACB"/>
    <w:rsid w:val="0CF4009D"/>
    <w:rsid w:val="0D007C1D"/>
    <w:rsid w:val="0D05744B"/>
    <w:rsid w:val="0D0D2EA7"/>
    <w:rsid w:val="0D0F3C61"/>
    <w:rsid w:val="0D1869C8"/>
    <w:rsid w:val="0D2B67C6"/>
    <w:rsid w:val="0D3A63F7"/>
    <w:rsid w:val="0D3C216F"/>
    <w:rsid w:val="0D5A73E2"/>
    <w:rsid w:val="0D5C047C"/>
    <w:rsid w:val="0D662D85"/>
    <w:rsid w:val="0D6B7625"/>
    <w:rsid w:val="0D7F4D31"/>
    <w:rsid w:val="0D86621B"/>
    <w:rsid w:val="0DB711B7"/>
    <w:rsid w:val="0DD463C0"/>
    <w:rsid w:val="0DE65386"/>
    <w:rsid w:val="0DEE7B9E"/>
    <w:rsid w:val="0DFC36AD"/>
    <w:rsid w:val="0E214497"/>
    <w:rsid w:val="0E3A53C5"/>
    <w:rsid w:val="0E4F1A2E"/>
    <w:rsid w:val="0E677E76"/>
    <w:rsid w:val="0E6A4ABA"/>
    <w:rsid w:val="0E6B4F19"/>
    <w:rsid w:val="0E6F20D1"/>
    <w:rsid w:val="0E9C279A"/>
    <w:rsid w:val="0E9F33DC"/>
    <w:rsid w:val="0EA7616C"/>
    <w:rsid w:val="0EB146BF"/>
    <w:rsid w:val="0ED465C4"/>
    <w:rsid w:val="0EDA2CB7"/>
    <w:rsid w:val="0EE17B92"/>
    <w:rsid w:val="0EF7212F"/>
    <w:rsid w:val="0EF900CD"/>
    <w:rsid w:val="0F0A004B"/>
    <w:rsid w:val="0F1923E5"/>
    <w:rsid w:val="0F1D67DE"/>
    <w:rsid w:val="0F1E7653"/>
    <w:rsid w:val="0F281645"/>
    <w:rsid w:val="0F5E00D3"/>
    <w:rsid w:val="0F661726"/>
    <w:rsid w:val="0F707EAE"/>
    <w:rsid w:val="0F713C26"/>
    <w:rsid w:val="0F714EA5"/>
    <w:rsid w:val="0F733186"/>
    <w:rsid w:val="0F824086"/>
    <w:rsid w:val="0FA4224E"/>
    <w:rsid w:val="0FB0474F"/>
    <w:rsid w:val="0FB76D43"/>
    <w:rsid w:val="0FC1695C"/>
    <w:rsid w:val="0FCF5D19"/>
    <w:rsid w:val="0FD146C5"/>
    <w:rsid w:val="0FDE3F3E"/>
    <w:rsid w:val="0FE45463"/>
    <w:rsid w:val="0FE70FC2"/>
    <w:rsid w:val="0FF2480F"/>
    <w:rsid w:val="0FF752A0"/>
    <w:rsid w:val="10162EAC"/>
    <w:rsid w:val="102F7604"/>
    <w:rsid w:val="103A5288"/>
    <w:rsid w:val="103B58EF"/>
    <w:rsid w:val="103E71E0"/>
    <w:rsid w:val="10451639"/>
    <w:rsid w:val="105A7418"/>
    <w:rsid w:val="10714BF2"/>
    <w:rsid w:val="107366F0"/>
    <w:rsid w:val="107F4121"/>
    <w:rsid w:val="108B0C6E"/>
    <w:rsid w:val="108C6F6A"/>
    <w:rsid w:val="10925AEA"/>
    <w:rsid w:val="10972808"/>
    <w:rsid w:val="10B65D28"/>
    <w:rsid w:val="10D206F5"/>
    <w:rsid w:val="10E1516D"/>
    <w:rsid w:val="10E2019C"/>
    <w:rsid w:val="10E34306"/>
    <w:rsid w:val="10E7474E"/>
    <w:rsid w:val="10EC2212"/>
    <w:rsid w:val="10FB5E9E"/>
    <w:rsid w:val="11072D2D"/>
    <w:rsid w:val="111451B1"/>
    <w:rsid w:val="11194576"/>
    <w:rsid w:val="111E0FFA"/>
    <w:rsid w:val="113A3267"/>
    <w:rsid w:val="11407D54"/>
    <w:rsid w:val="114535BD"/>
    <w:rsid w:val="115870E1"/>
    <w:rsid w:val="11751D7F"/>
    <w:rsid w:val="11762FD6"/>
    <w:rsid w:val="1190104B"/>
    <w:rsid w:val="11911867"/>
    <w:rsid w:val="119A7465"/>
    <w:rsid w:val="11AE1162"/>
    <w:rsid w:val="11B637C7"/>
    <w:rsid w:val="11CA5292"/>
    <w:rsid w:val="11CC15E8"/>
    <w:rsid w:val="11CD1E0A"/>
    <w:rsid w:val="11D83032"/>
    <w:rsid w:val="11D860B5"/>
    <w:rsid w:val="11EA5181"/>
    <w:rsid w:val="11ED132D"/>
    <w:rsid w:val="11F50B3F"/>
    <w:rsid w:val="11FA6155"/>
    <w:rsid w:val="11FF27F2"/>
    <w:rsid w:val="12104D94"/>
    <w:rsid w:val="12217B86"/>
    <w:rsid w:val="122A08EA"/>
    <w:rsid w:val="12301B77"/>
    <w:rsid w:val="12372F05"/>
    <w:rsid w:val="123E24E6"/>
    <w:rsid w:val="124B69B1"/>
    <w:rsid w:val="125569E5"/>
    <w:rsid w:val="126441E2"/>
    <w:rsid w:val="126F3D30"/>
    <w:rsid w:val="1271435D"/>
    <w:rsid w:val="127557DC"/>
    <w:rsid w:val="12795FF5"/>
    <w:rsid w:val="12825667"/>
    <w:rsid w:val="12AC5F34"/>
    <w:rsid w:val="12AF0CEE"/>
    <w:rsid w:val="12B409FA"/>
    <w:rsid w:val="12B4677B"/>
    <w:rsid w:val="12BB371A"/>
    <w:rsid w:val="12C80001"/>
    <w:rsid w:val="12D9220E"/>
    <w:rsid w:val="12E0359D"/>
    <w:rsid w:val="12E11D36"/>
    <w:rsid w:val="12E81C7E"/>
    <w:rsid w:val="12F93004"/>
    <w:rsid w:val="131A4CE4"/>
    <w:rsid w:val="131A5DF5"/>
    <w:rsid w:val="131D2F47"/>
    <w:rsid w:val="132D60B6"/>
    <w:rsid w:val="133E565C"/>
    <w:rsid w:val="1356270A"/>
    <w:rsid w:val="1356385F"/>
    <w:rsid w:val="135D4BEE"/>
    <w:rsid w:val="136A3C05"/>
    <w:rsid w:val="138A52B7"/>
    <w:rsid w:val="13902784"/>
    <w:rsid w:val="13A22600"/>
    <w:rsid w:val="13AC7923"/>
    <w:rsid w:val="13AE71F7"/>
    <w:rsid w:val="13B005A5"/>
    <w:rsid w:val="13BD38DE"/>
    <w:rsid w:val="13CB5EF3"/>
    <w:rsid w:val="13F15336"/>
    <w:rsid w:val="13F84732"/>
    <w:rsid w:val="13FF3EF7"/>
    <w:rsid w:val="142C45C0"/>
    <w:rsid w:val="14352DEE"/>
    <w:rsid w:val="14432035"/>
    <w:rsid w:val="14491B38"/>
    <w:rsid w:val="144B5E57"/>
    <w:rsid w:val="14593F31"/>
    <w:rsid w:val="147B3CDD"/>
    <w:rsid w:val="1485540F"/>
    <w:rsid w:val="14883EEC"/>
    <w:rsid w:val="148F6BEE"/>
    <w:rsid w:val="14945A9A"/>
    <w:rsid w:val="14C226CB"/>
    <w:rsid w:val="14DB226E"/>
    <w:rsid w:val="14E20B1F"/>
    <w:rsid w:val="14E25071"/>
    <w:rsid w:val="14E30102"/>
    <w:rsid w:val="14E4000E"/>
    <w:rsid w:val="14E76F2B"/>
    <w:rsid w:val="15107A3E"/>
    <w:rsid w:val="1514752E"/>
    <w:rsid w:val="151D4DB4"/>
    <w:rsid w:val="15231D6C"/>
    <w:rsid w:val="152857F0"/>
    <w:rsid w:val="152B4D84"/>
    <w:rsid w:val="15305766"/>
    <w:rsid w:val="154C4DBC"/>
    <w:rsid w:val="154D6EEE"/>
    <w:rsid w:val="15657010"/>
    <w:rsid w:val="1575571D"/>
    <w:rsid w:val="157C2E91"/>
    <w:rsid w:val="158817FA"/>
    <w:rsid w:val="158D458D"/>
    <w:rsid w:val="15916DD0"/>
    <w:rsid w:val="15CC605B"/>
    <w:rsid w:val="15D93750"/>
    <w:rsid w:val="15E40A1B"/>
    <w:rsid w:val="15EC19CC"/>
    <w:rsid w:val="15F5110D"/>
    <w:rsid w:val="160A72EE"/>
    <w:rsid w:val="16260CA4"/>
    <w:rsid w:val="163E221F"/>
    <w:rsid w:val="16473933"/>
    <w:rsid w:val="16481B85"/>
    <w:rsid w:val="165178F6"/>
    <w:rsid w:val="166D339A"/>
    <w:rsid w:val="1674246A"/>
    <w:rsid w:val="16835940"/>
    <w:rsid w:val="16976668"/>
    <w:rsid w:val="16A359F0"/>
    <w:rsid w:val="16A96E78"/>
    <w:rsid w:val="16B9038D"/>
    <w:rsid w:val="16C15493"/>
    <w:rsid w:val="16D1099B"/>
    <w:rsid w:val="16F9030A"/>
    <w:rsid w:val="17013AE2"/>
    <w:rsid w:val="170B670F"/>
    <w:rsid w:val="17164FDE"/>
    <w:rsid w:val="1719707D"/>
    <w:rsid w:val="17226BB5"/>
    <w:rsid w:val="17234F87"/>
    <w:rsid w:val="17343EB7"/>
    <w:rsid w:val="173E3493"/>
    <w:rsid w:val="17453F05"/>
    <w:rsid w:val="177514DA"/>
    <w:rsid w:val="17AA13D1"/>
    <w:rsid w:val="17AA19AB"/>
    <w:rsid w:val="17BD5C5B"/>
    <w:rsid w:val="17C4413B"/>
    <w:rsid w:val="17D23D8C"/>
    <w:rsid w:val="17D9680D"/>
    <w:rsid w:val="17DB07D7"/>
    <w:rsid w:val="17DC2A3E"/>
    <w:rsid w:val="17DD2860"/>
    <w:rsid w:val="17E41539"/>
    <w:rsid w:val="17F51446"/>
    <w:rsid w:val="18004D02"/>
    <w:rsid w:val="18023FB5"/>
    <w:rsid w:val="180C3F9D"/>
    <w:rsid w:val="1831466F"/>
    <w:rsid w:val="18410D46"/>
    <w:rsid w:val="184E75B7"/>
    <w:rsid w:val="185145F5"/>
    <w:rsid w:val="185C1918"/>
    <w:rsid w:val="185F2058"/>
    <w:rsid w:val="18786026"/>
    <w:rsid w:val="18907B3A"/>
    <w:rsid w:val="189B14E0"/>
    <w:rsid w:val="189C59F4"/>
    <w:rsid w:val="189E3CDE"/>
    <w:rsid w:val="18B079B3"/>
    <w:rsid w:val="18B828C6"/>
    <w:rsid w:val="18C132E8"/>
    <w:rsid w:val="18E9119D"/>
    <w:rsid w:val="18F91581"/>
    <w:rsid w:val="18FD62E9"/>
    <w:rsid w:val="190F3EDE"/>
    <w:rsid w:val="19124EB2"/>
    <w:rsid w:val="1917583F"/>
    <w:rsid w:val="19230842"/>
    <w:rsid w:val="19232435"/>
    <w:rsid w:val="1950166F"/>
    <w:rsid w:val="19521C7D"/>
    <w:rsid w:val="195A71CD"/>
    <w:rsid w:val="195E736E"/>
    <w:rsid w:val="19702705"/>
    <w:rsid w:val="198C1D89"/>
    <w:rsid w:val="199B0743"/>
    <w:rsid w:val="19C332D1"/>
    <w:rsid w:val="19CC7A23"/>
    <w:rsid w:val="19DD2724"/>
    <w:rsid w:val="19F53DD2"/>
    <w:rsid w:val="1A0628E6"/>
    <w:rsid w:val="1A0631F7"/>
    <w:rsid w:val="1A073B05"/>
    <w:rsid w:val="1A0E13B9"/>
    <w:rsid w:val="1A2B2B8F"/>
    <w:rsid w:val="1A4C5010"/>
    <w:rsid w:val="1A5535EC"/>
    <w:rsid w:val="1A6D5B7F"/>
    <w:rsid w:val="1A767E82"/>
    <w:rsid w:val="1A904B71"/>
    <w:rsid w:val="1A933E22"/>
    <w:rsid w:val="1AA70EB7"/>
    <w:rsid w:val="1AA933C8"/>
    <w:rsid w:val="1AB423B5"/>
    <w:rsid w:val="1AB52EB7"/>
    <w:rsid w:val="1AC019B4"/>
    <w:rsid w:val="1AC76DF0"/>
    <w:rsid w:val="1AE31F5E"/>
    <w:rsid w:val="1AF8344E"/>
    <w:rsid w:val="1B0D15F6"/>
    <w:rsid w:val="1B220341"/>
    <w:rsid w:val="1B51333E"/>
    <w:rsid w:val="1B5E7755"/>
    <w:rsid w:val="1B666609"/>
    <w:rsid w:val="1B835CFB"/>
    <w:rsid w:val="1B87404C"/>
    <w:rsid w:val="1B9924FF"/>
    <w:rsid w:val="1B9A3DDC"/>
    <w:rsid w:val="1BAB4457"/>
    <w:rsid w:val="1BCC64BF"/>
    <w:rsid w:val="1BDD1195"/>
    <w:rsid w:val="1BE27D2D"/>
    <w:rsid w:val="1BE843DA"/>
    <w:rsid w:val="1BE84C62"/>
    <w:rsid w:val="1C0C4D12"/>
    <w:rsid w:val="1C165112"/>
    <w:rsid w:val="1C18312C"/>
    <w:rsid w:val="1C1A3FB4"/>
    <w:rsid w:val="1C2344FA"/>
    <w:rsid w:val="1C2C7C63"/>
    <w:rsid w:val="1C2E64F2"/>
    <w:rsid w:val="1C314E69"/>
    <w:rsid w:val="1C387FA6"/>
    <w:rsid w:val="1C5C744C"/>
    <w:rsid w:val="1C6223ED"/>
    <w:rsid w:val="1C7B131D"/>
    <w:rsid w:val="1C7B6F6E"/>
    <w:rsid w:val="1C817B9F"/>
    <w:rsid w:val="1C835945"/>
    <w:rsid w:val="1C872CDB"/>
    <w:rsid w:val="1C873880"/>
    <w:rsid w:val="1C940DEA"/>
    <w:rsid w:val="1C9F4F52"/>
    <w:rsid w:val="1CDF6673"/>
    <w:rsid w:val="1CF05E6B"/>
    <w:rsid w:val="1CFC7456"/>
    <w:rsid w:val="1D096BA5"/>
    <w:rsid w:val="1D227B54"/>
    <w:rsid w:val="1D236331"/>
    <w:rsid w:val="1D3C1D18"/>
    <w:rsid w:val="1D407F36"/>
    <w:rsid w:val="1D4F1A4B"/>
    <w:rsid w:val="1D540A4C"/>
    <w:rsid w:val="1D5726AE"/>
    <w:rsid w:val="1D5A72F2"/>
    <w:rsid w:val="1D6426C6"/>
    <w:rsid w:val="1D7275DD"/>
    <w:rsid w:val="1D7C5F7B"/>
    <w:rsid w:val="1D7F4B06"/>
    <w:rsid w:val="1D8924B9"/>
    <w:rsid w:val="1D9B4C9A"/>
    <w:rsid w:val="1DBC553C"/>
    <w:rsid w:val="1DC31A59"/>
    <w:rsid w:val="1DC85359"/>
    <w:rsid w:val="1DD26459"/>
    <w:rsid w:val="1DD523DE"/>
    <w:rsid w:val="1E023E27"/>
    <w:rsid w:val="1E066FB4"/>
    <w:rsid w:val="1E0845C3"/>
    <w:rsid w:val="1E0A3BC4"/>
    <w:rsid w:val="1E27531B"/>
    <w:rsid w:val="1E3B7FF0"/>
    <w:rsid w:val="1E5842F0"/>
    <w:rsid w:val="1E791845"/>
    <w:rsid w:val="1E7D6144"/>
    <w:rsid w:val="1E804B26"/>
    <w:rsid w:val="1E8A5DE0"/>
    <w:rsid w:val="1E9445B9"/>
    <w:rsid w:val="1E9F65F4"/>
    <w:rsid w:val="1EBF050A"/>
    <w:rsid w:val="1EE10DD4"/>
    <w:rsid w:val="1EF62763"/>
    <w:rsid w:val="1EFA1543"/>
    <w:rsid w:val="1EFB0E1B"/>
    <w:rsid w:val="1F071EB1"/>
    <w:rsid w:val="1F23657A"/>
    <w:rsid w:val="1F2C6FAB"/>
    <w:rsid w:val="1F3E06FB"/>
    <w:rsid w:val="1F44570F"/>
    <w:rsid w:val="1F514E06"/>
    <w:rsid w:val="1F576995"/>
    <w:rsid w:val="1F7E5ABE"/>
    <w:rsid w:val="1F895EF1"/>
    <w:rsid w:val="1F8A5D35"/>
    <w:rsid w:val="1F9225B2"/>
    <w:rsid w:val="1F930159"/>
    <w:rsid w:val="1FB275B6"/>
    <w:rsid w:val="1FC27D49"/>
    <w:rsid w:val="1FC81641"/>
    <w:rsid w:val="1FED3AB8"/>
    <w:rsid w:val="1FF42436"/>
    <w:rsid w:val="1FF77D97"/>
    <w:rsid w:val="20245EDC"/>
    <w:rsid w:val="202D3B9A"/>
    <w:rsid w:val="203B62B7"/>
    <w:rsid w:val="20467814"/>
    <w:rsid w:val="204C04C4"/>
    <w:rsid w:val="206566C3"/>
    <w:rsid w:val="208714FC"/>
    <w:rsid w:val="20A54425"/>
    <w:rsid w:val="20C808AA"/>
    <w:rsid w:val="20D02EA3"/>
    <w:rsid w:val="20E424AA"/>
    <w:rsid w:val="20FD356C"/>
    <w:rsid w:val="20FF5536"/>
    <w:rsid w:val="20FF72E4"/>
    <w:rsid w:val="211C7E96"/>
    <w:rsid w:val="211F34E2"/>
    <w:rsid w:val="21264F9C"/>
    <w:rsid w:val="212C3511"/>
    <w:rsid w:val="212C3707"/>
    <w:rsid w:val="21326B42"/>
    <w:rsid w:val="213A37E5"/>
    <w:rsid w:val="21477B86"/>
    <w:rsid w:val="214E6EE9"/>
    <w:rsid w:val="214F6F82"/>
    <w:rsid w:val="215313DE"/>
    <w:rsid w:val="21654860"/>
    <w:rsid w:val="216D719B"/>
    <w:rsid w:val="217063B1"/>
    <w:rsid w:val="21760810"/>
    <w:rsid w:val="218A4738"/>
    <w:rsid w:val="218D48F0"/>
    <w:rsid w:val="218D490E"/>
    <w:rsid w:val="21920158"/>
    <w:rsid w:val="21A17576"/>
    <w:rsid w:val="21A80E04"/>
    <w:rsid w:val="21B04A82"/>
    <w:rsid w:val="21B22ECE"/>
    <w:rsid w:val="21C1459A"/>
    <w:rsid w:val="21D17CE2"/>
    <w:rsid w:val="21D806A5"/>
    <w:rsid w:val="21E97519"/>
    <w:rsid w:val="21EB1616"/>
    <w:rsid w:val="21F11323"/>
    <w:rsid w:val="22121AB8"/>
    <w:rsid w:val="221E19EC"/>
    <w:rsid w:val="22266AF2"/>
    <w:rsid w:val="2227082E"/>
    <w:rsid w:val="222E0813"/>
    <w:rsid w:val="223824C3"/>
    <w:rsid w:val="223B2384"/>
    <w:rsid w:val="224A3A92"/>
    <w:rsid w:val="224D0A94"/>
    <w:rsid w:val="22657EF6"/>
    <w:rsid w:val="2274785E"/>
    <w:rsid w:val="228C2DF9"/>
    <w:rsid w:val="228D1A3A"/>
    <w:rsid w:val="229456B1"/>
    <w:rsid w:val="22A27A63"/>
    <w:rsid w:val="22A631F0"/>
    <w:rsid w:val="22AA3280"/>
    <w:rsid w:val="22B8599C"/>
    <w:rsid w:val="22BF0094"/>
    <w:rsid w:val="22C24A6D"/>
    <w:rsid w:val="22D12F02"/>
    <w:rsid w:val="22DB4D7D"/>
    <w:rsid w:val="22FA5A07"/>
    <w:rsid w:val="22FF5791"/>
    <w:rsid w:val="23045086"/>
    <w:rsid w:val="232B0FB7"/>
    <w:rsid w:val="233314C7"/>
    <w:rsid w:val="23493AF3"/>
    <w:rsid w:val="23622D89"/>
    <w:rsid w:val="23852AE7"/>
    <w:rsid w:val="238B5A7F"/>
    <w:rsid w:val="238C6E29"/>
    <w:rsid w:val="23910CB7"/>
    <w:rsid w:val="239D1036"/>
    <w:rsid w:val="23A979DB"/>
    <w:rsid w:val="23BF2D5B"/>
    <w:rsid w:val="23E17175"/>
    <w:rsid w:val="23E37741"/>
    <w:rsid w:val="23EA1637"/>
    <w:rsid w:val="24013373"/>
    <w:rsid w:val="240449E0"/>
    <w:rsid w:val="242D4BD3"/>
    <w:rsid w:val="24313A1D"/>
    <w:rsid w:val="2435301D"/>
    <w:rsid w:val="243C2451"/>
    <w:rsid w:val="244B21C1"/>
    <w:rsid w:val="2459651E"/>
    <w:rsid w:val="245C20B0"/>
    <w:rsid w:val="246A597E"/>
    <w:rsid w:val="246E2002"/>
    <w:rsid w:val="24731A3C"/>
    <w:rsid w:val="247E405E"/>
    <w:rsid w:val="24977834"/>
    <w:rsid w:val="24AB719D"/>
    <w:rsid w:val="24C15420"/>
    <w:rsid w:val="24CA67E5"/>
    <w:rsid w:val="24F8118B"/>
    <w:rsid w:val="2519394C"/>
    <w:rsid w:val="25302162"/>
    <w:rsid w:val="2536649D"/>
    <w:rsid w:val="253A65CA"/>
    <w:rsid w:val="253D662D"/>
    <w:rsid w:val="25483305"/>
    <w:rsid w:val="2555311F"/>
    <w:rsid w:val="256619E3"/>
    <w:rsid w:val="256C5840"/>
    <w:rsid w:val="25712A79"/>
    <w:rsid w:val="25787B45"/>
    <w:rsid w:val="258E0C37"/>
    <w:rsid w:val="259A75DB"/>
    <w:rsid w:val="25A12B6D"/>
    <w:rsid w:val="25A37345"/>
    <w:rsid w:val="25AE707A"/>
    <w:rsid w:val="25BD2AE1"/>
    <w:rsid w:val="25BD5D24"/>
    <w:rsid w:val="25E1345C"/>
    <w:rsid w:val="25E66CC5"/>
    <w:rsid w:val="25EF794D"/>
    <w:rsid w:val="25F002FA"/>
    <w:rsid w:val="25F52A64"/>
    <w:rsid w:val="26093A45"/>
    <w:rsid w:val="26154EB4"/>
    <w:rsid w:val="26190E48"/>
    <w:rsid w:val="26611C11"/>
    <w:rsid w:val="26621A21"/>
    <w:rsid w:val="267C7FC9"/>
    <w:rsid w:val="2681079B"/>
    <w:rsid w:val="26834424"/>
    <w:rsid w:val="26AF1852"/>
    <w:rsid w:val="26B874D0"/>
    <w:rsid w:val="26BD47FF"/>
    <w:rsid w:val="26C55E33"/>
    <w:rsid w:val="26DA1076"/>
    <w:rsid w:val="26DC3715"/>
    <w:rsid w:val="26F8268D"/>
    <w:rsid w:val="27072222"/>
    <w:rsid w:val="270D202F"/>
    <w:rsid w:val="27105E1E"/>
    <w:rsid w:val="27111B1F"/>
    <w:rsid w:val="271867D0"/>
    <w:rsid w:val="271E423C"/>
    <w:rsid w:val="27473793"/>
    <w:rsid w:val="27483F30"/>
    <w:rsid w:val="27484DBC"/>
    <w:rsid w:val="2749286A"/>
    <w:rsid w:val="275B6273"/>
    <w:rsid w:val="2775510D"/>
    <w:rsid w:val="27785025"/>
    <w:rsid w:val="27A91B9E"/>
    <w:rsid w:val="27AA34E1"/>
    <w:rsid w:val="27E1164E"/>
    <w:rsid w:val="27F22E1F"/>
    <w:rsid w:val="27F455D3"/>
    <w:rsid w:val="27FB2984"/>
    <w:rsid w:val="280E7144"/>
    <w:rsid w:val="282467E2"/>
    <w:rsid w:val="282708E5"/>
    <w:rsid w:val="283934ED"/>
    <w:rsid w:val="284B72B3"/>
    <w:rsid w:val="285875D3"/>
    <w:rsid w:val="285A74F6"/>
    <w:rsid w:val="28620159"/>
    <w:rsid w:val="28704CFE"/>
    <w:rsid w:val="287D4ABE"/>
    <w:rsid w:val="288051AE"/>
    <w:rsid w:val="28861297"/>
    <w:rsid w:val="288A6D6B"/>
    <w:rsid w:val="288E0F4E"/>
    <w:rsid w:val="289742A6"/>
    <w:rsid w:val="289B3793"/>
    <w:rsid w:val="289B740D"/>
    <w:rsid w:val="28B871A9"/>
    <w:rsid w:val="28BE47AA"/>
    <w:rsid w:val="28BF6807"/>
    <w:rsid w:val="28C01A4F"/>
    <w:rsid w:val="28CA3A06"/>
    <w:rsid w:val="28CD3B03"/>
    <w:rsid w:val="28EE0705"/>
    <w:rsid w:val="28F24C9B"/>
    <w:rsid w:val="28FC235B"/>
    <w:rsid w:val="292657AF"/>
    <w:rsid w:val="293E0BC6"/>
    <w:rsid w:val="29411321"/>
    <w:rsid w:val="294F692F"/>
    <w:rsid w:val="29512D29"/>
    <w:rsid w:val="295746E4"/>
    <w:rsid w:val="295D0737"/>
    <w:rsid w:val="29976F68"/>
    <w:rsid w:val="299F1664"/>
    <w:rsid w:val="29B45500"/>
    <w:rsid w:val="29C73216"/>
    <w:rsid w:val="29D55086"/>
    <w:rsid w:val="29EE6148"/>
    <w:rsid w:val="29FB6421"/>
    <w:rsid w:val="2A041FD0"/>
    <w:rsid w:val="2A0E012F"/>
    <w:rsid w:val="2A1C2CB5"/>
    <w:rsid w:val="2A275A1A"/>
    <w:rsid w:val="2A2D406D"/>
    <w:rsid w:val="2A2E29E8"/>
    <w:rsid w:val="2A481CFC"/>
    <w:rsid w:val="2A5A1A2F"/>
    <w:rsid w:val="2AB63109"/>
    <w:rsid w:val="2AC572BD"/>
    <w:rsid w:val="2ACC4CC4"/>
    <w:rsid w:val="2ACF4907"/>
    <w:rsid w:val="2ADF7BA5"/>
    <w:rsid w:val="2AE124BC"/>
    <w:rsid w:val="2AE60862"/>
    <w:rsid w:val="2AE94AEA"/>
    <w:rsid w:val="2AFC55F8"/>
    <w:rsid w:val="2B0902B5"/>
    <w:rsid w:val="2B5B6F05"/>
    <w:rsid w:val="2B8366C8"/>
    <w:rsid w:val="2B8C0275"/>
    <w:rsid w:val="2BA47406"/>
    <w:rsid w:val="2BA50A88"/>
    <w:rsid w:val="2BEC1D1D"/>
    <w:rsid w:val="2C0656F3"/>
    <w:rsid w:val="2C1125C1"/>
    <w:rsid w:val="2C1D4DCC"/>
    <w:rsid w:val="2C2570F6"/>
    <w:rsid w:val="2C3D3520"/>
    <w:rsid w:val="2C4464F3"/>
    <w:rsid w:val="2C734C03"/>
    <w:rsid w:val="2C780592"/>
    <w:rsid w:val="2C8933A4"/>
    <w:rsid w:val="2C923702"/>
    <w:rsid w:val="2CA225B2"/>
    <w:rsid w:val="2CAB4A5B"/>
    <w:rsid w:val="2CAD5E46"/>
    <w:rsid w:val="2CAF6281"/>
    <w:rsid w:val="2CBC077F"/>
    <w:rsid w:val="2CC57707"/>
    <w:rsid w:val="2CC6515A"/>
    <w:rsid w:val="2CCB3F95"/>
    <w:rsid w:val="2CCD0296"/>
    <w:rsid w:val="2CD60AC5"/>
    <w:rsid w:val="2CD75F02"/>
    <w:rsid w:val="2CE55400"/>
    <w:rsid w:val="2CF949BD"/>
    <w:rsid w:val="2D0C6EE2"/>
    <w:rsid w:val="2D186881"/>
    <w:rsid w:val="2D265BF9"/>
    <w:rsid w:val="2D280EB9"/>
    <w:rsid w:val="2D377E06"/>
    <w:rsid w:val="2D39592C"/>
    <w:rsid w:val="2D3B4B5C"/>
    <w:rsid w:val="2D510EC7"/>
    <w:rsid w:val="2D513B5D"/>
    <w:rsid w:val="2D545784"/>
    <w:rsid w:val="2D693441"/>
    <w:rsid w:val="2D8B296A"/>
    <w:rsid w:val="2D8D442A"/>
    <w:rsid w:val="2D93624A"/>
    <w:rsid w:val="2D981334"/>
    <w:rsid w:val="2D9E60D7"/>
    <w:rsid w:val="2DA01FC8"/>
    <w:rsid w:val="2DA15F86"/>
    <w:rsid w:val="2DAB178E"/>
    <w:rsid w:val="2DAC25A2"/>
    <w:rsid w:val="2DB80F46"/>
    <w:rsid w:val="2DC0604D"/>
    <w:rsid w:val="2DCC7A10"/>
    <w:rsid w:val="2DD62C0F"/>
    <w:rsid w:val="2DE47F8D"/>
    <w:rsid w:val="2DEE10FE"/>
    <w:rsid w:val="2DF367BA"/>
    <w:rsid w:val="2E105A61"/>
    <w:rsid w:val="2E172C43"/>
    <w:rsid w:val="2E1E30FD"/>
    <w:rsid w:val="2E1F2D74"/>
    <w:rsid w:val="2E206AEC"/>
    <w:rsid w:val="2E24038A"/>
    <w:rsid w:val="2E2B796A"/>
    <w:rsid w:val="2E2D4CFC"/>
    <w:rsid w:val="2E6A779E"/>
    <w:rsid w:val="2E821554"/>
    <w:rsid w:val="2E864BA1"/>
    <w:rsid w:val="2E94639A"/>
    <w:rsid w:val="2E9574DA"/>
    <w:rsid w:val="2EA3668F"/>
    <w:rsid w:val="2EA80FBB"/>
    <w:rsid w:val="2EAB3BE5"/>
    <w:rsid w:val="2EB060C2"/>
    <w:rsid w:val="2EB44A81"/>
    <w:rsid w:val="2EEE2746"/>
    <w:rsid w:val="2EFC519F"/>
    <w:rsid w:val="2F057782"/>
    <w:rsid w:val="2F0B779C"/>
    <w:rsid w:val="2F191CD3"/>
    <w:rsid w:val="2F214357"/>
    <w:rsid w:val="2F280ABE"/>
    <w:rsid w:val="2F436F36"/>
    <w:rsid w:val="2F5729E1"/>
    <w:rsid w:val="2F5C1C63"/>
    <w:rsid w:val="2F5D191E"/>
    <w:rsid w:val="2F68450B"/>
    <w:rsid w:val="2F6D5D61"/>
    <w:rsid w:val="2F7470EF"/>
    <w:rsid w:val="2F7E0A77"/>
    <w:rsid w:val="2F84677E"/>
    <w:rsid w:val="2F9257C7"/>
    <w:rsid w:val="2FA52D91"/>
    <w:rsid w:val="2FAD08B5"/>
    <w:rsid w:val="2FAF4142"/>
    <w:rsid w:val="2FB81F08"/>
    <w:rsid w:val="2FD07DA3"/>
    <w:rsid w:val="2FE50B6D"/>
    <w:rsid w:val="2FFF284F"/>
    <w:rsid w:val="30087837"/>
    <w:rsid w:val="301A32E8"/>
    <w:rsid w:val="30254728"/>
    <w:rsid w:val="302909F7"/>
    <w:rsid w:val="3039569D"/>
    <w:rsid w:val="305F38FB"/>
    <w:rsid w:val="3068478D"/>
    <w:rsid w:val="307B4D1C"/>
    <w:rsid w:val="307D6477"/>
    <w:rsid w:val="3081343B"/>
    <w:rsid w:val="30896BCA"/>
    <w:rsid w:val="309E3EA8"/>
    <w:rsid w:val="30A158EA"/>
    <w:rsid w:val="30AB4D93"/>
    <w:rsid w:val="30B622A4"/>
    <w:rsid w:val="30D836AE"/>
    <w:rsid w:val="30E958BB"/>
    <w:rsid w:val="30EA0F6A"/>
    <w:rsid w:val="30FA066E"/>
    <w:rsid w:val="30FF50DE"/>
    <w:rsid w:val="3121731A"/>
    <w:rsid w:val="312560D9"/>
    <w:rsid w:val="31260743"/>
    <w:rsid w:val="3126182E"/>
    <w:rsid w:val="312945FA"/>
    <w:rsid w:val="312B7C81"/>
    <w:rsid w:val="31322DBE"/>
    <w:rsid w:val="314B0FFF"/>
    <w:rsid w:val="315A2C98"/>
    <w:rsid w:val="315C608D"/>
    <w:rsid w:val="316D029A"/>
    <w:rsid w:val="316E7A4B"/>
    <w:rsid w:val="3175157E"/>
    <w:rsid w:val="317A4765"/>
    <w:rsid w:val="31886E82"/>
    <w:rsid w:val="319B5AF3"/>
    <w:rsid w:val="31C12394"/>
    <w:rsid w:val="31DD67C8"/>
    <w:rsid w:val="31DE1E93"/>
    <w:rsid w:val="31EA5447"/>
    <w:rsid w:val="31F21F65"/>
    <w:rsid w:val="31F4634A"/>
    <w:rsid w:val="320048E8"/>
    <w:rsid w:val="32004C6A"/>
    <w:rsid w:val="32021BED"/>
    <w:rsid w:val="32026C34"/>
    <w:rsid w:val="32036508"/>
    <w:rsid w:val="320B4800"/>
    <w:rsid w:val="32187CB3"/>
    <w:rsid w:val="321F4F3F"/>
    <w:rsid w:val="322070BA"/>
    <w:rsid w:val="322A1CE7"/>
    <w:rsid w:val="324709F1"/>
    <w:rsid w:val="324A7215"/>
    <w:rsid w:val="324D000F"/>
    <w:rsid w:val="32611FAF"/>
    <w:rsid w:val="32780CA4"/>
    <w:rsid w:val="328474F6"/>
    <w:rsid w:val="328C4750"/>
    <w:rsid w:val="32C22B92"/>
    <w:rsid w:val="32C97752"/>
    <w:rsid w:val="32D06D32"/>
    <w:rsid w:val="32D344CA"/>
    <w:rsid w:val="32F13042"/>
    <w:rsid w:val="32F63ADD"/>
    <w:rsid w:val="32F95E6C"/>
    <w:rsid w:val="3301564D"/>
    <w:rsid w:val="330615EA"/>
    <w:rsid w:val="33127DF9"/>
    <w:rsid w:val="331E617E"/>
    <w:rsid w:val="332826CA"/>
    <w:rsid w:val="333170A5"/>
    <w:rsid w:val="33335C3E"/>
    <w:rsid w:val="33526F1A"/>
    <w:rsid w:val="33550FE6"/>
    <w:rsid w:val="33581B1C"/>
    <w:rsid w:val="335E6723"/>
    <w:rsid w:val="336F63C6"/>
    <w:rsid w:val="33745084"/>
    <w:rsid w:val="337F3156"/>
    <w:rsid w:val="33833DA5"/>
    <w:rsid w:val="33835B53"/>
    <w:rsid w:val="33961E92"/>
    <w:rsid w:val="33977251"/>
    <w:rsid w:val="33B73A4E"/>
    <w:rsid w:val="33C74BEC"/>
    <w:rsid w:val="33CD70D4"/>
    <w:rsid w:val="33FB1B8D"/>
    <w:rsid w:val="340547BA"/>
    <w:rsid w:val="34100F32"/>
    <w:rsid w:val="34105EF7"/>
    <w:rsid w:val="34167714"/>
    <w:rsid w:val="34362BC5"/>
    <w:rsid w:val="34390DE3"/>
    <w:rsid w:val="34694CC7"/>
    <w:rsid w:val="346F5140"/>
    <w:rsid w:val="34924F08"/>
    <w:rsid w:val="34AD7A7E"/>
    <w:rsid w:val="34B5753F"/>
    <w:rsid w:val="34B87A7E"/>
    <w:rsid w:val="34D17708"/>
    <w:rsid w:val="34D74382"/>
    <w:rsid w:val="34E64A38"/>
    <w:rsid w:val="34EC6639"/>
    <w:rsid w:val="350F47CC"/>
    <w:rsid w:val="352069FD"/>
    <w:rsid w:val="352073D1"/>
    <w:rsid w:val="352E544D"/>
    <w:rsid w:val="35371508"/>
    <w:rsid w:val="353D23F7"/>
    <w:rsid w:val="35472BB0"/>
    <w:rsid w:val="3548572F"/>
    <w:rsid w:val="35622C84"/>
    <w:rsid w:val="356D4154"/>
    <w:rsid w:val="357C67B0"/>
    <w:rsid w:val="3595179C"/>
    <w:rsid w:val="35A3072E"/>
    <w:rsid w:val="35B82066"/>
    <w:rsid w:val="35D73F34"/>
    <w:rsid w:val="35DC59EE"/>
    <w:rsid w:val="3600792F"/>
    <w:rsid w:val="360441BF"/>
    <w:rsid w:val="360A4309"/>
    <w:rsid w:val="3615309C"/>
    <w:rsid w:val="36154A5C"/>
    <w:rsid w:val="36227F1C"/>
    <w:rsid w:val="364B1913"/>
    <w:rsid w:val="364D373C"/>
    <w:rsid w:val="366854D4"/>
    <w:rsid w:val="366F5943"/>
    <w:rsid w:val="368D2EC4"/>
    <w:rsid w:val="368F0563"/>
    <w:rsid w:val="368F2A60"/>
    <w:rsid w:val="36992F8C"/>
    <w:rsid w:val="36B1051E"/>
    <w:rsid w:val="36BA1C6E"/>
    <w:rsid w:val="36BB3856"/>
    <w:rsid w:val="36CA5847"/>
    <w:rsid w:val="36CC15BF"/>
    <w:rsid w:val="36DD7BA6"/>
    <w:rsid w:val="36E00C6E"/>
    <w:rsid w:val="36E36908"/>
    <w:rsid w:val="36ED2850"/>
    <w:rsid w:val="36F646CF"/>
    <w:rsid w:val="37293AE2"/>
    <w:rsid w:val="373B04F2"/>
    <w:rsid w:val="374D1EF4"/>
    <w:rsid w:val="376945F1"/>
    <w:rsid w:val="378A59C1"/>
    <w:rsid w:val="378D51F2"/>
    <w:rsid w:val="37985945"/>
    <w:rsid w:val="37BF4E01"/>
    <w:rsid w:val="37C16C75"/>
    <w:rsid w:val="37CE39F1"/>
    <w:rsid w:val="37D270A9"/>
    <w:rsid w:val="37D41FB7"/>
    <w:rsid w:val="37D72911"/>
    <w:rsid w:val="37EA12D3"/>
    <w:rsid w:val="37EA7630"/>
    <w:rsid w:val="380157D9"/>
    <w:rsid w:val="38091BB6"/>
    <w:rsid w:val="380A7C58"/>
    <w:rsid w:val="380D3297"/>
    <w:rsid w:val="38206066"/>
    <w:rsid w:val="38222A28"/>
    <w:rsid w:val="382610C1"/>
    <w:rsid w:val="382C4A0B"/>
    <w:rsid w:val="38305865"/>
    <w:rsid w:val="383264BD"/>
    <w:rsid w:val="384855BD"/>
    <w:rsid w:val="384A30E3"/>
    <w:rsid w:val="38517536"/>
    <w:rsid w:val="38520411"/>
    <w:rsid w:val="388303A3"/>
    <w:rsid w:val="388C7258"/>
    <w:rsid w:val="389F59B5"/>
    <w:rsid w:val="38A670C4"/>
    <w:rsid w:val="38B15DB7"/>
    <w:rsid w:val="38B40A9C"/>
    <w:rsid w:val="38B44A00"/>
    <w:rsid w:val="38C56EA1"/>
    <w:rsid w:val="38C95B2C"/>
    <w:rsid w:val="38C95C41"/>
    <w:rsid w:val="38C9634C"/>
    <w:rsid w:val="38DB1F8D"/>
    <w:rsid w:val="38E41B15"/>
    <w:rsid w:val="38EF5A38"/>
    <w:rsid w:val="38F34FAE"/>
    <w:rsid w:val="38F37B51"/>
    <w:rsid w:val="38F43DB0"/>
    <w:rsid w:val="39056C47"/>
    <w:rsid w:val="39141FA8"/>
    <w:rsid w:val="391D07F7"/>
    <w:rsid w:val="39400042"/>
    <w:rsid w:val="39477862"/>
    <w:rsid w:val="39504114"/>
    <w:rsid w:val="395A2507"/>
    <w:rsid w:val="395A4E5E"/>
    <w:rsid w:val="396C4A31"/>
    <w:rsid w:val="396C4B5A"/>
    <w:rsid w:val="39736669"/>
    <w:rsid w:val="398377B4"/>
    <w:rsid w:val="3986798D"/>
    <w:rsid w:val="398D2482"/>
    <w:rsid w:val="39A06131"/>
    <w:rsid w:val="39D63200"/>
    <w:rsid w:val="39E6440A"/>
    <w:rsid w:val="39ED01CA"/>
    <w:rsid w:val="39F53A1D"/>
    <w:rsid w:val="3A2754E1"/>
    <w:rsid w:val="3A325397"/>
    <w:rsid w:val="3A500759"/>
    <w:rsid w:val="3A577D17"/>
    <w:rsid w:val="3A582BFC"/>
    <w:rsid w:val="3A5970F7"/>
    <w:rsid w:val="3A76582E"/>
    <w:rsid w:val="3A791A5E"/>
    <w:rsid w:val="3A81766A"/>
    <w:rsid w:val="3A845FD1"/>
    <w:rsid w:val="3A886669"/>
    <w:rsid w:val="3A891983"/>
    <w:rsid w:val="3AA52853"/>
    <w:rsid w:val="3AAA1C17"/>
    <w:rsid w:val="3AB47880"/>
    <w:rsid w:val="3AC151B3"/>
    <w:rsid w:val="3AC32CD9"/>
    <w:rsid w:val="3AF5295D"/>
    <w:rsid w:val="3B0A4407"/>
    <w:rsid w:val="3B10547C"/>
    <w:rsid w:val="3B221DD2"/>
    <w:rsid w:val="3B295A3F"/>
    <w:rsid w:val="3B3C11B9"/>
    <w:rsid w:val="3B457B92"/>
    <w:rsid w:val="3B6839EC"/>
    <w:rsid w:val="3B6E32D5"/>
    <w:rsid w:val="3B8B3A2A"/>
    <w:rsid w:val="3B9D79CE"/>
    <w:rsid w:val="3BA50AE5"/>
    <w:rsid w:val="3BB926CE"/>
    <w:rsid w:val="3BBD452E"/>
    <w:rsid w:val="3BC35012"/>
    <w:rsid w:val="3BC74A4B"/>
    <w:rsid w:val="3BD956B7"/>
    <w:rsid w:val="3BE66040"/>
    <w:rsid w:val="3BF137F2"/>
    <w:rsid w:val="3C0320E2"/>
    <w:rsid w:val="3C145EE2"/>
    <w:rsid w:val="3C190160"/>
    <w:rsid w:val="3C1D6D23"/>
    <w:rsid w:val="3C2E1DA2"/>
    <w:rsid w:val="3C447D8C"/>
    <w:rsid w:val="3C4E2A76"/>
    <w:rsid w:val="3C4F7720"/>
    <w:rsid w:val="3C690B6C"/>
    <w:rsid w:val="3C814BF9"/>
    <w:rsid w:val="3C8B4542"/>
    <w:rsid w:val="3C90308E"/>
    <w:rsid w:val="3CC02CF3"/>
    <w:rsid w:val="3CC91AC2"/>
    <w:rsid w:val="3CCD6091"/>
    <w:rsid w:val="3CCE4150"/>
    <w:rsid w:val="3CDB07AE"/>
    <w:rsid w:val="3CE533DA"/>
    <w:rsid w:val="3D0F4747"/>
    <w:rsid w:val="3D197A98"/>
    <w:rsid w:val="3D2648D3"/>
    <w:rsid w:val="3D290B19"/>
    <w:rsid w:val="3D2E4D81"/>
    <w:rsid w:val="3D4247F0"/>
    <w:rsid w:val="3D537EA1"/>
    <w:rsid w:val="3D557A4C"/>
    <w:rsid w:val="3D7636A8"/>
    <w:rsid w:val="3D7657CC"/>
    <w:rsid w:val="3D776425"/>
    <w:rsid w:val="3D7A16C5"/>
    <w:rsid w:val="3D830197"/>
    <w:rsid w:val="3DB434DE"/>
    <w:rsid w:val="3DBC2F02"/>
    <w:rsid w:val="3DBF00CF"/>
    <w:rsid w:val="3DC237B7"/>
    <w:rsid w:val="3DD82B81"/>
    <w:rsid w:val="3DE37154"/>
    <w:rsid w:val="3E020852"/>
    <w:rsid w:val="3E174EC3"/>
    <w:rsid w:val="3E175815"/>
    <w:rsid w:val="3E186E8C"/>
    <w:rsid w:val="3E393D12"/>
    <w:rsid w:val="3E596376"/>
    <w:rsid w:val="3E5C270D"/>
    <w:rsid w:val="3E6C3E83"/>
    <w:rsid w:val="3E6F2431"/>
    <w:rsid w:val="3E704F26"/>
    <w:rsid w:val="3E8260FE"/>
    <w:rsid w:val="3E895FE7"/>
    <w:rsid w:val="3E907BE2"/>
    <w:rsid w:val="3E974BA8"/>
    <w:rsid w:val="3EA6303D"/>
    <w:rsid w:val="3EB56DDC"/>
    <w:rsid w:val="3EB66E3F"/>
    <w:rsid w:val="3ECA0C41"/>
    <w:rsid w:val="3EE75F67"/>
    <w:rsid w:val="3EE80F60"/>
    <w:rsid w:val="3F095976"/>
    <w:rsid w:val="3F0B6385"/>
    <w:rsid w:val="3F184C9E"/>
    <w:rsid w:val="3F5B48B8"/>
    <w:rsid w:val="3F5C78B4"/>
    <w:rsid w:val="3F5F68C0"/>
    <w:rsid w:val="3F763A08"/>
    <w:rsid w:val="3F7A063E"/>
    <w:rsid w:val="3F7F09E5"/>
    <w:rsid w:val="3F80388E"/>
    <w:rsid w:val="3FAF7CCF"/>
    <w:rsid w:val="3FB711FC"/>
    <w:rsid w:val="3FCE45FA"/>
    <w:rsid w:val="3FD55759"/>
    <w:rsid w:val="3FDA312B"/>
    <w:rsid w:val="3FDE5256"/>
    <w:rsid w:val="3FF52910"/>
    <w:rsid w:val="4001414A"/>
    <w:rsid w:val="400211A6"/>
    <w:rsid w:val="40073822"/>
    <w:rsid w:val="401943BA"/>
    <w:rsid w:val="401E4E97"/>
    <w:rsid w:val="401E5AE1"/>
    <w:rsid w:val="405D597D"/>
    <w:rsid w:val="40675092"/>
    <w:rsid w:val="406F1256"/>
    <w:rsid w:val="40750F19"/>
    <w:rsid w:val="407C4056"/>
    <w:rsid w:val="40AD420F"/>
    <w:rsid w:val="40B871CC"/>
    <w:rsid w:val="40C854ED"/>
    <w:rsid w:val="40F115F5"/>
    <w:rsid w:val="40F14A51"/>
    <w:rsid w:val="4101455B"/>
    <w:rsid w:val="41286C0B"/>
    <w:rsid w:val="412C21CF"/>
    <w:rsid w:val="413E5A1F"/>
    <w:rsid w:val="414E3ABF"/>
    <w:rsid w:val="41657329"/>
    <w:rsid w:val="41664102"/>
    <w:rsid w:val="416F5968"/>
    <w:rsid w:val="418764DD"/>
    <w:rsid w:val="41A05B22"/>
    <w:rsid w:val="41A0664C"/>
    <w:rsid w:val="41A84F13"/>
    <w:rsid w:val="41DB4DAC"/>
    <w:rsid w:val="41EB6A9E"/>
    <w:rsid w:val="41F01E86"/>
    <w:rsid w:val="42024A2E"/>
    <w:rsid w:val="42164036"/>
    <w:rsid w:val="42283CB5"/>
    <w:rsid w:val="423821FE"/>
    <w:rsid w:val="423A41C8"/>
    <w:rsid w:val="42611755"/>
    <w:rsid w:val="426825A3"/>
    <w:rsid w:val="426D3E38"/>
    <w:rsid w:val="42986CA5"/>
    <w:rsid w:val="42997036"/>
    <w:rsid w:val="42A27E98"/>
    <w:rsid w:val="42BA073C"/>
    <w:rsid w:val="42D448E2"/>
    <w:rsid w:val="42DC29C8"/>
    <w:rsid w:val="42DC4800"/>
    <w:rsid w:val="42DD6902"/>
    <w:rsid w:val="42E1552A"/>
    <w:rsid w:val="42E5574C"/>
    <w:rsid w:val="42F57311"/>
    <w:rsid w:val="42F97BDF"/>
    <w:rsid w:val="43010842"/>
    <w:rsid w:val="4304272C"/>
    <w:rsid w:val="430646B0"/>
    <w:rsid w:val="430A1DED"/>
    <w:rsid w:val="433E55F2"/>
    <w:rsid w:val="434C248F"/>
    <w:rsid w:val="435B2648"/>
    <w:rsid w:val="437D2441"/>
    <w:rsid w:val="43900589"/>
    <w:rsid w:val="439D37F0"/>
    <w:rsid w:val="43A80592"/>
    <w:rsid w:val="43D21F6A"/>
    <w:rsid w:val="43F041A7"/>
    <w:rsid w:val="44043B95"/>
    <w:rsid w:val="44056110"/>
    <w:rsid w:val="441449F6"/>
    <w:rsid w:val="44173C6A"/>
    <w:rsid w:val="441B1DD7"/>
    <w:rsid w:val="441C329A"/>
    <w:rsid w:val="442567B2"/>
    <w:rsid w:val="4430118F"/>
    <w:rsid w:val="44333030"/>
    <w:rsid w:val="44474B53"/>
    <w:rsid w:val="44644CA6"/>
    <w:rsid w:val="446472DA"/>
    <w:rsid w:val="4478567E"/>
    <w:rsid w:val="447D50E6"/>
    <w:rsid w:val="44883642"/>
    <w:rsid w:val="448E4445"/>
    <w:rsid w:val="4496202F"/>
    <w:rsid w:val="44A92F3F"/>
    <w:rsid w:val="44C10289"/>
    <w:rsid w:val="44D34D39"/>
    <w:rsid w:val="44D90DD0"/>
    <w:rsid w:val="44E64193"/>
    <w:rsid w:val="45223A53"/>
    <w:rsid w:val="45336CAD"/>
    <w:rsid w:val="453E3FCF"/>
    <w:rsid w:val="4549322B"/>
    <w:rsid w:val="4554734F"/>
    <w:rsid w:val="45576E3F"/>
    <w:rsid w:val="455C013E"/>
    <w:rsid w:val="456C2B0E"/>
    <w:rsid w:val="45774DEB"/>
    <w:rsid w:val="457D1812"/>
    <w:rsid w:val="459571CE"/>
    <w:rsid w:val="459C4852"/>
    <w:rsid w:val="459D348E"/>
    <w:rsid w:val="45A831F7"/>
    <w:rsid w:val="45A90649"/>
    <w:rsid w:val="45AA52CF"/>
    <w:rsid w:val="45AC15CB"/>
    <w:rsid w:val="45AE6A04"/>
    <w:rsid w:val="45C21865"/>
    <w:rsid w:val="45C51FFB"/>
    <w:rsid w:val="45C5231F"/>
    <w:rsid w:val="45C8407F"/>
    <w:rsid w:val="45E22BAD"/>
    <w:rsid w:val="45F35012"/>
    <w:rsid w:val="46162269"/>
    <w:rsid w:val="461C0C36"/>
    <w:rsid w:val="46236D21"/>
    <w:rsid w:val="46247237"/>
    <w:rsid w:val="462E7BA0"/>
    <w:rsid w:val="462F1E83"/>
    <w:rsid w:val="46492C2C"/>
    <w:rsid w:val="4662784A"/>
    <w:rsid w:val="466B2BA2"/>
    <w:rsid w:val="466E4957"/>
    <w:rsid w:val="467C2F34"/>
    <w:rsid w:val="4685178A"/>
    <w:rsid w:val="46894627"/>
    <w:rsid w:val="468A6DA0"/>
    <w:rsid w:val="469C7200"/>
    <w:rsid w:val="46BC35D9"/>
    <w:rsid w:val="46BD2CD2"/>
    <w:rsid w:val="46BF6A4A"/>
    <w:rsid w:val="46C158FF"/>
    <w:rsid w:val="46C55DB4"/>
    <w:rsid w:val="46E42955"/>
    <w:rsid w:val="46FF32EA"/>
    <w:rsid w:val="4737195B"/>
    <w:rsid w:val="474D22A8"/>
    <w:rsid w:val="475A6773"/>
    <w:rsid w:val="475E6D69"/>
    <w:rsid w:val="476E221E"/>
    <w:rsid w:val="479F00DF"/>
    <w:rsid w:val="47AD1853"/>
    <w:rsid w:val="47B42327"/>
    <w:rsid w:val="47B916EB"/>
    <w:rsid w:val="47C22C96"/>
    <w:rsid w:val="47C50090"/>
    <w:rsid w:val="47D13D59"/>
    <w:rsid w:val="47D604EF"/>
    <w:rsid w:val="47DC6A1F"/>
    <w:rsid w:val="47E35B08"/>
    <w:rsid w:val="4800426E"/>
    <w:rsid w:val="48054B47"/>
    <w:rsid w:val="48092B19"/>
    <w:rsid w:val="480C16A5"/>
    <w:rsid w:val="481D504E"/>
    <w:rsid w:val="48277B6C"/>
    <w:rsid w:val="482A6280"/>
    <w:rsid w:val="4832262B"/>
    <w:rsid w:val="484D62D8"/>
    <w:rsid w:val="48533B2A"/>
    <w:rsid w:val="485C5A77"/>
    <w:rsid w:val="485E2293"/>
    <w:rsid w:val="486F44A0"/>
    <w:rsid w:val="4872330D"/>
    <w:rsid w:val="488937B4"/>
    <w:rsid w:val="48972CE4"/>
    <w:rsid w:val="4898467D"/>
    <w:rsid w:val="4899619E"/>
    <w:rsid w:val="48A4239B"/>
    <w:rsid w:val="48A453A1"/>
    <w:rsid w:val="48BC6013"/>
    <w:rsid w:val="48C04CFB"/>
    <w:rsid w:val="48C6614D"/>
    <w:rsid w:val="48C77E38"/>
    <w:rsid w:val="48D0052D"/>
    <w:rsid w:val="48D80297"/>
    <w:rsid w:val="48EA7DE0"/>
    <w:rsid w:val="48EC3D42"/>
    <w:rsid w:val="49024EDB"/>
    <w:rsid w:val="4907292A"/>
    <w:rsid w:val="49247038"/>
    <w:rsid w:val="4946664C"/>
    <w:rsid w:val="4955275C"/>
    <w:rsid w:val="4957242E"/>
    <w:rsid w:val="49702445"/>
    <w:rsid w:val="49804BB7"/>
    <w:rsid w:val="499042A4"/>
    <w:rsid w:val="499C1713"/>
    <w:rsid w:val="49A55559"/>
    <w:rsid w:val="49B12A65"/>
    <w:rsid w:val="49B537D7"/>
    <w:rsid w:val="49BE56DF"/>
    <w:rsid w:val="49D12904"/>
    <w:rsid w:val="49DD71DE"/>
    <w:rsid w:val="49E05655"/>
    <w:rsid w:val="49E12059"/>
    <w:rsid w:val="49E5489D"/>
    <w:rsid w:val="49F42EAF"/>
    <w:rsid w:val="49F81187"/>
    <w:rsid w:val="49F82CCF"/>
    <w:rsid w:val="4A024AD0"/>
    <w:rsid w:val="4A027B4B"/>
    <w:rsid w:val="4A033589"/>
    <w:rsid w:val="4A041AC3"/>
    <w:rsid w:val="4A064990"/>
    <w:rsid w:val="4A1D068B"/>
    <w:rsid w:val="4A37734B"/>
    <w:rsid w:val="4A3D5FAF"/>
    <w:rsid w:val="4A437992"/>
    <w:rsid w:val="4A4617EA"/>
    <w:rsid w:val="4A52208C"/>
    <w:rsid w:val="4A5308FE"/>
    <w:rsid w:val="4A585C17"/>
    <w:rsid w:val="4A5D0A54"/>
    <w:rsid w:val="4A5E0944"/>
    <w:rsid w:val="4A6610AA"/>
    <w:rsid w:val="4A6A56E8"/>
    <w:rsid w:val="4A82670C"/>
    <w:rsid w:val="4A8B6BD3"/>
    <w:rsid w:val="4A8D015B"/>
    <w:rsid w:val="4A8E7695"/>
    <w:rsid w:val="4AA87194"/>
    <w:rsid w:val="4AAE5599"/>
    <w:rsid w:val="4AC33923"/>
    <w:rsid w:val="4AD650FF"/>
    <w:rsid w:val="4AF06848"/>
    <w:rsid w:val="4AFF1B0B"/>
    <w:rsid w:val="4B0F243F"/>
    <w:rsid w:val="4B272E10"/>
    <w:rsid w:val="4B297B9D"/>
    <w:rsid w:val="4B3C629B"/>
    <w:rsid w:val="4B3F0159"/>
    <w:rsid w:val="4B4664F9"/>
    <w:rsid w:val="4B4D2A30"/>
    <w:rsid w:val="4B5647FB"/>
    <w:rsid w:val="4B5D5902"/>
    <w:rsid w:val="4B7178C7"/>
    <w:rsid w:val="4B856336"/>
    <w:rsid w:val="4B92472D"/>
    <w:rsid w:val="4B992233"/>
    <w:rsid w:val="4BA426B2"/>
    <w:rsid w:val="4BB06DB8"/>
    <w:rsid w:val="4BD21C8F"/>
    <w:rsid w:val="4BDD2320"/>
    <w:rsid w:val="4BE13907"/>
    <w:rsid w:val="4C082C41"/>
    <w:rsid w:val="4C1235D5"/>
    <w:rsid w:val="4C2B6874"/>
    <w:rsid w:val="4C371778"/>
    <w:rsid w:val="4C393489"/>
    <w:rsid w:val="4C395188"/>
    <w:rsid w:val="4C446AEB"/>
    <w:rsid w:val="4C563FE5"/>
    <w:rsid w:val="4C800A2A"/>
    <w:rsid w:val="4C8C5C16"/>
    <w:rsid w:val="4C8E75EA"/>
    <w:rsid w:val="4CA07B96"/>
    <w:rsid w:val="4CA673C8"/>
    <w:rsid w:val="4CB3047F"/>
    <w:rsid w:val="4CB6269D"/>
    <w:rsid w:val="4CB725E4"/>
    <w:rsid w:val="4CBF063E"/>
    <w:rsid w:val="4CC24B4C"/>
    <w:rsid w:val="4CC55DC1"/>
    <w:rsid w:val="4CDB43D7"/>
    <w:rsid w:val="4CEF5BAF"/>
    <w:rsid w:val="4CF552D0"/>
    <w:rsid w:val="4D0E5E48"/>
    <w:rsid w:val="4D0F1A08"/>
    <w:rsid w:val="4D135C6E"/>
    <w:rsid w:val="4D167536"/>
    <w:rsid w:val="4D1902BE"/>
    <w:rsid w:val="4D211F36"/>
    <w:rsid w:val="4D3B1A90"/>
    <w:rsid w:val="4D5F0F87"/>
    <w:rsid w:val="4D5F4AE3"/>
    <w:rsid w:val="4D6046FD"/>
    <w:rsid w:val="4D682977"/>
    <w:rsid w:val="4D7C38E7"/>
    <w:rsid w:val="4D80363C"/>
    <w:rsid w:val="4D814C58"/>
    <w:rsid w:val="4D93478D"/>
    <w:rsid w:val="4DA15FEB"/>
    <w:rsid w:val="4DAE0BF8"/>
    <w:rsid w:val="4DB52955"/>
    <w:rsid w:val="4DB93431"/>
    <w:rsid w:val="4DBE3A6B"/>
    <w:rsid w:val="4DBF546E"/>
    <w:rsid w:val="4DC4703C"/>
    <w:rsid w:val="4DC86B2C"/>
    <w:rsid w:val="4DDC2846"/>
    <w:rsid w:val="4DE208AD"/>
    <w:rsid w:val="4DE47B18"/>
    <w:rsid w:val="4E050499"/>
    <w:rsid w:val="4E1F4272"/>
    <w:rsid w:val="4E2B1AB9"/>
    <w:rsid w:val="4E2B220B"/>
    <w:rsid w:val="4E2B2C17"/>
    <w:rsid w:val="4E541801"/>
    <w:rsid w:val="4E5647C4"/>
    <w:rsid w:val="4E7520E4"/>
    <w:rsid w:val="4E767DBA"/>
    <w:rsid w:val="4E7C1DD9"/>
    <w:rsid w:val="4E833AC8"/>
    <w:rsid w:val="4E8B4257"/>
    <w:rsid w:val="4E8D3A20"/>
    <w:rsid w:val="4EA56E6D"/>
    <w:rsid w:val="4EE80B08"/>
    <w:rsid w:val="4F0E056F"/>
    <w:rsid w:val="4F121149"/>
    <w:rsid w:val="4F1A33B7"/>
    <w:rsid w:val="4F1F62D3"/>
    <w:rsid w:val="4F280EFC"/>
    <w:rsid w:val="4F3766C0"/>
    <w:rsid w:val="4F6A4947"/>
    <w:rsid w:val="4F762878"/>
    <w:rsid w:val="4F834858"/>
    <w:rsid w:val="4F8545A9"/>
    <w:rsid w:val="4FAF008D"/>
    <w:rsid w:val="4FD3569C"/>
    <w:rsid w:val="4FE96775"/>
    <w:rsid w:val="4FF05EC6"/>
    <w:rsid w:val="4FF43C08"/>
    <w:rsid w:val="50074E64"/>
    <w:rsid w:val="50171910"/>
    <w:rsid w:val="502058C3"/>
    <w:rsid w:val="503C110B"/>
    <w:rsid w:val="503D443F"/>
    <w:rsid w:val="503F2037"/>
    <w:rsid w:val="504A7CCC"/>
    <w:rsid w:val="504D1554"/>
    <w:rsid w:val="505B596F"/>
    <w:rsid w:val="50602F53"/>
    <w:rsid w:val="50662F05"/>
    <w:rsid w:val="5074354B"/>
    <w:rsid w:val="507B56FC"/>
    <w:rsid w:val="508718F0"/>
    <w:rsid w:val="508A4035"/>
    <w:rsid w:val="508D698B"/>
    <w:rsid w:val="508F643F"/>
    <w:rsid w:val="50990AA2"/>
    <w:rsid w:val="50A0135B"/>
    <w:rsid w:val="50A76ECD"/>
    <w:rsid w:val="50AD2009"/>
    <w:rsid w:val="50B25872"/>
    <w:rsid w:val="50B415EA"/>
    <w:rsid w:val="50B82E88"/>
    <w:rsid w:val="50C61849"/>
    <w:rsid w:val="50E55AD0"/>
    <w:rsid w:val="50EE14B8"/>
    <w:rsid w:val="50FC5734"/>
    <w:rsid w:val="50FD2F03"/>
    <w:rsid w:val="510036E0"/>
    <w:rsid w:val="51114346"/>
    <w:rsid w:val="51156C3B"/>
    <w:rsid w:val="512435DF"/>
    <w:rsid w:val="51316796"/>
    <w:rsid w:val="51385D77"/>
    <w:rsid w:val="513B12E8"/>
    <w:rsid w:val="513B7D84"/>
    <w:rsid w:val="513E5DB7"/>
    <w:rsid w:val="51422D5A"/>
    <w:rsid w:val="514970FF"/>
    <w:rsid w:val="514C4262"/>
    <w:rsid w:val="51597A9B"/>
    <w:rsid w:val="515B3813"/>
    <w:rsid w:val="515C37AD"/>
    <w:rsid w:val="51733EAB"/>
    <w:rsid w:val="517370FA"/>
    <w:rsid w:val="517F39A6"/>
    <w:rsid w:val="51A60F32"/>
    <w:rsid w:val="51A61731"/>
    <w:rsid w:val="51B478FB"/>
    <w:rsid w:val="51B80C66"/>
    <w:rsid w:val="51BC0DF9"/>
    <w:rsid w:val="51C70CD9"/>
    <w:rsid w:val="51C71567"/>
    <w:rsid w:val="51D43382"/>
    <w:rsid w:val="51F32D2F"/>
    <w:rsid w:val="520619D1"/>
    <w:rsid w:val="52156DD1"/>
    <w:rsid w:val="52190392"/>
    <w:rsid w:val="521D7822"/>
    <w:rsid w:val="522A4101"/>
    <w:rsid w:val="52314DA8"/>
    <w:rsid w:val="52581161"/>
    <w:rsid w:val="526439C9"/>
    <w:rsid w:val="526A75F6"/>
    <w:rsid w:val="528C0A30"/>
    <w:rsid w:val="529C2335"/>
    <w:rsid w:val="52A8613B"/>
    <w:rsid w:val="52AF3E17"/>
    <w:rsid w:val="52B70F1D"/>
    <w:rsid w:val="52D304D8"/>
    <w:rsid w:val="52E017FB"/>
    <w:rsid w:val="52E21245"/>
    <w:rsid w:val="52E31CBD"/>
    <w:rsid w:val="530C1269"/>
    <w:rsid w:val="53195734"/>
    <w:rsid w:val="531D3476"/>
    <w:rsid w:val="531E0F9C"/>
    <w:rsid w:val="532402BD"/>
    <w:rsid w:val="534053B7"/>
    <w:rsid w:val="53456FF5"/>
    <w:rsid w:val="536270DB"/>
    <w:rsid w:val="537C0582"/>
    <w:rsid w:val="537C25E6"/>
    <w:rsid w:val="538A03E0"/>
    <w:rsid w:val="539250E9"/>
    <w:rsid w:val="539354E6"/>
    <w:rsid w:val="53A427AD"/>
    <w:rsid w:val="53A70F92"/>
    <w:rsid w:val="53A73534"/>
    <w:rsid w:val="53AF76C1"/>
    <w:rsid w:val="53B10062"/>
    <w:rsid w:val="53B8613A"/>
    <w:rsid w:val="53C03E02"/>
    <w:rsid w:val="53D31D87"/>
    <w:rsid w:val="53DD0B4E"/>
    <w:rsid w:val="53E7363B"/>
    <w:rsid w:val="53E83F0F"/>
    <w:rsid w:val="53EF1BEB"/>
    <w:rsid w:val="53F8133D"/>
    <w:rsid w:val="53FE77D2"/>
    <w:rsid w:val="53FF6BD1"/>
    <w:rsid w:val="541303D5"/>
    <w:rsid w:val="542A209B"/>
    <w:rsid w:val="542E7C0A"/>
    <w:rsid w:val="54310657"/>
    <w:rsid w:val="543919EF"/>
    <w:rsid w:val="54505185"/>
    <w:rsid w:val="54510FD0"/>
    <w:rsid w:val="545509EE"/>
    <w:rsid w:val="546D4523"/>
    <w:rsid w:val="548209E1"/>
    <w:rsid w:val="5484610D"/>
    <w:rsid w:val="5495703C"/>
    <w:rsid w:val="54996A24"/>
    <w:rsid w:val="54AA08FB"/>
    <w:rsid w:val="54AB5BF1"/>
    <w:rsid w:val="54AC5037"/>
    <w:rsid w:val="54B073EA"/>
    <w:rsid w:val="54C17A9E"/>
    <w:rsid w:val="54E6462A"/>
    <w:rsid w:val="5516017D"/>
    <w:rsid w:val="551B6A8A"/>
    <w:rsid w:val="551F5FF9"/>
    <w:rsid w:val="55251519"/>
    <w:rsid w:val="552A7206"/>
    <w:rsid w:val="552B3A2E"/>
    <w:rsid w:val="552F2E43"/>
    <w:rsid w:val="55474AC2"/>
    <w:rsid w:val="554A42CB"/>
    <w:rsid w:val="555111B5"/>
    <w:rsid w:val="55597061"/>
    <w:rsid w:val="555D47C4"/>
    <w:rsid w:val="556279A7"/>
    <w:rsid w:val="556709D9"/>
    <w:rsid w:val="556F1F83"/>
    <w:rsid w:val="558A0B6B"/>
    <w:rsid w:val="558E2409"/>
    <w:rsid w:val="55904B7D"/>
    <w:rsid w:val="55A57753"/>
    <w:rsid w:val="55A74D1E"/>
    <w:rsid w:val="55AC0AE1"/>
    <w:rsid w:val="55E71B19"/>
    <w:rsid w:val="55F73D1C"/>
    <w:rsid w:val="560E1BDD"/>
    <w:rsid w:val="560F79F9"/>
    <w:rsid w:val="5634617F"/>
    <w:rsid w:val="5637484F"/>
    <w:rsid w:val="564451BE"/>
    <w:rsid w:val="56567EED"/>
    <w:rsid w:val="567B1F36"/>
    <w:rsid w:val="568630E0"/>
    <w:rsid w:val="56A24C1D"/>
    <w:rsid w:val="56AE7C5A"/>
    <w:rsid w:val="56AF6ADB"/>
    <w:rsid w:val="56C7351C"/>
    <w:rsid w:val="56D1541C"/>
    <w:rsid w:val="56E9366F"/>
    <w:rsid w:val="56ED315F"/>
    <w:rsid w:val="56EF7521"/>
    <w:rsid w:val="57001308"/>
    <w:rsid w:val="570505EF"/>
    <w:rsid w:val="57122BC6"/>
    <w:rsid w:val="57156F80"/>
    <w:rsid w:val="571D1C8F"/>
    <w:rsid w:val="57282500"/>
    <w:rsid w:val="572C1210"/>
    <w:rsid w:val="573214BA"/>
    <w:rsid w:val="573945F7"/>
    <w:rsid w:val="574A05B2"/>
    <w:rsid w:val="57573528"/>
    <w:rsid w:val="577D1D40"/>
    <w:rsid w:val="578C4726"/>
    <w:rsid w:val="57995095"/>
    <w:rsid w:val="57A853BE"/>
    <w:rsid w:val="57BD32EC"/>
    <w:rsid w:val="57CF5A16"/>
    <w:rsid w:val="58037926"/>
    <w:rsid w:val="58076796"/>
    <w:rsid w:val="58156E12"/>
    <w:rsid w:val="581D7A74"/>
    <w:rsid w:val="58242BB1"/>
    <w:rsid w:val="584974E7"/>
    <w:rsid w:val="584B45E2"/>
    <w:rsid w:val="584D6439"/>
    <w:rsid w:val="58516F10"/>
    <w:rsid w:val="585C5AED"/>
    <w:rsid w:val="58692CBA"/>
    <w:rsid w:val="587358E6"/>
    <w:rsid w:val="587A0A23"/>
    <w:rsid w:val="588F5918"/>
    <w:rsid w:val="5891756F"/>
    <w:rsid w:val="58AB5080"/>
    <w:rsid w:val="58B340A2"/>
    <w:rsid w:val="58BA3515"/>
    <w:rsid w:val="58C72E85"/>
    <w:rsid w:val="58CA425E"/>
    <w:rsid w:val="58D45090"/>
    <w:rsid w:val="58ED5699"/>
    <w:rsid w:val="58EF1411"/>
    <w:rsid w:val="58EF5044"/>
    <w:rsid w:val="58FA1966"/>
    <w:rsid w:val="59072F36"/>
    <w:rsid w:val="59126D4B"/>
    <w:rsid w:val="593D7DFA"/>
    <w:rsid w:val="59401212"/>
    <w:rsid w:val="59496D52"/>
    <w:rsid w:val="595156E4"/>
    <w:rsid w:val="595219A0"/>
    <w:rsid w:val="59544349"/>
    <w:rsid w:val="59567D64"/>
    <w:rsid w:val="59875AED"/>
    <w:rsid w:val="59881257"/>
    <w:rsid w:val="59A321FB"/>
    <w:rsid w:val="59A75869"/>
    <w:rsid w:val="59B14918"/>
    <w:rsid w:val="59BB41C6"/>
    <w:rsid w:val="59C83A10"/>
    <w:rsid w:val="59CA59DA"/>
    <w:rsid w:val="59DE60F4"/>
    <w:rsid w:val="5A160C1F"/>
    <w:rsid w:val="5A3115B5"/>
    <w:rsid w:val="5A354D3F"/>
    <w:rsid w:val="5A405530"/>
    <w:rsid w:val="5A405C9C"/>
    <w:rsid w:val="5A4237C2"/>
    <w:rsid w:val="5A4532B2"/>
    <w:rsid w:val="5A504131"/>
    <w:rsid w:val="5A677127"/>
    <w:rsid w:val="5A6C48E6"/>
    <w:rsid w:val="5A765379"/>
    <w:rsid w:val="5A873458"/>
    <w:rsid w:val="5A8D6A64"/>
    <w:rsid w:val="5AB04BD0"/>
    <w:rsid w:val="5AB60511"/>
    <w:rsid w:val="5ABE3E2E"/>
    <w:rsid w:val="5AC62645"/>
    <w:rsid w:val="5AC81DBA"/>
    <w:rsid w:val="5AD76D0F"/>
    <w:rsid w:val="5AE605F2"/>
    <w:rsid w:val="5AF91B4A"/>
    <w:rsid w:val="5B0349CD"/>
    <w:rsid w:val="5B1C3FBE"/>
    <w:rsid w:val="5B5F2152"/>
    <w:rsid w:val="5B6C1376"/>
    <w:rsid w:val="5B776821"/>
    <w:rsid w:val="5B7D530D"/>
    <w:rsid w:val="5B7E2ECD"/>
    <w:rsid w:val="5B832D06"/>
    <w:rsid w:val="5B857E0A"/>
    <w:rsid w:val="5B8A151C"/>
    <w:rsid w:val="5B923001"/>
    <w:rsid w:val="5BA1138A"/>
    <w:rsid w:val="5BA45030"/>
    <w:rsid w:val="5BAF6C35"/>
    <w:rsid w:val="5BB34E56"/>
    <w:rsid w:val="5BC22E0D"/>
    <w:rsid w:val="5BC621D1"/>
    <w:rsid w:val="5BD7618C"/>
    <w:rsid w:val="5BDC2291"/>
    <w:rsid w:val="5BEF4C4D"/>
    <w:rsid w:val="5C163158"/>
    <w:rsid w:val="5C25514A"/>
    <w:rsid w:val="5C2C0286"/>
    <w:rsid w:val="5C451348"/>
    <w:rsid w:val="5C4C0928"/>
    <w:rsid w:val="5C687583"/>
    <w:rsid w:val="5C7560D1"/>
    <w:rsid w:val="5C771A17"/>
    <w:rsid w:val="5C78171D"/>
    <w:rsid w:val="5C7878C3"/>
    <w:rsid w:val="5C817C33"/>
    <w:rsid w:val="5C817EC9"/>
    <w:rsid w:val="5C826C8D"/>
    <w:rsid w:val="5C871960"/>
    <w:rsid w:val="5C974299"/>
    <w:rsid w:val="5C9C4029"/>
    <w:rsid w:val="5C9D79E4"/>
    <w:rsid w:val="5C9F3B0E"/>
    <w:rsid w:val="5CAE15E3"/>
    <w:rsid w:val="5CD86429"/>
    <w:rsid w:val="5CE24E21"/>
    <w:rsid w:val="5CF60C9B"/>
    <w:rsid w:val="5D0B52B9"/>
    <w:rsid w:val="5D2B2C34"/>
    <w:rsid w:val="5D3513BC"/>
    <w:rsid w:val="5D4F6A60"/>
    <w:rsid w:val="5D5D3DAC"/>
    <w:rsid w:val="5D6F7784"/>
    <w:rsid w:val="5D70252D"/>
    <w:rsid w:val="5D9E3405"/>
    <w:rsid w:val="5D9F2CDA"/>
    <w:rsid w:val="5DBD13F2"/>
    <w:rsid w:val="5DC22783"/>
    <w:rsid w:val="5DE60C30"/>
    <w:rsid w:val="5E242AF0"/>
    <w:rsid w:val="5E2606F1"/>
    <w:rsid w:val="5E3A21EA"/>
    <w:rsid w:val="5E537173"/>
    <w:rsid w:val="5E59732C"/>
    <w:rsid w:val="5E6A32E8"/>
    <w:rsid w:val="5E6F5632"/>
    <w:rsid w:val="5E91796B"/>
    <w:rsid w:val="5E9B5B97"/>
    <w:rsid w:val="5E9C581B"/>
    <w:rsid w:val="5EA24E14"/>
    <w:rsid w:val="5EB36B9F"/>
    <w:rsid w:val="5EBC58CF"/>
    <w:rsid w:val="5EE412EC"/>
    <w:rsid w:val="5EF555BA"/>
    <w:rsid w:val="5EF676D8"/>
    <w:rsid w:val="5EFC1A9B"/>
    <w:rsid w:val="5F1D5294"/>
    <w:rsid w:val="5F203901"/>
    <w:rsid w:val="5F461C62"/>
    <w:rsid w:val="5F47472D"/>
    <w:rsid w:val="5F6366B5"/>
    <w:rsid w:val="5F7433F4"/>
    <w:rsid w:val="5F933D87"/>
    <w:rsid w:val="5FA96735"/>
    <w:rsid w:val="5FAE5B6E"/>
    <w:rsid w:val="5FBC0B80"/>
    <w:rsid w:val="5FC92290"/>
    <w:rsid w:val="5FCD1D80"/>
    <w:rsid w:val="5FDB771F"/>
    <w:rsid w:val="5FDE21CA"/>
    <w:rsid w:val="5FDE7907"/>
    <w:rsid w:val="60195C1E"/>
    <w:rsid w:val="602B6A7E"/>
    <w:rsid w:val="60364FA5"/>
    <w:rsid w:val="6041148D"/>
    <w:rsid w:val="6047227E"/>
    <w:rsid w:val="605C5F30"/>
    <w:rsid w:val="60656F88"/>
    <w:rsid w:val="60995B4F"/>
    <w:rsid w:val="60A0439F"/>
    <w:rsid w:val="60A56859"/>
    <w:rsid w:val="60B65BF2"/>
    <w:rsid w:val="60C018E5"/>
    <w:rsid w:val="60C0425C"/>
    <w:rsid w:val="60C56E56"/>
    <w:rsid w:val="60CE7110"/>
    <w:rsid w:val="60D27B9F"/>
    <w:rsid w:val="60DA0BF8"/>
    <w:rsid w:val="60FA753E"/>
    <w:rsid w:val="61053016"/>
    <w:rsid w:val="610743DD"/>
    <w:rsid w:val="610D4BDB"/>
    <w:rsid w:val="611F02FF"/>
    <w:rsid w:val="612805C8"/>
    <w:rsid w:val="612F0022"/>
    <w:rsid w:val="612F4895"/>
    <w:rsid w:val="613060DD"/>
    <w:rsid w:val="614E6EF1"/>
    <w:rsid w:val="614F578E"/>
    <w:rsid w:val="615A25EA"/>
    <w:rsid w:val="617701F5"/>
    <w:rsid w:val="61826037"/>
    <w:rsid w:val="618A2BE6"/>
    <w:rsid w:val="618A752F"/>
    <w:rsid w:val="618B5A4F"/>
    <w:rsid w:val="618D7A19"/>
    <w:rsid w:val="61930DA7"/>
    <w:rsid w:val="61A84853"/>
    <w:rsid w:val="61C827FF"/>
    <w:rsid w:val="61CE1DDF"/>
    <w:rsid w:val="61CF78E4"/>
    <w:rsid w:val="61DD677E"/>
    <w:rsid w:val="61ED04B8"/>
    <w:rsid w:val="61F57219"/>
    <w:rsid w:val="61FE0138"/>
    <w:rsid w:val="6200643D"/>
    <w:rsid w:val="622320CA"/>
    <w:rsid w:val="6247406C"/>
    <w:rsid w:val="624D71A8"/>
    <w:rsid w:val="625451FA"/>
    <w:rsid w:val="625978FB"/>
    <w:rsid w:val="62643A20"/>
    <w:rsid w:val="626F35C2"/>
    <w:rsid w:val="6283706E"/>
    <w:rsid w:val="628801E0"/>
    <w:rsid w:val="628A3F58"/>
    <w:rsid w:val="62981000"/>
    <w:rsid w:val="629D1EDE"/>
    <w:rsid w:val="62A13F4D"/>
    <w:rsid w:val="62A413EC"/>
    <w:rsid w:val="62AC5DA2"/>
    <w:rsid w:val="62BC3D31"/>
    <w:rsid w:val="62C531E2"/>
    <w:rsid w:val="62E03F3A"/>
    <w:rsid w:val="62FB4E56"/>
    <w:rsid w:val="63051831"/>
    <w:rsid w:val="63106792"/>
    <w:rsid w:val="631D37AF"/>
    <w:rsid w:val="631F6D97"/>
    <w:rsid w:val="63310878"/>
    <w:rsid w:val="63316ACA"/>
    <w:rsid w:val="633640E0"/>
    <w:rsid w:val="635C1C28"/>
    <w:rsid w:val="636465DA"/>
    <w:rsid w:val="636D6610"/>
    <w:rsid w:val="636E5FB5"/>
    <w:rsid w:val="637810A4"/>
    <w:rsid w:val="63892462"/>
    <w:rsid w:val="639826A5"/>
    <w:rsid w:val="63B53257"/>
    <w:rsid w:val="63C42462"/>
    <w:rsid w:val="63C9581B"/>
    <w:rsid w:val="63E36016"/>
    <w:rsid w:val="63E43B3C"/>
    <w:rsid w:val="64033FC2"/>
    <w:rsid w:val="641206A9"/>
    <w:rsid w:val="64175CC0"/>
    <w:rsid w:val="64255448"/>
    <w:rsid w:val="64335EAD"/>
    <w:rsid w:val="643412E7"/>
    <w:rsid w:val="645111D2"/>
    <w:rsid w:val="646E2CE8"/>
    <w:rsid w:val="64913E20"/>
    <w:rsid w:val="64925346"/>
    <w:rsid w:val="64994927"/>
    <w:rsid w:val="64A1271F"/>
    <w:rsid w:val="64AA6B34"/>
    <w:rsid w:val="64AC5A8E"/>
    <w:rsid w:val="64AC6408"/>
    <w:rsid w:val="64B33C3A"/>
    <w:rsid w:val="64B74DAD"/>
    <w:rsid w:val="64B90194"/>
    <w:rsid w:val="64D836A1"/>
    <w:rsid w:val="64F6032D"/>
    <w:rsid w:val="65035466"/>
    <w:rsid w:val="65144B4F"/>
    <w:rsid w:val="652B5B6A"/>
    <w:rsid w:val="653A3FD7"/>
    <w:rsid w:val="65452D0E"/>
    <w:rsid w:val="65582E79"/>
    <w:rsid w:val="655A5E64"/>
    <w:rsid w:val="65640A91"/>
    <w:rsid w:val="657D1F2D"/>
    <w:rsid w:val="657E4F50"/>
    <w:rsid w:val="657F1D6E"/>
    <w:rsid w:val="658605EC"/>
    <w:rsid w:val="659550EE"/>
    <w:rsid w:val="65B93F70"/>
    <w:rsid w:val="65BB267B"/>
    <w:rsid w:val="65BD1D4A"/>
    <w:rsid w:val="65C3753A"/>
    <w:rsid w:val="65C676B5"/>
    <w:rsid w:val="65D06126"/>
    <w:rsid w:val="65D8147F"/>
    <w:rsid w:val="65E25D5F"/>
    <w:rsid w:val="65F6169A"/>
    <w:rsid w:val="65F65296"/>
    <w:rsid w:val="66083B12"/>
    <w:rsid w:val="662752F0"/>
    <w:rsid w:val="662E6C0F"/>
    <w:rsid w:val="663C46DE"/>
    <w:rsid w:val="6648053E"/>
    <w:rsid w:val="665F74AA"/>
    <w:rsid w:val="6664279C"/>
    <w:rsid w:val="6668124C"/>
    <w:rsid w:val="66A3383B"/>
    <w:rsid w:val="66A41EC5"/>
    <w:rsid w:val="66A426A7"/>
    <w:rsid w:val="66A75884"/>
    <w:rsid w:val="66AF1729"/>
    <w:rsid w:val="66B21CD0"/>
    <w:rsid w:val="66B666BB"/>
    <w:rsid w:val="66BC66AA"/>
    <w:rsid w:val="66BE52C3"/>
    <w:rsid w:val="66CA526B"/>
    <w:rsid w:val="66CC2D91"/>
    <w:rsid w:val="66F34E56"/>
    <w:rsid w:val="66FC2D59"/>
    <w:rsid w:val="66FD73EF"/>
    <w:rsid w:val="67010ED2"/>
    <w:rsid w:val="670151B2"/>
    <w:rsid w:val="670A5668"/>
    <w:rsid w:val="67401089"/>
    <w:rsid w:val="67515045"/>
    <w:rsid w:val="67674868"/>
    <w:rsid w:val="67987117"/>
    <w:rsid w:val="679C6C08"/>
    <w:rsid w:val="67A27F96"/>
    <w:rsid w:val="67A8465D"/>
    <w:rsid w:val="67AF67C0"/>
    <w:rsid w:val="67B37AAD"/>
    <w:rsid w:val="67B92A0F"/>
    <w:rsid w:val="67C41CBB"/>
    <w:rsid w:val="67D5464A"/>
    <w:rsid w:val="67DA328C"/>
    <w:rsid w:val="67DE3E32"/>
    <w:rsid w:val="67E22D4D"/>
    <w:rsid w:val="67E61308"/>
    <w:rsid w:val="67EB09A1"/>
    <w:rsid w:val="67F73E3E"/>
    <w:rsid w:val="67FA56DC"/>
    <w:rsid w:val="6801123A"/>
    <w:rsid w:val="684D138C"/>
    <w:rsid w:val="685D1552"/>
    <w:rsid w:val="6866280A"/>
    <w:rsid w:val="68686AEA"/>
    <w:rsid w:val="68836762"/>
    <w:rsid w:val="688D47A2"/>
    <w:rsid w:val="68915AA7"/>
    <w:rsid w:val="689618A9"/>
    <w:rsid w:val="689A3865"/>
    <w:rsid w:val="68A37F48"/>
    <w:rsid w:val="68AD317E"/>
    <w:rsid w:val="68B14CB0"/>
    <w:rsid w:val="68B4089F"/>
    <w:rsid w:val="68BA756F"/>
    <w:rsid w:val="68C84E8E"/>
    <w:rsid w:val="68E57EEC"/>
    <w:rsid w:val="68F33995"/>
    <w:rsid w:val="69074555"/>
    <w:rsid w:val="69126A56"/>
    <w:rsid w:val="69240076"/>
    <w:rsid w:val="6930742F"/>
    <w:rsid w:val="693E611A"/>
    <w:rsid w:val="69434224"/>
    <w:rsid w:val="69486E37"/>
    <w:rsid w:val="69541E76"/>
    <w:rsid w:val="695A20A8"/>
    <w:rsid w:val="695E7397"/>
    <w:rsid w:val="69A55B1C"/>
    <w:rsid w:val="69A578CA"/>
    <w:rsid w:val="69BE2B38"/>
    <w:rsid w:val="69CF2233"/>
    <w:rsid w:val="69DF079E"/>
    <w:rsid w:val="6A022F6E"/>
    <w:rsid w:val="6A0E021D"/>
    <w:rsid w:val="6A0E6EBA"/>
    <w:rsid w:val="6A1A3E8C"/>
    <w:rsid w:val="6A3F74A5"/>
    <w:rsid w:val="6A430A61"/>
    <w:rsid w:val="6A542DBE"/>
    <w:rsid w:val="6A7A2C23"/>
    <w:rsid w:val="6A7F6D26"/>
    <w:rsid w:val="6A865C33"/>
    <w:rsid w:val="6AA85E74"/>
    <w:rsid w:val="6AAD4C88"/>
    <w:rsid w:val="6AB06526"/>
    <w:rsid w:val="6ABA1153"/>
    <w:rsid w:val="6AC4570C"/>
    <w:rsid w:val="6AC73CA4"/>
    <w:rsid w:val="6AD77F57"/>
    <w:rsid w:val="6AE07337"/>
    <w:rsid w:val="6B07083C"/>
    <w:rsid w:val="6B10796B"/>
    <w:rsid w:val="6B1B5543"/>
    <w:rsid w:val="6B225676"/>
    <w:rsid w:val="6B2F4A8B"/>
    <w:rsid w:val="6B39476E"/>
    <w:rsid w:val="6B43088B"/>
    <w:rsid w:val="6B5670CE"/>
    <w:rsid w:val="6B591BFB"/>
    <w:rsid w:val="6B6C069F"/>
    <w:rsid w:val="6B7359AC"/>
    <w:rsid w:val="6B8228CD"/>
    <w:rsid w:val="6B863F9D"/>
    <w:rsid w:val="6B8E2D0B"/>
    <w:rsid w:val="6B9B0E35"/>
    <w:rsid w:val="6BA020A4"/>
    <w:rsid w:val="6BA37791"/>
    <w:rsid w:val="6BA93DA5"/>
    <w:rsid w:val="6BBB33D4"/>
    <w:rsid w:val="6BDF7E9C"/>
    <w:rsid w:val="6BF51F95"/>
    <w:rsid w:val="6BF74F38"/>
    <w:rsid w:val="6BFA3EFD"/>
    <w:rsid w:val="6C22295D"/>
    <w:rsid w:val="6C24541E"/>
    <w:rsid w:val="6C292A34"/>
    <w:rsid w:val="6C295050"/>
    <w:rsid w:val="6C2F0285"/>
    <w:rsid w:val="6C3A62C1"/>
    <w:rsid w:val="6C4E5FF7"/>
    <w:rsid w:val="6C6B200A"/>
    <w:rsid w:val="6C6B22C5"/>
    <w:rsid w:val="6C727C9C"/>
    <w:rsid w:val="6C97799E"/>
    <w:rsid w:val="6CA040FB"/>
    <w:rsid w:val="6CA2021D"/>
    <w:rsid w:val="6CB54345"/>
    <w:rsid w:val="6CD71DF8"/>
    <w:rsid w:val="6CD96ABB"/>
    <w:rsid w:val="6CD97738"/>
    <w:rsid w:val="6CE213ED"/>
    <w:rsid w:val="6CF9599E"/>
    <w:rsid w:val="6D231231"/>
    <w:rsid w:val="6D283043"/>
    <w:rsid w:val="6D3527BF"/>
    <w:rsid w:val="6D430476"/>
    <w:rsid w:val="6D491A7D"/>
    <w:rsid w:val="6D5C30A6"/>
    <w:rsid w:val="6D5C79A0"/>
    <w:rsid w:val="6D667370"/>
    <w:rsid w:val="6D7147AA"/>
    <w:rsid w:val="6D7A56E3"/>
    <w:rsid w:val="6D7F40EA"/>
    <w:rsid w:val="6D8C327A"/>
    <w:rsid w:val="6DA93E2C"/>
    <w:rsid w:val="6DB53834"/>
    <w:rsid w:val="6DC820CE"/>
    <w:rsid w:val="6DC947BB"/>
    <w:rsid w:val="6DCB0626"/>
    <w:rsid w:val="6DCF206C"/>
    <w:rsid w:val="6DD15131"/>
    <w:rsid w:val="6DDA0A3A"/>
    <w:rsid w:val="6DDC0050"/>
    <w:rsid w:val="6DE318DB"/>
    <w:rsid w:val="6DE73CDD"/>
    <w:rsid w:val="6DEB3B1C"/>
    <w:rsid w:val="6DF1132F"/>
    <w:rsid w:val="6E0C6169"/>
    <w:rsid w:val="6E273FA2"/>
    <w:rsid w:val="6E2A59E1"/>
    <w:rsid w:val="6E3A5AE7"/>
    <w:rsid w:val="6E4771A1"/>
    <w:rsid w:val="6E644582"/>
    <w:rsid w:val="6EA2749D"/>
    <w:rsid w:val="6EC9405A"/>
    <w:rsid w:val="6ED56955"/>
    <w:rsid w:val="6EE43550"/>
    <w:rsid w:val="6EEB6404"/>
    <w:rsid w:val="6EEC0174"/>
    <w:rsid w:val="6EEE555E"/>
    <w:rsid w:val="6EF10FE0"/>
    <w:rsid w:val="6EF44EA4"/>
    <w:rsid w:val="6EFA22AE"/>
    <w:rsid w:val="6EFA6D32"/>
    <w:rsid w:val="6F0B2BB3"/>
    <w:rsid w:val="6F1E7F02"/>
    <w:rsid w:val="6F314CE8"/>
    <w:rsid w:val="6F3277A9"/>
    <w:rsid w:val="6F344F39"/>
    <w:rsid w:val="6F377FD4"/>
    <w:rsid w:val="6F3E6F3C"/>
    <w:rsid w:val="6F484F7F"/>
    <w:rsid w:val="6F4A7B60"/>
    <w:rsid w:val="6F663D87"/>
    <w:rsid w:val="6F7C731F"/>
    <w:rsid w:val="6F8803AF"/>
    <w:rsid w:val="6F8867FE"/>
    <w:rsid w:val="6F963F3C"/>
    <w:rsid w:val="6F9C52CB"/>
    <w:rsid w:val="6FA4671F"/>
    <w:rsid w:val="6FAD74D8"/>
    <w:rsid w:val="6FAF4746"/>
    <w:rsid w:val="6FAF5C96"/>
    <w:rsid w:val="6FB468AF"/>
    <w:rsid w:val="6FC22F83"/>
    <w:rsid w:val="6FD26F3F"/>
    <w:rsid w:val="6FED3D79"/>
    <w:rsid w:val="6FEE763E"/>
    <w:rsid w:val="6FF670D1"/>
    <w:rsid w:val="6FF72B21"/>
    <w:rsid w:val="6FF85AFC"/>
    <w:rsid w:val="702A2E3C"/>
    <w:rsid w:val="70351F79"/>
    <w:rsid w:val="70382A0B"/>
    <w:rsid w:val="705D2F74"/>
    <w:rsid w:val="70654928"/>
    <w:rsid w:val="706C61F1"/>
    <w:rsid w:val="70932B72"/>
    <w:rsid w:val="709A3F00"/>
    <w:rsid w:val="70A1528F"/>
    <w:rsid w:val="70A511D7"/>
    <w:rsid w:val="70B302A9"/>
    <w:rsid w:val="70B318F8"/>
    <w:rsid w:val="70C2560E"/>
    <w:rsid w:val="70EC57B1"/>
    <w:rsid w:val="710716F5"/>
    <w:rsid w:val="71172452"/>
    <w:rsid w:val="713559D7"/>
    <w:rsid w:val="71364E98"/>
    <w:rsid w:val="71394457"/>
    <w:rsid w:val="713C6D66"/>
    <w:rsid w:val="715045BF"/>
    <w:rsid w:val="71601EA2"/>
    <w:rsid w:val="716A2602"/>
    <w:rsid w:val="716F2C97"/>
    <w:rsid w:val="717069FD"/>
    <w:rsid w:val="718D5813"/>
    <w:rsid w:val="718F6E95"/>
    <w:rsid w:val="71CA51A0"/>
    <w:rsid w:val="71D31C96"/>
    <w:rsid w:val="71D37D0E"/>
    <w:rsid w:val="71DA5DD3"/>
    <w:rsid w:val="71E42FED"/>
    <w:rsid w:val="71F066C6"/>
    <w:rsid w:val="720C753F"/>
    <w:rsid w:val="72121874"/>
    <w:rsid w:val="72491746"/>
    <w:rsid w:val="724B07EA"/>
    <w:rsid w:val="7263415A"/>
    <w:rsid w:val="726865F2"/>
    <w:rsid w:val="72920B4A"/>
    <w:rsid w:val="729624A5"/>
    <w:rsid w:val="72966949"/>
    <w:rsid w:val="729E7F08"/>
    <w:rsid w:val="72A20E4A"/>
    <w:rsid w:val="72B47FAA"/>
    <w:rsid w:val="72CA214F"/>
    <w:rsid w:val="72FD189E"/>
    <w:rsid w:val="730B2B28"/>
    <w:rsid w:val="730C2EBC"/>
    <w:rsid w:val="73204D8A"/>
    <w:rsid w:val="73252F86"/>
    <w:rsid w:val="732A4300"/>
    <w:rsid w:val="733059D0"/>
    <w:rsid w:val="734B14E2"/>
    <w:rsid w:val="734B18B3"/>
    <w:rsid w:val="73677F5F"/>
    <w:rsid w:val="73734595"/>
    <w:rsid w:val="7375655F"/>
    <w:rsid w:val="737F2F3A"/>
    <w:rsid w:val="738E207B"/>
    <w:rsid w:val="739509AF"/>
    <w:rsid w:val="73A873DF"/>
    <w:rsid w:val="73D74F22"/>
    <w:rsid w:val="73DC2DCE"/>
    <w:rsid w:val="73DD4830"/>
    <w:rsid w:val="73EA4502"/>
    <w:rsid w:val="73FB00AF"/>
    <w:rsid w:val="741151EF"/>
    <w:rsid w:val="74155264"/>
    <w:rsid w:val="74431DC2"/>
    <w:rsid w:val="7447614D"/>
    <w:rsid w:val="744E4DC5"/>
    <w:rsid w:val="748862C1"/>
    <w:rsid w:val="74926548"/>
    <w:rsid w:val="74956EB9"/>
    <w:rsid w:val="749F1AE5"/>
    <w:rsid w:val="74C56D06"/>
    <w:rsid w:val="74D3178F"/>
    <w:rsid w:val="74E4574A"/>
    <w:rsid w:val="74EB6AD9"/>
    <w:rsid w:val="74EC57D5"/>
    <w:rsid w:val="74F13231"/>
    <w:rsid w:val="74FD115E"/>
    <w:rsid w:val="75015203"/>
    <w:rsid w:val="750E6C6B"/>
    <w:rsid w:val="752413FB"/>
    <w:rsid w:val="752E10BB"/>
    <w:rsid w:val="753164B5"/>
    <w:rsid w:val="75324707"/>
    <w:rsid w:val="75390E10"/>
    <w:rsid w:val="75473464"/>
    <w:rsid w:val="75504B8E"/>
    <w:rsid w:val="755503F6"/>
    <w:rsid w:val="75697ECE"/>
    <w:rsid w:val="75956A44"/>
    <w:rsid w:val="759E1F00"/>
    <w:rsid w:val="75A8326B"/>
    <w:rsid w:val="75A85B8F"/>
    <w:rsid w:val="75C8506C"/>
    <w:rsid w:val="75E1612D"/>
    <w:rsid w:val="75EB2B08"/>
    <w:rsid w:val="75F25C45"/>
    <w:rsid w:val="76053BCA"/>
    <w:rsid w:val="762A7B4F"/>
    <w:rsid w:val="76391AC6"/>
    <w:rsid w:val="763F0D29"/>
    <w:rsid w:val="764D31FC"/>
    <w:rsid w:val="7650526E"/>
    <w:rsid w:val="76587A4C"/>
    <w:rsid w:val="76682700"/>
    <w:rsid w:val="767174B1"/>
    <w:rsid w:val="76760624"/>
    <w:rsid w:val="76960CC6"/>
    <w:rsid w:val="769B6F0E"/>
    <w:rsid w:val="76A07D97"/>
    <w:rsid w:val="76A20FEF"/>
    <w:rsid w:val="76A74C81"/>
    <w:rsid w:val="76B66902"/>
    <w:rsid w:val="76D868BB"/>
    <w:rsid w:val="76DD35D2"/>
    <w:rsid w:val="76DF08BF"/>
    <w:rsid w:val="76F1414E"/>
    <w:rsid w:val="76FD2AF3"/>
    <w:rsid w:val="77065FCC"/>
    <w:rsid w:val="775B21AC"/>
    <w:rsid w:val="77706C17"/>
    <w:rsid w:val="7798290C"/>
    <w:rsid w:val="77A17922"/>
    <w:rsid w:val="77A85155"/>
    <w:rsid w:val="77B27D81"/>
    <w:rsid w:val="77BA09E4"/>
    <w:rsid w:val="77BA6C36"/>
    <w:rsid w:val="77C55334"/>
    <w:rsid w:val="77D15673"/>
    <w:rsid w:val="781A1483"/>
    <w:rsid w:val="782C1F51"/>
    <w:rsid w:val="783207F7"/>
    <w:rsid w:val="7836646A"/>
    <w:rsid w:val="783B06F9"/>
    <w:rsid w:val="784C3D32"/>
    <w:rsid w:val="78520C1D"/>
    <w:rsid w:val="785C79B0"/>
    <w:rsid w:val="78985615"/>
    <w:rsid w:val="78A83B30"/>
    <w:rsid w:val="78B77021"/>
    <w:rsid w:val="78C25DA2"/>
    <w:rsid w:val="78C7160B"/>
    <w:rsid w:val="78EE3958"/>
    <w:rsid w:val="78EF5368"/>
    <w:rsid w:val="79066DAE"/>
    <w:rsid w:val="793A6280"/>
    <w:rsid w:val="79474796"/>
    <w:rsid w:val="795B7FA5"/>
    <w:rsid w:val="795D5ACB"/>
    <w:rsid w:val="79607369"/>
    <w:rsid w:val="796621E2"/>
    <w:rsid w:val="796926C2"/>
    <w:rsid w:val="796C27E7"/>
    <w:rsid w:val="79733976"/>
    <w:rsid w:val="79736956"/>
    <w:rsid w:val="79A921AD"/>
    <w:rsid w:val="79B0209F"/>
    <w:rsid w:val="79BD0B3F"/>
    <w:rsid w:val="79BE0C60"/>
    <w:rsid w:val="79C21DD2"/>
    <w:rsid w:val="79CB0C87"/>
    <w:rsid w:val="79DC3BE6"/>
    <w:rsid w:val="79ED6E4F"/>
    <w:rsid w:val="79EE5BA3"/>
    <w:rsid w:val="79F3642F"/>
    <w:rsid w:val="79F52773"/>
    <w:rsid w:val="7A150154"/>
    <w:rsid w:val="7A2E6462"/>
    <w:rsid w:val="7A2F5A49"/>
    <w:rsid w:val="7A40591D"/>
    <w:rsid w:val="7A4137B3"/>
    <w:rsid w:val="7A556E34"/>
    <w:rsid w:val="7A5A61EF"/>
    <w:rsid w:val="7A6450DE"/>
    <w:rsid w:val="7A804167"/>
    <w:rsid w:val="7A887E89"/>
    <w:rsid w:val="7A910122"/>
    <w:rsid w:val="7A936EE8"/>
    <w:rsid w:val="7AA57708"/>
    <w:rsid w:val="7AA7257C"/>
    <w:rsid w:val="7AB1431E"/>
    <w:rsid w:val="7AC878BC"/>
    <w:rsid w:val="7ADC657A"/>
    <w:rsid w:val="7AEA338E"/>
    <w:rsid w:val="7AEF309B"/>
    <w:rsid w:val="7AFC7375"/>
    <w:rsid w:val="7B0A57DF"/>
    <w:rsid w:val="7B106E5B"/>
    <w:rsid w:val="7B1152BB"/>
    <w:rsid w:val="7B121472"/>
    <w:rsid w:val="7B1A6C0F"/>
    <w:rsid w:val="7B362A78"/>
    <w:rsid w:val="7B364826"/>
    <w:rsid w:val="7B471043"/>
    <w:rsid w:val="7B4952E1"/>
    <w:rsid w:val="7B5829EE"/>
    <w:rsid w:val="7B58472E"/>
    <w:rsid w:val="7B651AA2"/>
    <w:rsid w:val="7B7A0BB6"/>
    <w:rsid w:val="7B9B4A4D"/>
    <w:rsid w:val="7BAD3515"/>
    <w:rsid w:val="7BB3231A"/>
    <w:rsid w:val="7BBF0CBF"/>
    <w:rsid w:val="7BCD518A"/>
    <w:rsid w:val="7BEE3352"/>
    <w:rsid w:val="7C0861C2"/>
    <w:rsid w:val="7C0D1A2A"/>
    <w:rsid w:val="7C211032"/>
    <w:rsid w:val="7C212547"/>
    <w:rsid w:val="7C380832"/>
    <w:rsid w:val="7C382A78"/>
    <w:rsid w:val="7C3A564A"/>
    <w:rsid w:val="7C750D1C"/>
    <w:rsid w:val="7C857813"/>
    <w:rsid w:val="7C89314D"/>
    <w:rsid w:val="7C907231"/>
    <w:rsid w:val="7C9C31E6"/>
    <w:rsid w:val="7CA60D68"/>
    <w:rsid w:val="7CAD2C5F"/>
    <w:rsid w:val="7D0E5E43"/>
    <w:rsid w:val="7D1666BD"/>
    <w:rsid w:val="7D1A338E"/>
    <w:rsid w:val="7D1A70E8"/>
    <w:rsid w:val="7D1D3EEF"/>
    <w:rsid w:val="7D244921"/>
    <w:rsid w:val="7D252DA4"/>
    <w:rsid w:val="7D272678"/>
    <w:rsid w:val="7D470FB3"/>
    <w:rsid w:val="7D4F7CEB"/>
    <w:rsid w:val="7D5C694F"/>
    <w:rsid w:val="7D5D34F3"/>
    <w:rsid w:val="7D69417B"/>
    <w:rsid w:val="7D75025F"/>
    <w:rsid w:val="7D801F48"/>
    <w:rsid w:val="7D8B0781"/>
    <w:rsid w:val="7DA017BC"/>
    <w:rsid w:val="7DB83C18"/>
    <w:rsid w:val="7DC73E5B"/>
    <w:rsid w:val="7DC807C4"/>
    <w:rsid w:val="7DCC0C12"/>
    <w:rsid w:val="7DE06CCB"/>
    <w:rsid w:val="7DF76C8E"/>
    <w:rsid w:val="7E0B1F99"/>
    <w:rsid w:val="7E0C4026"/>
    <w:rsid w:val="7E1427D4"/>
    <w:rsid w:val="7E1B3103"/>
    <w:rsid w:val="7E24305B"/>
    <w:rsid w:val="7E3643BE"/>
    <w:rsid w:val="7E3A462D"/>
    <w:rsid w:val="7E414337"/>
    <w:rsid w:val="7E520EB7"/>
    <w:rsid w:val="7E522C73"/>
    <w:rsid w:val="7E6D4A02"/>
    <w:rsid w:val="7E813A30"/>
    <w:rsid w:val="7E843AFA"/>
    <w:rsid w:val="7E8458A8"/>
    <w:rsid w:val="7EA86B9B"/>
    <w:rsid w:val="7EAA7A04"/>
    <w:rsid w:val="7EAB6C79"/>
    <w:rsid w:val="7EBE3EA6"/>
    <w:rsid w:val="7EC73DC5"/>
    <w:rsid w:val="7EE5751D"/>
    <w:rsid w:val="7F00043A"/>
    <w:rsid w:val="7F365FF7"/>
    <w:rsid w:val="7F486055"/>
    <w:rsid w:val="7F4F291E"/>
    <w:rsid w:val="7F50360C"/>
    <w:rsid w:val="7F533887"/>
    <w:rsid w:val="7F5A3F44"/>
    <w:rsid w:val="7F6776A3"/>
    <w:rsid w:val="7F695428"/>
    <w:rsid w:val="7F69556E"/>
    <w:rsid w:val="7F7508B8"/>
    <w:rsid w:val="7F7D6EC7"/>
    <w:rsid w:val="7F8E5465"/>
    <w:rsid w:val="7F9C3ADE"/>
    <w:rsid w:val="7FA21B54"/>
    <w:rsid w:val="7FB936BD"/>
    <w:rsid w:val="7FC22BC2"/>
    <w:rsid w:val="7FC25D4D"/>
    <w:rsid w:val="7FD818DE"/>
    <w:rsid w:val="7FF52E1B"/>
    <w:rsid w:val="7FF942D6"/>
    <w:rsid w:val="7FFF78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60"/>
    <w:qFormat/>
    <w:uiPriority w:val="0"/>
    <w:pPr>
      <w:keepNext/>
      <w:widowControl/>
      <w:numPr>
        <w:ilvl w:val="0"/>
        <w:numId w:val="1"/>
      </w:numPr>
      <w:spacing w:line="360" w:lineRule="auto"/>
      <w:jc w:val="center"/>
      <w:outlineLvl w:val="0"/>
    </w:pPr>
    <w:rPr>
      <w:rFonts w:ascii="黑体" w:hAnsi="黑体"/>
      <w:sz w:val="32"/>
    </w:rPr>
  </w:style>
  <w:style w:type="paragraph" w:styleId="5">
    <w:name w:val="heading 2"/>
    <w:basedOn w:val="1"/>
    <w:next w:val="1"/>
    <w:link w:val="61"/>
    <w:qFormat/>
    <w:uiPriority w:val="0"/>
    <w:pPr>
      <w:spacing w:line="560" w:lineRule="exact"/>
      <w:jc w:val="center"/>
      <w:outlineLvl w:val="1"/>
    </w:pPr>
    <w:rPr>
      <w:b/>
      <w:sz w:val="32"/>
      <w:szCs w:val="32"/>
    </w:rPr>
  </w:style>
  <w:style w:type="paragraph" w:styleId="6">
    <w:name w:val="heading 3"/>
    <w:basedOn w:val="1"/>
    <w:next w:val="1"/>
    <w:link w:val="62"/>
    <w:qFormat/>
    <w:uiPriority w:val="0"/>
    <w:pPr>
      <w:keepNext/>
      <w:keepLines/>
      <w:spacing w:line="413" w:lineRule="auto"/>
      <w:jc w:val="center"/>
      <w:outlineLvl w:val="2"/>
    </w:pPr>
    <w:rPr>
      <w:b/>
      <w:bCs/>
      <w:sz w:val="30"/>
      <w:szCs w:val="32"/>
    </w:rPr>
  </w:style>
  <w:style w:type="paragraph" w:styleId="7">
    <w:name w:val="heading 4"/>
    <w:basedOn w:val="1"/>
    <w:next w:val="1"/>
    <w:link w:val="80"/>
    <w:qFormat/>
    <w:uiPriority w:val="0"/>
    <w:pPr>
      <w:keepNext/>
      <w:keepLines/>
      <w:spacing w:before="280" w:beforeLines="0" w:after="290" w:afterLines="0" w:line="372" w:lineRule="auto"/>
      <w:outlineLvl w:val="3"/>
    </w:pPr>
    <w:rPr>
      <w:rFonts w:ascii="Arial" w:hAnsi="Arial" w:eastAsia="黑体" w:cs="黑体"/>
      <w:b/>
      <w:bCs/>
      <w:kern w:val="0"/>
      <w:sz w:val="28"/>
      <w:szCs w:val="28"/>
      <w:lang w:val="en-US" w:eastAsia="zh-CN" w:bidi="ar-SA"/>
    </w:rPr>
  </w:style>
  <w:style w:type="character" w:default="1" w:styleId="29">
    <w:name w:val="Default Paragraph Font"/>
    <w:unhideWhenUsed/>
    <w:qFormat/>
    <w:uiPriority w:val="1"/>
  </w:style>
  <w:style w:type="table" w:default="1" w:styleId="27">
    <w:name w:val="Normal Table"/>
    <w:unhideWhenUsed/>
    <w:qFormat/>
    <w:uiPriority w:val="99"/>
    <w:pPr>
      <w:widowControl/>
      <w:spacing w:before="0" w:beforeAutospacing="0" w:after="0" w:afterAutospacing="0"/>
      <w:ind w:left="0" w:right="0"/>
    </w:pPr>
    <w:rPr>
      <w:rFonts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无间隔1"/>
    <w:basedOn w:val="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
    <w:name w:val="正文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Normal Indent"/>
    <w:basedOn w:val="1"/>
    <w:qFormat/>
    <w:uiPriority w:val="0"/>
    <w:pPr>
      <w:ind w:firstLine="420" w:firstLineChars="200"/>
    </w:pPr>
    <w:rPr>
      <w:szCs w:val="20"/>
    </w:rPr>
  </w:style>
  <w:style w:type="paragraph" w:styleId="9">
    <w:name w:val="caption"/>
    <w:basedOn w:val="1"/>
    <w:next w:val="1"/>
    <w:qFormat/>
    <w:uiPriority w:val="0"/>
    <w:pPr>
      <w:spacing w:before="152" w:beforeLines="0" w:after="160" w:afterLines="0"/>
    </w:pPr>
    <w:rPr>
      <w:rFonts w:ascii="Arial" w:hAnsi="Arial" w:eastAsia="黑体"/>
    </w:rPr>
  </w:style>
  <w:style w:type="paragraph" w:styleId="10">
    <w:name w:val="annotation text"/>
    <w:basedOn w:val="1"/>
    <w:qFormat/>
    <w:uiPriority w:val="0"/>
    <w:pPr>
      <w:adjustRightInd w:val="0"/>
      <w:spacing w:line="360" w:lineRule="atLeast"/>
      <w:jc w:val="left"/>
      <w:textAlignment w:val="baseline"/>
    </w:pPr>
    <w:rPr>
      <w:rFonts w:ascii="Times New Roman" w:eastAsia="宋体"/>
      <w:spacing w:val="4"/>
      <w:kern w:val="0"/>
      <w:sz w:val="24"/>
      <w:szCs w:val="20"/>
    </w:rPr>
  </w:style>
  <w:style w:type="paragraph" w:styleId="11">
    <w:name w:val="Body Text"/>
    <w:basedOn w:val="1"/>
    <w:next w:val="1"/>
    <w:link w:val="63"/>
    <w:qFormat/>
    <w:uiPriority w:val="0"/>
    <w:pPr>
      <w:spacing w:line="460" w:lineRule="exact"/>
    </w:pPr>
    <w:rPr>
      <w:rFonts w:ascii="汉鼎简楷体" w:hAnsi="宋体" w:eastAsia="汉鼎简楷体"/>
      <w:b/>
      <w:bCs/>
      <w:spacing w:val="4"/>
      <w:sz w:val="24"/>
      <w:szCs w:val="20"/>
    </w:rPr>
  </w:style>
  <w:style w:type="paragraph" w:styleId="12">
    <w:name w:val="Body Text Indent"/>
    <w:basedOn w:val="1"/>
    <w:link w:val="64"/>
    <w:qFormat/>
    <w:uiPriority w:val="0"/>
    <w:pPr>
      <w:ind w:left="420" w:leftChars="200"/>
    </w:pPr>
  </w:style>
  <w:style w:type="paragraph" w:styleId="13">
    <w:name w:val="toc 3"/>
    <w:basedOn w:val="1"/>
    <w:next w:val="1"/>
    <w:qFormat/>
    <w:uiPriority w:val="0"/>
    <w:pPr>
      <w:ind w:left="840" w:leftChars="400"/>
    </w:pPr>
  </w:style>
  <w:style w:type="paragraph" w:styleId="14">
    <w:name w:val="Plain Text"/>
    <w:basedOn w:val="1"/>
    <w:link w:val="65"/>
    <w:qFormat/>
    <w:uiPriority w:val="0"/>
    <w:rPr>
      <w:rFonts w:ascii="宋体" w:hAnsi="Courier New"/>
      <w:kern w:val="0"/>
    </w:rPr>
  </w:style>
  <w:style w:type="paragraph" w:styleId="15">
    <w:name w:val="footer"/>
    <w:basedOn w:val="1"/>
    <w:link w:val="59"/>
    <w:unhideWhenUsed/>
    <w:qFormat/>
    <w:uiPriority w:val="0"/>
    <w:pPr>
      <w:tabs>
        <w:tab w:val="center" w:pos="4153"/>
        <w:tab w:val="right" w:pos="8306"/>
      </w:tabs>
      <w:snapToGrid w:val="0"/>
      <w:jc w:val="left"/>
    </w:pPr>
    <w:rPr>
      <w:sz w:val="18"/>
      <w:szCs w:val="18"/>
    </w:rPr>
  </w:style>
  <w:style w:type="paragraph" w:styleId="16">
    <w:name w:val="envelope return"/>
    <w:basedOn w:val="1"/>
    <w:unhideWhenUsed/>
    <w:qFormat/>
    <w:uiPriority w:val="99"/>
    <w:pPr>
      <w:snapToGrid w:val="0"/>
    </w:pPr>
    <w:rPr>
      <w:rFonts w:ascii="Arial" w:hAnsi="Arial"/>
    </w:rPr>
  </w:style>
  <w:style w:type="paragraph" w:styleId="17">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Body Text 2"/>
    <w:basedOn w:val="1"/>
    <w:next w:val="11"/>
    <w:qFormat/>
    <w:uiPriority w:val="99"/>
    <w:pPr>
      <w:spacing w:line="360" w:lineRule="auto"/>
      <w:ind w:firstLine="480" w:firstLineChars="200"/>
    </w:pPr>
    <w:rPr>
      <w:rFonts w:ascii="仿宋_GB2312" w:hAnsi="宋体" w:eastAsia="仿宋_GB2312" w:cs="仿宋_GB2312"/>
      <w:kern w:val="0"/>
      <w:sz w:val="24"/>
      <w:szCs w:val="24"/>
    </w:rPr>
  </w:style>
  <w:style w:type="paragraph" w:styleId="21">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spacing w:line="420" w:lineRule="auto"/>
      <w:ind w:left="1080" w:leftChars="500" w:hanging="1080" w:hangingChars="500"/>
      <w:jc w:val="both"/>
    </w:pPr>
    <w:rPr>
      <w:rFonts w:ascii="Cambria" w:hAnsi="Cambria" w:eastAsia="宋体" w:cs="Times New Roman"/>
      <w:kern w:val="2"/>
      <w:sz w:val="24"/>
      <w:lang w:val="en-US" w:eastAsia="zh-CN" w:bidi="ar-SA"/>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rPr>
  </w:style>
  <w:style w:type="paragraph" w:styleId="23">
    <w:name w:val="Normal (Web)"/>
    <w:basedOn w:val="1"/>
    <w:next w:val="1"/>
    <w:qFormat/>
    <w:uiPriority w:val="0"/>
    <w:pPr>
      <w:spacing w:beforeAutospacing="1" w:afterAutospacing="1"/>
      <w:jc w:val="left"/>
    </w:pPr>
    <w:rPr>
      <w:kern w:val="0"/>
      <w:sz w:val="24"/>
    </w:rPr>
  </w:style>
  <w:style w:type="paragraph" w:styleId="24">
    <w:name w:val="Title"/>
    <w:basedOn w:val="1"/>
    <w:link w:val="66"/>
    <w:qFormat/>
    <w:uiPriority w:val="0"/>
    <w:pPr>
      <w:spacing w:before="240" w:after="60"/>
      <w:jc w:val="center"/>
      <w:outlineLvl w:val="0"/>
    </w:pPr>
    <w:rPr>
      <w:rFonts w:ascii="Arial" w:hAnsi="Arial" w:cs="Arial"/>
      <w:b/>
      <w:bCs/>
      <w:sz w:val="32"/>
      <w:szCs w:val="32"/>
    </w:rPr>
  </w:style>
  <w:style w:type="paragraph" w:styleId="25">
    <w:name w:val="Body Text First Indent"/>
    <w:basedOn w:val="11"/>
    <w:next w:val="26"/>
    <w:link w:val="67"/>
    <w:qFormat/>
    <w:uiPriority w:val="0"/>
    <w:pPr>
      <w:spacing w:line="360" w:lineRule="auto"/>
      <w:ind w:firstLine="420" w:firstLineChars="100"/>
    </w:pPr>
    <w:rPr>
      <w:rFonts w:ascii="Arial" w:hAnsi="Arial" w:eastAsia="宋体"/>
      <w:b w:val="0"/>
      <w:bCs w:val="0"/>
      <w:spacing w:val="0"/>
      <w:kern w:val="0"/>
    </w:rPr>
  </w:style>
  <w:style w:type="paragraph" w:styleId="26">
    <w:name w:val="Body Text First Indent 2"/>
    <w:basedOn w:val="12"/>
    <w:qFormat/>
    <w:uiPriority w:val="0"/>
    <w:pPr>
      <w:spacing w:after="120" w:afterLines="0" w:line="240" w:lineRule="auto"/>
      <w:ind w:left="200" w:leftChars="200" w:firstLine="200" w:firstLineChars="20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style>
  <w:style w:type="character" w:styleId="31">
    <w:name w:val="page number"/>
    <w:basedOn w:val="29"/>
    <w:qFormat/>
    <w:uiPriority w:val="0"/>
  </w:style>
  <w:style w:type="character" w:styleId="32">
    <w:name w:val="FollowedHyperlink"/>
    <w:basedOn w:val="29"/>
    <w:unhideWhenUsed/>
    <w:qFormat/>
    <w:uiPriority w:val="99"/>
    <w:rPr>
      <w:color w:val="333333"/>
      <w:u w:val="none"/>
    </w:rPr>
  </w:style>
  <w:style w:type="character" w:styleId="33">
    <w:name w:val="Emphasis"/>
    <w:basedOn w:val="29"/>
    <w:qFormat/>
    <w:uiPriority w:val="20"/>
  </w:style>
  <w:style w:type="character" w:styleId="34">
    <w:name w:val="HTML Definition"/>
    <w:basedOn w:val="29"/>
    <w:unhideWhenUsed/>
    <w:qFormat/>
    <w:uiPriority w:val="99"/>
  </w:style>
  <w:style w:type="character" w:styleId="35">
    <w:name w:val="HTML Typewriter"/>
    <w:basedOn w:val="29"/>
    <w:unhideWhenUsed/>
    <w:qFormat/>
    <w:uiPriority w:val="99"/>
    <w:rPr>
      <w:rFonts w:hint="default" w:ascii="monospace" w:hAnsi="monospace" w:eastAsia="monospace" w:cs="monospace"/>
      <w:sz w:val="20"/>
    </w:rPr>
  </w:style>
  <w:style w:type="character" w:styleId="36">
    <w:name w:val="HTML Acronym"/>
    <w:basedOn w:val="29"/>
    <w:unhideWhenUsed/>
    <w:qFormat/>
    <w:uiPriority w:val="99"/>
  </w:style>
  <w:style w:type="character" w:styleId="37">
    <w:name w:val="HTML Variable"/>
    <w:basedOn w:val="29"/>
    <w:unhideWhenUsed/>
    <w:qFormat/>
    <w:uiPriority w:val="99"/>
  </w:style>
  <w:style w:type="character" w:styleId="38">
    <w:name w:val="Hyperlink"/>
    <w:basedOn w:val="29"/>
    <w:qFormat/>
    <w:uiPriority w:val="0"/>
    <w:rPr>
      <w:color w:val="0000FF"/>
      <w:u w:val="none"/>
    </w:rPr>
  </w:style>
  <w:style w:type="character" w:styleId="39">
    <w:name w:val="HTML Code"/>
    <w:basedOn w:val="29"/>
    <w:unhideWhenUsed/>
    <w:qFormat/>
    <w:uiPriority w:val="99"/>
    <w:rPr>
      <w:rFonts w:hint="default" w:ascii="monospace" w:hAnsi="monospace" w:eastAsia="monospace" w:cs="monospace"/>
      <w:sz w:val="20"/>
    </w:rPr>
  </w:style>
  <w:style w:type="character" w:styleId="40">
    <w:name w:val="HTML Cite"/>
    <w:basedOn w:val="29"/>
    <w:unhideWhenUsed/>
    <w:qFormat/>
    <w:uiPriority w:val="99"/>
  </w:style>
  <w:style w:type="character" w:styleId="41">
    <w:name w:val="HTML Keyboard"/>
    <w:basedOn w:val="29"/>
    <w:unhideWhenUsed/>
    <w:qFormat/>
    <w:uiPriority w:val="99"/>
    <w:rPr>
      <w:rFonts w:ascii="monospace" w:hAnsi="monospace" w:eastAsia="monospace" w:cs="monospace"/>
      <w:sz w:val="20"/>
    </w:rPr>
  </w:style>
  <w:style w:type="character" w:styleId="42">
    <w:name w:val="HTML Sample"/>
    <w:basedOn w:val="29"/>
    <w:unhideWhenUsed/>
    <w:qFormat/>
    <w:uiPriority w:val="99"/>
    <w:rPr>
      <w:rFonts w:hint="default" w:ascii="monospace" w:hAnsi="monospace" w:eastAsia="monospace" w:cs="monospace"/>
    </w:rPr>
  </w:style>
  <w:style w:type="paragraph" w:customStyle="1" w:styleId="43">
    <w:name w:val="*正文"/>
    <w:basedOn w:val="1"/>
    <w:qFormat/>
    <w:uiPriority w:val="0"/>
    <w:pPr>
      <w:keepNext/>
      <w:keepLines/>
      <w:spacing w:line="360" w:lineRule="auto"/>
      <w:ind w:firstLine="200" w:firstLineChars="200"/>
    </w:pPr>
    <w:rPr>
      <w:rFonts w:ascii="宋体" w:hAnsi="宋体"/>
      <w:szCs w:val="24"/>
    </w:rPr>
  </w:style>
  <w:style w:type="paragraph" w:customStyle="1" w:styleId="44">
    <w:name w:val="BodyText1I"/>
    <w:basedOn w:val="45"/>
    <w:qFormat/>
    <w:uiPriority w:val="0"/>
    <w:pPr>
      <w:ind w:firstLine="420" w:firstLineChars="100"/>
    </w:pPr>
    <w:rPr>
      <w:szCs w:val="21"/>
    </w:rPr>
  </w:style>
  <w:style w:type="paragraph" w:customStyle="1" w:styleId="45">
    <w:name w:val="BodyText"/>
    <w:basedOn w:val="1"/>
    <w:next w:val="46"/>
    <w:qFormat/>
    <w:uiPriority w:val="0"/>
    <w:pPr>
      <w:snapToGrid w:val="0"/>
      <w:spacing w:line="360" w:lineRule="auto"/>
    </w:pPr>
    <w:rPr>
      <w:rFonts w:ascii="Arial" w:hAnsi="Arial" w:eastAsia="仿宋_GB2312"/>
      <w:sz w:val="31"/>
    </w:rPr>
  </w:style>
  <w:style w:type="paragraph" w:customStyle="1" w:styleId="46">
    <w:name w:val="UserStyle_9"/>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7">
    <w:name w:val="Default"/>
    <w:next w:val="1"/>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8">
    <w:name w:val="正文（首行缩进） Char"/>
    <w:basedOn w:val="1"/>
    <w:next w:val="20"/>
    <w:qFormat/>
    <w:uiPriority w:val="0"/>
    <w:pPr>
      <w:widowControl w:val="0"/>
      <w:autoSpaceDE/>
      <w:autoSpaceDN/>
      <w:spacing w:before="0" w:after="0" w:line="360" w:lineRule="auto"/>
      <w:ind w:left="0" w:firstLine="480"/>
      <w:jc w:val="both"/>
    </w:pPr>
    <w:rPr>
      <w:rFonts w:ascii="Arial" w:eastAsia="宋体"/>
      <w:color w:val="000000"/>
      <w:sz w:val="24"/>
    </w:rPr>
  </w:style>
  <w:style w:type="paragraph" w:customStyle="1" w:styleId="49">
    <w:name w:val="Table Paragraph"/>
    <w:basedOn w:val="1"/>
    <w:qFormat/>
    <w:uiPriority w:val="0"/>
    <w:rPr>
      <w:sz w:val="24"/>
    </w:rPr>
  </w:style>
  <w:style w:type="paragraph" w:customStyle="1" w:styleId="50">
    <w:name w:val="p0"/>
    <w:basedOn w:val="1"/>
    <w:qFormat/>
    <w:uiPriority w:val="0"/>
    <w:pPr>
      <w:widowControl/>
    </w:pPr>
    <w:rPr>
      <w:rFonts w:ascii="Calibri" w:hAnsi="Calibri" w:cs="宋体"/>
      <w:kern w:val="0"/>
      <w:szCs w:val="21"/>
    </w:rPr>
  </w:style>
  <w:style w:type="paragraph" w:customStyle="1" w:styleId="51">
    <w:name w:val="UP正文"/>
    <w:basedOn w:val="1"/>
    <w:qFormat/>
    <w:uiPriority w:val="0"/>
    <w:pPr>
      <w:spacing w:line="360" w:lineRule="auto"/>
      <w:ind w:leftChars="200" w:firstLine="420" w:firstLineChars="200"/>
    </w:pPr>
    <w:rPr>
      <w:rFonts w:ascii="Tahoma" w:hAnsi="Tahoma" w:cs="宋体"/>
      <w:szCs w:val="20"/>
    </w:rPr>
  </w:style>
  <w:style w:type="paragraph" w:customStyle="1" w:styleId="52">
    <w:name w:val="表头"/>
    <w:basedOn w:val="9"/>
    <w:qFormat/>
    <w:uiPriority w:val="0"/>
    <w:pPr>
      <w:keepNext/>
      <w:keepLines/>
      <w:widowControl/>
      <w:spacing w:before="120" w:beforeLines="0" w:after="120" w:afterLines="0" w:line="300" w:lineRule="auto"/>
      <w:jc w:val="center"/>
    </w:pPr>
    <w:rPr>
      <w:rFonts w:cs="Times New Roman"/>
      <w:kern w:val="0"/>
      <w:sz w:val="21"/>
    </w:rPr>
  </w:style>
  <w:style w:type="paragraph" w:customStyle="1" w:styleId="53">
    <w:name w:val="Char1 Char Char Char Char Char Char"/>
    <w:basedOn w:val="1"/>
    <w:qFormat/>
    <w:uiPriority w:val="0"/>
    <w:pPr>
      <w:numPr>
        <w:ilvl w:val="0"/>
        <w:numId w:val="2"/>
      </w:numPr>
      <w:ind w:left="0" w:firstLine="0"/>
    </w:pPr>
    <w:rPr>
      <w:rFonts w:ascii="Tahoma" w:hAnsi="Tahoma"/>
      <w:sz w:val="24"/>
    </w:rPr>
  </w:style>
  <w:style w:type="paragraph" w:customStyle="1" w:styleId="54">
    <w:name w:val="列出段落1"/>
    <w:basedOn w:val="1"/>
    <w:qFormat/>
    <w:uiPriority w:val="0"/>
    <w:pPr>
      <w:ind w:firstLine="420" w:firstLineChars="200"/>
    </w:pPr>
  </w:style>
  <w:style w:type="paragraph" w:customStyle="1" w:styleId="55">
    <w:name w:val="样式 首行缩进:  0 字符"/>
    <w:basedOn w:val="1"/>
    <w:qFormat/>
    <w:uiPriority w:val="0"/>
    <w:pPr>
      <w:spacing w:line="360" w:lineRule="auto"/>
      <w:ind w:firstLine="200" w:firstLineChars="200"/>
    </w:pPr>
    <w:rPr>
      <w:rFonts w:ascii="Arial" w:hAnsi="Arial" w:eastAsia="Times New Roman"/>
      <w:sz w:val="24"/>
      <w:szCs w:val="22"/>
    </w:rPr>
  </w:style>
  <w:style w:type="paragraph" w:customStyle="1" w:styleId="56">
    <w:name w:val="List Paragraph"/>
    <w:basedOn w:val="1"/>
    <w:qFormat/>
    <w:uiPriority w:val="34"/>
    <w:pPr>
      <w:ind w:firstLine="420" w:firstLineChars="200"/>
    </w:pPr>
    <w:rPr>
      <w:rFonts w:ascii="Calibri" w:hAnsi="Calibri" w:eastAsia="宋体" w:cs="Times New Roman"/>
      <w:szCs w:val="22"/>
    </w:rPr>
  </w:style>
  <w:style w:type="paragraph" w:customStyle="1" w:styleId="5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58">
    <w:name w:val="页眉 字符"/>
    <w:basedOn w:val="29"/>
    <w:link w:val="17"/>
    <w:qFormat/>
    <w:uiPriority w:val="99"/>
    <w:rPr>
      <w:sz w:val="18"/>
      <w:szCs w:val="18"/>
    </w:rPr>
  </w:style>
  <w:style w:type="character" w:customStyle="1" w:styleId="59">
    <w:name w:val="页脚 字符"/>
    <w:basedOn w:val="29"/>
    <w:link w:val="15"/>
    <w:qFormat/>
    <w:uiPriority w:val="99"/>
    <w:rPr>
      <w:sz w:val="18"/>
      <w:szCs w:val="18"/>
    </w:rPr>
  </w:style>
  <w:style w:type="character" w:customStyle="1" w:styleId="60">
    <w:name w:val="标题 1 字符"/>
    <w:basedOn w:val="29"/>
    <w:link w:val="4"/>
    <w:qFormat/>
    <w:uiPriority w:val="0"/>
    <w:rPr>
      <w:rFonts w:ascii="黑体" w:hAnsi="黑体" w:eastAsia="宋体" w:cs="Times New Roman"/>
      <w:sz w:val="32"/>
      <w:szCs w:val="24"/>
    </w:rPr>
  </w:style>
  <w:style w:type="character" w:customStyle="1" w:styleId="61">
    <w:name w:val="标题 2 字符"/>
    <w:basedOn w:val="29"/>
    <w:link w:val="5"/>
    <w:qFormat/>
    <w:uiPriority w:val="0"/>
    <w:rPr>
      <w:rFonts w:ascii="Calibri" w:hAnsi="Calibri" w:eastAsia="宋体" w:cs="Times New Roman"/>
      <w:b/>
      <w:sz w:val="32"/>
      <w:szCs w:val="32"/>
    </w:rPr>
  </w:style>
  <w:style w:type="character" w:customStyle="1" w:styleId="62">
    <w:name w:val="标题 3 字符"/>
    <w:basedOn w:val="29"/>
    <w:link w:val="6"/>
    <w:qFormat/>
    <w:uiPriority w:val="0"/>
    <w:rPr>
      <w:rFonts w:ascii="Calibri" w:hAnsi="Calibri" w:eastAsia="宋体" w:cs="Times New Roman"/>
      <w:b/>
      <w:bCs/>
      <w:sz w:val="30"/>
      <w:szCs w:val="32"/>
    </w:rPr>
  </w:style>
  <w:style w:type="character" w:customStyle="1" w:styleId="63">
    <w:name w:val="正文文本 字符"/>
    <w:basedOn w:val="29"/>
    <w:link w:val="11"/>
    <w:qFormat/>
    <w:uiPriority w:val="0"/>
    <w:rPr>
      <w:rFonts w:ascii="汉鼎简楷体" w:hAnsi="宋体" w:eastAsia="汉鼎简楷体" w:cs="Times New Roman"/>
      <w:b/>
      <w:bCs/>
      <w:spacing w:val="4"/>
      <w:sz w:val="24"/>
      <w:szCs w:val="20"/>
    </w:rPr>
  </w:style>
  <w:style w:type="character" w:customStyle="1" w:styleId="64">
    <w:name w:val="正文文本缩进 字符"/>
    <w:basedOn w:val="29"/>
    <w:link w:val="12"/>
    <w:qFormat/>
    <w:uiPriority w:val="0"/>
    <w:rPr>
      <w:rFonts w:ascii="Calibri" w:hAnsi="Calibri" w:eastAsia="宋体" w:cs="Times New Roman"/>
      <w:szCs w:val="24"/>
    </w:rPr>
  </w:style>
  <w:style w:type="character" w:customStyle="1" w:styleId="65">
    <w:name w:val="纯文本 字符"/>
    <w:basedOn w:val="29"/>
    <w:link w:val="14"/>
    <w:qFormat/>
    <w:uiPriority w:val="0"/>
    <w:rPr>
      <w:rFonts w:ascii="宋体" w:hAnsi="Courier New" w:eastAsia="宋体" w:cs="Times New Roman"/>
      <w:kern w:val="0"/>
      <w:szCs w:val="24"/>
    </w:rPr>
  </w:style>
  <w:style w:type="character" w:customStyle="1" w:styleId="66">
    <w:name w:val="标题 字符"/>
    <w:basedOn w:val="29"/>
    <w:link w:val="24"/>
    <w:qFormat/>
    <w:uiPriority w:val="0"/>
    <w:rPr>
      <w:rFonts w:ascii="Arial" w:hAnsi="Arial" w:eastAsia="宋体" w:cs="Arial"/>
      <w:b/>
      <w:bCs/>
      <w:sz w:val="32"/>
      <w:szCs w:val="32"/>
    </w:rPr>
  </w:style>
  <w:style w:type="character" w:customStyle="1" w:styleId="67">
    <w:name w:val="正文文本首行缩进 字符"/>
    <w:basedOn w:val="63"/>
    <w:link w:val="25"/>
    <w:qFormat/>
    <w:uiPriority w:val="0"/>
    <w:rPr>
      <w:rFonts w:ascii="Arial" w:hAnsi="Arial" w:eastAsia="宋体" w:cs="Times New Roman"/>
      <w:b w:val="0"/>
      <w:bCs w:val="0"/>
      <w:spacing w:val="4"/>
      <w:kern w:val="0"/>
      <w:sz w:val="24"/>
      <w:szCs w:val="20"/>
    </w:rPr>
  </w:style>
  <w:style w:type="character" w:customStyle="1" w:styleId="68">
    <w:name w:val="标题 3 Char1"/>
    <w:qFormat/>
    <w:uiPriority w:val="0"/>
    <w:rPr>
      <w:rFonts w:eastAsia="黑体" w:cs="Times New Roman"/>
      <w:b/>
      <w:bCs/>
      <w:kern w:val="2"/>
      <w:sz w:val="24"/>
      <w:szCs w:val="24"/>
      <w:lang w:val="en-US" w:eastAsia="zh-CN"/>
    </w:rPr>
  </w:style>
  <w:style w:type="character" w:customStyle="1" w:styleId="69">
    <w:name w:val="prev"/>
    <w:basedOn w:val="29"/>
    <w:qFormat/>
    <w:uiPriority w:val="0"/>
    <w:rPr>
      <w:rFonts w:ascii="微软雅黑" w:hAnsi="微软雅黑" w:eastAsia="微软雅黑" w:cs="微软雅黑"/>
      <w:sz w:val="21"/>
      <w:szCs w:val="21"/>
    </w:rPr>
  </w:style>
  <w:style w:type="character" w:customStyle="1" w:styleId="70">
    <w:name w:val="displayarti"/>
    <w:basedOn w:val="29"/>
    <w:qFormat/>
    <w:uiPriority w:val="0"/>
    <w:rPr>
      <w:color w:val="FFFFFF"/>
      <w:shd w:val="clear" w:color="010000" w:fill="A00000"/>
    </w:rPr>
  </w:style>
  <w:style w:type="character" w:customStyle="1" w:styleId="71">
    <w:name w:val="qxdate"/>
    <w:basedOn w:val="29"/>
    <w:qFormat/>
    <w:uiPriority w:val="0"/>
    <w:rPr>
      <w:color w:val="333333"/>
      <w:sz w:val="18"/>
      <w:szCs w:val="18"/>
    </w:rPr>
  </w:style>
  <w:style w:type="character" w:customStyle="1" w:styleId="72">
    <w:name w:val="gjfg"/>
    <w:basedOn w:val="29"/>
    <w:qFormat/>
    <w:uiPriority w:val="0"/>
  </w:style>
  <w:style w:type="character" w:customStyle="1" w:styleId="73">
    <w:name w:val="redfilefwwh"/>
    <w:basedOn w:val="29"/>
    <w:qFormat/>
    <w:uiPriority w:val="0"/>
    <w:rPr>
      <w:color w:val="BA2636"/>
      <w:sz w:val="18"/>
      <w:szCs w:val="18"/>
    </w:rPr>
  </w:style>
  <w:style w:type="character" w:customStyle="1" w:styleId="74">
    <w:name w:val="redfilenumber"/>
    <w:basedOn w:val="29"/>
    <w:qFormat/>
    <w:uiPriority w:val="0"/>
    <w:rPr>
      <w:color w:val="BA2636"/>
      <w:sz w:val="18"/>
      <w:szCs w:val="18"/>
    </w:rPr>
  </w:style>
  <w:style w:type="character" w:customStyle="1" w:styleId="75">
    <w:name w:val="cfdate"/>
    <w:basedOn w:val="29"/>
    <w:qFormat/>
    <w:uiPriority w:val="0"/>
    <w:rPr>
      <w:color w:val="333333"/>
      <w:sz w:val="18"/>
      <w:szCs w:val="18"/>
    </w:rPr>
  </w:style>
  <w:style w:type="character" w:customStyle="1" w:styleId="76">
    <w:name w:val="next2"/>
    <w:basedOn w:val="29"/>
    <w:qFormat/>
    <w:uiPriority w:val="0"/>
    <w:rPr>
      <w:rFonts w:hint="eastAsia" w:ascii="微软雅黑" w:hAnsi="微软雅黑" w:eastAsia="微软雅黑" w:cs="微软雅黑"/>
      <w:sz w:val="21"/>
      <w:szCs w:val="21"/>
    </w:rPr>
  </w:style>
  <w:style w:type="character" w:customStyle="1" w:styleId="77">
    <w:name w:val="next3"/>
    <w:basedOn w:val="29"/>
    <w:qFormat/>
    <w:uiPriority w:val="0"/>
    <w:rPr>
      <w:color w:val="888888"/>
    </w:rPr>
  </w:style>
  <w:style w:type="character" w:customStyle="1" w:styleId="78">
    <w:name w:val="font61"/>
    <w:basedOn w:val="29"/>
    <w:qFormat/>
    <w:uiPriority w:val="0"/>
    <w:rPr>
      <w:rFonts w:hint="eastAsia" w:ascii="宋体" w:hAnsi="宋体" w:eastAsia="宋体" w:cs="宋体"/>
      <w:b/>
      <w:color w:val="000000"/>
      <w:sz w:val="36"/>
      <w:szCs w:val="36"/>
      <w:u w:val="none"/>
    </w:rPr>
  </w:style>
  <w:style w:type="character" w:customStyle="1" w:styleId="79">
    <w:name w:val="font31"/>
    <w:basedOn w:val="29"/>
    <w:qFormat/>
    <w:uiPriority w:val="0"/>
    <w:rPr>
      <w:rFonts w:hint="eastAsia" w:ascii="宋体" w:hAnsi="宋体" w:eastAsia="宋体" w:cs="宋体"/>
      <w:b/>
      <w:color w:val="000000"/>
      <w:sz w:val="20"/>
      <w:szCs w:val="20"/>
      <w:u w:val="none"/>
    </w:rPr>
  </w:style>
  <w:style w:type="character" w:customStyle="1" w:styleId="80">
    <w:name w:val="标题 4 Char"/>
    <w:link w:val="7"/>
    <w:qFormat/>
    <w:uiPriority w:val="0"/>
    <w:rPr>
      <w:rFonts w:ascii="Arial" w:hAnsi="Arial" w:eastAsia="黑体"/>
      <w:b/>
      <w:bCs/>
      <w:kern w:val="0"/>
      <w:sz w:val="28"/>
      <w:szCs w:val="28"/>
    </w:rPr>
  </w:style>
  <w:style w:type="paragraph" w:customStyle="1" w:styleId="81">
    <w:name w:val="_Style 6"/>
    <w:basedOn w:val="4"/>
    <w:next w:val="1"/>
    <w:qFormat/>
    <w:uiPriority w:val="0"/>
    <w:pPr>
      <w:outlineLvl w:val="9"/>
    </w:pPr>
  </w:style>
  <w:style w:type="table" w:customStyle="1" w:styleId="82">
    <w:name w:val="Table Normal"/>
    <w:basedOn w:val="27"/>
    <w:qFormat/>
    <w:uiPriority w:val="0"/>
    <w:pPr>
      <w:widowControl w:val="0"/>
      <w:autoSpaceDE w:val="0"/>
      <w:autoSpaceDN w:val="0"/>
    </w:pPr>
    <w:rPr>
      <w:rFonts w:ascii="Calibri" w:hAnsi="Calibri"/>
      <w:sz w:val="22"/>
      <w:szCs w:val="22"/>
      <w:lang w:eastAsia="en-US"/>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14047</Words>
  <Characters>15639</Characters>
  <Lines>145</Lines>
  <Paragraphs>40</Paragraphs>
  <TotalTime>57</TotalTime>
  <ScaleCrop>false</ScaleCrop>
  <LinksUpToDate>false</LinksUpToDate>
  <CharactersWithSpaces>15846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2020-04-23T04:36:00Z</dcterms:created>
  <dc:creator>尹 勇</dc:creator>
  <cp:lastModifiedBy>救赎</cp:lastModifiedBy>
  <dcterms:modified xsi:type="dcterms:W3CDTF">2024-12-04T07:04:18Z</dcterms:modified>
  <dc:title>荥阳市自然资源和规划局荥阳市园地、林地、草地分等定级项目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072231F7887D4298AE803ED53D7C2616_13</vt:lpwstr>
  </property>
</Properties>
</file>