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94A891">
      <w:pPr>
        <w:snapToGrid w:val="0"/>
        <w:spacing w:line="480" w:lineRule="auto"/>
        <w:ind w:left="0" w:leftChars="0" w:firstLine="0" w:firstLineChars="0"/>
        <w:jc w:val="left"/>
        <w:rPr>
          <w:rFonts w:hint="default" w:ascii="Times New Roman" w:hAnsi="Times New Roman" w:cs="Times New Roman"/>
          <w:b/>
          <w:color w:val="auto"/>
          <w:spacing w:val="20"/>
          <w:sz w:val="28"/>
          <w:szCs w:val="28"/>
          <w:lang w:val="en-US" w:eastAsia="zh-CN"/>
        </w:rPr>
      </w:pPr>
      <w:r>
        <w:rPr>
          <w:rFonts w:hint="eastAsia" w:cs="Times New Roman"/>
          <w:b/>
          <w:color w:val="auto"/>
          <w:spacing w:val="20"/>
          <w:sz w:val="28"/>
          <w:szCs w:val="28"/>
          <w:lang w:val="en-US" w:eastAsia="zh-CN"/>
        </w:rPr>
        <w:t>附件1</w:t>
      </w:r>
    </w:p>
    <w:p w14:paraId="1D7EF6B3">
      <w:pPr>
        <w:snapToGrid w:val="0"/>
        <w:spacing w:line="480" w:lineRule="auto"/>
        <w:ind w:left="0" w:leftChars="0" w:firstLine="0" w:firstLineChars="0"/>
        <w:jc w:val="center"/>
        <w:rPr>
          <w:rFonts w:hint="default" w:cs="Times New Roman"/>
          <w:b/>
          <w:color w:val="auto"/>
          <w:spacing w:val="20"/>
          <w:sz w:val="40"/>
          <w:szCs w:val="20"/>
          <w:lang w:val="en-US" w:eastAsia="zh-CN"/>
        </w:rPr>
      </w:pPr>
      <w:r>
        <w:rPr>
          <w:rFonts w:hint="eastAsia" w:cs="Times New Roman"/>
          <w:b/>
          <w:color w:val="auto"/>
          <w:spacing w:val="20"/>
          <w:sz w:val="40"/>
          <w:szCs w:val="20"/>
          <w:lang w:val="en-US" w:eastAsia="zh-CN"/>
        </w:rPr>
        <w:t>永城职业学院</w:t>
      </w:r>
    </w:p>
    <w:p w14:paraId="0F2FA617">
      <w:pPr>
        <w:snapToGrid w:val="0"/>
        <w:spacing w:line="480" w:lineRule="auto"/>
        <w:ind w:left="0" w:leftChars="0" w:firstLine="0" w:firstLineChars="0"/>
        <w:jc w:val="center"/>
        <w:rPr>
          <w:rFonts w:hint="eastAsia" w:cs="Times New Roman"/>
          <w:b/>
          <w:color w:val="auto"/>
          <w:spacing w:val="20"/>
          <w:sz w:val="40"/>
          <w:szCs w:val="20"/>
          <w:lang w:eastAsia="zh-CN"/>
        </w:rPr>
      </w:pPr>
      <w:r>
        <w:rPr>
          <w:rFonts w:hint="eastAsia" w:cs="Times New Roman"/>
          <w:b/>
          <w:color w:val="auto"/>
          <w:spacing w:val="20"/>
          <w:sz w:val="40"/>
          <w:szCs w:val="20"/>
          <w:lang w:val="en-US" w:eastAsia="zh-CN"/>
        </w:rPr>
        <w:t>兰园10号楼宿舍公寓床采购</w:t>
      </w:r>
      <w:r>
        <w:rPr>
          <w:rFonts w:hint="eastAsia" w:cs="Times New Roman"/>
          <w:b/>
          <w:color w:val="auto"/>
          <w:spacing w:val="20"/>
          <w:sz w:val="40"/>
          <w:szCs w:val="20"/>
          <w:lang w:eastAsia="zh-CN"/>
        </w:rPr>
        <w:t>项目设计方案</w:t>
      </w:r>
    </w:p>
    <w:p w14:paraId="6721BD17">
      <w:pPr>
        <w:spacing w:line="360" w:lineRule="auto"/>
        <w:ind w:left="0" w:leftChars="0" w:firstLine="0" w:firstLineChars="0"/>
        <w:jc w:val="center"/>
        <w:rPr>
          <w:rFonts w:hint="eastAsia" w:cs="Times New Roman"/>
          <w:b/>
          <w:color w:val="auto"/>
          <w:sz w:val="44"/>
          <w:lang w:val="en-US" w:eastAsia="zh-CN"/>
        </w:rPr>
      </w:pPr>
    </w:p>
    <w:p w14:paraId="40439A30">
      <w:pPr>
        <w:snapToGrid w:val="0"/>
        <w:spacing w:line="480" w:lineRule="auto"/>
        <w:jc w:val="left"/>
        <w:rPr>
          <w:rFonts w:hint="eastAsia" w:ascii="Times New Roman" w:hAnsi="Times New Roman" w:eastAsia="宋体" w:cs="Times New Roman"/>
          <w:b/>
          <w:color w:val="auto"/>
          <w:spacing w:val="13"/>
          <w:sz w:val="32"/>
          <w:lang w:eastAsia="zh-CN"/>
        </w:rPr>
      </w:pPr>
    </w:p>
    <w:p w14:paraId="7E4E1D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/>
          <w:color w:val="auto"/>
          <w:spacing w:val="13"/>
          <w:sz w:val="32"/>
          <w:lang w:eastAsia="zh-CN"/>
        </w:rPr>
      </w:pPr>
    </w:p>
    <w:p w14:paraId="4181F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b/>
          <w:color w:val="auto"/>
          <w:spacing w:val="13"/>
          <w:sz w:val="32"/>
        </w:rPr>
      </w:pPr>
    </w:p>
    <w:p w14:paraId="2BFB5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b/>
          <w:color w:val="auto"/>
          <w:spacing w:val="13"/>
          <w:sz w:val="32"/>
        </w:rPr>
      </w:pPr>
    </w:p>
    <w:p w14:paraId="3065C133">
      <w:pPr>
        <w:rPr>
          <w:rFonts w:hint="default" w:ascii="Times New Roman" w:hAnsi="Times New Roman" w:cs="Times New Roman"/>
          <w:b/>
          <w:color w:val="auto"/>
          <w:spacing w:val="13"/>
          <w:sz w:val="32"/>
        </w:rPr>
      </w:pPr>
    </w:p>
    <w:p w14:paraId="62C63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Times New Roman" w:hAnsi="Times New Roman" w:eastAsia="宋体" w:cs="Times New Roman"/>
          <w:b/>
          <w:color w:val="auto"/>
          <w:sz w:val="32"/>
          <w:lang w:eastAsia="zh-CN"/>
        </w:rPr>
      </w:pPr>
    </w:p>
    <w:p w14:paraId="28444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cs="Times New Roman"/>
          <w:b/>
          <w:color w:val="auto"/>
          <w:sz w:val="32"/>
        </w:rPr>
      </w:pPr>
    </w:p>
    <w:p w14:paraId="35B3EC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cs="Times New Roman"/>
          <w:b/>
          <w:color w:val="auto"/>
          <w:sz w:val="32"/>
        </w:rPr>
      </w:pPr>
    </w:p>
    <w:p w14:paraId="2FCDBE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cs="Times New Roman"/>
          <w:b/>
          <w:color w:val="auto"/>
          <w:sz w:val="32"/>
        </w:rPr>
      </w:pPr>
    </w:p>
    <w:p w14:paraId="396A6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cs="Times New Roman"/>
          <w:b/>
          <w:color w:val="auto"/>
          <w:sz w:val="32"/>
        </w:rPr>
      </w:pPr>
    </w:p>
    <w:p w14:paraId="74018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542" w:right="0" w:rightChars="0" w:hanging="662" w:hangingChars="150"/>
        <w:jc w:val="center"/>
        <w:textAlignment w:val="auto"/>
        <w:outlineLvl w:val="9"/>
        <w:rPr>
          <w:rFonts w:hint="eastAsia" w:cs="Times New Roman"/>
          <w:b/>
          <w:color w:val="auto"/>
          <w:spacing w:val="20"/>
          <w:sz w:val="40"/>
          <w:szCs w:val="20"/>
          <w:lang w:val="en-US" w:eastAsia="zh-CN"/>
        </w:rPr>
      </w:pPr>
      <w:r>
        <w:rPr>
          <w:rFonts w:hint="eastAsia" w:cs="Times New Roman"/>
          <w:b/>
          <w:color w:val="auto"/>
          <w:spacing w:val="20"/>
          <w:sz w:val="40"/>
          <w:szCs w:val="20"/>
          <w:lang w:val="en-US" w:eastAsia="zh-CN"/>
        </w:rPr>
        <w:t>永城职业学院</w:t>
      </w:r>
    </w:p>
    <w:p w14:paraId="6DC4F2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542" w:right="0" w:rightChars="0" w:hanging="542" w:hangingChars="150"/>
        <w:jc w:val="center"/>
        <w:textAlignment w:val="auto"/>
        <w:outlineLvl w:val="9"/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cs="Times New Roman"/>
          <w:b/>
          <w:bCs/>
          <w:color w:val="auto"/>
          <w:sz w:val="36"/>
          <w:szCs w:val="36"/>
          <w:lang w:val="en-US" w:eastAsia="zh-CN"/>
        </w:rPr>
        <w:t>2025</w:t>
      </w:r>
      <w:r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lang w:val="en-US" w:eastAsia="zh-CN"/>
        </w:rPr>
        <w:t>年</w:t>
      </w:r>
      <w:r>
        <w:rPr>
          <w:rFonts w:hint="eastAsia" w:cs="Times New Roman"/>
          <w:b/>
          <w:bCs/>
          <w:color w:val="auto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lang w:val="en-US" w:eastAsia="zh-CN"/>
        </w:rPr>
        <w:t>月</w:t>
      </w:r>
    </w:p>
    <w:p w14:paraId="1525ADAE">
      <w:pPr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lang w:val="en-US" w:eastAsia="zh-CN"/>
        </w:rPr>
        <w:br w:type="page"/>
      </w:r>
    </w:p>
    <w:p w14:paraId="1A193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542" w:right="0" w:rightChars="0" w:hanging="542" w:hangingChars="150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color w:val="auto"/>
          <w:sz w:val="36"/>
          <w:szCs w:val="36"/>
          <w:lang w:val="en-US" w:eastAsia="zh-CN"/>
        </w:rPr>
        <w:sectPr>
          <w:headerReference r:id="rId5" w:type="first"/>
          <w:footerReference r:id="rId7" w:type="first"/>
          <w:footerReference r:id="rId6" w:type="default"/>
          <w:pgSz w:w="11906" w:h="16838"/>
          <w:pgMar w:top="1417" w:right="1417" w:bottom="1417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720" w:num="1"/>
          <w:rtlGutter w:val="0"/>
          <w:docGrid w:type="lines" w:linePitch="312" w:charSpace="0"/>
        </w:sectPr>
      </w:pPr>
    </w:p>
    <w:p w14:paraId="302E063D">
      <w:pPr>
        <w:pStyle w:val="2"/>
        <w:rPr>
          <w:rFonts w:hint="default"/>
          <w:lang w:val="en-US" w:eastAsia="zh-CN"/>
        </w:rPr>
        <w:sectPr>
          <w:pgSz w:w="11906" w:h="16838"/>
          <w:pgMar w:top="1417" w:right="1417" w:bottom="1417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720" w:num="1"/>
          <w:rtlGutter w:val="0"/>
          <w:docGrid w:type="lines" w:linePitch="312" w:charSpace="0"/>
        </w:sectPr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44"/>
          <w:szCs w:val="44"/>
        </w:rPr>
        <w:id w:val="147455957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宋体" w:cs="Times New Roman"/>
          <w:snapToGrid w:val="0"/>
          <w:color w:val="auto"/>
          <w:kern w:val="0"/>
          <w:sz w:val="32"/>
          <w:szCs w:val="28"/>
        </w:rPr>
      </w:sdtEndPr>
      <w:sdtContent>
        <w:p w14:paraId="56C31BD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44"/>
              <w:szCs w:val="44"/>
            </w:rPr>
          </w:pPr>
          <w:r>
            <w:rPr>
              <w:rFonts w:ascii="宋体" w:hAnsi="宋体" w:eastAsia="宋体"/>
              <w:sz w:val="44"/>
              <w:szCs w:val="44"/>
            </w:rPr>
            <w:t>目录</w:t>
          </w:r>
        </w:p>
        <w:p w14:paraId="758CD9E5">
          <w:pPr>
            <w:pStyle w:val="3"/>
            <w:rPr>
              <w:rFonts w:ascii="宋体" w:hAnsi="宋体" w:eastAsia="宋体"/>
              <w:sz w:val="44"/>
              <w:szCs w:val="44"/>
            </w:rPr>
          </w:pPr>
        </w:p>
        <w:p w14:paraId="1D16D130"/>
        <w:p w14:paraId="6C8FCE7E">
          <w:pPr>
            <w:pStyle w:val="13"/>
            <w:tabs>
              <w:tab w:val="right" w:leader="dot" w:pos="8788"/>
            </w:tabs>
          </w:pP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instrText xml:space="preserve">TOC \o "1-1" \h \u </w:instrText>
          </w: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8"/>
            </w:rPr>
            <w:instrText xml:space="preserve"> HYPERLINK \l _Toc6474 </w:instrText>
          </w:r>
          <w:r>
            <w:rPr>
              <w:rFonts w:hint="default" w:ascii="Times New Roman" w:hAnsi="Times New Roman" w:eastAsia="宋体" w:cs="Times New Roman"/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第一章  项目建设背景</w:t>
          </w:r>
          <w:r>
            <w:tab/>
          </w:r>
          <w:r>
            <w:fldChar w:fldCharType="begin"/>
          </w:r>
          <w:r>
            <w:instrText xml:space="preserve"> PAGEREF _Toc6474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end"/>
          </w:r>
        </w:p>
        <w:p w14:paraId="1FBC2AF3">
          <w:pPr>
            <w:pStyle w:val="13"/>
            <w:tabs>
              <w:tab w:val="right" w:leader="dot" w:pos="8788"/>
            </w:tabs>
          </w:pP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8"/>
            </w:rPr>
            <w:instrText xml:space="preserve"> HYPERLINK \l _Toc22507 </w:instrText>
          </w:r>
          <w:r>
            <w:rPr>
              <w:rFonts w:hint="default" w:ascii="Times New Roman" w:hAnsi="Times New Roman" w:eastAsia="宋体" w:cs="Times New Roman"/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第二章  项目建设思路</w:t>
          </w:r>
          <w:r>
            <w:tab/>
          </w:r>
          <w:r>
            <w:fldChar w:fldCharType="begin"/>
          </w:r>
          <w:r>
            <w:instrText xml:space="preserve"> PAGEREF _Toc22507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end"/>
          </w:r>
        </w:p>
        <w:p w14:paraId="638B580B">
          <w:pPr>
            <w:pStyle w:val="13"/>
            <w:tabs>
              <w:tab w:val="right" w:leader="dot" w:pos="8788"/>
            </w:tabs>
          </w:pP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8"/>
            </w:rPr>
            <w:instrText xml:space="preserve"> HYPERLINK \l _Toc14697 </w:instrText>
          </w:r>
          <w:r>
            <w:rPr>
              <w:rFonts w:hint="default" w:ascii="Times New Roman" w:hAnsi="Times New Roman" w:eastAsia="宋体" w:cs="Times New Roman"/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第三章  项目实施进度和安排</w:t>
          </w:r>
          <w:r>
            <w:tab/>
          </w:r>
          <w:r>
            <w:fldChar w:fldCharType="begin"/>
          </w:r>
          <w:r>
            <w:instrText xml:space="preserve"> PAGEREF _Toc14697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end"/>
          </w:r>
        </w:p>
        <w:p w14:paraId="13D65209">
          <w:pPr>
            <w:pStyle w:val="13"/>
            <w:tabs>
              <w:tab w:val="right" w:leader="dot" w:pos="8788"/>
            </w:tabs>
          </w:pP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8"/>
            </w:rPr>
            <w:instrText xml:space="preserve"> HYPERLINK \l _Toc28928 </w:instrText>
          </w:r>
          <w:r>
            <w:rPr>
              <w:rFonts w:hint="default" w:ascii="Times New Roman" w:hAnsi="Times New Roman" w:eastAsia="宋体" w:cs="Times New Roman"/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第四章  项目建设预期绩效</w:t>
          </w:r>
          <w:r>
            <w:tab/>
          </w:r>
          <w:r>
            <w:fldChar w:fldCharType="begin"/>
          </w:r>
          <w:r>
            <w:instrText xml:space="preserve"> PAGEREF _Toc28928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end"/>
          </w:r>
        </w:p>
        <w:p w14:paraId="547C8951">
          <w:pPr>
            <w:pStyle w:val="13"/>
            <w:tabs>
              <w:tab w:val="right" w:leader="dot" w:pos="8788"/>
            </w:tabs>
          </w:pP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8"/>
            </w:rPr>
            <w:instrText xml:space="preserve"> HYPERLINK \l _Toc22900 </w:instrText>
          </w:r>
          <w:r>
            <w:rPr>
              <w:rFonts w:hint="default" w:ascii="Times New Roman" w:hAnsi="Times New Roman" w:eastAsia="宋体" w:cs="Times New Roman"/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第五章  保障措施</w:t>
          </w:r>
          <w:r>
            <w:tab/>
          </w:r>
          <w:r>
            <w:fldChar w:fldCharType="begin"/>
          </w:r>
          <w:r>
            <w:instrText xml:space="preserve"> PAGEREF _Toc22900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end"/>
          </w:r>
        </w:p>
        <w:p w14:paraId="2B85CB03">
          <w:pPr>
            <w:keepNext w:val="0"/>
            <w:keepLines w:val="0"/>
            <w:pageBreakBefore w:val="0"/>
            <w:widowControl/>
            <w:kinsoku/>
            <w:wordWrap/>
            <w:overflowPunct/>
            <w:topLinePunct/>
            <w:autoSpaceDE/>
            <w:autoSpaceDN/>
            <w:bidi w:val="0"/>
            <w:adjustRightInd/>
            <w:snapToGrid/>
            <w:spacing w:line="360" w:lineRule="auto"/>
            <w:ind w:left="0" w:leftChars="0" w:firstLine="0" w:firstLineChars="0"/>
            <w:jc w:val="both"/>
            <w:textAlignment w:val="auto"/>
            <w:outlineLvl w:val="9"/>
            <w:rPr>
              <w:rFonts w:hint="default" w:ascii="Times New Roman" w:hAnsi="Times New Roman" w:eastAsia="宋体" w:cs="Times New Roman"/>
              <w:snapToGrid w:val="0"/>
              <w:color w:val="auto"/>
              <w:kern w:val="0"/>
              <w:sz w:val="32"/>
              <w:szCs w:val="28"/>
            </w:rPr>
          </w:pPr>
          <w:r>
            <w:rPr>
              <w:rFonts w:hint="default" w:ascii="Times New Roman" w:hAnsi="Times New Roman" w:eastAsia="宋体" w:cs="Times New Roman"/>
              <w:color w:val="auto"/>
              <w:szCs w:val="28"/>
            </w:rPr>
            <w:fldChar w:fldCharType="end"/>
          </w:r>
        </w:p>
      </w:sdtContent>
    </w:sdt>
    <w:p w14:paraId="32CCD161">
      <w:pPr>
        <w:pStyle w:val="3"/>
        <w:rPr>
          <w:rFonts w:hint="default"/>
        </w:rPr>
      </w:pPr>
    </w:p>
    <w:p w14:paraId="404423FB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84" w:lineRule="auto"/>
        <w:ind w:firstLine="0" w:firstLineChars="0"/>
        <w:textAlignment w:val="auto"/>
        <w:outlineLvl w:val="9"/>
        <w:rPr>
          <w:rFonts w:hint="eastAsia"/>
          <w:lang w:val="en-US" w:eastAsia="zh-CN"/>
        </w:rPr>
        <w:sectPr>
          <w:footerReference r:id="rId8" w:type="default"/>
          <w:pgSz w:w="11906" w:h="16839"/>
          <w:pgMar w:top="1417" w:right="1417" w:bottom="1417" w:left="1701" w:header="0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equalWidth="0" w:num="1">
            <w:col w:w="9142"/>
          </w:cols>
          <w:rtlGutter w:val="0"/>
          <w:docGrid w:linePitch="0" w:charSpace="0"/>
        </w:sectPr>
      </w:pPr>
    </w:p>
    <w:p w14:paraId="0FE40359">
      <w:pPr>
        <w:pStyle w:val="7"/>
        <w:rPr>
          <w:rFonts w:hint="default" w:eastAsia="宋体"/>
          <w:lang w:val="en-US" w:eastAsia="zh-CN"/>
        </w:rPr>
      </w:pPr>
      <w:bookmarkStart w:id="0" w:name="_Toc6474"/>
      <w:bookmarkStart w:id="1" w:name="_Toc26740"/>
      <w:r>
        <w:rPr>
          <w:rFonts w:hint="eastAsia"/>
          <w:lang w:val="en-US" w:eastAsia="zh-CN"/>
        </w:rPr>
        <w:t>第一章  项目建设背景</w:t>
      </w:r>
      <w:bookmarkEnd w:id="0"/>
      <w:bookmarkEnd w:id="1"/>
    </w:p>
    <w:p w14:paraId="48E31249">
      <w:pPr>
        <w:bidi w:val="0"/>
        <w:ind w:left="0" w:leftChars="0" w:firstLine="640" w:firstLineChars="200"/>
        <w:rPr>
          <w:rFonts w:hint="eastAsia"/>
          <w:lang w:val="en-US" w:eastAsia="zh-CN"/>
        </w:rPr>
      </w:pPr>
      <w:bookmarkStart w:id="2" w:name="_bookmark2"/>
      <w:bookmarkEnd w:id="2"/>
      <w:r>
        <w:rPr>
          <w:rFonts w:hint="eastAsia"/>
          <w:lang w:val="en-US" w:eastAsia="zh-CN"/>
        </w:rPr>
        <w:t>1.1 项目建设背景</w:t>
      </w:r>
    </w:p>
    <w:p w14:paraId="1AADD67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1.1.1 宏观背景  </w:t>
      </w:r>
    </w:p>
    <w:p w14:paraId="4EDC1C3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随着我国高等教育事业的快速发展，学生宿舍作为校园生活的重要载体，其设施质量直接关系到学生的生活品质与学习效率。国家教育部明确提出要改善职业院校基础设施，优化学生住宿条件。</w:t>
      </w:r>
    </w:p>
    <w:p w14:paraId="59479A1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1.1.2 微观背景  </w:t>
      </w:r>
    </w:p>
    <w:p w14:paraId="3AFC45F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兰园10号楼宿舍于2007年建成，采用10人间布局，床铺为钢木结构，配单独书桌，无衣柜、无书架。现有床桌设施因长期使用导致严重损坏，存在结构不稳、功能老化等问题，影响学生日常生活与安全。</w:t>
      </w:r>
    </w:p>
    <w:p w14:paraId="4723010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1.2 项目建设的必要性  </w:t>
      </w:r>
    </w:p>
    <w:p w14:paraId="37933A3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1.2.1 改善学生生活条件的需要：现有床桌设施破损严重，存在安全隐患，亟需更换。  </w:t>
      </w:r>
    </w:p>
    <w:p w14:paraId="5A5B8C3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1.2.2 提升住宿环境品质：新型公寓床集成床、桌、柜、书架等功能，优化空间利用，提升学生生活便利性。  </w:t>
      </w:r>
    </w:p>
    <w:p w14:paraId="1E85250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1.2.3 落实国家政策要求：项目符合教育部关于职业院校基础设施升级的指导方针，符合现代化教育需求。  </w:t>
      </w:r>
    </w:p>
    <w:p w14:paraId="5C722C9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1.3 项目建设的可行性  </w:t>
      </w:r>
    </w:p>
    <w:p w14:paraId="3376D3A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1.31 政策支持：财政专户管理资金已明确拨付104.7708万元，资金来源可靠。  </w:t>
      </w:r>
    </w:p>
    <w:p w14:paraId="0919849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1.3.2 技术成熟：公寓床设计参数明确，采购与安装流程标准化，施工风险低。  </w:t>
      </w:r>
    </w:p>
    <w:p w14:paraId="522D23C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1.3.3 市场需求匹配：供应商市场成熟，可快速响应招标需求。  </w:t>
      </w:r>
    </w:p>
    <w:p w14:paraId="263B9273">
      <w:pPr>
        <w:rPr>
          <w:rFonts w:hint="eastAsia"/>
        </w:rPr>
      </w:pPr>
      <w:r>
        <w:rPr>
          <w:rFonts w:hint="eastAsia"/>
        </w:rPr>
        <w:br w:type="page"/>
      </w:r>
    </w:p>
    <w:p w14:paraId="10B352EA">
      <w:pPr>
        <w:pStyle w:val="7"/>
        <w:bidi w:val="0"/>
        <w:rPr>
          <w:rFonts w:hint="eastAsia"/>
          <w:lang w:val="en-US" w:eastAsia="zh-CN"/>
        </w:rPr>
      </w:pPr>
      <w:bookmarkStart w:id="3" w:name="_Toc22507"/>
      <w:bookmarkStart w:id="4" w:name="_Toc14391"/>
      <w:r>
        <w:rPr>
          <w:rFonts w:hint="eastAsia"/>
          <w:lang w:val="en-US" w:eastAsia="zh-CN"/>
        </w:rPr>
        <w:t>第二章  项目建设思路</w:t>
      </w:r>
      <w:bookmarkEnd w:id="3"/>
      <w:bookmarkEnd w:id="4"/>
    </w:p>
    <w:p w14:paraId="0DD73EF7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2.1 建设目标  </w:t>
      </w:r>
    </w:p>
    <w:p w14:paraId="24E5B1B9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通过采购安装654套新型公寓床，彻底解决现有设施老化问题，打造安全、舒适、功能齐全的学生宿舍环境，提升学生生活品质与学院形象。</w:t>
      </w:r>
    </w:p>
    <w:p w14:paraId="2A50B07F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2.2 总体要求  </w:t>
      </w:r>
    </w:p>
    <w:p w14:paraId="036FC88E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2.2.1 功能性：集成床铺、书桌、衣柜、书架、凳子于一体，满足学生日常学习与生活需求。  </w:t>
      </w:r>
    </w:p>
    <w:p w14:paraId="149BC6E0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2.2.2 安全性：采用优质冷轧钢板、环保材料及防滑设计，确保结构稳固与使用安全。  </w:t>
      </w:r>
    </w:p>
    <w:p w14:paraId="563C9B13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2.2.3 耐用性：材料厚度、焊接工艺、表面处理等均符合国家标准，确保长期使用。  </w:t>
      </w:r>
    </w:p>
    <w:p w14:paraId="553E7DB2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2.2.4 环保性：所有板材、涂料、胶水等需提供环保检测合格证书，符合国家环保标准。  </w:t>
      </w:r>
    </w:p>
    <w:p w14:paraId="14B4019F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2.3 采购内容  </w:t>
      </w:r>
    </w:p>
    <w:p w14:paraId="64BDA544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2.3.1拆除与清运：拆除旧床体及配套设施，并清运至指定地点。  </w:t>
      </w:r>
    </w:p>
    <w:p w14:paraId="1EBEAA03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2.3.2 公寓床采购：654套上铺下桌式公寓床。具体</w:t>
      </w:r>
      <w:r>
        <w:rPr>
          <w:rFonts w:hint="eastAsia"/>
          <w:lang w:val="en-US" w:eastAsia="zh-CN"/>
        </w:rPr>
        <w:t>设备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采购预算清单见下表</w:t>
      </w:r>
      <w:r>
        <w:rPr>
          <w:rFonts w:hint="eastAsia"/>
          <w:lang w:val="en-US" w:eastAsia="zh-CN"/>
        </w:rPr>
        <w:t>。</w:t>
      </w:r>
    </w:p>
    <w:p w14:paraId="16286344"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554E1450"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7BAEEB06">
      <w:pPr>
        <w:pStyle w:val="2"/>
        <w:rPr>
          <w:rFonts w:hint="eastAsia"/>
          <w:lang w:val="en-US" w:eastAsia="zh-CN"/>
        </w:rPr>
      </w:pPr>
    </w:p>
    <w:p w14:paraId="0975F1C2"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110612B5"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永城职业学院兰园10号楼公寓床采购项目预算清单</w:t>
      </w:r>
    </w:p>
    <w:tbl>
      <w:tblPr>
        <w:tblStyle w:val="16"/>
        <w:tblW w:w="9116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7"/>
        <w:gridCol w:w="1037"/>
        <w:gridCol w:w="1037"/>
        <w:gridCol w:w="1037"/>
        <w:gridCol w:w="948"/>
        <w:gridCol w:w="840"/>
        <w:gridCol w:w="1230"/>
        <w:gridCol w:w="1950"/>
      </w:tblGrid>
      <w:tr w14:paraId="5F48BE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4FC85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2D5FC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名称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88449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单位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F27F6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组成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7C37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数量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0AB91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单价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C3FA1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小计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C6D07">
            <w:pPr>
              <w:widowControl/>
              <w:ind w:left="0" w:leftChars="0"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备注</w:t>
            </w:r>
          </w:p>
        </w:tc>
      </w:tr>
      <w:tr w14:paraId="638791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6" w:hRule="atLeast"/>
        </w:trPr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2DC87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6C43C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公寓床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8C41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套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756FB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一铺一桌一凳一柜一书架一梯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详见2.4公寓床规格要求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 w:bidi="ar"/>
              </w:rPr>
              <w:t>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B02BE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654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8F6CC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1602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77C0D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1047708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EED1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服务要求：</w:t>
            </w:r>
          </w:p>
          <w:p w14:paraId="033960C0">
            <w:pPr>
              <w:widowControl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预算报价中包括产品的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旧床铺拆除、新公寓床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生产、包装、运输、搬运、安装、调试、售后质保服务（以上按相关规范执行）以及拟获得的利润和税费等全部费用</w:t>
            </w:r>
          </w:p>
        </w:tc>
      </w:tr>
      <w:tr w14:paraId="05E69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911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8F96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合计：壹佰零肆万柒仟柒佰零捌元整</w:t>
            </w:r>
          </w:p>
        </w:tc>
      </w:tr>
    </w:tbl>
    <w:p w14:paraId="1E45BB93">
      <w:p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 w14:paraId="2F092E83"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/>
          <w:lang w:val="en-US" w:eastAsia="zh-CN"/>
        </w:rPr>
        <w:br w:type="page"/>
      </w:r>
    </w:p>
    <w:p w14:paraId="1EF892A0">
      <w:pPr>
        <w:pStyle w:val="31"/>
        <w:bidi w:val="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2.4 公寓床</w:t>
      </w:r>
      <w:r>
        <w:rPr>
          <w:rFonts w:hint="eastAsia" w:ascii="宋体" w:hAnsi="宋体" w:eastAsia="宋体" w:cs="宋体"/>
          <w:sz w:val="32"/>
          <w:szCs w:val="32"/>
        </w:rPr>
        <w:t>规格与要求</w:t>
      </w:r>
    </w:p>
    <w:p w14:paraId="76E1FE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2.4.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1床体：</w:t>
      </w:r>
    </w:p>
    <w:p w14:paraId="40D35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0" w:firstLineChars="200"/>
        <w:rPr>
          <w:rFonts w:hint="eastAsia" w:ascii="宋体" w:hAnsi="宋体" w:eastAsia="宋体" w:cs="宋体"/>
          <w:b/>
          <w:sz w:val="32"/>
          <w:szCs w:val="32"/>
          <w:lang w:val="en-US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▲</w:t>
      </w:r>
      <w:r>
        <w:rPr>
          <w:rFonts w:hint="eastAsia" w:ascii="宋体" w:hAnsi="宋体" w:eastAsia="宋体" w:cs="宋体"/>
          <w:sz w:val="32"/>
          <w:szCs w:val="32"/>
        </w:rPr>
        <w:t>规格：长20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0</w:t>
      </w:r>
      <w:r>
        <w:rPr>
          <w:rFonts w:hint="eastAsia" w:ascii="宋体" w:hAnsi="宋体" w:eastAsia="宋体" w:cs="宋体"/>
          <w:sz w:val="32"/>
          <w:szCs w:val="32"/>
        </w:rPr>
        <w:t>0mm*高2100mm*宽1000mm；（单床）床下高度1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750</w:t>
      </w:r>
      <w:r>
        <w:rPr>
          <w:rFonts w:hint="eastAsia" w:ascii="宋体" w:hAnsi="宋体" w:eastAsia="宋体" w:cs="宋体"/>
          <w:sz w:val="32"/>
          <w:szCs w:val="32"/>
        </w:rPr>
        <w:t>mm；</w:t>
      </w:r>
    </w:p>
    <w:p w14:paraId="30A43399">
      <w:pPr>
        <w:autoSpaceDE w:val="0"/>
        <w:spacing w:line="500" w:lineRule="exac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b/>
          <w:spacing w:val="-18"/>
          <w:sz w:val="32"/>
          <w:szCs w:val="32"/>
        </w:rPr>
        <w:t>①</w:t>
      </w:r>
      <w:r>
        <w:rPr>
          <w:rFonts w:hint="eastAsia" w:ascii="宋体" w:hAnsi="宋体" w:eastAsia="宋体" w:cs="宋体"/>
          <w:b/>
          <w:spacing w:val="-18"/>
          <w:sz w:val="32"/>
          <w:szCs w:val="32"/>
          <w:lang w:eastAsia="zh-CN"/>
        </w:rPr>
        <w:t>异型管</w:t>
      </w:r>
      <w:r>
        <w:rPr>
          <w:rFonts w:hint="eastAsia" w:ascii="宋体" w:hAnsi="宋体" w:eastAsia="宋体" w:cs="宋体"/>
          <w:b/>
          <w:spacing w:val="-18"/>
          <w:sz w:val="32"/>
          <w:szCs w:val="32"/>
        </w:rPr>
        <w:t>床立柱：</w:t>
      </w:r>
      <w:r>
        <w:rPr>
          <w:rFonts w:hint="eastAsia" w:ascii="宋体" w:hAnsi="宋体" w:eastAsia="宋体" w:cs="宋体"/>
          <w:spacing w:val="-6"/>
          <w:kern w:val="0"/>
          <w:sz w:val="32"/>
          <w:szCs w:val="32"/>
          <w:lang w:val="en-US" w:eastAsia="zh-CN" w:bidi="zh-CN"/>
        </w:rPr>
        <w:t>选用优质冷轧钢板经成型机一次轧制而成的闭口异型材，成型后立面尺寸为66mm*63mm。立柱整体有二条加强筋经成型机一次性轧制而成，增加强度及美观，材料厚度为≥1.2mm 。</w:t>
      </w:r>
      <w:r>
        <w:rPr>
          <w:rFonts w:hint="eastAsia" w:ascii="宋体" w:hAnsi="宋体" w:eastAsia="宋体" w:cs="宋体"/>
          <w:spacing w:val="-6"/>
          <w:sz w:val="32"/>
          <w:szCs w:val="32"/>
          <w:lang w:val="en-US" w:eastAsia="zh-CN" w:bidi="zh-CN"/>
        </w:rPr>
        <w:t>（外观尺寸偏差范围允许±2mm,材料厚度不允许负偏离）</w:t>
      </w:r>
    </w:p>
    <w:p w14:paraId="34B050D5">
      <w:pPr>
        <w:pStyle w:val="9"/>
        <w:spacing w:before="1"/>
        <w:ind w:right="51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1655445" cy="1677670"/>
            <wp:effectExtent l="0" t="0" r="190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49E2">
      <w:pPr>
        <w:pStyle w:val="9"/>
        <w:spacing w:before="1"/>
        <w:ind w:right="510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异型管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床立柱参考示意图）</w:t>
      </w:r>
    </w:p>
    <w:p w14:paraId="678B59F3">
      <w:pPr>
        <w:pStyle w:val="3"/>
        <w:spacing w:line="364" w:lineRule="auto"/>
        <w:ind w:right="537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pacing w:val="-18"/>
          <w:sz w:val="32"/>
          <w:szCs w:val="32"/>
        </w:rPr>
        <w:t>②</w:t>
      </w:r>
      <w:r>
        <w:rPr>
          <w:rFonts w:hint="eastAsia" w:ascii="宋体" w:hAnsi="宋体" w:eastAsia="宋体" w:cs="宋体"/>
          <w:b/>
          <w:spacing w:val="-18"/>
          <w:sz w:val="32"/>
          <w:szCs w:val="32"/>
          <w:lang w:eastAsia="zh-CN"/>
        </w:rPr>
        <w:t>异型管</w:t>
      </w:r>
      <w:r>
        <w:rPr>
          <w:rFonts w:hint="eastAsia" w:ascii="宋体" w:hAnsi="宋体" w:eastAsia="宋体" w:cs="宋体"/>
          <w:b/>
          <w:spacing w:val="-18"/>
          <w:sz w:val="32"/>
          <w:szCs w:val="32"/>
        </w:rPr>
        <w:t>床</w:t>
      </w:r>
      <w:r>
        <w:rPr>
          <w:rFonts w:hint="eastAsia" w:ascii="宋体" w:hAnsi="宋体" w:eastAsia="宋体" w:cs="宋体"/>
          <w:b/>
          <w:spacing w:val="-18"/>
          <w:sz w:val="32"/>
          <w:szCs w:val="32"/>
          <w:lang w:eastAsia="zh-CN"/>
        </w:rPr>
        <w:t>沿</w:t>
      </w:r>
      <w:r>
        <w:rPr>
          <w:rFonts w:hint="eastAsia" w:ascii="宋体" w:hAnsi="宋体" w:eastAsia="宋体" w:cs="宋体"/>
          <w:b/>
          <w:spacing w:val="-18"/>
          <w:sz w:val="32"/>
          <w:szCs w:val="32"/>
        </w:rPr>
        <w:t>：</w:t>
      </w:r>
      <w:r>
        <w:rPr>
          <w:rFonts w:hint="eastAsia" w:ascii="宋体" w:hAnsi="宋体" w:eastAsia="宋体" w:cs="宋体"/>
          <w:spacing w:val="-6"/>
          <w:sz w:val="32"/>
          <w:szCs w:val="32"/>
          <w:lang w:val="en-US" w:eastAsia="zh-CN" w:bidi="zh-CN"/>
        </w:rPr>
        <w:t>采用优质冷轧钢板经成型机一次轧制而成的闭合 P 型管,横截面成型规格 79mm*36mm， 横梁上方最窄处宽度为 30mm,壁厚 1.2mm,正面设有两根加强筋，底端为圆弧形，从而增加牢固性、美观性，安全性预防碰伤。管材需一次轧制成型，不允许敲打，拼接无效</w:t>
      </w:r>
      <w:r>
        <w:rPr>
          <w:rFonts w:hint="eastAsia" w:ascii="宋体" w:hAnsi="宋体" w:eastAsia="宋体" w:cs="宋体"/>
          <w:spacing w:val="-6"/>
          <w:kern w:val="0"/>
          <w:sz w:val="32"/>
          <w:szCs w:val="32"/>
          <w:lang w:val="en-US" w:eastAsia="zh-CN" w:bidi="zh-CN"/>
        </w:rPr>
        <w:t>。</w:t>
      </w:r>
      <w:r>
        <w:rPr>
          <w:rFonts w:hint="eastAsia" w:ascii="宋体" w:hAnsi="宋体" w:eastAsia="宋体" w:cs="宋体"/>
          <w:spacing w:val="-6"/>
          <w:sz w:val="32"/>
          <w:szCs w:val="32"/>
          <w:lang w:val="en-US" w:eastAsia="zh-CN" w:bidi="zh-CN"/>
        </w:rPr>
        <w:t>（外观尺寸偏差范围允许±2mm,材料厚度不允许负偏离）</w:t>
      </w:r>
    </w:p>
    <w:p w14:paraId="05C7DF03">
      <w:pPr>
        <w:pStyle w:val="3"/>
        <w:spacing w:line="364" w:lineRule="auto"/>
        <w:ind w:right="537"/>
        <w:rPr>
          <w:rFonts w:hint="eastAsia" w:ascii="宋体" w:hAnsi="宋体" w:eastAsia="宋体" w:cs="宋体"/>
          <w:b/>
          <w:spacing w:val="-18"/>
          <w:sz w:val="32"/>
          <w:szCs w:val="32"/>
        </w:rPr>
      </w:pPr>
      <w:r>
        <w:rPr>
          <w:rFonts w:hint="eastAsia" w:ascii="宋体" w:hAnsi="宋体" w:eastAsia="宋体" w:cs="宋体"/>
          <w:b/>
          <w:spacing w:val="-18"/>
          <w:sz w:val="32"/>
          <w:szCs w:val="32"/>
        </w:rPr>
        <w:t>③侧短横梁：</w:t>
      </w:r>
      <w:r>
        <w:rPr>
          <w:rFonts w:hint="eastAsia" w:ascii="宋体" w:hAnsi="宋体" w:eastAsia="宋体" w:cs="宋体"/>
          <w:spacing w:val="-6"/>
          <w:sz w:val="32"/>
          <w:szCs w:val="32"/>
          <w:lang w:val="en-US" w:eastAsia="zh-CN" w:bidi="zh-CN"/>
        </w:rPr>
        <w:t>采用30mm*50mm*1.0mm厚方形钢管及25mm*25mm*1.0mm厚方形钢管。</w:t>
      </w:r>
      <w:r>
        <w:rPr>
          <w:rFonts w:hint="eastAsia" w:ascii="宋体" w:hAnsi="宋体" w:eastAsia="宋体" w:cs="宋体"/>
          <w:b w:val="0"/>
          <w:bCs/>
          <w:spacing w:val="-18"/>
          <w:sz w:val="32"/>
          <w:szCs w:val="32"/>
        </w:rPr>
        <w:t>（外观尺寸偏差范围允许±2mm,材料厚度不允许负偏离）</w:t>
      </w:r>
    </w:p>
    <w:p w14:paraId="3ABD67FB">
      <w:pPr>
        <w:pStyle w:val="3"/>
        <w:spacing w:line="364" w:lineRule="auto"/>
        <w:ind w:right="537"/>
        <w:rPr>
          <w:rFonts w:hint="eastAsia" w:ascii="宋体" w:hAnsi="宋体" w:eastAsia="宋体" w:cs="宋体"/>
          <w:spacing w:val="-5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pacing w:val="-18"/>
          <w:sz w:val="32"/>
          <w:szCs w:val="32"/>
          <w:lang w:val="zh-CN" w:eastAsia="zh-CN"/>
        </w:rPr>
        <w:t>④侧</w:t>
      </w:r>
      <w:r>
        <w:rPr>
          <w:rFonts w:hint="eastAsia" w:ascii="宋体" w:hAnsi="宋体" w:eastAsia="宋体" w:cs="宋体"/>
          <w:b/>
          <w:spacing w:val="-18"/>
          <w:sz w:val="32"/>
          <w:szCs w:val="32"/>
          <w:lang w:val="en-US" w:eastAsia="zh-CN"/>
        </w:rPr>
        <w:t>短横梁竖管</w:t>
      </w:r>
      <w:r>
        <w:rPr>
          <w:rFonts w:hint="eastAsia" w:ascii="宋体" w:hAnsi="宋体" w:eastAsia="宋体" w:cs="宋体"/>
          <w:b/>
          <w:spacing w:val="-18"/>
          <w:sz w:val="32"/>
          <w:szCs w:val="32"/>
          <w:lang w:val="zh-CN" w:eastAsia="zh-CN"/>
        </w:rPr>
        <w:t>：</w:t>
      </w:r>
      <w:r>
        <w:rPr>
          <w:rFonts w:hint="eastAsia" w:ascii="宋体" w:hAnsi="宋体" w:eastAsia="宋体" w:cs="宋体"/>
          <w:spacing w:val="-6"/>
          <w:sz w:val="32"/>
          <w:szCs w:val="32"/>
          <w:lang w:val="en-US" w:eastAsia="zh-CN" w:bidi="zh-CN"/>
        </w:rPr>
        <w:t>采用20mm*20mm*1.0mm厚方形钢管。</w:t>
      </w:r>
      <w:r>
        <w:rPr>
          <w:rFonts w:hint="eastAsia" w:ascii="宋体" w:hAnsi="宋体" w:eastAsia="宋体" w:cs="宋体"/>
          <w:b w:val="0"/>
          <w:bCs/>
          <w:spacing w:val="-18"/>
          <w:sz w:val="32"/>
          <w:szCs w:val="32"/>
        </w:rPr>
        <w:t>（外观尺寸偏差范围允许±2mm,材料厚度不允许负偏离）</w:t>
      </w:r>
      <w:r>
        <w:rPr>
          <w:rFonts w:hint="eastAsia" w:ascii="宋体" w:hAnsi="宋体" w:eastAsia="宋体" w:cs="宋体"/>
          <w:b/>
          <w:spacing w:val="-18"/>
          <w:sz w:val="32"/>
          <w:szCs w:val="32"/>
          <w:lang w:val="en-US" w:eastAsia="zh-CN"/>
        </w:rPr>
        <w:t xml:space="preserve"> </w:t>
      </w:r>
    </w:p>
    <w:p w14:paraId="344665CC">
      <w:pPr>
        <w:pStyle w:val="3"/>
        <w:spacing w:line="364" w:lineRule="auto"/>
        <w:ind w:right="657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spacing w:val="-18"/>
          <w:sz w:val="32"/>
          <w:szCs w:val="32"/>
        </w:rPr>
        <w:t>⑤爬梯踏板</w:t>
      </w:r>
      <w:r>
        <w:rPr>
          <w:rFonts w:hint="eastAsia" w:ascii="宋体" w:hAnsi="宋体" w:eastAsia="宋体" w:cs="宋体"/>
          <w:sz w:val="32"/>
          <w:szCs w:val="32"/>
        </w:rPr>
        <w:t>：采用 20mm*40mm*1.5mm 厚的方管，；脚踏板采用规格 336.3mm*125mm*1.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32"/>
        </w:rPr>
        <w:t>mm 厚 优质冷轧钢板一次冲压而成，不可拼接无焊点，踏板两端设两块反光防滑塑料踏步垫尺寸：49.6 mm*81.1 mm，中间要冲压 4 根加强筋，表面周边需有凹凸纹路，可以起到防滑作用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。</w:t>
      </w:r>
    </w:p>
    <w:p w14:paraId="0CB12627">
      <w:pPr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0" distR="0">
            <wp:extent cx="2410460" cy="978535"/>
            <wp:effectExtent l="0" t="0" r="8890" b="12065"/>
            <wp:docPr id="10" name="图片 15" descr="C:\Users\ADMINI~1\AppData\Local\Temp\ksohtml905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\Users\ADMINI~1\AppData\Local\Temp\ksohtml9056\wps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4F2E7">
      <w:pPr>
        <w:pStyle w:val="9"/>
        <w:ind w:right="510"/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（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异型管</w:t>
      </w:r>
      <w:r>
        <w:rPr>
          <w:rFonts w:hint="eastAsia" w:ascii="宋体" w:hAnsi="宋体" w:eastAsia="宋体" w:cs="宋体"/>
          <w:sz w:val="32"/>
          <w:szCs w:val="32"/>
        </w:rPr>
        <w:t>床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沿</w:t>
      </w:r>
      <w:r>
        <w:rPr>
          <w:rFonts w:hint="eastAsia" w:ascii="宋体" w:hAnsi="宋体" w:eastAsia="宋体" w:cs="宋体"/>
          <w:sz w:val="32"/>
          <w:szCs w:val="32"/>
        </w:rPr>
        <w:t>参考示意图）</w:t>
      </w:r>
    </w:p>
    <w:p w14:paraId="142A9B0B">
      <w:pPr>
        <w:pStyle w:val="3"/>
        <w:spacing w:line="364" w:lineRule="auto"/>
        <w:ind w:right="657"/>
        <w:rPr>
          <w:rFonts w:hint="eastAsia" w:ascii="宋体" w:hAnsi="宋体" w:eastAsia="宋体" w:cs="宋体"/>
          <w:spacing w:val="-3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sz w:val="32"/>
          <w:szCs w:val="32"/>
        </w:rPr>
        <w:t>⑥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床挂</w:t>
      </w:r>
      <w:r>
        <w:rPr>
          <w:rFonts w:hint="eastAsia" w:ascii="宋体" w:hAnsi="宋体" w:eastAsia="宋体" w:cs="宋体"/>
          <w:b/>
          <w:sz w:val="32"/>
          <w:szCs w:val="32"/>
        </w:rPr>
        <w:t>：</w:t>
      </w:r>
      <w:r>
        <w:rPr>
          <w:rFonts w:hint="eastAsia" w:ascii="宋体" w:hAnsi="宋体" w:eastAsia="宋体" w:cs="宋体"/>
          <w:spacing w:val="-3"/>
          <w:sz w:val="32"/>
          <w:szCs w:val="32"/>
        </w:rPr>
        <w:t>床头与床框连接片处挂钩为机械卡口连接：经冲床冲压成型，需有3个连接卡口，材料厚度为</w:t>
      </w:r>
      <w:r>
        <w:rPr>
          <w:rFonts w:hint="eastAsia" w:ascii="宋体" w:hAnsi="宋体" w:eastAsia="宋体" w:cs="宋体"/>
          <w:spacing w:val="-3"/>
          <w:sz w:val="32"/>
          <w:szCs w:val="32"/>
          <w:lang w:val="en-US" w:eastAsia="zh-CN"/>
        </w:rPr>
        <w:t>不低于</w:t>
      </w:r>
      <w:r>
        <w:rPr>
          <w:rFonts w:hint="eastAsia" w:ascii="宋体" w:hAnsi="宋体" w:eastAsia="宋体" w:cs="宋体"/>
          <w:spacing w:val="-3"/>
          <w:sz w:val="32"/>
          <w:szCs w:val="32"/>
        </w:rPr>
        <w:t>1.</w:t>
      </w:r>
      <w:r>
        <w:rPr>
          <w:rFonts w:hint="eastAsia" w:ascii="宋体" w:hAnsi="宋体" w:eastAsia="宋体" w:cs="宋体"/>
          <w:spacing w:val="-3"/>
          <w:sz w:val="32"/>
          <w:szCs w:val="32"/>
          <w:lang w:val="en-US" w:eastAsia="zh-CN"/>
        </w:rPr>
        <w:t>8</w:t>
      </w:r>
      <w:r>
        <w:rPr>
          <w:rFonts w:hint="eastAsia" w:ascii="宋体" w:hAnsi="宋体" w:eastAsia="宋体" w:cs="宋体"/>
          <w:spacing w:val="-3"/>
          <w:sz w:val="32"/>
          <w:szCs w:val="32"/>
        </w:rPr>
        <w:t>mm,床体采用挂件连接，不采用螺丝连接（外观尺寸偏差范围允许±2mm,材料厚度不允许负偏离）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    </w:t>
      </w:r>
    </w:p>
    <w:p w14:paraId="61A6F024">
      <w:pPr>
        <w:pStyle w:val="3"/>
        <w:spacing w:line="364" w:lineRule="auto"/>
        <w:ind w:right="537"/>
        <w:rPr>
          <w:rFonts w:hint="eastAsia" w:ascii="宋体" w:hAnsi="宋体" w:eastAsia="宋体" w:cs="宋体"/>
          <w:b/>
          <w:spacing w:val="-18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pacing w:val="-18"/>
          <w:sz w:val="32"/>
          <w:szCs w:val="32"/>
          <w:lang w:val="en-US" w:eastAsia="zh-CN"/>
        </w:rPr>
        <w:t>⑦前护栏：</w:t>
      </w:r>
      <w:r>
        <w:rPr>
          <w:rFonts w:hint="eastAsia" w:ascii="宋体" w:hAnsi="宋体" w:eastAsia="宋体" w:cs="宋体"/>
          <w:b w:val="0"/>
          <w:bCs/>
          <w:spacing w:val="-18"/>
          <w:sz w:val="32"/>
          <w:szCs w:val="32"/>
          <w:lang w:val="en-US" w:eastAsia="zh-CN"/>
        </w:rPr>
        <w:t>采用25mm*25mm*1.2mm厚方形钢管，底部加封两块采用HDPE高密度聚乙烯塑料颗粒，经吹塑模具一体中空吹塑成型，抗老化、耐磨耐冲压，四周及底部无毛边，光滑安全达到环保要求，添加塑料之色母，绝不含重金属及其他有毒有害物质。</w:t>
      </w:r>
      <w:r>
        <w:rPr>
          <w:rFonts w:hint="eastAsia" w:ascii="宋体" w:hAnsi="宋体" w:eastAsia="宋体" w:cs="宋体"/>
          <w:b w:val="0"/>
          <w:bCs/>
          <w:spacing w:val="-18"/>
          <w:sz w:val="32"/>
          <w:szCs w:val="32"/>
          <w:lang w:val="zh-CN" w:eastAsia="zh-CN"/>
        </w:rPr>
        <w:t>（外观尺寸偏差范围允许±2mm,材料厚度不允许负偏离）</w:t>
      </w:r>
      <w:r>
        <w:rPr>
          <w:rFonts w:hint="eastAsia" w:ascii="宋体" w:hAnsi="宋体" w:eastAsia="宋体" w:cs="宋体"/>
          <w:b/>
          <w:spacing w:val="-18"/>
          <w:sz w:val="32"/>
          <w:szCs w:val="32"/>
          <w:lang w:val="en-US" w:eastAsia="zh-CN"/>
        </w:rPr>
        <w:t xml:space="preserve"> </w:t>
      </w:r>
    </w:p>
    <w:p w14:paraId="3D25EFAC">
      <w:pPr>
        <w:pStyle w:val="3"/>
        <w:spacing w:line="364" w:lineRule="auto"/>
        <w:ind w:right="657"/>
        <w:rPr>
          <w:rFonts w:hint="eastAsia" w:ascii="宋体" w:hAnsi="宋体" w:eastAsia="宋体" w:cs="宋体"/>
          <w:b w:val="0"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⑧</w:t>
      </w:r>
      <w:r>
        <w:rPr>
          <w:rFonts w:hint="eastAsia" w:ascii="宋体" w:hAnsi="宋体" w:eastAsia="宋体" w:cs="宋体"/>
          <w:b/>
          <w:sz w:val="32"/>
          <w:szCs w:val="32"/>
        </w:rPr>
        <w:t>脚套：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采用塑料环保 PE 材料一次性注塑成型制作，脚套内外式结构与床立柱应结合紧密，牢靠，不脱落（3D 打印无效）。</w:t>
      </w:r>
    </w:p>
    <w:p w14:paraId="190B9915">
      <w:pPr>
        <w:pStyle w:val="3"/>
        <w:spacing w:line="364" w:lineRule="auto"/>
        <w:ind w:right="657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⑨</w:t>
      </w:r>
      <w:r>
        <w:rPr>
          <w:rFonts w:hint="eastAsia" w:ascii="宋体" w:hAnsi="宋体" w:eastAsia="宋体" w:cs="宋体"/>
          <w:b/>
          <w:sz w:val="32"/>
          <w:szCs w:val="32"/>
        </w:rPr>
        <w:t>床铺支撑：</w:t>
      </w:r>
      <w:r>
        <w:rPr>
          <w:rFonts w:hint="eastAsia" w:ascii="宋体" w:hAnsi="宋体" w:eastAsia="宋体" w:cs="宋体"/>
          <w:spacing w:val="-6"/>
          <w:sz w:val="32"/>
          <w:szCs w:val="32"/>
          <w:lang w:val="en-US" w:eastAsia="zh-CN" w:bidi="zh-CN"/>
        </w:rPr>
        <w:t>采用25mm*25mm*1.2mm厚方形钢管。</w:t>
      </w:r>
      <w:r>
        <w:rPr>
          <w:rFonts w:hint="eastAsia" w:ascii="宋体" w:hAnsi="宋体" w:eastAsia="宋体" w:cs="宋体"/>
          <w:spacing w:val="-3"/>
          <w:sz w:val="32"/>
          <w:szCs w:val="32"/>
        </w:rPr>
        <w:t>（外观尺寸偏差范围允许±2mm,材料厚度不允许负偏离）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</w:t>
      </w:r>
    </w:p>
    <w:p w14:paraId="68FC830B">
      <w:pPr>
        <w:pStyle w:val="3"/>
        <w:spacing w:line="364" w:lineRule="auto"/>
        <w:ind w:right="657"/>
        <w:rPr>
          <w:rFonts w:hint="eastAsia" w:ascii="宋体" w:hAnsi="宋体" w:eastAsia="宋体" w:cs="宋体"/>
          <w:b w:val="0"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⑩床板：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采用≥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20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 xml:space="preserve">mm 厚杉木板拼接而成，经烘干、正反双面抛光处理，木材进行防虫、除脂、干燥处理，产品结构强度好和外观牢固，材质符合国家标准要求，拼接及铺装缝隙应小于 2mm，床板背面采用 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 xml:space="preserve"> 根实木方条用地板钉加固。（尺寸按实际空间制做）</w:t>
      </w:r>
    </w:p>
    <w:p w14:paraId="4B44127A">
      <w:pPr>
        <w:pStyle w:val="3"/>
        <w:spacing w:line="364" w:lineRule="auto"/>
        <w:ind w:right="657"/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⑪</w:t>
      </w:r>
      <w:r>
        <w:rPr>
          <w:rFonts w:hint="eastAsia" w:ascii="宋体" w:hAnsi="宋体" w:eastAsia="宋体" w:cs="宋体"/>
          <w:b/>
          <w:sz w:val="32"/>
          <w:szCs w:val="32"/>
        </w:rPr>
        <w:t>工艺要求：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zh-CN" w:eastAsia="zh-CN"/>
        </w:rPr>
        <w:t>采用网皱纹烤漆，型材表面经除油，去锈，磷化静电喷粉高温固化而成，热固性粉末喷塑，防锈，耐磨，防腐蚀，床架涂面平整、光滑、无颗粒、气泡、渣点。钢制工艺： C02 保护焊，镀铜焊丝，焊接无灰渣、气孔、焊瘤：无脱焊、虚焊、焊点。</w:t>
      </w:r>
    </w:p>
    <w:p w14:paraId="2043B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3" w:firstLineChars="200"/>
        <w:rPr>
          <w:rFonts w:hint="eastAsia" w:ascii="宋体" w:hAnsi="宋体" w:eastAsia="宋体" w:cs="宋体"/>
          <w:b/>
          <w:bCs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 xml:space="preserve">2.4.2 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床下柜：</w:t>
      </w:r>
    </w:p>
    <w:p w14:paraId="1C76A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0" w:firstLineChars="200"/>
        <w:jc w:val="both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▲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规格：高1750*宽600*深600mm，柜体平面设置加强筋；</w:t>
      </w:r>
    </w:p>
    <w:p w14:paraId="774B0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①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板材厚度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1.0mm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一级冷轧钢板，左右边框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25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mm，衣柜设置上下2门，上门高300mm，内空设计；下门内部设置：φ19mm厚不锈钢挂衣杆一根。</w:t>
      </w:r>
      <w:r>
        <w:rPr>
          <w:rFonts w:hint="eastAsia" w:ascii="宋体" w:hAnsi="宋体" w:eastAsia="宋体" w:cs="宋体"/>
          <w:color w:val="auto"/>
          <w:sz w:val="32"/>
          <w:szCs w:val="32"/>
          <w:highlight w:val="none"/>
          <w:lang w:val="en-US" w:eastAsia="zh-CN"/>
        </w:rPr>
        <w:t>带有内陷隐藏式铁扣手，扣手采用一次性冲压成型，扣手规格为170mm*35mm(误差2mm)，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坚固耐用。柜门与柜体采用国内一线品牌铰链连接。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衣柜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腿使用40mm×40mm*1.5mm方管四根，高50mm，配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0mm高优质防水脚。</w:t>
      </w:r>
    </w:p>
    <w:p w14:paraId="2F7775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②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材料要求：</w:t>
      </w:r>
    </w:p>
    <w:p w14:paraId="51879C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板材厚度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1.0mm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一级冷轧钢板，所有钣金件冲压板平整，焊接件无毛刺，刀口，电焊焊接均匀，平整、牢固、光滑，无焊接，无焊瘤，无假焊，整体为灰白色，表面无尘无痕，柜门设排气孔。</w:t>
      </w:r>
    </w:p>
    <w:p w14:paraId="335D2C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571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spacing w:val="-18"/>
          <w:sz w:val="32"/>
          <w:szCs w:val="32"/>
        </w:rPr>
        <w:t>③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配件部分：锁片为单片式挂锁锁片，材质厚度不低于2mm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不锈钢挂衣杆ф19mm。</w:t>
      </w:r>
    </w:p>
    <w:p w14:paraId="7D8DD8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0" w:firstLineChars="200"/>
        <w:jc w:val="both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所有与地面接触部分均使用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0mm高优质防水脚。</w:t>
      </w:r>
    </w:p>
    <w:p w14:paraId="519ED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3" w:firstLineChars="200"/>
        <w:rPr>
          <w:rFonts w:hint="eastAsia" w:ascii="宋体" w:hAnsi="宋体" w:eastAsia="宋体" w:cs="宋体"/>
          <w:b/>
          <w:bCs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2.4.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床下桌</w:t>
      </w:r>
    </w:p>
    <w:p w14:paraId="7A5CE6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①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书桌底部框架规格：长950mm×宽600mm×高595mm，材料采用40mm*40mm*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1.2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mm方管，框架靠墙侧与床后拉杆使用2个M8螺栓连接，桌架4腿底部使用M8螺栓与柜腿、书架腿底部连接，使书桌、柜子、书架和床成为整体，以增加架构强度。</w:t>
      </w:r>
    </w:p>
    <w:p w14:paraId="6C91E8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②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木制部分：桌面长950mm*宽600mm，桌面距地高度760mm，桌面材质采用榉木纹贴面一次性热压成型环保实木多层板，厚25mm，其余板厚18mm，分2个抽屉，抽屉内底板用不小于7mm厚的免漆多层木板，全部面板达到环保要求；板露边外采用同色PVC加热熔胶封边，保证受热受冻不会脱胶开裂。</w:t>
      </w:r>
    </w:p>
    <w:p w14:paraId="5B49D5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571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spacing w:val="-18"/>
          <w:sz w:val="32"/>
          <w:szCs w:val="32"/>
        </w:rPr>
        <w:t>③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配件部分：锁片为单片式挂锁锁片；配铝制条形拉手，抽屉配优质加厚加宽的三节路轨，并牢固安装；所有与地面接触部分均使用50mm高优质防水脚。</w:t>
      </w:r>
    </w:p>
    <w:p w14:paraId="7A0506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3" w:firstLineChars="200"/>
        <w:rPr>
          <w:rFonts w:hint="eastAsia" w:ascii="宋体" w:hAnsi="宋体" w:eastAsia="宋体" w:cs="宋体"/>
          <w:b/>
          <w:bCs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2.4.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床下书架：</w:t>
      </w:r>
    </w:p>
    <w:p w14:paraId="1C881C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bidi w:val="0"/>
        <w:adjustRightInd w:val="0"/>
        <w:snapToGrid/>
        <w:spacing w:line="50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目字形，总高度1750mm，宽600mm，深度400mm，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板材厚度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1.0mm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一级冷轧钢板折弯焊接而成，书架正面均设置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25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mm边框，整体平面设置加强筋；桌上等分三格，桌下一格。（如图）书架腿使用40mm×40mm*1.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mm方管四根，高50mm，配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0mm高优质防水脚。</w:t>
      </w:r>
    </w:p>
    <w:p w14:paraId="3129CA51">
      <w:pPr>
        <w:pStyle w:val="3"/>
        <w:rPr>
          <w:rFonts w:hint="eastAsia"/>
          <w:b/>
          <w:bCs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 xml:space="preserve">2.4.5 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参考样式图：</w:t>
      </w:r>
    </w:p>
    <w:p w14:paraId="6A57AD21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2068830</wp:posOffset>
            </wp:positionV>
            <wp:extent cx="2717800" cy="2068830"/>
            <wp:effectExtent l="0" t="0" r="6350" b="7620"/>
            <wp:wrapSquare wrapText="bothSides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165735</wp:posOffset>
            </wp:positionV>
            <wp:extent cx="944245" cy="1741170"/>
            <wp:effectExtent l="0" t="0" r="8255" b="1143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rcRect l="17253" t="4678" r="20422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32"/>
          <w:szCs w:val="32"/>
        </w:rPr>
        <w:fldChar w:fldCharType="begin"/>
      </w:r>
      <w:r>
        <w:instrText xml:space="preserve"> INCLUDEPICTURE "D:\\我的文件\\Documents\\WeChat Files\\wxid_l0m3hoizbgut22\\FileStorage\\Documents\\WeChat Files\\wxid_h0m36g07yf0a22\\1\\AppData\\Local\\Temp\\ksohtml\\wpsB330.tmp.png" \* MERGEFORMAT </w:instrText>
      </w:r>
      <w:r>
        <w:rPr>
          <w:rFonts w:hint="eastAsia" w:ascii="宋体" w:hAnsi="宋体" w:eastAsia="宋体" w:cs="宋体"/>
          <w:color w:val="auto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color w:val="auto"/>
          <w:sz w:val="32"/>
          <w:szCs w:val="32"/>
        </w:rPr>
        <w:drawing>
          <wp:inline distT="0" distB="0" distL="114300" distR="114300">
            <wp:extent cx="1533525" cy="2011045"/>
            <wp:effectExtent l="0" t="0" r="9525" b="8255"/>
            <wp:docPr id="8" name="图片 1" descr="wpsB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wpsB3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32"/>
          <w:szCs w:val="32"/>
        </w:rPr>
        <w:fldChar w:fldCharType="end"/>
      </w:r>
    </w:p>
    <w:p w14:paraId="4E9532F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50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1866265</wp:posOffset>
            </wp:positionH>
            <wp:positionV relativeFrom="paragraph">
              <wp:posOffset>10795</wp:posOffset>
            </wp:positionV>
            <wp:extent cx="1294130" cy="1819275"/>
            <wp:effectExtent l="0" t="0" r="1270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234315</wp:posOffset>
            </wp:positionV>
            <wp:extent cx="1691640" cy="1457960"/>
            <wp:effectExtent l="0" t="0" r="3810" b="8890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F525C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rPr>
          <w:rFonts w:hint="eastAsia" w:ascii="宋体" w:hAnsi="宋体" w:eastAsia="宋体" w:cs="宋体"/>
          <w:color w:val="auto"/>
          <w:sz w:val="32"/>
          <w:szCs w:val="32"/>
        </w:rPr>
      </w:pPr>
    </w:p>
    <w:p w14:paraId="5AA6B69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以上图片仅供参考</w:t>
      </w:r>
    </w:p>
    <w:p w14:paraId="701DC85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643" w:firstLineChars="200"/>
        <w:rPr>
          <w:rFonts w:hint="eastAsia" w:ascii="宋体" w:hAnsi="宋体" w:eastAsia="宋体" w:cs="宋体"/>
          <w:b/>
          <w:bCs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2.4.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单凳</w:t>
      </w:r>
    </w:p>
    <w:p w14:paraId="63BFBA8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规格参数：托盘型，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330mm(长）*240mm（宽）*440mm(高），凳架30mm*30mm*1.2mm优质国标方管焊接而成。凳面采用16mm厚实木多层板，外带铁托盘。部件表面经去油，打砂去锈处理，环保静电喷塑，配13mm防水脚垫。</w:t>
      </w:r>
    </w:p>
    <w:p w14:paraId="6110E64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  <w:sectPr>
          <w:footerReference r:id="rId9" w:type="default"/>
          <w:pgSz w:w="11906" w:h="16839"/>
          <w:pgMar w:top="1417" w:right="1417" w:bottom="1417" w:left="1701" w:header="0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equalWidth="0" w:num="1">
            <w:col w:w="9095"/>
          </w:cols>
          <w:rtlGutter w:val="0"/>
          <w:docGrid w:linePitch="0" w:charSpace="0"/>
        </w:sectPr>
      </w:pPr>
    </w:p>
    <w:p w14:paraId="3988E35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fldChar w:fldCharType="begin"/>
      </w:r>
      <w:r>
        <w:instrText xml:space="preserve"> INCLUDEPICTURE "D:\\我的文件\\Documents\\WeChat Files\\wxid_l0m3hoizbgut22\\FileStorage\\Documents\\WeChat Files\\wxid_h0m36g07yf0a22\\1\\AppData\\Local\\Temp\\ksohtml\\wpsB346.tmp.png" \* MERGEFORMAT </w:instrText>
      </w:r>
      <w:r>
        <w:rPr>
          <w:rFonts w:hint="eastAsia" w:ascii="宋体" w:hAnsi="宋体" w:eastAsia="宋体" w:cs="宋体"/>
          <w:color w:val="auto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color w:val="auto"/>
          <w:sz w:val="32"/>
          <w:szCs w:val="32"/>
        </w:rPr>
        <w:drawing>
          <wp:inline distT="0" distB="0" distL="114300" distR="114300">
            <wp:extent cx="1909445" cy="1955800"/>
            <wp:effectExtent l="0" t="0" r="14605" b="6350"/>
            <wp:docPr id="7" name="图片 3" descr="wpsB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wpsB3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 xml:space="preserve"> </w:t>
      </w:r>
    </w:p>
    <w:p w14:paraId="0D20F19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640" w:firstLineChars="200"/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参考样式图</w:t>
      </w:r>
    </w:p>
    <w:p w14:paraId="6FD24446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480" w:lineRule="exact"/>
        <w:ind w:firstLine="643" w:firstLineChars="200"/>
        <w:rPr>
          <w:rFonts w:hint="eastAsia" w:ascii="宋体" w:hAnsi="宋体" w:eastAsia="宋体" w:cs="宋体"/>
          <w:b/>
          <w:bCs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2.4.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7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床板：</w:t>
      </w:r>
    </w:p>
    <w:p w14:paraId="131E40B1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48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采用优质环保少树节20mm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杉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木板无缝拼接而成，经干燥、防腐、防蛀处理，制作牢固可靠,双面平整。</w:t>
      </w:r>
      <w:r>
        <w:rPr>
          <w:rFonts w:hint="eastAsia" w:ascii="宋体" w:hAnsi="宋体" w:eastAsia="宋体" w:cs="宋体"/>
          <w:color w:val="auto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67945</wp:posOffset>
            </wp:positionV>
            <wp:extent cx="114300" cy="119380"/>
            <wp:effectExtent l="0" t="0" r="0" b="13970"/>
            <wp:wrapSquare wrapText="bothSides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rcRect l="19180" t="47388" r="53485" b="1885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1E76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fldChar w:fldCharType="begin"/>
      </w:r>
      <w:r>
        <w:instrText xml:space="preserve"> INCLUDEPICTURE "D:\\我的文件\\Documents\\WeChat Files\\wxid_l0m3hoizbgut22\\FileStorage\\Documents\\WeChat Files\\wxid_h0m36g07yf0a22\\1\\AppData\\Local\\Temp\\ksohtml\\wpsB347.tmp.png" \* MERGEFORMAT </w:instrText>
      </w:r>
      <w:r>
        <w:rPr>
          <w:rFonts w:hint="eastAsia" w:ascii="宋体" w:hAnsi="宋体" w:eastAsia="宋体" w:cs="宋体"/>
          <w:color w:val="auto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color w:val="auto"/>
          <w:sz w:val="32"/>
          <w:szCs w:val="32"/>
        </w:rPr>
        <w:drawing>
          <wp:inline distT="0" distB="0" distL="114300" distR="114300">
            <wp:extent cx="2973705" cy="1824355"/>
            <wp:effectExtent l="0" t="0" r="17145" b="4445"/>
            <wp:docPr id="11" name="图片 4" descr="wpsB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wpsB3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32"/>
          <w:szCs w:val="32"/>
        </w:rPr>
        <w:fldChar w:fldCharType="end"/>
      </w:r>
    </w:p>
    <w:p w14:paraId="1E1815C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2560" w:firstLineChars="8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样式图</w:t>
      </w:r>
    </w:p>
    <w:p w14:paraId="0488543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560" w:lineRule="exact"/>
        <w:ind w:firstLine="643" w:firstLineChars="200"/>
        <w:rPr>
          <w:rFonts w:hint="eastAsia" w:ascii="宋体" w:hAnsi="宋体" w:eastAsia="宋体" w:cs="宋体"/>
          <w:b/>
          <w:bCs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2.4.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8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相关要求</w:t>
      </w:r>
    </w:p>
    <w:p w14:paraId="4AA7CD6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56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所用材料（板材、涂料、胶水等）必须提供质量及环保部门检测合格证书，所有五金配件和多层板、床板的选配必须得到买受人认可，并经买受人检验合格后方可安装使用，所有外露板材板封边必须使用热熔胶封边。</w:t>
      </w:r>
    </w:p>
    <w:p w14:paraId="7A9751D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56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所有钢管须经去油、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打砂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去锈、静电粉末喷涂处理。</w:t>
      </w:r>
    </w:p>
    <w:p w14:paraId="291BEE4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560" w:lineRule="exact"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床体要求采用二氧化碳保护焊工艺，所有焊接点焊缝坚固（必须满焊）、平滑美观，所有外露部分光滑、无毛刺；使用螺栓固定部位的丝扣外露长度必须符合买受人要求；床体自然放置不得出现摇晃现象。</w:t>
      </w:r>
    </w:p>
    <w:p w14:paraId="41DC5BC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床体颜色为灰白色，柜体、书桌及书架部分花纹由买受人现场确定。</w:t>
      </w:r>
    </w:p>
    <w:p w14:paraId="384F671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旧床拆除，运至指定位置。</w:t>
      </w:r>
    </w:p>
    <w:p w14:paraId="59914E52">
      <w:pP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 w14:paraId="60000892">
      <w:pPr>
        <w:pStyle w:val="3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 w14:paraId="024C52E6">
      <w:pPr>
        <w:rPr>
          <w:rFonts w:hint="eastAsia"/>
          <w:lang w:val="en-US" w:eastAsia="zh-CN"/>
        </w:rPr>
      </w:pPr>
    </w:p>
    <w:p w14:paraId="62D49D12">
      <w:pPr>
        <w:rPr>
          <w:rFonts w:hint="default" w:ascii="Times New Roman" w:hAnsi="Times New Roman" w:eastAsia="仿宋" w:cs="Times New Roman"/>
          <w:b w:val="0"/>
          <w:bCs/>
          <w:sz w:val="22"/>
          <w:szCs w:val="2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sz w:val="22"/>
          <w:szCs w:val="22"/>
          <w:lang w:val="en-US" w:eastAsia="zh-CN"/>
        </w:rPr>
        <w:br w:type="page"/>
      </w:r>
    </w:p>
    <w:p w14:paraId="75C89DD8">
      <w:pPr>
        <w:pStyle w:val="7"/>
        <w:bidi w:val="0"/>
        <w:rPr>
          <w:rFonts w:hint="eastAsia"/>
          <w:lang w:val="en-US" w:eastAsia="zh-CN"/>
        </w:rPr>
      </w:pPr>
      <w:bookmarkStart w:id="5" w:name="_Toc472"/>
      <w:bookmarkStart w:id="6" w:name="_Toc14697"/>
      <w:r>
        <w:rPr>
          <w:rFonts w:hint="eastAsia"/>
          <w:lang w:val="en-US" w:eastAsia="zh-CN"/>
        </w:rPr>
        <w:t>第三章  项目实施进度和安排</w:t>
      </w:r>
      <w:bookmarkEnd w:id="5"/>
      <w:bookmarkEnd w:id="6"/>
    </w:p>
    <w:p w14:paraId="34D232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2025年</w:t>
      </w:r>
      <w:bookmarkStart w:id="11" w:name="_GoBack"/>
      <w:r>
        <w:rPr>
          <w:rFonts w:hint="eastAsia"/>
          <w:lang w:val="en-US" w:eastAsia="zh-CN"/>
        </w:rPr>
        <w:t>3</w:t>
      </w:r>
      <w:bookmarkEnd w:id="11"/>
      <w:r>
        <w:rPr>
          <w:rFonts w:hint="eastAsia"/>
          <w:lang w:val="en-US" w:eastAsia="zh-CN"/>
        </w:rPr>
        <w:t>月完成招标前准备工作；</w:t>
      </w:r>
    </w:p>
    <w:p w14:paraId="7777E4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2025年7月进入物资采购招标程序；</w:t>
      </w:r>
    </w:p>
    <w:p w14:paraId="3BE490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2025年7月底完成项目招标；</w:t>
      </w:r>
    </w:p>
    <w:p w14:paraId="39AA30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2025年8月底完成项目实施、验收工作。</w:t>
      </w:r>
    </w:p>
    <w:p w14:paraId="4C7460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DBF2DAE">
      <w:pPr>
        <w:pStyle w:val="7"/>
        <w:bidi w:val="0"/>
        <w:rPr>
          <w:rFonts w:hint="eastAsia"/>
          <w:lang w:val="en-US" w:eastAsia="zh-CN"/>
        </w:rPr>
      </w:pPr>
      <w:bookmarkStart w:id="7" w:name="_Toc28928"/>
      <w:bookmarkStart w:id="8" w:name="_Toc31624"/>
      <w:r>
        <w:rPr>
          <w:rFonts w:hint="eastAsia"/>
          <w:lang w:val="en-US" w:eastAsia="zh-CN"/>
        </w:rPr>
        <w:t>第四章  项目建设预期绩效</w:t>
      </w:r>
      <w:bookmarkEnd w:id="7"/>
      <w:bookmarkEnd w:id="8"/>
    </w:p>
    <w:p w14:paraId="03933E55">
      <w:pPr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4.1 提升学生满意度：优化住宿环境，增强学生归属感。  </w:t>
      </w:r>
    </w:p>
    <w:p w14:paraId="40A16576">
      <w:pPr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4.2 延长设施使用寿命：采用高质量材料，减少后续维护成本。  </w:t>
      </w:r>
    </w:p>
    <w:p w14:paraId="2298F75A">
      <w:pPr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4.3树立学院品牌形象：现代化宿舍设施彰显学院对学生生活的重视。  </w:t>
      </w:r>
    </w:p>
    <w:p w14:paraId="625F2995">
      <w:pPr>
        <w:rPr>
          <w:rFonts w:hint="default"/>
          <w:lang w:val="en-US" w:eastAsia="zh-CN"/>
        </w:rPr>
      </w:pPr>
    </w:p>
    <w:p w14:paraId="0FE4E1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1288E36">
      <w:pPr>
        <w:pStyle w:val="7"/>
        <w:bidi w:val="0"/>
        <w:rPr>
          <w:rFonts w:hint="eastAsia"/>
          <w:lang w:val="en-US" w:eastAsia="zh-CN"/>
        </w:rPr>
      </w:pPr>
      <w:bookmarkStart w:id="9" w:name="_Toc22900"/>
      <w:bookmarkStart w:id="10" w:name="_Toc2767"/>
      <w:r>
        <w:rPr>
          <w:rFonts w:hint="eastAsia"/>
          <w:lang w:val="en-US" w:eastAsia="zh-CN"/>
        </w:rPr>
        <w:t>第五章  保障措施</w:t>
      </w:r>
      <w:bookmarkEnd w:id="9"/>
      <w:bookmarkEnd w:id="10"/>
    </w:p>
    <w:p w14:paraId="1DEABEB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5.1 管理机制  </w:t>
      </w:r>
    </w:p>
    <w:p w14:paraId="4222869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成立专项领导小组，负责招标监督、施工质量把控及验收，确保项目按计划推进。  </w:t>
      </w:r>
    </w:p>
    <w:p w14:paraId="21E5026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5.2 资金保证  </w:t>
      </w:r>
    </w:p>
    <w:p w14:paraId="291B030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项目资金专款专用，严格接受财政与审计部门监督。  </w:t>
      </w:r>
    </w:p>
    <w:p w14:paraId="134F69B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5.3 政府采购  </w:t>
      </w:r>
    </w:p>
    <w:p w14:paraId="043ADE4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严格执行国家招投标法规，确保采购过程公开透明，供应商资质符合要求。  </w:t>
      </w:r>
    </w:p>
    <w:p w14:paraId="59B8E370">
      <w:pPr>
        <w:bidi w:val="0"/>
        <w:rPr>
          <w:rFonts w:hint="eastAsia"/>
          <w:lang w:val="en-US" w:eastAsia="zh-CN"/>
        </w:rPr>
      </w:pPr>
    </w:p>
    <w:p w14:paraId="020C555C">
      <w:pPr>
        <w:ind w:left="0" w:leftChars="0" w:firstLine="0" w:firstLineChars="0"/>
        <w:rPr>
          <w:rFonts w:hint="default"/>
          <w:lang w:val="en-US" w:eastAsia="zh-CN"/>
        </w:rPr>
      </w:pPr>
    </w:p>
    <w:sectPr>
      <w:footerReference r:id="rId10" w:type="default"/>
      <w:pgSz w:w="11906" w:h="16839"/>
      <w:pgMar w:top="1417" w:right="1417" w:bottom="1417" w:left="1701" w:header="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equalWidth="0" w:num="1">
        <w:col w:w="9095"/>
      </w:cols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B2401B">
    <w:pPr>
      <w:tabs>
        <w:tab w:val="center" w:pos="4153"/>
        <w:tab w:val="right" w:pos="8306"/>
      </w:tabs>
      <w:ind w:left="0" w:leftChars="0" w:firstLine="0" w:firstLineChars="0"/>
      <w:rPr>
        <w:rFonts w:hint="eastAsia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75125A">
    <w:pPr>
      <w:tabs>
        <w:tab w:val="center" w:pos="4153"/>
        <w:tab w:val="right" w:pos="8306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72B67">
    <w:pPr>
      <w:pStyle w:val="11"/>
      <w:rPr>
        <w:rFonts w:hint="eastAsia"/>
        <w:lang w:val="en-US" w:eastAsia="zh-C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D65786">
    <w:pPr>
      <w:pStyle w:val="11"/>
      <w:rPr>
        <w:rFonts w:hint="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F6D621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8F6D621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A973CB">
    <w:pPr>
      <w:pStyle w:val="11"/>
      <w:rPr>
        <w:rFonts w:hint="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D942CA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ED942CA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41706">
    <w:pPr>
      <w:tabs>
        <w:tab w:val="center" w:pos="4153"/>
        <w:tab w:val="right" w:pos="8306"/>
      </w:tabs>
      <w:jc w:val="center"/>
    </w:pPr>
    <w:r>
      <w:rPr>
        <w:rFonts w:hint="eastAsia"/>
        <w:lang w:val="en-US" w:eastAsia="zh-CN"/>
      </w:rPr>
      <w:t>柘城县农村黑臭水体治理项目实施方案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MjZlYzkxNzJlNWVmY2MwNWVmZTZmNDMxYjAzYjNiODAifQ=="/>
    <w:docVar w:name="KSO_WPS_MARK_KEY" w:val="d7d53791-d3bf-49b0-be7f-5608a73c85ae"/>
  </w:docVars>
  <w:rsids>
    <w:rsidRoot w:val="00172A27"/>
    <w:rsid w:val="0078726D"/>
    <w:rsid w:val="01AD1B06"/>
    <w:rsid w:val="029372CC"/>
    <w:rsid w:val="02A17A4E"/>
    <w:rsid w:val="02B82564"/>
    <w:rsid w:val="03420A3E"/>
    <w:rsid w:val="03891632"/>
    <w:rsid w:val="039624F5"/>
    <w:rsid w:val="04FE4133"/>
    <w:rsid w:val="05443FFE"/>
    <w:rsid w:val="05CF6C8E"/>
    <w:rsid w:val="07495683"/>
    <w:rsid w:val="08297790"/>
    <w:rsid w:val="08801516"/>
    <w:rsid w:val="08BA6379"/>
    <w:rsid w:val="08DA458C"/>
    <w:rsid w:val="08FC2921"/>
    <w:rsid w:val="090C3502"/>
    <w:rsid w:val="09E8245D"/>
    <w:rsid w:val="0AFC6D0E"/>
    <w:rsid w:val="0BB30203"/>
    <w:rsid w:val="0C5416B7"/>
    <w:rsid w:val="0C9F654C"/>
    <w:rsid w:val="0CCF61D4"/>
    <w:rsid w:val="0D253236"/>
    <w:rsid w:val="0D923281"/>
    <w:rsid w:val="0D9236CC"/>
    <w:rsid w:val="0EAA7A15"/>
    <w:rsid w:val="0F9B7D40"/>
    <w:rsid w:val="0FBA1C7D"/>
    <w:rsid w:val="123775F2"/>
    <w:rsid w:val="12854F72"/>
    <w:rsid w:val="138E2F09"/>
    <w:rsid w:val="13BA7C6F"/>
    <w:rsid w:val="13EE1CEA"/>
    <w:rsid w:val="14B015BA"/>
    <w:rsid w:val="15602072"/>
    <w:rsid w:val="16834AC1"/>
    <w:rsid w:val="17F047D6"/>
    <w:rsid w:val="18AE5847"/>
    <w:rsid w:val="1970161B"/>
    <w:rsid w:val="19B8153B"/>
    <w:rsid w:val="1A6A65F1"/>
    <w:rsid w:val="1B696ABB"/>
    <w:rsid w:val="1BEB419A"/>
    <w:rsid w:val="1C724C60"/>
    <w:rsid w:val="1ECF40D1"/>
    <w:rsid w:val="1F29117F"/>
    <w:rsid w:val="20834008"/>
    <w:rsid w:val="21000F89"/>
    <w:rsid w:val="212E2E2E"/>
    <w:rsid w:val="21D8337C"/>
    <w:rsid w:val="222A5980"/>
    <w:rsid w:val="234A4E76"/>
    <w:rsid w:val="23512E55"/>
    <w:rsid w:val="248E6CF1"/>
    <w:rsid w:val="251813F7"/>
    <w:rsid w:val="25D37883"/>
    <w:rsid w:val="2696661C"/>
    <w:rsid w:val="26E41A09"/>
    <w:rsid w:val="276C7583"/>
    <w:rsid w:val="27F375CB"/>
    <w:rsid w:val="285964D8"/>
    <w:rsid w:val="286B65C8"/>
    <w:rsid w:val="29141B7A"/>
    <w:rsid w:val="296224A7"/>
    <w:rsid w:val="29947488"/>
    <w:rsid w:val="299911D1"/>
    <w:rsid w:val="29AE6D79"/>
    <w:rsid w:val="29F930AD"/>
    <w:rsid w:val="2A666B15"/>
    <w:rsid w:val="2AB64EB4"/>
    <w:rsid w:val="2DA63614"/>
    <w:rsid w:val="2E01230C"/>
    <w:rsid w:val="2E563923"/>
    <w:rsid w:val="2E5A09CB"/>
    <w:rsid w:val="2ED170FF"/>
    <w:rsid w:val="2EEF4352"/>
    <w:rsid w:val="2F070B3F"/>
    <w:rsid w:val="306F2EE5"/>
    <w:rsid w:val="30C64B93"/>
    <w:rsid w:val="31A46733"/>
    <w:rsid w:val="31D55E7F"/>
    <w:rsid w:val="31EF5E71"/>
    <w:rsid w:val="32526B45"/>
    <w:rsid w:val="326D5739"/>
    <w:rsid w:val="327031B9"/>
    <w:rsid w:val="32A365CA"/>
    <w:rsid w:val="32FC7C2D"/>
    <w:rsid w:val="3376179E"/>
    <w:rsid w:val="33BF15CC"/>
    <w:rsid w:val="3439693A"/>
    <w:rsid w:val="345E3C7B"/>
    <w:rsid w:val="34873C05"/>
    <w:rsid w:val="34C71623"/>
    <w:rsid w:val="351D7990"/>
    <w:rsid w:val="357A5E33"/>
    <w:rsid w:val="35CC09BD"/>
    <w:rsid w:val="35F41A73"/>
    <w:rsid w:val="376364E1"/>
    <w:rsid w:val="37845AC8"/>
    <w:rsid w:val="378D1FC0"/>
    <w:rsid w:val="37E905FB"/>
    <w:rsid w:val="38481F82"/>
    <w:rsid w:val="38481FEA"/>
    <w:rsid w:val="3A6464CD"/>
    <w:rsid w:val="3A692A5E"/>
    <w:rsid w:val="3AC83017"/>
    <w:rsid w:val="3B73579A"/>
    <w:rsid w:val="3C87349F"/>
    <w:rsid w:val="3CBE5503"/>
    <w:rsid w:val="3E654E2F"/>
    <w:rsid w:val="3EB06F73"/>
    <w:rsid w:val="3EC73348"/>
    <w:rsid w:val="3F546449"/>
    <w:rsid w:val="3F684376"/>
    <w:rsid w:val="3F9343CD"/>
    <w:rsid w:val="401D0E10"/>
    <w:rsid w:val="406327FA"/>
    <w:rsid w:val="40660CF9"/>
    <w:rsid w:val="408A3214"/>
    <w:rsid w:val="41215839"/>
    <w:rsid w:val="418C2983"/>
    <w:rsid w:val="41BF6025"/>
    <w:rsid w:val="41C4333B"/>
    <w:rsid w:val="41D47100"/>
    <w:rsid w:val="42347251"/>
    <w:rsid w:val="42BE2517"/>
    <w:rsid w:val="42FD7B96"/>
    <w:rsid w:val="435E30ED"/>
    <w:rsid w:val="436A4F15"/>
    <w:rsid w:val="437D6CC5"/>
    <w:rsid w:val="44023C49"/>
    <w:rsid w:val="44346F3F"/>
    <w:rsid w:val="44430549"/>
    <w:rsid w:val="44CB433C"/>
    <w:rsid w:val="44F711BA"/>
    <w:rsid w:val="452F3533"/>
    <w:rsid w:val="46E45E98"/>
    <w:rsid w:val="472F0CAE"/>
    <w:rsid w:val="47455C11"/>
    <w:rsid w:val="485C70DC"/>
    <w:rsid w:val="48A54772"/>
    <w:rsid w:val="497F6B4E"/>
    <w:rsid w:val="49A924FD"/>
    <w:rsid w:val="49BA5E9A"/>
    <w:rsid w:val="4ABF24F5"/>
    <w:rsid w:val="4B451854"/>
    <w:rsid w:val="4B4A6EBE"/>
    <w:rsid w:val="4B8B4D9C"/>
    <w:rsid w:val="4B8E10AB"/>
    <w:rsid w:val="4B936B07"/>
    <w:rsid w:val="4BEC0D62"/>
    <w:rsid w:val="4C6B0197"/>
    <w:rsid w:val="4E41293D"/>
    <w:rsid w:val="4F6A36A0"/>
    <w:rsid w:val="4FC60B6F"/>
    <w:rsid w:val="513A09D2"/>
    <w:rsid w:val="518465B6"/>
    <w:rsid w:val="51D11972"/>
    <w:rsid w:val="534529CD"/>
    <w:rsid w:val="54885192"/>
    <w:rsid w:val="553659F7"/>
    <w:rsid w:val="569C0372"/>
    <w:rsid w:val="577C6E83"/>
    <w:rsid w:val="57BD3EE9"/>
    <w:rsid w:val="57C05888"/>
    <w:rsid w:val="57DA5D93"/>
    <w:rsid w:val="57FB4519"/>
    <w:rsid w:val="58D0294D"/>
    <w:rsid w:val="58DD7A70"/>
    <w:rsid w:val="58E548C9"/>
    <w:rsid w:val="59A42519"/>
    <w:rsid w:val="5A1D5E9D"/>
    <w:rsid w:val="5A955290"/>
    <w:rsid w:val="5B1F75BF"/>
    <w:rsid w:val="5B561534"/>
    <w:rsid w:val="5B917639"/>
    <w:rsid w:val="5B9C2AB3"/>
    <w:rsid w:val="5BCB62FC"/>
    <w:rsid w:val="5C3D3995"/>
    <w:rsid w:val="5C75526A"/>
    <w:rsid w:val="5D17766D"/>
    <w:rsid w:val="5DA85B39"/>
    <w:rsid w:val="5DB23F8B"/>
    <w:rsid w:val="5E1137E7"/>
    <w:rsid w:val="5E215CDD"/>
    <w:rsid w:val="5E31641C"/>
    <w:rsid w:val="5E476F68"/>
    <w:rsid w:val="5F88611B"/>
    <w:rsid w:val="60204C42"/>
    <w:rsid w:val="616A625F"/>
    <w:rsid w:val="618A0F55"/>
    <w:rsid w:val="627A7478"/>
    <w:rsid w:val="63530CC5"/>
    <w:rsid w:val="63FF6E93"/>
    <w:rsid w:val="64BF6CE4"/>
    <w:rsid w:val="65BA7C52"/>
    <w:rsid w:val="667E04CA"/>
    <w:rsid w:val="67184040"/>
    <w:rsid w:val="671E4ADE"/>
    <w:rsid w:val="67244EF6"/>
    <w:rsid w:val="67F45E07"/>
    <w:rsid w:val="68B20F33"/>
    <w:rsid w:val="68E26165"/>
    <w:rsid w:val="6A770985"/>
    <w:rsid w:val="6B4D2252"/>
    <w:rsid w:val="6BBF2C12"/>
    <w:rsid w:val="6BE31FFC"/>
    <w:rsid w:val="6BF42584"/>
    <w:rsid w:val="6F724625"/>
    <w:rsid w:val="6F7D354F"/>
    <w:rsid w:val="6F863C84"/>
    <w:rsid w:val="702D18AB"/>
    <w:rsid w:val="710E33FF"/>
    <w:rsid w:val="712651BC"/>
    <w:rsid w:val="71F10A94"/>
    <w:rsid w:val="729216D2"/>
    <w:rsid w:val="74096E59"/>
    <w:rsid w:val="745B23AC"/>
    <w:rsid w:val="74980616"/>
    <w:rsid w:val="75147F05"/>
    <w:rsid w:val="754C04FA"/>
    <w:rsid w:val="75882606"/>
    <w:rsid w:val="75F30CB0"/>
    <w:rsid w:val="76731471"/>
    <w:rsid w:val="772544C5"/>
    <w:rsid w:val="775B1F02"/>
    <w:rsid w:val="78742D87"/>
    <w:rsid w:val="79633F9D"/>
    <w:rsid w:val="796D0847"/>
    <w:rsid w:val="7A0B02B7"/>
    <w:rsid w:val="7A197318"/>
    <w:rsid w:val="7A20781A"/>
    <w:rsid w:val="7B9118C2"/>
    <w:rsid w:val="7C2C6F0E"/>
    <w:rsid w:val="7C435749"/>
    <w:rsid w:val="7C9F57E7"/>
    <w:rsid w:val="7CE3781E"/>
    <w:rsid w:val="7DC11D1E"/>
    <w:rsid w:val="7DDC61AB"/>
    <w:rsid w:val="7E156CDD"/>
    <w:rsid w:val="7ECC63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kinsoku/>
      <w:topLinePunct/>
      <w:autoSpaceDE/>
      <w:autoSpaceDN/>
      <w:adjustRightInd/>
      <w:snapToGrid/>
      <w:spacing w:line="360" w:lineRule="auto"/>
      <w:ind w:firstLine="420" w:firstLineChars="200"/>
      <w:jc w:val="both"/>
      <w:textAlignment w:val="auto"/>
    </w:pPr>
    <w:rPr>
      <w:rFonts w:ascii="Times New Roman" w:hAnsi="Times New Roman" w:eastAsia="宋体" w:cs="Arial"/>
      <w:snapToGrid w:val="0"/>
      <w:color w:val="000000"/>
      <w:kern w:val="0"/>
      <w:sz w:val="32"/>
      <w:szCs w:val="21"/>
    </w:rPr>
  </w:style>
  <w:style w:type="paragraph" w:styleId="7">
    <w:name w:val="heading 1"/>
    <w:basedOn w:val="1"/>
    <w:next w:val="1"/>
    <w:link w:val="22"/>
    <w:qFormat/>
    <w:uiPriority w:val="0"/>
    <w:pPr>
      <w:keepNext/>
      <w:keepLines/>
      <w:spacing w:before="50" w:beforeLines="50" w:after="50" w:afterLines="50" w:line="360" w:lineRule="auto"/>
      <w:ind w:firstLine="0" w:firstLineChars="0"/>
      <w:jc w:val="center"/>
      <w:outlineLvl w:val="0"/>
    </w:pPr>
    <w:rPr>
      <w:rFonts w:ascii="Times New Roman" w:hAnsi="Times New Roman" w:eastAsia="宋体"/>
      <w:b/>
      <w:bCs/>
      <w:kern w:val="44"/>
      <w:sz w:val="36"/>
      <w:szCs w:val="44"/>
    </w:rPr>
  </w:style>
  <w:style w:type="paragraph" w:styleId="8">
    <w:name w:val="heading 2"/>
    <w:basedOn w:val="1"/>
    <w:next w:val="1"/>
    <w:link w:val="23"/>
    <w:unhideWhenUsed/>
    <w:qFormat/>
    <w:uiPriority w:val="0"/>
    <w:pPr>
      <w:keepNext/>
      <w:keepLines/>
      <w:snapToGrid/>
      <w:spacing w:before="50" w:beforeLines="50" w:after="50" w:afterLines="50" w:line="360" w:lineRule="auto"/>
      <w:ind w:firstLine="0" w:firstLineChars="0"/>
      <w:outlineLvl w:val="1"/>
    </w:pPr>
    <w:rPr>
      <w:b/>
      <w:bCs/>
      <w:sz w:val="36"/>
      <w:szCs w:val="32"/>
    </w:rPr>
  </w:style>
  <w:style w:type="paragraph" w:styleId="9">
    <w:name w:val="heading 3"/>
    <w:basedOn w:val="1"/>
    <w:next w:val="1"/>
    <w:unhideWhenUsed/>
    <w:qFormat/>
    <w:uiPriority w:val="0"/>
    <w:pPr>
      <w:keepNext/>
      <w:keepLines/>
      <w:spacing w:before="50" w:beforeLines="50" w:after="50" w:afterLines="50" w:line="360" w:lineRule="auto"/>
      <w:ind w:firstLine="0" w:firstLineChars="0"/>
      <w:outlineLvl w:val="2"/>
    </w:pPr>
    <w:rPr>
      <w:b/>
      <w:bCs/>
      <w:szCs w:val="32"/>
    </w:rPr>
  </w:style>
  <w:style w:type="paragraph" w:styleId="10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5"/>
    <w:qFormat/>
    <w:uiPriority w:val="0"/>
    <w:pPr>
      <w:ind w:firstLine="420" w:firstLineChars="100"/>
    </w:pPr>
    <w:rPr>
      <w:rFonts w:asciiTheme="minorHAnsi" w:hAnsiTheme="minorHAnsi" w:eastAsiaTheme="minorEastAsia" w:cstheme="minorBidi"/>
    </w:rPr>
  </w:style>
  <w:style w:type="paragraph" w:styleId="3">
    <w:name w:val="Body Text"/>
    <w:basedOn w:val="1"/>
    <w:next w:val="4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customStyle="1" w:styleId="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lang w:val="en-US" w:eastAsia="zh-CN" w:bidi="ar-SA"/>
    </w:rPr>
  </w:style>
  <w:style w:type="paragraph" w:styleId="5">
    <w:name w:val="Body Text First Indent 2"/>
    <w:basedOn w:val="6"/>
    <w:qFormat/>
    <w:uiPriority w:val="0"/>
    <w:pPr>
      <w:ind w:firstLine="420" w:firstLineChars="200"/>
    </w:p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toc 1"/>
    <w:basedOn w:val="1"/>
    <w:next w:val="1"/>
    <w:qFormat/>
    <w:uiPriority w:val="0"/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</w:rPr>
  </w:style>
  <w:style w:type="table" w:customStyle="1" w:styleId="2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表格"/>
    <w:basedOn w:val="9"/>
    <w:next w:val="1"/>
    <w:qFormat/>
    <w:uiPriority w:val="0"/>
    <w:pPr>
      <w:keepNext w:val="0"/>
      <w:keepLines w:val="0"/>
      <w:widowControl w:val="0"/>
      <w:spacing w:line="240" w:lineRule="auto"/>
      <w:jc w:val="center"/>
    </w:pPr>
    <w:rPr>
      <w:rFonts w:ascii="Times New Roman" w:hAnsi="Times New Roman" w:eastAsia="宋体"/>
      <w:b w:val="0"/>
      <w:sz w:val="21"/>
    </w:rPr>
  </w:style>
  <w:style w:type="character" w:customStyle="1" w:styleId="22">
    <w:name w:val="标题 1 Char1"/>
    <w:link w:val="7"/>
    <w:qFormat/>
    <w:uiPriority w:val="0"/>
    <w:rPr>
      <w:rFonts w:ascii="Times New Roman" w:hAnsi="Times New Roman" w:eastAsia="宋体"/>
      <w:b/>
      <w:bCs/>
      <w:kern w:val="44"/>
      <w:sz w:val="36"/>
      <w:szCs w:val="44"/>
    </w:rPr>
  </w:style>
  <w:style w:type="character" w:customStyle="1" w:styleId="23">
    <w:name w:val="标题 2 Char1"/>
    <w:link w:val="8"/>
    <w:qFormat/>
    <w:uiPriority w:val="0"/>
    <w:rPr>
      <w:rFonts w:ascii="Times New Roman" w:hAnsi="Times New Roman" w:eastAsia="宋体"/>
      <w:b/>
      <w:bCs/>
      <w:sz w:val="36"/>
      <w:szCs w:val="32"/>
    </w:rPr>
  </w:style>
  <w:style w:type="character" w:customStyle="1" w:styleId="24">
    <w:name w:val="font41"/>
    <w:basedOn w:val="18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character" w:customStyle="1" w:styleId="25">
    <w:name w:val="font11"/>
    <w:basedOn w:val="18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character" w:customStyle="1" w:styleId="26">
    <w:name w:val="font21"/>
    <w:basedOn w:val="1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7">
    <w:name w:val="font31"/>
    <w:basedOn w:val="1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8">
    <w:name w:val="font71"/>
    <w:basedOn w:val="18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character" w:customStyle="1" w:styleId="29">
    <w:name w:val="font61"/>
    <w:basedOn w:val="18"/>
    <w:qFormat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character" w:customStyle="1" w:styleId="30">
    <w:name w:val="font51"/>
    <w:basedOn w:val="1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paragraph" w:customStyle="1" w:styleId="31">
    <w:name w:val="表头文字"/>
    <w:basedOn w:val="1"/>
    <w:next w:val="1"/>
    <w:qFormat/>
    <w:uiPriority w:val="0"/>
    <w:pPr>
      <w:jc w:val="center"/>
    </w:pPr>
    <w:rPr>
      <w:rFonts w:eastAsia="仿宋"/>
      <w:b/>
      <w:sz w:val="28"/>
      <w:szCs w:val="28"/>
    </w:rPr>
  </w:style>
  <w:style w:type="paragraph" w:customStyle="1" w:styleId="3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0.png"/><Relationship Id="rId25" Type="http://schemas.openxmlformats.org/officeDocument/2006/relationships/image" Target="file:///C:\Users\1\AppData\Local\Temp\ksohtml\wpsB348.tmp.png" TargetMode="External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file:///C:\Users\1\AppData\Local\Temp\ksohtml\wpsB343.tmp.png" TargetMode="External"/><Relationship Id="rId21" Type="http://schemas.openxmlformats.org/officeDocument/2006/relationships/image" Target="media/image7.png"/><Relationship Id="rId20" Type="http://schemas.openxmlformats.org/officeDocument/2006/relationships/image" Target="file:///C:\Users\1\AppData\Local\Temp\ksohtml\wpsB331.tmp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file:///C:\Users\1\AppData\Local\Temp\ksohtml\wpsB342.tmp.png" TargetMode="External"/><Relationship Id="rId16" Type="http://schemas.openxmlformats.org/officeDocument/2006/relationships/image" Target="media/image4.png"/><Relationship Id="rId15" Type="http://schemas.openxmlformats.org/officeDocument/2006/relationships/image" Target="file:///C:\Users\1\AppData\Local\Temp\ksohtml\wpsB344.tmp.png" TargetMode="External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封面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1996</Words>
  <Characters>2302</Characters>
  <TotalTime>2</TotalTime>
  <ScaleCrop>false</ScaleCrop>
  <LinksUpToDate>false</LinksUpToDate>
  <CharactersWithSpaces>2427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2023-05-29T21:54:00Z</dcterms:created>
  <dc:creator>林金坤</dc:creator>
  <cp:lastModifiedBy>顾振宇</cp:lastModifiedBy>
  <cp:lastPrinted>2025-04-13T02:03:00Z</cp:lastPrinted>
  <dcterms:modified xsi:type="dcterms:W3CDTF">2025-07-07T01:36:22Z</dcterms:modified>
  <dc:title>滨北线松花江公铁两用桥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2024-04-19T08:30:53Z</vt:filetime>
  </property>
  <property fmtid="{D5CDD505-2E9C-101B-9397-08002B2CF9AE}" pid="4" name="KSOProductBuildVer">
    <vt:lpwstr>2052-12.1.0.21915</vt:lpwstr>
  </property>
  <property fmtid="{D5CDD505-2E9C-101B-9397-08002B2CF9AE}" pid="5" name="ICV">
    <vt:lpwstr>D75F3E3FE4AE47C28BAF07A9916A9040_13</vt:lpwstr>
  </property>
  <property fmtid="{D5CDD505-2E9C-101B-9397-08002B2CF9AE}" pid="6" name="KSOTemplateDocerSaveRecord">
    <vt:lpwstr>eyJoZGlkIjoiZTk0ZTBlMzAwYjAwZTM0MGNlMmVmZTNjNjNmZjNhN2IiLCJ1c2VySWQiOiIyNDI2ODYzMjEifQ==</vt:lpwstr>
  </property>
</Properties>
</file>