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eastAsia" w:ascii="宋体" w:hAnsi="宋体"/>
          <w:b/>
          <w:color w:val="auto"/>
          <w:sz w:val="52"/>
          <w:szCs w:val="52"/>
          <w:highlight w:val="none"/>
        </w:rPr>
      </w:pPr>
      <w:bookmarkStart w:id="0" w:name="_Toc24906"/>
      <w:bookmarkStart w:id="154" w:name="_GoBack"/>
      <w:bookmarkEnd w:id="154"/>
      <w:r>
        <w:rPr>
          <w:rFonts w:hint="eastAsia" w:ascii="宋体" w:hAnsi="宋体"/>
          <w:b/>
          <w:color w:val="auto"/>
          <w:sz w:val="52"/>
          <w:szCs w:val="52"/>
          <w:highlight w:val="none"/>
        </w:rPr>
        <w:drawing>
          <wp:inline distT="0" distB="0" distL="114300" distR="114300">
            <wp:extent cx="5264150" cy="7221220"/>
            <wp:effectExtent l="0" t="0" r="12700" b="17780"/>
            <wp:docPr id="1" name="图片 1" descr="磋商文件封皮盖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磋商文件封皮盖章"/>
                    <pic:cNvPicPr>
                      <a:picLocks noChangeAspect="1"/>
                    </pic:cNvPicPr>
                  </pic:nvPicPr>
                  <pic:blipFill>
                    <a:blip r:embed="rId7"/>
                    <a:stretch>
                      <a:fillRect/>
                    </a:stretch>
                  </pic:blipFill>
                  <pic:spPr>
                    <a:xfrm>
                      <a:off x="0" y="0"/>
                      <a:ext cx="5264150" cy="7221220"/>
                    </a:xfrm>
                    <a:prstGeom prst="rect">
                      <a:avLst/>
                    </a:prstGeom>
                  </pic:spPr>
                </pic:pic>
              </a:graphicData>
            </a:graphic>
          </wp:inline>
        </w:drawing>
      </w:r>
    </w:p>
    <w:p>
      <w:pPr>
        <w:spacing w:line="360" w:lineRule="auto"/>
        <w:jc w:val="center"/>
        <w:outlineLvl w:val="0"/>
        <w:rPr>
          <w:rFonts w:hint="eastAsia" w:ascii="宋体" w:hAnsi="宋体"/>
          <w:b/>
          <w:color w:val="auto"/>
          <w:sz w:val="52"/>
          <w:szCs w:val="52"/>
          <w:highlight w:val="none"/>
        </w:rPr>
      </w:pPr>
    </w:p>
    <w:p>
      <w:pPr>
        <w:spacing w:line="360" w:lineRule="auto"/>
        <w:jc w:val="center"/>
        <w:outlineLvl w:val="0"/>
        <w:rPr>
          <w:rFonts w:hint="eastAsia" w:ascii="宋体" w:hAnsi="宋体"/>
          <w:b/>
          <w:color w:val="auto"/>
          <w:sz w:val="52"/>
          <w:szCs w:val="52"/>
          <w:highlight w:val="none"/>
        </w:rPr>
      </w:pPr>
    </w:p>
    <w:p>
      <w:pPr>
        <w:spacing w:line="360" w:lineRule="auto"/>
        <w:jc w:val="center"/>
        <w:outlineLvl w:val="0"/>
        <w:rPr>
          <w:rFonts w:ascii="宋体" w:hAnsi="宋体"/>
          <w:b/>
          <w:color w:val="auto"/>
          <w:sz w:val="52"/>
          <w:szCs w:val="52"/>
          <w:highlight w:val="none"/>
        </w:rPr>
      </w:pPr>
      <w:r>
        <w:rPr>
          <w:rFonts w:hint="eastAsia" w:ascii="宋体" w:hAnsi="宋体"/>
          <w:b/>
          <w:color w:val="auto"/>
          <w:sz w:val="52"/>
          <w:szCs w:val="52"/>
          <w:highlight w:val="none"/>
        </w:rPr>
        <w:t>义马市C128线农村公路提升工程等5条路</w:t>
      </w:r>
    </w:p>
    <w:p>
      <w:pPr>
        <w:spacing w:line="360" w:lineRule="auto"/>
        <w:jc w:val="center"/>
        <w:outlineLvl w:val="0"/>
        <w:rPr>
          <w:rFonts w:ascii="宋体" w:hAnsi="宋体"/>
          <w:b/>
          <w:color w:val="auto"/>
          <w:sz w:val="72"/>
          <w:szCs w:val="72"/>
          <w:highlight w:val="none"/>
        </w:rPr>
      </w:pPr>
    </w:p>
    <w:p>
      <w:pPr>
        <w:spacing w:line="360" w:lineRule="auto"/>
        <w:ind w:firstLine="562" w:firstLineChars="200"/>
        <w:jc w:val="center"/>
        <w:outlineLvl w:val="0"/>
        <w:rPr>
          <w:rFonts w:ascii="宋体" w:hAnsi="宋体" w:eastAsia="宋体" w:cs="宋体"/>
          <w:b/>
          <w:color w:val="auto"/>
          <w:kern w:val="0"/>
          <w:sz w:val="28"/>
          <w:szCs w:val="24"/>
          <w:highlight w:val="none"/>
        </w:rPr>
      </w:pPr>
    </w:p>
    <w:p>
      <w:pPr>
        <w:spacing w:line="360" w:lineRule="auto"/>
        <w:ind w:firstLine="562" w:firstLineChars="200"/>
        <w:jc w:val="center"/>
        <w:outlineLvl w:val="0"/>
        <w:rPr>
          <w:rFonts w:ascii="宋体" w:hAnsi="宋体" w:eastAsia="宋体" w:cs="宋体"/>
          <w:b/>
          <w:color w:val="auto"/>
          <w:kern w:val="0"/>
          <w:sz w:val="28"/>
          <w:szCs w:val="24"/>
          <w:highlight w:val="none"/>
        </w:rPr>
      </w:pPr>
    </w:p>
    <w:p>
      <w:pPr>
        <w:spacing w:line="360" w:lineRule="auto"/>
        <w:ind w:firstLine="562" w:firstLineChars="200"/>
        <w:jc w:val="center"/>
        <w:outlineLvl w:val="0"/>
        <w:rPr>
          <w:rFonts w:ascii="宋体" w:hAnsi="宋体" w:eastAsia="宋体" w:cs="宋体"/>
          <w:b/>
          <w:color w:val="auto"/>
          <w:kern w:val="0"/>
          <w:sz w:val="28"/>
          <w:szCs w:val="24"/>
          <w:highlight w:val="none"/>
        </w:rPr>
      </w:pPr>
    </w:p>
    <w:p>
      <w:pPr>
        <w:spacing w:line="360" w:lineRule="auto"/>
        <w:ind w:firstLine="562" w:firstLineChars="200"/>
        <w:jc w:val="center"/>
        <w:outlineLvl w:val="0"/>
        <w:rPr>
          <w:rFonts w:ascii="宋体" w:hAnsi="宋体" w:eastAsia="宋体" w:cs="宋体"/>
          <w:b/>
          <w:color w:val="auto"/>
          <w:kern w:val="0"/>
          <w:sz w:val="28"/>
          <w:szCs w:val="24"/>
          <w:highlight w:val="none"/>
        </w:rPr>
      </w:pPr>
    </w:p>
    <w:p>
      <w:pPr>
        <w:spacing w:line="360" w:lineRule="auto"/>
        <w:jc w:val="center"/>
        <w:outlineLvl w:val="0"/>
        <w:rPr>
          <w:rFonts w:ascii="宋体" w:hAnsi="宋体"/>
          <w:b/>
          <w:color w:val="auto"/>
          <w:sz w:val="72"/>
          <w:szCs w:val="72"/>
          <w:highlight w:val="none"/>
        </w:rPr>
      </w:pPr>
      <w:r>
        <w:rPr>
          <w:rFonts w:hint="eastAsia" w:ascii="宋体" w:hAnsi="宋体"/>
          <w:b/>
          <w:color w:val="auto"/>
          <w:sz w:val="72"/>
          <w:szCs w:val="72"/>
          <w:highlight w:val="none"/>
        </w:rPr>
        <w:t>竞争性磋商文件</w:t>
      </w:r>
      <w:bookmarkEnd w:id="0"/>
    </w:p>
    <w:p>
      <w:pPr>
        <w:jc w:val="center"/>
        <w:rPr>
          <w:rFonts w:ascii="宋体" w:hAnsi="宋体"/>
          <w:color w:val="auto"/>
          <w:sz w:val="28"/>
          <w:szCs w:val="28"/>
          <w:highlight w:val="none"/>
        </w:rPr>
      </w:pPr>
    </w:p>
    <w:p>
      <w:pPr>
        <w:pStyle w:val="12"/>
        <w:rPr>
          <w:rFonts w:ascii="宋体" w:hAnsi="宋体"/>
          <w:b/>
          <w:color w:val="auto"/>
          <w:sz w:val="32"/>
          <w:szCs w:val="32"/>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spacing w:line="480" w:lineRule="auto"/>
        <w:ind w:left="960" w:leftChars="457" w:firstLine="321" w:firstLineChars="100"/>
        <w:rPr>
          <w:rFonts w:ascii="宋体" w:hAnsi="宋体"/>
          <w:b/>
          <w:color w:val="auto"/>
          <w:sz w:val="32"/>
          <w:szCs w:val="32"/>
          <w:highlight w:val="none"/>
        </w:rPr>
      </w:pPr>
    </w:p>
    <w:p>
      <w:pPr>
        <w:spacing w:line="480" w:lineRule="auto"/>
        <w:ind w:left="960" w:leftChars="457" w:firstLine="321" w:firstLineChars="100"/>
        <w:outlineLvl w:val="0"/>
        <w:rPr>
          <w:rFonts w:ascii="宋体" w:hAnsi="宋体" w:eastAsia="宋体"/>
          <w:b/>
          <w:color w:val="auto"/>
          <w:sz w:val="32"/>
          <w:szCs w:val="32"/>
          <w:highlight w:val="none"/>
        </w:rPr>
      </w:pPr>
      <w:bookmarkStart w:id="1" w:name="_Toc6272"/>
      <w:r>
        <w:rPr>
          <w:rFonts w:hint="eastAsia" w:ascii="宋体" w:hAnsi="宋体"/>
          <w:b/>
          <w:color w:val="auto"/>
          <w:sz w:val="32"/>
          <w:szCs w:val="32"/>
          <w:highlight w:val="none"/>
        </w:rPr>
        <w:t>采 购 人：</w:t>
      </w:r>
      <w:bookmarkStart w:id="2" w:name="OLE_LINK6"/>
      <w:bookmarkStart w:id="3" w:name="OLE_LINK5"/>
      <w:bookmarkStart w:id="4" w:name="OLE_LINK39"/>
      <w:bookmarkStart w:id="5" w:name="OLE_LINK23"/>
      <w:r>
        <w:rPr>
          <w:rFonts w:hint="eastAsia" w:ascii="宋体" w:hAnsi="宋体"/>
          <w:b/>
          <w:color w:val="auto"/>
          <w:sz w:val="32"/>
          <w:szCs w:val="32"/>
          <w:highlight w:val="none"/>
        </w:rPr>
        <w:t>义马市交通运输局</w:t>
      </w:r>
      <w:bookmarkEnd w:id="1"/>
      <w:bookmarkEnd w:id="2"/>
      <w:bookmarkEnd w:id="3"/>
      <w:bookmarkEnd w:id="4"/>
      <w:bookmarkEnd w:id="5"/>
    </w:p>
    <w:p>
      <w:pPr>
        <w:spacing w:line="480" w:lineRule="auto"/>
        <w:ind w:firstLine="1285" w:firstLineChars="400"/>
        <w:outlineLvl w:val="0"/>
        <w:rPr>
          <w:rFonts w:ascii="宋体" w:hAnsi="宋体"/>
          <w:b/>
          <w:color w:val="auto"/>
          <w:sz w:val="32"/>
          <w:szCs w:val="32"/>
          <w:highlight w:val="none"/>
        </w:rPr>
      </w:pPr>
      <w:bookmarkStart w:id="6" w:name="_Toc19548"/>
      <w:bookmarkStart w:id="7" w:name="_Toc13613"/>
      <w:r>
        <w:rPr>
          <w:rFonts w:hint="eastAsia" w:ascii="宋体" w:hAnsi="宋体"/>
          <w:b/>
          <w:color w:val="auto"/>
          <w:sz w:val="32"/>
          <w:szCs w:val="32"/>
          <w:highlight w:val="none"/>
        </w:rPr>
        <w:t>代理机构：</w:t>
      </w:r>
      <w:bookmarkEnd w:id="6"/>
      <w:bookmarkStart w:id="8" w:name="OLE_LINK40"/>
      <w:r>
        <w:rPr>
          <w:rFonts w:hint="eastAsia" w:ascii="宋体" w:hAnsi="宋体"/>
          <w:b/>
          <w:color w:val="auto"/>
          <w:sz w:val="32"/>
          <w:szCs w:val="32"/>
          <w:highlight w:val="none"/>
        </w:rPr>
        <w:t>河南建标工程管理有限公司</w:t>
      </w:r>
      <w:bookmarkEnd w:id="7"/>
      <w:bookmarkEnd w:id="8"/>
    </w:p>
    <w:p>
      <w:pPr>
        <w:spacing w:line="480" w:lineRule="auto"/>
        <w:ind w:firstLine="1285" w:firstLineChars="400"/>
        <w:outlineLvl w:val="0"/>
        <w:rPr>
          <w:rFonts w:ascii="宋体" w:hAnsi="宋体"/>
          <w:b/>
          <w:color w:val="auto"/>
          <w:sz w:val="32"/>
          <w:szCs w:val="32"/>
          <w:highlight w:val="none"/>
        </w:rPr>
      </w:pPr>
      <w:bookmarkStart w:id="9" w:name="_Toc7875"/>
      <w:bookmarkStart w:id="10" w:name="_Toc31612"/>
      <w:r>
        <w:rPr>
          <w:rFonts w:hint="eastAsia" w:ascii="宋体" w:hAnsi="宋体"/>
          <w:b/>
          <w:color w:val="auto"/>
          <w:sz w:val="32"/>
          <w:szCs w:val="32"/>
          <w:highlight w:val="none"/>
        </w:rPr>
        <w:t>日    期：二零二五年十二月</w:t>
      </w:r>
      <w:bookmarkEnd w:id="9"/>
      <w:bookmarkEnd w:id="10"/>
    </w:p>
    <w:p>
      <w:pPr>
        <w:jc w:val="center"/>
        <w:rPr>
          <w:rFonts w:ascii="华文宋体" w:hAnsi="华文宋体" w:eastAsia="华文宋体" w:cs="Times New Roman"/>
          <w:b/>
          <w:color w:val="auto"/>
          <w:sz w:val="36"/>
          <w:szCs w:val="36"/>
          <w:highlight w:val="none"/>
        </w:rPr>
        <w:sectPr>
          <w:headerReference r:id="rId3" w:type="default"/>
          <w:pgSz w:w="11906" w:h="16838"/>
          <w:pgMar w:top="1440" w:right="1800" w:bottom="1440" w:left="1800" w:header="709" w:footer="843" w:gutter="0"/>
          <w:pgNumType w:start="1"/>
          <w:cols w:space="720" w:num="1"/>
          <w:docGrid w:linePitch="312" w:charSpace="0"/>
        </w:sectPr>
      </w:pPr>
    </w:p>
    <w:sdt>
      <w:sdtPr>
        <w:rPr>
          <w:rFonts w:ascii="宋体" w:hAnsi="宋体" w:eastAsia="宋体"/>
          <w:color w:val="auto"/>
          <w:highlight w:val="none"/>
        </w:rPr>
        <w:id w:val="147473480"/>
        <w:docPartObj>
          <w:docPartGallery w:val="Table of Contents"/>
          <w:docPartUnique/>
        </w:docPartObj>
      </w:sdtPr>
      <w:sdtEndPr>
        <w:rPr>
          <w:rFonts w:ascii="宋体" w:hAnsi="宋体" w:eastAsia="宋体" w:cs="宋体"/>
          <w:bCs/>
          <w:color w:val="auto"/>
          <w:szCs w:val="32"/>
          <w:highlight w:val="none"/>
        </w:rPr>
      </w:sdtEndPr>
      <w:sdtContent>
        <w:p>
          <w:pPr>
            <w:spacing w:line="360" w:lineRule="auto"/>
            <w:jc w:val="cente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目录</w:t>
          </w:r>
        </w:p>
        <w:p>
          <w:pPr>
            <w:pStyle w:val="27"/>
            <w:tabs>
              <w:tab w:val="right" w:leader="dot" w:pos="9298"/>
            </w:tabs>
            <w:spacing w:line="360" w:lineRule="auto"/>
            <w:rPr>
              <w:rFonts w:ascii="宋体" w:hAnsi="宋体" w:eastAsia="宋体" w:cs="宋体"/>
              <w:color w:val="auto"/>
              <w:sz w:val="30"/>
              <w:szCs w:val="30"/>
              <w:highlight w:val="none"/>
            </w:rPr>
          </w:pP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TOC \o "1-1" \h \u </w:instrText>
          </w:r>
          <w:r>
            <w:rPr>
              <w:rFonts w:hint="eastAsia" w:ascii="宋体" w:hAnsi="宋体" w:eastAsia="宋体" w:cs="宋体"/>
              <w:b/>
              <w:bCs/>
              <w:color w:val="auto"/>
              <w:sz w:val="30"/>
              <w:szCs w:val="30"/>
              <w:highlight w:val="none"/>
            </w:rPr>
            <w:fldChar w:fldCharType="separate"/>
          </w:r>
          <w:r>
            <w:rPr>
              <w:color w:val="auto"/>
              <w:highlight w:val="none"/>
            </w:rPr>
            <w:fldChar w:fldCharType="begin"/>
          </w:r>
          <w:r>
            <w:rPr>
              <w:color w:val="auto"/>
              <w:highlight w:val="none"/>
            </w:rPr>
            <w:instrText xml:space="preserve"> HYPERLINK \l "_Toc14709" </w:instrText>
          </w:r>
          <w:r>
            <w:rPr>
              <w:color w:val="auto"/>
              <w:highlight w:val="none"/>
            </w:rPr>
            <w:fldChar w:fldCharType="separate"/>
          </w:r>
          <w:r>
            <w:rPr>
              <w:rFonts w:hint="eastAsia" w:ascii="宋体" w:hAnsi="宋体" w:eastAsia="宋体" w:cs="宋体"/>
              <w:bCs/>
              <w:color w:val="auto"/>
              <w:sz w:val="30"/>
              <w:szCs w:val="30"/>
              <w:highlight w:val="none"/>
            </w:rPr>
            <w:t>第一章  竞争性磋商公告</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_Toc14709 \h </w:instrText>
          </w:r>
          <w:r>
            <w:rPr>
              <w:rFonts w:hint="eastAsia" w:ascii="宋体" w:hAnsi="宋体" w:eastAsia="宋体" w:cs="宋体"/>
              <w:color w:val="auto"/>
              <w:sz w:val="30"/>
              <w:szCs w:val="30"/>
              <w:highlight w:val="none"/>
            </w:rPr>
            <w:fldChar w:fldCharType="separate"/>
          </w:r>
          <w:r>
            <w:rPr>
              <w:rFonts w:ascii="宋体" w:hAnsi="宋体" w:eastAsia="宋体" w:cs="宋体"/>
              <w:color w:val="auto"/>
              <w:sz w:val="30"/>
              <w:szCs w:val="30"/>
              <w:highlight w:val="none"/>
            </w:rPr>
            <w:t>1</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pPr>
            <w:pStyle w:val="27"/>
            <w:tabs>
              <w:tab w:val="right" w:leader="dot" w:pos="9298"/>
            </w:tabs>
            <w:spacing w:line="360" w:lineRule="auto"/>
            <w:rPr>
              <w:rFonts w:ascii="宋体" w:hAnsi="宋体" w:eastAsia="宋体" w:cs="宋体"/>
              <w:color w:val="auto"/>
              <w:sz w:val="30"/>
              <w:szCs w:val="30"/>
              <w:highlight w:val="none"/>
            </w:rPr>
          </w:pPr>
          <w:r>
            <w:rPr>
              <w:color w:val="auto"/>
              <w:highlight w:val="none"/>
            </w:rPr>
            <w:fldChar w:fldCharType="begin"/>
          </w:r>
          <w:r>
            <w:rPr>
              <w:color w:val="auto"/>
              <w:highlight w:val="none"/>
            </w:rPr>
            <w:instrText xml:space="preserve"> HYPERLINK \l "_Toc16612" </w:instrText>
          </w:r>
          <w:r>
            <w:rPr>
              <w:color w:val="auto"/>
              <w:highlight w:val="none"/>
            </w:rPr>
            <w:fldChar w:fldCharType="separate"/>
          </w:r>
          <w:r>
            <w:rPr>
              <w:rFonts w:hint="eastAsia" w:ascii="宋体" w:hAnsi="宋体" w:eastAsia="宋体" w:cs="宋体"/>
              <w:bCs/>
              <w:color w:val="auto"/>
              <w:sz w:val="30"/>
              <w:szCs w:val="30"/>
              <w:highlight w:val="none"/>
            </w:rPr>
            <w:t>第二章 供应商须知</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_Toc16612 \h </w:instrText>
          </w:r>
          <w:r>
            <w:rPr>
              <w:rFonts w:hint="eastAsia" w:ascii="宋体" w:hAnsi="宋体" w:eastAsia="宋体" w:cs="宋体"/>
              <w:color w:val="auto"/>
              <w:sz w:val="30"/>
              <w:szCs w:val="30"/>
              <w:highlight w:val="none"/>
            </w:rPr>
            <w:fldChar w:fldCharType="separate"/>
          </w:r>
          <w:r>
            <w:rPr>
              <w:rFonts w:ascii="宋体" w:hAnsi="宋体" w:eastAsia="宋体" w:cs="宋体"/>
              <w:color w:val="auto"/>
              <w:sz w:val="30"/>
              <w:szCs w:val="30"/>
              <w:highlight w:val="none"/>
            </w:rPr>
            <w:t>6</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pPr>
            <w:pStyle w:val="27"/>
            <w:tabs>
              <w:tab w:val="right" w:leader="dot" w:pos="9298"/>
            </w:tabs>
            <w:spacing w:line="360" w:lineRule="auto"/>
            <w:rPr>
              <w:rFonts w:ascii="宋体" w:hAnsi="宋体" w:eastAsia="宋体" w:cs="宋体"/>
              <w:color w:val="auto"/>
              <w:sz w:val="30"/>
              <w:szCs w:val="30"/>
              <w:highlight w:val="none"/>
            </w:rPr>
          </w:pPr>
          <w:r>
            <w:rPr>
              <w:color w:val="auto"/>
              <w:highlight w:val="none"/>
            </w:rPr>
            <w:fldChar w:fldCharType="begin"/>
          </w:r>
          <w:r>
            <w:rPr>
              <w:color w:val="auto"/>
              <w:highlight w:val="none"/>
            </w:rPr>
            <w:instrText xml:space="preserve"> HYPERLINK \l "_Toc27955" </w:instrText>
          </w:r>
          <w:r>
            <w:rPr>
              <w:color w:val="auto"/>
              <w:highlight w:val="none"/>
            </w:rPr>
            <w:fldChar w:fldCharType="separate"/>
          </w:r>
          <w:r>
            <w:rPr>
              <w:rFonts w:hint="eastAsia" w:ascii="宋体" w:hAnsi="宋体" w:eastAsia="宋体" w:cs="宋体"/>
              <w:bCs/>
              <w:color w:val="auto"/>
              <w:sz w:val="30"/>
              <w:szCs w:val="30"/>
              <w:highlight w:val="none"/>
            </w:rPr>
            <w:t>第三章 磋商办法</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_Toc27955 \h </w:instrText>
          </w:r>
          <w:r>
            <w:rPr>
              <w:rFonts w:hint="eastAsia" w:ascii="宋体" w:hAnsi="宋体" w:eastAsia="宋体" w:cs="宋体"/>
              <w:color w:val="auto"/>
              <w:sz w:val="30"/>
              <w:szCs w:val="30"/>
              <w:highlight w:val="none"/>
            </w:rPr>
            <w:fldChar w:fldCharType="separate"/>
          </w:r>
          <w:r>
            <w:rPr>
              <w:rFonts w:ascii="宋体" w:hAnsi="宋体" w:eastAsia="宋体" w:cs="宋体"/>
              <w:color w:val="auto"/>
              <w:sz w:val="30"/>
              <w:szCs w:val="30"/>
              <w:highlight w:val="none"/>
            </w:rPr>
            <w:t>23</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pPr>
            <w:pStyle w:val="27"/>
            <w:tabs>
              <w:tab w:val="right" w:leader="dot" w:pos="9298"/>
            </w:tabs>
            <w:spacing w:line="360" w:lineRule="auto"/>
            <w:rPr>
              <w:rFonts w:ascii="宋体" w:hAnsi="宋体" w:eastAsia="宋体" w:cs="宋体"/>
              <w:color w:val="auto"/>
              <w:sz w:val="30"/>
              <w:szCs w:val="30"/>
              <w:highlight w:val="none"/>
            </w:rPr>
          </w:pPr>
          <w:r>
            <w:rPr>
              <w:color w:val="auto"/>
              <w:highlight w:val="none"/>
            </w:rPr>
            <w:fldChar w:fldCharType="begin"/>
          </w:r>
          <w:r>
            <w:rPr>
              <w:color w:val="auto"/>
              <w:highlight w:val="none"/>
            </w:rPr>
            <w:instrText xml:space="preserve"> HYPERLINK \l "_Toc24783" </w:instrText>
          </w:r>
          <w:r>
            <w:rPr>
              <w:color w:val="auto"/>
              <w:highlight w:val="none"/>
            </w:rPr>
            <w:fldChar w:fldCharType="separate"/>
          </w:r>
          <w:r>
            <w:rPr>
              <w:rFonts w:hint="eastAsia" w:ascii="宋体" w:hAnsi="宋体" w:eastAsia="宋体" w:cs="宋体"/>
              <w:color w:val="auto"/>
              <w:sz w:val="30"/>
              <w:szCs w:val="30"/>
              <w:highlight w:val="none"/>
            </w:rPr>
            <w:t>第四章 合同条款及格式</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_Toc24783 \h </w:instrText>
          </w:r>
          <w:r>
            <w:rPr>
              <w:rFonts w:hint="eastAsia" w:ascii="宋体" w:hAnsi="宋体" w:eastAsia="宋体" w:cs="宋体"/>
              <w:color w:val="auto"/>
              <w:sz w:val="30"/>
              <w:szCs w:val="30"/>
              <w:highlight w:val="none"/>
            </w:rPr>
            <w:fldChar w:fldCharType="separate"/>
          </w:r>
          <w:r>
            <w:rPr>
              <w:rFonts w:ascii="宋体" w:hAnsi="宋体" w:eastAsia="宋体" w:cs="宋体"/>
              <w:color w:val="auto"/>
              <w:sz w:val="30"/>
              <w:szCs w:val="30"/>
              <w:highlight w:val="none"/>
            </w:rPr>
            <w:t>31</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pPr>
            <w:pStyle w:val="27"/>
            <w:tabs>
              <w:tab w:val="right" w:leader="dot" w:pos="9298"/>
            </w:tabs>
            <w:spacing w:line="360" w:lineRule="auto"/>
            <w:rPr>
              <w:rFonts w:ascii="宋体" w:hAnsi="宋体" w:eastAsia="宋体" w:cs="宋体"/>
              <w:color w:val="auto"/>
              <w:sz w:val="30"/>
              <w:szCs w:val="30"/>
              <w:highlight w:val="none"/>
            </w:rPr>
          </w:pPr>
          <w:r>
            <w:rPr>
              <w:color w:val="auto"/>
              <w:highlight w:val="none"/>
            </w:rPr>
            <w:fldChar w:fldCharType="begin"/>
          </w:r>
          <w:r>
            <w:rPr>
              <w:color w:val="auto"/>
              <w:highlight w:val="none"/>
            </w:rPr>
            <w:instrText xml:space="preserve"> HYPERLINK \l "_Toc30985" </w:instrText>
          </w:r>
          <w:r>
            <w:rPr>
              <w:color w:val="auto"/>
              <w:highlight w:val="none"/>
            </w:rPr>
            <w:fldChar w:fldCharType="separate"/>
          </w:r>
          <w:r>
            <w:rPr>
              <w:rFonts w:hint="eastAsia" w:ascii="宋体" w:hAnsi="宋体" w:eastAsia="宋体" w:cs="宋体"/>
              <w:bCs/>
              <w:color w:val="auto"/>
              <w:sz w:val="30"/>
              <w:szCs w:val="30"/>
              <w:highlight w:val="none"/>
            </w:rPr>
            <w:t>第五章 工程量清单</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_Toc30985 \h </w:instrText>
          </w:r>
          <w:r>
            <w:rPr>
              <w:rFonts w:hint="eastAsia" w:ascii="宋体" w:hAnsi="宋体" w:eastAsia="宋体" w:cs="宋体"/>
              <w:color w:val="auto"/>
              <w:sz w:val="30"/>
              <w:szCs w:val="30"/>
              <w:highlight w:val="none"/>
            </w:rPr>
            <w:fldChar w:fldCharType="separate"/>
          </w:r>
          <w:r>
            <w:rPr>
              <w:rFonts w:ascii="宋体" w:hAnsi="宋体" w:eastAsia="宋体" w:cs="宋体"/>
              <w:color w:val="auto"/>
              <w:sz w:val="30"/>
              <w:szCs w:val="30"/>
              <w:highlight w:val="none"/>
            </w:rPr>
            <w:t>32</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pPr>
            <w:pStyle w:val="27"/>
            <w:tabs>
              <w:tab w:val="right" w:leader="dot" w:pos="9298"/>
            </w:tabs>
            <w:spacing w:line="360" w:lineRule="auto"/>
            <w:rPr>
              <w:rFonts w:ascii="宋体" w:hAnsi="宋体" w:eastAsia="宋体" w:cs="宋体"/>
              <w:color w:val="auto"/>
              <w:sz w:val="30"/>
              <w:szCs w:val="30"/>
              <w:highlight w:val="none"/>
            </w:rPr>
          </w:pPr>
          <w:r>
            <w:rPr>
              <w:color w:val="auto"/>
              <w:highlight w:val="none"/>
            </w:rPr>
            <w:fldChar w:fldCharType="begin"/>
          </w:r>
          <w:r>
            <w:rPr>
              <w:color w:val="auto"/>
              <w:highlight w:val="none"/>
            </w:rPr>
            <w:instrText xml:space="preserve"> HYPERLINK \l "_Toc14853" </w:instrText>
          </w:r>
          <w:r>
            <w:rPr>
              <w:color w:val="auto"/>
              <w:highlight w:val="none"/>
            </w:rPr>
            <w:fldChar w:fldCharType="separate"/>
          </w:r>
          <w:r>
            <w:rPr>
              <w:rFonts w:hint="eastAsia" w:ascii="宋体" w:hAnsi="宋体" w:eastAsia="宋体" w:cs="宋体"/>
              <w:bCs/>
              <w:color w:val="auto"/>
              <w:sz w:val="30"/>
              <w:szCs w:val="30"/>
              <w:highlight w:val="none"/>
            </w:rPr>
            <w:t>第六章  技术标准及要求</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_Toc14853 \h </w:instrText>
          </w:r>
          <w:r>
            <w:rPr>
              <w:rFonts w:hint="eastAsia" w:ascii="宋体" w:hAnsi="宋体" w:eastAsia="宋体" w:cs="宋体"/>
              <w:color w:val="auto"/>
              <w:sz w:val="30"/>
              <w:szCs w:val="30"/>
              <w:highlight w:val="none"/>
            </w:rPr>
            <w:fldChar w:fldCharType="separate"/>
          </w:r>
          <w:r>
            <w:rPr>
              <w:rFonts w:ascii="宋体" w:hAnsi="宋体" w:eastAsia="宋体" w:cs="宋体"/>
              <w:color w:val="auto"/>
              <w:sz w:val="30"/>
              <w:szCs w:val="30"/>
              <w:highlight w:val="none"/>
            </w:rPr>
            <w:t>33</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pPr>
            <w:pStyle w:val="27"/>
            <w:tabs>
              <w:tab w:val="right" w:leader="dot" w:pos="9298"/>
            </w:tabs>
            <w:spacing w:line="360" w:lineRule="auto"/>
            <w:rPr>
              <w:rFonts w:ascii="宋体" w:hAnsi="宋体" w:eastAsia="宋体" w:cs="宋体"/>
              <w:color w:val="auto"/>
              <w:sz w:val="30"/>
              <w:szCs w:val="30"/>
              <w:highlight w:val="none"/>
            </w:rPr>
          </w:pPr>
          <w:r>
            <w:rPr>
              <w:color w:val="auto"/>
              <w:highlight w:val="none"/>
            </w:rPr>
            <w:fldChar w:fldCharType="begin"/>
          </w:r>
          <w:r>
            <w:rPr>
              <w:color w:val="auto"/>
              <w:highlight w:val="none"/>
            </w:rPr>
            <w:instrText xml:space="preserve"> HYPERLINK \l "_Toc8988" </w:instrText>
          </w:r>
          <w:r>
            <w:rPr>
              <w:color w:val="auto"/>
              <w:highlight w:val="none"/>
            </w:rPr>
            <w:fldChar w:fldCharType="separate"/>
          </w:r>
          <w:r>
            <w:rPr>
              <w:rFonts w:hint="eastAsia" w:ascii="宋体" w:hAnsi="宋体" w:eastAsia="宋体" w:cs="宋体"/>
              <w:bCs/>
              <w:color w:val="auto"/>
              <w:sz w:val="30"/>
              <w:szCs w:val="30"/>
              <w:highlight w:val="none"/>
            </w:rPr>
            <w:t>第七章  响应文件格式</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_Toc8988 \h </w:instrText>
          </w:r>
          <w:r>
            <w:rPr>
              <w:rFonts w:hint="eastAsia" w:ascii="宋体" w:hAnsi="宋体" w:eastAsia="宋体" w:cs="宋体"/>
              <w:color w:val="auto"/>
              <w:sz w:val="30"/>
              <w:szCs w:val="30"/>
              <w:highlight w:val="none"/>
            </w:rPr>
            <w:fldChar w:fldCharType="separate"/>
          </w:r>
          <w:r>
            <w:rPr>
              <w:rFonts w:ascii="宋体" w:hAnsi="宋体" w:eastAsia="宋体" w:cs="宋体"/>
              <w:color w:val="auto"/>
              <w:sz w:val="30"/>
              <w:szCs w:val="30"/>
              <w:highlight w:val="none"/>
            </w:rPr>
            <w:t>34</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pPr>
            <w:tabs>
              <w:tab w:val="right" w:leader="dot" w:pos="9628"/>
            </w:tabs>
            <w:spacing w:line="360" w:lineRule="auto"/>
            <w:rPr>
              <w:rFonts w:ascii="宋体" w:hAnsi="宋体" w:eastAsia="宋体" w:cs="宋体"/>
              <w:b/>
              <w:bCs/>
              <w:color w:val="auto"/>
              <w:sz w:val="32"/>
              <w:szCs w:val="32"/>
              <w:highlight w:val="none"/>
            </w:rPr>
          </w:pPr>
          <w:r>
            <w:rPr>
              <w:rFonts w:hint="eastAsia" w:ascii="宋体" w:hAnsi="宋体" w:eastAsia="宋体" w:cs="宋体"/>
              <w:bCs/>
              <w:color w:val="auto"/>
              <w:sz w:val="30"/>
              <w:szCs w:val="30"/>
              <w:highlight w:val="none"/>
            </w:rPr>
            <w:fldChar w:fldCharType="end"/>
          </w:r>
        </w:p>
      </w:sdtContent>
    </w:sdt>
    <w:p>
      <w:pPr>
        <w:jc w:val="center"/>
        <w:rPr>
          <w:rFonts w:ascii="宋体" w:hAnsi="宋体" w:eastAsia="宋体" w:cs="Times New Roman"/>
          <w:b/>
          <w:color w:val="auto"/>
          <w:sz w:val="32"/>
          <w:szCs w:val="32"/>
          <w:highlight w:val="none"/>
        </w:rPr>
      </w:pPr>
    </w:p>
    <w:p>
      <w:pPr>
        <w:spacing w:before="240" w:after="60"/>
        <w:jc w:val="center"/>
        <w:rPr>
          <w:rFonts w:ascii="宋体" w:hAnsi="宋体" w:eastAsia="宋体" w:cs="Times New Roman"/>
          <w:b/>
          <w:bCs/>
          <w:color w:val="auto"/>
          <w:sz w:val="32"/>
          <w:szCs w:val="32"/>
          <w:highlight w:val="none"/>
        </w:rPr>
        <w:sectPr>
          <w:footerReference r:id="rId4" w:type="default"/>
          <w:pgSz w:w="11906" w:h="16838"/>
          <w:pgMar w:top="1440" w:right="1800" w:bottom="1440" w:left="1800" w:header="709" w:footer="843" w:gutter="0"/>
          <w:pgNumType w:start="1"/>
          <w:cols w:space="720" w:num="1"/>
          <w:docGrid w:linePitch="312" w:charSpace="0"/>
        </w:sectPr>
      </w:pPr>
      <w:bookmarkStart w:id="11" w:name="_Toc7104347"/>
      <w:bookmarkStart w:id="12" w:name="_Toc508875390"/>
    </w:p>
    <w:p>
      <w:pPr>
        <w:spacing w:before="240" w:after="60"/>
        <w:jc w:val="center"/>
        <w:outlineLvl w:val="0"/>
        <w:rPr>
          <w:rFonts w:ascii="宋体" w:hAnsi="宋体" w:eastAsia="宋体" w:cs="宋体"/>
          <w:b/>
          <w:bCs/>
          <w:color w:val="auto"/>
          <w:kern w:val="0"/>
          <w:sz w:val="32"/>
          <w:szCs w:val="32"/>
          <w:highlight w:val="none"/>
        </w:rPr>
      </w:pPr>
      <w:bookmarkStart w:id="13" w:name="_Toc14709"/>
      <w:r>
        <w:rPr>
          <w:rFonts w:hint="eastAsia" w:ascii="宋体" w:hAnsi="宋体" w:eastAsia="宋体" w:cs="Times New Roman"/>
          <w:b/>
          <w:bCs/>
          <w:color w:val="auto"/>
          <w:sz w:val="32"/>
          <w:szCs w:val="32"/>
          <w:highlight w:val="none"/>
        </w:rPr>
        <w:t>第一章  竞争性磋商公告</w:t>
      </w:r>
      <w:bookmarkEnd w:id="11"/>
      <w:bookmarkEnd w:id="12"/>
      <w:bookmarkEnd w:id="13"/>
      <w:bookmarkStart w:id="14" w:name="_Toc508875393"/>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bookmarkStart w:id="15" w:name="OLE_LINK31"/>
      <w:bookmarkStart w:id="16" w:name="_Toc7104348"/>
      <w:r>
        <w:rPr>
          <w:rFonts w:hint="eastAsia" w:ascii="宋体" w:hAnsi="宋体" w:eastAsia="宋体" w:cs="宋体"/>
          <w:color w:val="auto"/>
          <w:kern w:val="0"/>
          <w:sz w:val="24"/>
          <w:szCs w:val="24"/>
          <w:highlight w:val="none"/>
        </w:rPr>
        <w:t>项目概况：</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义马市C128线农村公路提升工程等5条路的潜在供应商凭CA登录三门峡市公共资源交易中心网</w:t>
      </w:r>
      <w:r>
        <w:rPr>
          <w:rFonts w:hint="eastAsia" w:ascii="宋体" w:hAnsi="宋体" w:cs="宋体"/>
          <w:color w:val="auto"/>
          <w:sz w:val="24"/>
          <w:szCs w:val="24"/>
          <w:highlight w:val="none"/>
        </w:rPr>
        <w:t>（网址：</w:t>
      </w:r>
      <w:r>
        <w:rPr>
          <w:color w:val="auto"/>
          <w:highlight w:val="none"/>
        </w:rPr>
        <w:fldChar w:fldCharType="begin"/>
      </w:r>
      <w:r>
        <w:rPr>
          <w:color w:val="auto"/>
          <w:highlight w:val="none"/>
        </w:rPr>
        <w:instrText xml:space="preserve"> HYPERLINK "http://gzjy.smx.gov.cn）获取本项目磋商文件，并于2024年" </w:instrText>
      </w:r>
      <w:r>
        <w:rPr>
          <w:color w:val="auto"/>
          <w:highlight w:val="none"/>
        </w:rPr>
        <w:fldChar w:fldCharType="separate"/>
      </w:r>
      <w:r>
        <w:rPr>
          <w:rStyle w:val="22"/>
          <w:rFonts w:hint="eastAsia" w:ascii="宋体" w:hAnsi="宋体" w:eastAsia="宋体" w:cs="宋体"/>
          <w:color w:val="auto"/>
          <w:kern w:val="0"/>
          <w:sz w:val="24"/>
          <w:szCs w:val="24"/>
          <w:highlight w:val="none"/>
        </w:rPr>
        <w:t>http://gzjy.smx.gov.cn）获取本项目磋商文件，并于202</w:t>
      </w:r>
      <w:r>
        <w:rPr>
          <w:rStyle w:val="22"/>
          <w:rFonts w:hint="eastAsia" w:ascii="宋体" w:hAnsi="宋体" w:eastAsia="宋体" w:cs="宋体"/>
          <w:color w:val="auto"/>
          <w:kern w:val="0"/>
          <w:sz w:val="24"/>
          <w:szCs w:val="24"/>
          <w:highlight w:val="none"/>
          <w:lang w:val="en-US" w:eastAsia="zh-CN"/>
        </w:rPr>
        <w:t>6</w:t>
      </w:r>
      <w:r>
        <w:rPr>
          <w:rStyle w:val="22"/>
          <w:rFonts w:hint="eastAsia" w:ascii="宋体" w:hAnsi="宋体" w:eastAsia="宋体" w:cs="宋体"/>
          <w:color w:val="auto"/>
          <w:kern w:val="0"/>
          <w:sz w:val="24"/>
          <w:szCs w:val="24"/>
          <w:highlight w:val="none"/>
        </w:rPr>
        <w:t>年</w:t>
      </w:r>
      <w:r>
        <w:rPr>
          <w:rStyle w:val="22"/>
          <w:rFonts w:hint="eastAsia" w:ascii="宋体" w:hAnsi="宋体" w:eastAsia="宋体" w:cs="宋体"/>
          <w:color w:val="auto"/>
          <w:kern w:val="0"/>
          <w:sz w:val="24"/>
          <w:szCs w:val="24"/>
          <w:highlight w:val="none"/>
        </w:rPr>
        <w:fldChar w:fldCharType="end"/>
      </w:r>
      <w:r>
        <w:rPr>
          <w:rStyle w:val="22"/>
          <w:rFonts w:hint="eastAsia" w:ascii="宋体" w:hAnsi="宋体" w:eastAsia="宋体" w:cs="宋体"/>
          <w:color w:val="auto"/>
          <w:kern w:val="0"/>
          <w:sz w:val="24"/>
          <w:szCs w:val="24"/>
          <w:highlight w:val="none"/>
          <w:lang w:val="en-US" w:eastAsia="zh-CN"/>
        </w:rPr>
        <w:t>01</w:t>
      </w:r>
      <w:r>
        <w:rPr>
          <w:rFonts w:hint="eastAsia" w:ascii="宋体" w:hAnsi="宋体" w:eastAsia="宋体" w:cs="宋体"/>
          <w:color w:val="auto"/>
          <w:kern w:val="0"/>
          <w:sz w:val="24"/>
          <w:szCs w:val="24"/>
          <w:highlight w:val="none"/>
          <w:shd w:val="clear" w:color="auto" w:fill="FFFFFF"/>
        </w:rPr>
        <w:t>月</w:t>
      </w:r>
      <w:r>
        <w:rPr>
          <w:rFonts w:hint="eastAsia" w:ascii="宋体" w:hAnsi="宋体" w:eastAsia="宋体" w:cs="宋体"/>
          <w:color w:val="auto"/>
          <w:kern w:val="0"/>
          <w:sz w:val="24"/>
          <w:szCs w:val="24"/>
          <w:highlight w:val="none"/>
          <w:shd w:val="clear" w:color="auto" w:fill="FFFFFF"/>
          <w:lang w:val="en-US" w:eastAsia="zh-CN"/>
        </w:rPr>
        <w:t>09</w:t>
      </w:r>
      <w:r>
        <w:rPr>
          <w:rFonts w:hint="eastAsia" w:ascii="宋体" w:hAnsi="宋体" w:eastAsia="宋体" w:cs="宋体"/>
          <w:color w:val="auto"/>
          <w:kern w:val="0"/>
          <w:sz w:val="24"/>
          <w:szCs w:val="24"/>
          <w:highlight w:val="none"/>
          <w:shd w:val="clear" w:color="auto" w:fill="FFFFFF"/>
        </w:rPr>
        <w:t>日08时30分</w:t>
      </w:r>
      <w:r>
        <w:rPr>
          <w:rFonts w:hint="eastAsia" w:ascii="宋体" w:hAnsi="宋体" w:eastAsia="宋体" w:cs="宋体"/>
          <w:color w:val="auto"/>
          <w:kern w:val="0"/>
          <w:sz w:val="24"/>
          <w:szCs w:val="24"/>
          <w:highlight w:val="none"/>
        </w:rPr>
        <w:t>（北京时间）前提交响应文件。</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一、项目基本情况</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w:t>
      </w:r>
      <w:bookmarkStart w:id="17" w:name="OLE_LINK41"/>
      <w:bookmarkStart w:id="18" w:name="OLE_LINK42"/>
      <w:r>
        <w:rPr>
          <w:rFonts w:hint="eastAsia" w:ascii="宋体" w:hAnsi="宋体" w:eastAsia="宋体" w:cs="宋体"/>
          <w:color w:val="auto"/>
          <w:kern w:val="0"/>
          <w:sz w:val="24"/>
          <w:szCs w:val="24"/>
          <w:highlight w:val="none"/>
        </w:rPr>
        <w:t>采购编号：</w:t>
      </w:r>
      <w:bookmarkEnd w:id="17"/>
      <w:bookmarkEnd w:id="18"/>
      <w:bookmarkStart w:id="19" w:name="OLE_LINK3"/>
      <w:bookmarkStart w:id="20" w:name="OLE_LINK29"/>
      <w:bookmarkStart w:id="21" w:name="OLE_LINK37"/>
      <w:bookmarkStart w:id="22" w:name="OLE_LINK38"/>
      <w:bookmarkStart w:id="23" w:name="OLE_LINK2"/>
      <w:r>
        <w:rPr>
          <w:rFonts w:hint="eastAsia" w:ascii="宋体" w:hAnsi="宋体" w:eastAsia="宋体" w:cs="宋体"/>
          <w:color w:val="auto"/>
          <w:kern w:val="0"/>
          <w:sz w:val="24"/>
          <w:szCs w:val="24"/>
          <w:highlight w:val="none"/>
          <w:lang w:val="en-US" w:eastAsia="zh-CN"/>
        </w:rPr>
        <w:t>义马竞磋采购-2025-68</w:t>
      </w:r>
    </w:p>
    <w:p>
      <w:pPr>
        <w:keepNext w:val="0"/>
        <w:keepLines w:val="0"/>
        <w:pageBreakBefore w:val="0"/>
        <w:kinsoku/>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项目编号：</w:t>
      </w:r>
      <w:bookmarkEnd w:id="19"/>
      <w:bookmarkEnd w:id="20"/>
      <w:bookmarkEnd w:id="21"/>
      <w:bookmarkEnd w:id="22"/>
      <w:bookmarkEnd w:id="23"/>
      <w:r>
        <w:rPr>
          <w:rFonts w:hint="eastAsia" w:ascii="宋体" w:hAnsi="宋体" w:eastAsia="宋体" w:cs="宋体"/>
          <w:color w:val="auto"/>
          <w:kern w:val="0"/>
          <w:sz w:val="24"/>
          <w:szCs w:val="24"/>
          <w:highlight w:val="none"/>
          <w:lang w:val="en-US" w:eastAsia="zh-CN"/>
        </w:rPr>
        <w:t>YMGZ[2025]185-ZC121</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2、项目名称：义马市C128线农村公路提升工程等5条路</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3、采购方式：竞争性磋商</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4、预算金额：</w:t>
      </w:r>
      <w:bookmarkStart w:id="24" w:name="OLE_LINK16"/>
      <w:bookmarkStart w:id="25" w:name="OLE_LINK17"/>
      <w:bookmarkStart w:id="26" w:name="OLE_LINK21"/>
      <w:bookmarkStart w:id="27" w:name="OLE_LINK20"/>
      <w:r>
        <w:rPr>
          <w:rFonts w:hint="eastAsia" w:ascii="宋体" w:hAnsi="宋体" w:eastAsia="宋体" w:cs="宋体"/>
          <w:color w:val="auto"/>
          <w:kern w:val="0"/>
          <w:sz w:val="24"/>
          <w:szCs w:val="24"/>
          <w:highlight w:val="none"/>
        </w:rPr>
        <w:t>3173791.00</w:t>
      </w:r>
      <w:bookmarkEnd w:id="24"/>
      <w:bookmarkEnd w:id="25"/>
      <w:r>
        <w:rPr>
          <w:rFonts w:hint="eastAsia" w:ascii="宋体" w:hAnsi="宋体" w:eastAsia="宋体" w:cs="宋体"/>
          <w:color w:val="auto"/>
          <w:kern w:val="0"/>
          <w:sz w:val="24"/>
          <w:szCs w:val="24"/>
          <w:highlight w:val="none"/>
        </w:rPr>
        <w:t>元</w:t>
      </w:r>
      <w:bookmarkEnd w:id="26"/>
      <w:bookmarkEnd w:id="27"/>
      <w:bookmarkStart w:id="28" w:name="OLE_LINK30"/>
      <w:r>
        <w:rPr>
          <w:rFonts w:hint="eastAsia" w:ascii="宋体" w:hAnsi="宋体" w:eastAsia="宋体" w:cs="宋体"/>
          <w:color w:val="auto"/>
          <w:kern w:val="0"/>
          <w:sz w:val="24"/>
          <w:szCs w:val="24"/>
          <w:highlight w:val="none"/>
        </w:rPr>
        <w:t>，财政资金，已落实</w:t>
      </w:r>
      <w:bookmarkEnd w:id="28"/>
      <w:r>
        <w:rPr>
          <w:rFonts w:hint="eastAsia" w:ascii="宋体" w:hAnsi="宋体" w:eastAsia="宋体" w:cs="宋体"/>
          <w:color w:val="auto"/>
          <w:kern w:val="0"/>
          <w:sz w:val="24"/>
          <w:szCs w:val="24"/>
          <w:highlight w:val="none"/>
        </w:rPr>
        <w:t>。</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5、最高限价：</w:t>
      </w:r>
      <w:bookmarkStart w:id="29" w:name="OLE_LINK9"/>
      <w:bookmarkStart w:id="30" w:name="OLE_LINK10"/>
      <w:r>
        <w:rPr>
          <w:rFonts w:hint="eastAsia" w:ascii="宋体" w:hAnsi="宋体" w:eastAsia="宋体" w:cs="宋体"/>
          <w:color w:val="auto"/>
          <w:kern w:val="0"/>
          <w:sz w:val="24"/>
          <w:szCs w:val="24"/>
          <w:highlight w:val="none"/>
        </w:rPr>
        <w:t>3173791.00元</w:t>
      </w:r>
      <w:bookmarkEnd w:id="29"/>
      <w:bookmarkEnd w:id="30"/>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6、项目概况：义马市C128线农村公路提升工程等5条路</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位于义马市：主要施工内容为拆除旧路面，铺设水泥混凝土及沥青混凝土路面，砌筑挡土墙，安装道路交通标志，新做道路交通标线等</w:t>
      </w:r>
      <w:r>
        <w:rPr>
          <w:rFonts w:hint="eastAsia" w:ascii="宋体" w:hAnsi="宋体" w:eastAsia="宋体" w:cs="宋体"/>
          <w:color w:val="auto"/>
          <w:kern w:val="0"/>
          <w:sz w:val="24"/>
          <w:szCs w:val="24"/>
          <w:highlight w:val="none"/>
        </w:rPr>
        <w:t>。（具体</w:t>
      </w:r>
      <w:bookmarkStart w:id="31" w:name="OLE_LINK7"/>
      <w:bookmarkStart w:id="32" w:name="OLE_LINK8"/>
      <w:r>
        <w:rPr>
          <w:rFonts w:hint="eastAsia" w:ascii="宋体" w:hAnsi="宋体" w:eastAsia="宋体" w:cs="宋体"/>
          <w:color w:val="auto"/>
          <w:kern w:val="0"/>
          <w:sz w:val="24"/>
          <w:szCs w:val="24"/>
          <w:highlight w:val="none"/>
        </w:rPr>
        <w:t>详见工程量清单</w:t>
      </w:r>
      <w:bookmarkEnd w:id="31"/>
      <w:bookmarkEnd w:id="32"/>
      <w:r>
        <w:rPr>
          <w:rFonts w:hint="eastAsia" w:ascii="宋体" w:hAnsi="宋体" w:eastAsia="宋体" w:cs="宋体"/>
          <w:color w:val="auto"/>
          <w:kern w:val="0"/>
          <w:sz w:val="24"/>
          <w:szCs w:val="24"/>
          <w:highlight w:val="none"/>
        </w:rPr>
        <w:t>）</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7、磋商范围：磋商文件及工程量清单等范围内的全部内容</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8、计划工期：60日历天</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9、质量要求：达到国家质量验收规范合格标准</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r>
        <w:rPr>
          <w:rFonts w:hint="eastAsia" w:ascii="宋体" w:hAnsi="宋体" w:cs="宋体"/>
          <w:color w:val="auto"/>
          <w:sz w:val="24"/>
          <w:szCs w:val="24"/>
          <w:highlight w:val="none"/>
        </w:rPr>
        <w:t>本项目是否接受联合体投标：否。</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eastAsia="宋体" w:cs="宋体"/>
          <w:color w:val="auto"/>
          <w:kern w:val="0"/>
          <w:sz w:val="24"/>
          <w:szCs w:val="24"/>
          <w:highlight w:val="none"/>
        </w:rPr>
        <w:t>11、</w:t>
      </w:r>
      <w:r>
        <w:rPr>
          <w:rFonts w:hint="eastAsia" w:ascii="宋体" w:hAnsi="宋体" w:cs="宋体"/>
          <w:color w:val="auto"/>
          <w:sz w:val="24"/>
          <w:szCs w:val="24"/>
          <w:highlight w:val="none"/>
        </w:rPr>
        <w:t>是否接受进口产品：否</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eastAsia="宋体" w:cs="宋体"/>
          <w:color w:val="auto"/>
          <w:kern w:val="0"/>
          <w:sz w:val="24"/>
          <w:szCs w:val="24"/>
          <w:highlight w:val="none"/>
        </w:rPr>
      </w:pPr>
      <w:r>
        <w:rPr>
          <w:rFonts w:hint="eastAsia" w:ascii="宋体" w:hAnsi="宋体" w:cs="宋体"/>
          <w:color w:val="auto"/>
          <w:sz w:val="24"/>
          <w:szCs w:val="24"/>
          <w:highlight w:val="none"/>
        </w:rPr>
        <w:t>12、是否专门面向中小企业采购：是。</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二、供应商资格要求</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1、满足《中华人民共和国政府采购法》第二十二条规定；</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2、落实政府采购政策满足的资格要求：本项目面向中小企业，供应商须提供《中小企业声明函》，</w:t>
      </w:r>
      <w:r>
        <w:rPr>
          <w:rFonts w:hint="eastAsia" w:ascii="宋体" w:hAnsi="宋体" w:cs="宋体"/>
          <w:color w:val="auto"/>
          <w:sz w:val="24"/>
          <w:szCs w:val="24"/>
          <w:highlight w:val="none"/>
        </w:rPr>
        <w:t>大型企业及未提供中小企业声明函的企业不享受中小企业扶持政策，其响应文件将作无效响应处理。监狱企业及残疾人福利性单位视同小型、微型企业；</w:t>
      </w:r>
      <w:r>
        <w:rPr>
          <w:rFonts w:hint="eastAsia" w:ascii="宋体" w:hAnsi="宋体" w:eastAsia="宋体" w:cs="宋体"/>
          <w:color w:val="auto"/>
          <w:kern w:val="0"/>
          <w:sz w:val="24"/>
          <w:szCs w:val="24"/>
          <w:highlight w:val="none"/>
        </w:rPr>
        <w:t>；</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3、本项目的特定资格条件：</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（1）供应商须具备独立法人资格，具有有效的营业执照。</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（2）供应商须具有公路工程施工总承包叁级（含叁级）及以上资质，具有有效的安全生产许可证，并在人员、设备、资金等方面具有相应的施工能力；</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拟派项目经理须具有公路工程专业贰级（含贰级）及以上注册建造师证书、具备有效的安全生产考核合格证书，未在其它在建工程项目中担任项目经理；且须提供近三个月连续在本单位缴费的社保证明（以社保网络查询或社保中心出具的证明为准）</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（4）供应商需提供本企业的无商业贿赂及不正当竞争行为的承诺书；</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（5）供应商须出具在中国裁判文书网（http://wenshu.court.gov.cn）自行查询的无行贿犯罪记录截图或自行承诺（查询/承诺对象为企业、法定代表人、项目经理）；</w:t>
      </w:r>
    </w:p>
    <w:p>
      <w:pPr>
        <w:keepNext w:val="0"/>
        <w:keepLines w:val="0"/>
        <w:pageBreakBefore w:val="0"/>
        <w:widowControl/>
        <w:shd w:val="clear" w:color="auto" w:fill="FFFFFF"/>
        <w:kinsoku/>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szCs w:val="28"/>
          <w:highlight w:val="none"/>
        </w:rPr>
      </w:pPr>
      <w:r>
        <w:rPr>
          <w:rFonts w:hint="eastAsia" w:ascii="宋体" w:hAnsi="宋体" w:cs="宋体"/>
          <w:color w:val="auto"/>
          <w:kern w:val="0"/>
          <w:sz w:val="24"/>
          <w:szCs w:val="28"/>
          <w:highlight w:val="none"/>
        </w:rPr>
        <w:t>（6）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供应商须提供相关网页查询页截图，查询时间为本项目公告发布之后；</w:t>
      </w:r>
    </w:p>
    <w:p>
      <w:pPr>
        <w:keepNext w:val="0"/>
        <w:keepLines w:val="0"/>
        <w:pageBreakBefore w:val="0"/>
        <w:widowControl/>
        <w:shd w:val="clear" w:color="auto" w:fill="FFFFFF"/>
        <w:kinsoku/>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szCs w:val="28"/>
          <w:highlight w:val="none"/>
        </w:rPr>
      </w:pPr>
      <w:r>
        <w:rPr>
          <w:rFonts w:hint="eastAsia" w:ascii="宋体" w:hAnsi="宋体" w:cs="宋体"/>
          <w:color w:val="auto"/>
          <w:kern w:val="0"/>
          <w:sz w:val="24"/>
          <w:szCs w:val="28"/>
          <w:highlight w:val="none"/>
        </w:rPr>
        <w:t>（7）单位负责人为同一人或者存在控股、管理关系的不同单位，不得参加同一标段投标（提供“国家企业信用信息公示系统” http://www.gsxt.gov.cn/index.html网页查询,需包含公司基本信息、股东信息及股权变更信息内容，查询时间为本项目公告发布之后）。</w:t>
      </w:r>
    </w:p>
    <w:p>
      <w:pPr>
        <w:keepNext w:val="0"/>
        <w:keepLines w:val="0"/>
        <w:pageBreakBefore w:val="0"/>
        <w:kinsoku/>
        <w:wordWrap w:val="0"/>
        <w:overflowPunct/>
        <w:topLinePunct w:val="0"/>
        <w:autoSpaceDE/>
        <w:autoSpaceDN/>
        <w:bidi w:val="0"/>
        <w:adjustRightInd/>
        <w:snapToGrid/>
        <w:spacing w:line="360" w:lineRule="auto"/>
        <w:ind w:firstLine="480" w:firstLineChars="200"/>
        <w:jc w:val="left"/>
        <w:textAlignment w:val="auto"/>
        <w:rPr>
          <w:rFonts w:ascii="宋体" w:hAnsi="宋体" w:eastAsia="宋体" w:cs="宋体"/>
          <w:color w:val="auto"/>
          <w:kern w:val="0"/>
          <w:sz w:val="24"/>
          <w:szCs w:val="24"/>
          <w:highlight w:val="none"/>
        </w:rPr>
      </w:pPr>
      <w:r>
        <w:rPr>
          <w:rFonts w:hint="eastAsia" w:ascii="宋体" w:hAnsi="宋体" w:cs="宋体"/>
          <w:color w:val="auto"/>
          <w:kern w:val="0"/>
          <w:sz w:val="24"/>
          <w:szCs w:val="28"/>
          <w:highlight w:val="none"/>
        </w:rPr>
        <w:t>（8）本项目不接受联合体投标。</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温馨提醒：本项目为资格后审，资格审查由采购人依法组建的磋商小组负责。各磋商供应商认真阅读本项目磋商供应商资格要求，避免无资格投标而造成不必要的损失。</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三、竞争性磋商文件的获取</w:t>
      </w:r>
    </w:p>
    <w:p>
      <w:pPr>
        <w:keepNext w:val="0"/>
        <w:keepLines w:val="0"/>
        <w:pageBreakBefore w:val="0"/>
        <w:widowControl/>
        <w:shd w:val="clear" w:color="auto" w:fill="FFFFFF"/>
        <w:kinsoku/>
        <w:overflowPunct/>
        <w:topLinePunct w:val="0"/>
        <w:autoSpaceDE/>
        <w:autoSpaceDN/>
        <w:bidi w:val="0"/>
        <w:adjustRightInd/>
        <w:snapToGrid/>
        <w:spacing w:line="360" w:lineRule="auto"/>
        <w:ind w:firstLine="480" w:firstLineChars="200"/>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shd w:val="clear" w:color="auto" w:fill="FFFFFF"/>
        </w:rPr>
        <w:t>1、时间：2025年</w:t>
      </w:r>
      <w:r>
        <w:rPr>
          <w:rFonts w:hint="eastAsia" w:ascii="宋体" w:hAnsi="宋体" w:eastAsia="宋体" w:cs="宋体"/>
          <w:color w:val="auto"/>
          <w:kern w:val="0"/>
          <w:sz w:val="24"/>
          <w:szCs w:val="24"/>
          <w:highlight w:val="none"/>
          <w:shd w:val="clear" w:color="auto" w:fill="FFFFFF"/>
          <w:lang w:val="en-US" w:eastAsia="zh-CN"/>
        </w:rPr>
        <w:t>12</w:t>
      </w:r>
      <w:r>
        <w:rPr>
          <w:rFonts w:hint="eastAsia" w:ascii="宋体" w:hAnsi="宋体" w:eastAsia="宋体" w:cs="宋体"/>
          <w:color w:val="auto"/>
          <w:kern w:val="0"/>
          <w:sz w:val="24"/>
          <w:szCs w:val="24"/>
          <w:highlight w:val="none"/>
          <w:shd w:val="clear" w:color="auto" w:fill="FFFFFF"/>
        </w:rPr>
        <w:t>月</w:t>
      </w:r>
      <w:r>
        <w:rPr>
          <w:rFonts w:hint="eastAsia" w:ascii="宋体" w:hAnsi="宋体" w:eastAsia="宋体" w:cs="宋体"/>
          <w:color w:val="auto"/>
          <w:kern w:val="0"/>
          <w:sz w:val="24"/>
          <w:szCs w:val="24"/>
          <w:highlight w:val="none"/>
          <w:shd w:val="clear" w:color="auto" w:fill="FFFFFF"/>
          <w:lang w:val="en-US" w:eastAsia="zh-CN"/>
        </w:rPr>
        <w:t>24</w:t>
      </w:r>
      <w:r>
        <w:rPr>
          <w:rFonts w:hint="eastAsia" w:ascii="宋体" w:hAnsi="宋体" w:eastAsia="宋体" w:cs="宋体"/>
          <w:color w:val="auto"/>
          <w:kern w:val="0"/>
          <w:sz w:val="24"/>
          <w:szCs w:val="24"/>
          <w:highlight w:val="none"/>
          <w:shd w:val="clear" w:color="auto" w:fill="FFFFFF"/>
        </w:rPr>
        <w:t>日至</w:t>
      </w:r>
      <w:bookmarkStart w:id="33" w:name="OLE_LINK34"/>
      <w:bookmarkStart w:id="34" w:name="OLE_LINK35"/>
      <w:r>
        <w:rPr>
          <w:rFonts w:hint="eastAsia" w:ascii="宋体" w:hAnsi="宋体" w:eastAsia="宋体" w:cs="宋体"/>
          <w:color w:val="auto"/>
          <w:kern w:val="0"/>
          <w:sz w:val="24"/>
          <w:szCs w:val="24"/>
          <w:highlight w:val="none"/>
          <w:shd w:val="clear" w:color="auto" w:fill="FFFFFF"/>
        </w:rPr>
        <w:t>202</w:t>
      </w:r>
      <w:r>
        <w:rPr>
          <w:rFonts w:hint="eastAsia" w:ascii="宋体" w:hAnsi="宋体" w:eastAsia="宋体" w:cs="宋体"/>
          <w:color w:val="auto"/>
          <w:kern w:val="0"/>
          <w:sz w:val="24"/>
          <w:szCs w:val="24"/>
          <w:highlight w:val="none"/>
          <w:shd w:val="clear" w:color="auto" w:fill="FFFFFF"/>
          <w:lang w:val="en-US" w:eastAsia="zh-CN"/>
        </w:rPr>
        <w:t>6</w:t>
      </w:r>
      <w:r>
        <w:rPr>
          <w:rFonts w:hint="eastAsia" w:ascii="宋体" w:hAnsi="宋体" w:eastAsia="宋体" w:cs="宋体"/>
          <w:color w:val="auto"/>
          <w:kern w:val="0"/>
          <w:sz w:val="24"/>
          <w:szCs w:val="24"/>
          <w:highlight w:val="none"/>
          <w:shd w:val="clear" w:color="auto" w:fill="FFFFFF"/>
        </w:rPr>
        <w:t>年</w:t>
      </w:r>
      <w:r>
        <w:rPr>
          <w:rFonts w:hint="eastAsia" w:ascii="宋体" w:hAnsi="宋体" w:eastAsia="宋体" w:cs="宋体"/>
          <w:color w:val="auto"/>
          <w:kern w:val="0"/>
          <w:sz w:val="24"/>
          <w:szCs w:val="24"/>
          <w:highlight w:val="none"/>
          <w:shd w:val="clear" w:color="auto" w:fill="FFFFFF"/>
          <w:lang w:val="en-US" w:eastAsia="zh-CN"/>
        </w:rPr>
        <w:t>01</w:t>
      </w:r>
      <w:r>
        <w:rPr>
          <w:rFonts w:hint="eastAsia" w:ascii="宋体" w:hAnsi="宋体" w:eastAsia="宋体" w:cs="宋体"/>
          <w:color w:val="auto"/>
          <w:kern w:val="0"/>
          <w:sz w:val="24"/>
          <w:szCs w:val="24"/>
          <w:highlight w:val="none"/>
          <w:shd w:val="clear" w:color="auto" w:fill="FFFFFF"/>
        </w:rPr>
        <w:t>月</w:t>
      </w:r>
      <w:bookmarkEnd w:id="33"/>
      <w:bookmarkEnd w:id="34"/>
      <w:r>
        <w:rPr>
          <w:rFonts w:hint="eastAsia" w:ascii="宋体" w:hAnsi="宋体" w:eastAsia="宋体" w:cs="宋体"/>
          <w:color w:val="auto"/>
          <w:kern w:val="0"/>
          <w:sz w:val="24"/>
          <w:szCs w:val="24"/>
          <w:highlight w:val="none"/>
          <w:shd w:val="clear" w:color="auto" w:fill="FFFFFF"/>
          <w:lang w:val="en-US" w:eastAsia="zh-CN"/>
        </w:rPr>
        <w:t>09</w:t>
      </w:r>
      <w:r>
        <w:rPr>
          <w:rFonts w:hint="eastAsia" w:ascii="宋体" w:hAnsi="宋体" w:eastAsia="宋体" w:cs="宋体"/>
          <w:color w:val="auto"/>
          <w:kern w:val="0"/>
          <w:sz w:val="24"/>
          <w:szCs w:val="24"/>
          <w:highlight w:val="none"/>
          <w:shd w:val="clear" w:color="auto" w:fill="FFFFFF"/>
        </w:rPr>
        <w:t>日8时30分（北京时间）。</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2、地点：三门峡市公共资源交易中心网</w:t>
      </w:r>
    </w:p>
    <w:p>
      <w:pPr>
        <w:keepNext w:val="0"/>
        <w:keepLines w:val="0"/>
        <w:pageBreakBefore w:val="0"/>
        <w:kinsoku/>
        <w:overflowPunct/>
        <w:topLinePunct w:val="0"/>
        <w:autoSpaceDE/>
        <w:autoSpaceDN/>
        <w:bidi w:val="0"/>
        <w:adjustRightInd/>
        <w:snapToGrid/>
        <w:spacing w:line="360" w:lineRule="auto"/>
        <w:ind w:firstLine="420" w:firstLineChars="175"/>
        <w:textAlignment w:val="auto"/>
        <w:rPr>
          <w:rFonts w:ascii="宋体" w:hAnsi="宋体" w:cs="宋体"/>
          <w:color w:val="auto"/>
          <w:sz w:val="24"/>
          <w:szCs w:val="24"/>
          <w:highlight w:val="none"/>
        </w:rPr>
      </w:pPr>
      <w:r>
        <w:rPr>
          <w:rFonts w:hint="eastAsia" w:ascii="宋体" w:hAnsi="宋体" w:eastAsia="宋体" w:cs="宋体"/>
          <w:color w:val="auto"/>
          <w:kern w:val="0"/>
          <w:sz w:val="24"/>
          <w:szCs w:val="24"/>
          <w:highlight w:val="none"/>
        </w:rPr>
        <w:t>3、方式：</w:t>
      </w:r>
      <w:r>
        <w:rPr>
          <w:rFonts w:hint="eastAsia" w:ascii="宋体" w:hAnsi="宋体" w:cs="宋体"/>
          <w:color w:val="auto"/>
          <w:sz w:val="24"/>
          <w:szCs w:val="24"/>
          <w:highlight w:val="none"/>
        </w:rPr>
        <w:t>本项目没有报名环节，凡有意参加的供应商，须完成交易主体信息库登记并取得CA数字证书，凭CA数字证书通过三门峡市公共资源交易中心网（网址：http://gzjy.smx.gov.cn/），点击公共资源交易平台选择“交易主体登录”，在所参与项目右侧点击参与投标，即可直接下载本项目磋商文件（竞争性磋商文件中包含图纸、清单等投标所需一切内容）。</w:t>
      </w:r>
    </w:p>
    <w:p>
      <w:pPr>
        <w:keepNext w:val="0"/>
        <w:keepLines w:val="0"/>
        <w:pageBreakBefore w:val="0"/>
        <w:kinsoku/>
        <w:overflowPunct/>
        <w:topLinePunct w:val="0"/>
        <w:autoSpaceDE/>
        <w:autoSpaceDN/>
        <w:bidi w:val="0"/>
        <w:adjustRightInd/>
        <w:snapToGrid/>
        <w:spacing w:line="360" w:lineRule="auto"/>
        <w:ind w:firstLine="420" w:firstLineChars="175"/>
        <w:textAlignment w:val="auto"/>
        <w:rPr>
          <w:rFonts w:ascii="宋体" w:hAnsi="宋体" w:cs="宋体"/>
          <w:color w:val="auto"/>
          <w:sz w:val="24"/>
          <w:szCs w:val="24"/>
          <w:highlight w:val="none"/>
        </w:rPr>
      </w:pPr>
      <w:r>
        <w:rPr>
          <w:rFonts w:hint="eastAsia" w:ascii="宋体" w:hAnsi="宋体" w:cs="宋体"/>
          <w:color w:val="auto"/>
          <w:sz w:val="24"/>
          <w:szCs w:val="24"/>
          <w:highlight w:val="none"/>
        </w:rPr>
        <w:t>三门峡市公共资源交易平台使用CA证书操作手册：</w:t>
      </w:r>
    </w:p>
    <w:p>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ascii="宋体" w:hAnsi="宋体" w:eastAsia="宋体" w:cs="宋体"/>
          <w:color w:val="auto"/>
          <w:sz w:val="24"/>
          <w:szCs w:val="24"/>
          <w:highlight w:val="none"/>
        </w:rPr>
      </w:pPr>
      <w:r>
        <w:rPr>
          <w:color w:val="auto"/>
          <w:highlight w:val="none"/>
        </w:rPr>
        <w:fldChar w:fldCharType="begin"/>
      </w:r>
      <w:r>
        <w:rPr>
          <w:color w:val="auto"/>
          <w:highlight w:val="none"/>
        </w:rPr>
        <w:instrText xml:space="preserve"> HYPERLINK "http://gzjy.smx.gov.cn/fwzn/004003/20210114/62052444-fa5b-47bb-8c75-c669600e56a8.html" </w:instrText>
      </w:r>
      <w:r>
        <w:rPr>
          <w:color w:val="auto"/>
          <w:highlight w:val="none"/>
        </w:rPr>
        <w:fldChar w:fldCharType="separate"/>
      </w:r>
      <w:r>
        <w:rPr>
          <w:rFonts w:hint="eastAsia" w:ascii="宋体" w:hAnsi="宋体" w:cs="宋体"/>
          <w:color w:val="auto"/>
          <w:sz w:val="24"/>
          <w:szCs w:val="24"/>
          <w:highlight w:val="none"/>
        </w:rPr>
        <w:t>http://gzjy.smx.gov.cn/fwzn/004003/20210114/62052444-fa5b-47bb-8c75-c669600e56a8.html</w:t>
      </w:r>
      <w:r>
        <w:rPr>
          <w:rFonts w:hint="eastAsia" w:ascii="宋体" w:hAnsi="宋体" w:cs="宋体"/>
          <w:color w:val="auto"/>
          <w:sz w:val="24"/>
          <w:szCs w:val="24"/>
          <w:highlight w:val="none"/>
        </w:rPr>
        <w:fldChar w:fldCharType="end"/>
      </w:r>
    </w:p>
    <w:p>
      <w:pPr>
        <w:keepNext w:val="0"/>
        <w:keepLines w:val="0"/>
        <w:pageBreakBefore w:val="0"/>
        <w:widowControl/>
        <w:shd w:val="clear" w:color="auto" w:fill="FFFFFF"/>
        <w:kinsoku/>
        <w:overflowPunct/>
        <w:topLinePunct w:val="0"/>
        <w:autoSpaceDE/>
        <w:autoSpaceDN/>
        <w:bidi w:val="0"/>
        <w:adjustRightInd/>
        <w:snapToGrid/>
        <w:spacing w:line="360" w:lineRule="auto"/>
        <w:ind w:firstLine="480" w:firstLineChars="200"/>
        <w:textAlignment w:val="auto"/>
        <w:rPr>
          <w:rFonts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4、根据《关于进一步加强公共资源交易管理持续优化营商环境的通知》（三公管办[2020]2号）文件的要求，磋商文件费用不再收取。</w:t>
      </w:r>
    </w:p>
    <w:p>
      <w:pPr>
        <w:keepNext w:val="0"/>
        <w:keepLines w:val="0"/>
        <w:pageBreakBefore w:val="0"/>
        <w:widowControl/>
        <w:shd w:val="clear" w:color="auto" w:fill="FFFFFF"/>
        <w:kinsoku/>
        <w:overflowPunct/>
        <w:topLinePunct w:val="0"/>
        <w:autoSpaceDE/>
        <w:autoSpaceDN/>
        <w:bidi w:val="0"/>
        <w:adjustRightInd/>
        <w:snapToGrid/>
        <w:spacing w:line="360" w:lineRule="auto"/>
        <w:ind w:firstLine="480" w:firstLineChars="200"/>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shd w:val="clear" w:color="auto" w:fill="FFFFFF"/>
        </w:rPr>
        <w:t>四、响应文件的提交</w:t>
      </w:r>
    </w:p>
    <w:p>
      <w:pPr>
        <w:keepNext w:val="0"/>
        <w:keepLines w:val="0"/>
        <w:pageBreakBefore w:val="0"/>
        <w:widowControl/>
        <w:shd w:val="clear" w:color="auto" w:fill="FFFFFF"/>
        <w:kinsoku/>
        <w:overflowPunct/>
        <w:topLinePunct w:val="0"/>
        <w:autoSpaceDE/>
        <w:autoSpaceDN/>
        <w:bidi w:val="0"/>
        <w:adjustRightInd/>
        <w:snapToGrid/>
        <w:spacing w:line="360" w:lineRule="auto"/>
        <w:ind w:firstLine="480" w:firstLineChars="200"/>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shd w:val="clear" w:color="auto" w:fill="FFFFFF"/>
        </w:rPr>
        <w:t>1、响应文件提交的截止时间：202</w:t>
      </w:r>
      <w:r>
        <w:rPr>
          <w:rFonts w:hint="eastAsia" w:ascii="宋体" w:hAnsi="宋体" w:eastAsia="宋体" w:cs="宋体"/>
          <w:color w:val="auto"/>
          <w:kern w:val="0"/>
          <w:sz w:val="24"/>
          <w:szCs w:val="24"/>
          <w:highlight w:val="none"/>
          <w:shd w:val="clear" w:color="auto" w:fill="FFFFFF"/>
          <w:lang w:val="en-US" w:eastAsia="zh-CN"/>
        </w:rPr>
        <w:t>6</w:t>
      </w:r>
      <w:r>
        <w:rPr>
          <w:rFonts w:hint="eastAsia" w:ascii="宋体" w:hAnsi="宋体" w:eastAsia="宋体" w:cs="宋体"/>
          <w:color w:val="auto"/>
          <w:kern w:val="0"/>
          <w:sz w:val="24"/>
          <w:szCs w:val="24"/>
          <w:highlight w:val="none"/>
          <w:shd w:val="clear" w:color="auto" w:fill="FFFFFF"/>
        </w:rPr>
        <w:t>年</w:t>
      </w:r>
      <w:r>
        <w:rPr>
          <w:rFonts w:hint="eastAsia" w:ascii="宋体" w:hAnsi="宋体" w:eastAsia="宋体" w:cs="宋体"/>
          <w:color w:val="auto"/>
          <w:kern w:val="0"/>
          <w:sz w:val="24"/>
          <w:szCs w:val="24"/>
          <w:highlight w:val="none"/>
          <w:shd w:val="clear" w:color="auto" w:fill="FFFFFF"/>
          <w:lang w:val="en-US" w:eastAsia="zh-CN"/>
        </w:rPr>
        <w:t>01</w:t>
      </w:r>
      <w:r>
        <w:rPr>
          <w:rFonts w:hint="eastAsia" w:ascii="宋体" w:hAnsi="宋体" w:eastAsia="宋体" w:cs="宋体"/>
          <w:color w:val="auto"/>
          <w:kern w:val="0"/>
          <w:sz w:val="24"/>
          <w:szCs w:val="24"/>
          <w:highlight w:val="none"/>
          <w:shd w:val="clear" w:color="auto" w:fill="FFFFFF"/>
        </w:rPr>
        <w:t>月</w:t>
      </w:r>
      <w:r>
        <w:rPr>
          <w:rFonts w:hint="eastAsia" w:ascii="宋体" w:hAnsi="宋体" w:eastAsia="宋体" w:cs="宋体"/>
          <w:color w:val="auto"/>
          <w:kern w:val="0"/>
          <w:sz w:val="24"/>
          <w:szCs w:val="24"/>
          <w:highlight w:val="none"/>
          <w:shd w:val="clear" w:color="auto" w:fill="FFFFFF"/>
          <w:lang w:val="en-US" w:eastAsia="zh-CN"/>
        </w:rPr>
        <w:t>09</w:t>
      </w:r>
      <w:r>
        <w:rPr>
          <w:rFonts w:hint="eastAsia" w:ascii="宋体" w:hAnsi="宋体" w:eastAsia="宋体" w:cs="宋体"/>
          <w:color w:val="auto"/>
          <w:kern w:val="0"/>
          <w:sz w:val="24"/>
          <w:szCs w:val="24"/>
          <w:highlight w:val="none"/>
          <w:shd w:val="clear" w:color="auto" w:fill="FFFFFF"/>
        </w:rPr>
        <w:t>日8时30分（北京时间）；</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2、地点：在三门峡市公共资源交易中心网站上传加密响应文件。</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五、磋商时间及地点</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1、磋商时间：</w:t>
      </w:r>
      <w:r>
        <w:rPr>
          <w:rFonts w:hint="eastAsia" w:ascii="宋体" w:hAnsi="宋体" w:eastAsia="宋体" w:cs="宋体"/>
          <w:color w:val="auto"/>
          <w:kern w:val="0"/>
          <w:sz w:val="24"/>
          <w:szCs w:val="24"/>
          <w:highlight w:val="none"/>
          <w:shd w:val="clear" w:color="auto" w:fill="FFFFFF"/>
        </w:rPr>
        <w:t>202</w:t>
      </w:r>
      <w:r>
        <w:rPr>
          <w:rFonts w:hint="eastAsia" w:ascii="宋体" w:hAnsi="宋体" w:eastAsia="宋体" w:cs="宋体"/>
          <w:color w:val="auto"/>
          <w:kern w:val="0"/>
          <w:sz w:val="24"/>
          <w:szCs w:val="24"/>
          <w:highlight w:val="none"/>
          <w:shd w:val="clear" w:color="auto" w:fill="FFFFFF"/>
          <w:lang w:val="en-US" w:eastAsia="zh-CN"/>
        </w:rPr>
        <w:t>6</w:t>
      </w:r>
      <w:r>
        <w:rPr>
          <w:rFonts w:hint="eastAsia" w:ascii="宋体" w:hAnsi="宋体" w:eastAsia="宋体" w:cs="宋体"/>
          <w:color w:val="auto"/>
          <w:kern w:val="0"/>
          <w:sz w:val="24"/>
          <w:szCs w:val="24"/>
          <w:highlight w:val="none"/>
          <w:shd w:val="clear" w:color="auto" w:fill="FFFFFF"/>
        </w:rPr>
        <w:t>年</w:t>
      </w:r>
      <w:r>
        <w:rPr>
          <w:rFonts w:hint="eastAsia" w:ascii="宋体" w:hAnsi="宋体" w:eastAsia="宋体" w:cs="宋体"/>
          <w:color w:val="auto"/>
          <w:kern w:val="0"/>
          <w:sz w:val="24"/>
          <w:szCs w:val="24"/>
          <w:highlight w:val="none"/>
          <w:shd w:val="clear" w:color="auto" w:fill="FFFFFF"/>
          <w:lang w:val="en-US" w:eastAsia="zh-CN"/>
        </w:rPr>
        <w:t>01</w:t>
      </w:r>
      <w:r>
        <w:rPr>
          <w:rFonts w:hint="eastAsia" w:ascii="宋体" w:hAnsi="宋体" w:eastAsia="宋体" w:cs="宋体"/>
          <w:color w:val="auto"/>
          <w:kern w:val="0"/>
          <w:sz w:val="24"/>
          <w:szCs w:val="24"/>
          <w:highlight w:val="none"/>
          <w:shd w:val="clear" w:color="auto" w:fill="FFFFFF"/>
        </w:rPr>
        <w:t>月</w:t>
      </w:r>
      <w:r>
        <w:rPr>
          <w:rFonts w:hint="eastAsia" w:ascii="宋体" w:hAnsi="宋体" w:eastAsia="宋体" w:cs="宋体"/>
          <w:color w:val="auto"/>
          <w:kern w:val="0"/>
          <w:sz w:val="24"/>
          <w:szCs w:val="24"/>
          <w:highlight w:val="none"/>
          <w:shd w:val="clear" w:color="auto" w:fill="FFFFFF"/>
          <w:lang w:val="en-US" w:eastAsia="zh-CN"/>
        </w:rPr>
        <w:t>09</w:t>
      </w:r>
      <w:r>
        <w:rPr>
          <w:rFonts w:hint="eastAsia" w:ascii="宋体" w:hAnsi="宋体" w:eastAsia="宋体" w:cs="宋体"/>
          <w:color w:val="auto"/>
          <w:kern w:val="0"/>
          <w:sz w:val="24"/>
          <w:szCs w:val="24"/>
          <w:highlight w:val="none"/>
          <w:shd w:val="clear" w:color="auto" w:fill="FFFFFF"/>
        </w:rPr>
        <w:t>日8时30分</w:t>
      </w:r>
      <w:r>
        <w:rPr>
          <w:rFonts w:hint="eastAsia" w:ascii="宋体" w:hAnsi="宋体" w:eastAsia="宋体" w:cs="宋体"/>
          <w:color w:val="auto"/>
          <w:sz w:val="24"/>
          <w:szCs w:val="24"/>
          <w:highlight w:val="none"/>
        </w:rPr>
        <w:t>（北京时间）；</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2、磋商地点：义马市公共资源交易中心开标</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室；</w:t>
      </w:r>
    </w:p>
    <w:p>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ascii="宋体" w:hAnsi="宋体" w:eastAsia="宋体" w:cs="宋体"/>
          <w:color w:val="auto"/>
          <w:kern w:val="0"/>
          <w:sz w:val="24"/>
          <w:szCs w:val="24"/>
          <w:highlight w:val="none"/>
          <w:shd w:val="clear" w:color="auto" w:fill="FFFFFF"/>
        </w:rPr>
      </w:pPr>
      <w:r>
        <w:rPr>
          <w:rFonts w:hint="eastAsia" w:ascii="宋体" w:hAnsi="宋体" w:eastAsia="宋体" w:cs="宋体"/>
          <w:color w:val="auto"/>
          <w:sz w:val="24"/>
          <w:szCs w:val="24"/>
          <w:highlight w:val="none"/>
        </w:rPr>
        <w:t>3、方式：本项目为不见面开标项目,磋商当日供应商无须到磋商现场参加磋商会议，供应商应当在磋商截止时间前，登录不见面开标大厅选择登录三门峡市公共资源</w:t>
      </w:r>
      <w:r>
        <w:rPr>
          <w:rFonts w:hint="eastAsia" w:ascii="宋体" w:hAnsi="宋体" w:eastAsia="宋体" w:cs="宋体"/>
          <w:color w:val="auto"/>
          <w:kern w:val="0"/>
          <w:sz w:val="24"/>
          <w:szCs w:val="24"/>
          <w:highlight w:val="none"/>
          <w:shd w:val="clear" w:color="auto" w:fill="FFFFFF"/>
        </w:rPr>
        <w:t>电子招投标系统进行登录（网址为</w:t>
      </w:r>
      <w:r>
        <w:rPr>
          <w:rFonts w:hint="eastAsia" w:ascii="宋体" w:hAnsi="宋体" w:eastAsia="宋体" w:cs="宋体"/>
          <w:color w:val="auto"/>
          <w:kern w:val="1"/>
          <w:sz w:val="24"/>
          <w:szCs w:val="24"/>
          <w:highlight w:val="none"/>
        </w:rPr>
        <w:t>http://120.194.249.36:10094/BidOpening/bidopeninghallaction/hall/login</w:t>
      </w:r>
      <w:r>
        <w:rPr>
          <w:rFonts w:hint="eastAsia" w:ascii="宋体" w:hAnsi="宋体" w:eastAsia="宋体" w:cs="宋体"/>
          <w:color w:val="auto"/>
          <w:kern w:val="0"/>
          <w:sz w:val="24"/>
          <w:szCs w:val="24"/>
          <w:highlight w:val="none"/>
          <w:shd w:val="clear" w:color="auto" w:fill="FFFFFF"/>
        </w:rPr>
        <w:t>）,在线准时参加磋商活动并进行磋商响应文件解密等。每位供应商的解密时间为磋商时间起30分钟内完成。因供应商原因未能解密、解密失败或解密超时的将被拒绝。</w:t>
      </w:r>
    </w:p>
    <w:p>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ascii="宋体" w:hAnsi="宋体" w:eastAsia="宋体" w:cs="宋体"/>
          <w:color w:val="auto"/>
          <w:kern w:val="0"/>
          <w:sz w:val="24"/>
          <w:szCs w:val="24"/>
          <w:highlight w:val="none"/>
        </w:rPr>
      </w:pPr>
      <w:r>
        <w:rPr>
          <w:rFonts w:hint="eastAsia" w:ascii="宋体" w:hAnsi="宋体" w:cs="宋体"/>
          <w:color w:val="auto"/>
          <w:sz w:val="24"/>
          <w:szCs w:val="24"/>
          <w:highlight w:val="none"/>
        </w:rPr>
        <w:t>温馨提示：本项目为电子化、无纸化交易项目，开标时不再接受任何纸质资料，为保证您能投标成功，请需仔细阅读竞争性磋商文件和三门峡市公共资源交易中心管网业务办理指南。</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六、发布公告的媒介</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本次竞争性磋商公告在《中国招标投标公共服务平台》、《河南省政府采购网》、《三门峡市公共资源交易中心网》等网站上发布。</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七、其他补充事宜</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1、供应商应仔细阅读操作手册，在本公告中要求的截止时间前完成网上磋商响应文件的递交等工作。因供应商操作不当等问题造成的无法下载磋商文件、无法投标等一切后果，由供应商自行承担；</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2、根据《河南省财政厅关于优化政府采购营商环境有关问题的通知》（豫财购【2019】4号）第6条的规定，磋商保证金不再收取。供应商应以承诺函的形式替代保证金，承诺函应明确承诺事项及违背承诺的责任。</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实行资格后审，审查内容以磋商截止时间前在三门峡市公共资源交易平台“响应文件”上传的信息为准，同时，供应商须自行完善主体库资料。规定时间外上传或更改的信息不作为评审依据。响应文件中上传的信息真实有效，扫描件清晰可辨。否则，由此造成应得分而未得分或资格审查不合格等情况的，由供应商承担责任。</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4、供应商递交的响应文件不论成交与否均不予退还；</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5、磋商所发生的一切费用由供应商自行承担，并承担相应的风险和责任；</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八、联系方式</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1、采购人：义马市交通运输局</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kern w:val="0"/>
          <w:sz w:val="24"/>
          <w:szCs w:val="24"/>
          <w:highlight w:val="none"/>
        </w:rPr>
        <w:t>义马市客运中心后院</w:t>
      </w:r>
    </w:p>
    <w:p>
      <w:pPr>
        <w:spacing w:line="360" w:lineRule="auto"/>
        <w:ind w:firstLine="480" w:firstLineChars="200"/>
        <w:rPr>
          <w:rFonts w:ascii="宋体" w:hAnsi="宋体" w:eastAsia="宋体" w:cs="宋体"/>
          <w:color w:val="auto"/>
          <w:sz w:val="24"/>
          <w:szCs w:val="24"/>
          <w:highlight w:val="none"/>
        </w:rPr>
      </w:pPr>
      <w:bookmarkStart w:id="35" w:name="OLE_LINK19"/>
      <w:bookmarkStart w:id="36" w:name="OLE_LINK15"/>
      <w:bookmarkStart w:id="37" w:name="OLE_LINK4"/>
      <w:r>
        <w:rPr>
          <w:rFonts w:hint="eastAsia" w:ascii="宋体" w:hAnsi="宋体" w:eastAsia="宋体" w:cs="宋体"/>
          <w:color w:val="auto"/>
          <w:sz w:val="24"/>
          <w:szCs w:val="24"/>
          <w:highlight w:val="none"/>
        </w:rPr>
        <w:t>联系人：寇先生</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联系电话：0398-5587890</w:t>
      </w:r>
    </w:p>
    <w:bookmarkEnd w:id="35"/>
    <w:bookmarkEnd w:id="36"/>
    <w:bookmarkEnd w:id="37"/>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2、代理机构：</w:t>
      </w:r>
      <w:bookmarkStart w:id="38" w:name="OLE_LINK28"/>
      <w:r>
        <w:rPr>
          <w:rFonts w:hint="eastAsia" w:ascii="宋体" w:hAnsi="宋体" w:eastAsia="宋体" w:cs="宋体"/>
          <w:color w:val="auto"/>
          <w:sz w:val="24"/>
          <w:szCs w:val="24"/>
          <w:highlight w:val="none"/>
        </w:rPr>
        <w:t>河南建标工程管理有限公司</w:t>
      </w:r>
      <w:bookmarkEnd w:id="38"/>
    </w:p>
    <w:p>
      <w:pPr>
        <w:spacing w:line="360" w:lineRule="auto"/>
        <w:ind w:firstLine="480" w:firstLineChars="200"/>
        <w:rPr>
          <w:rFonts w:ascii="宋体" w:hAnsi="宋体" w:eastAsia="宋体" w:cs="宋体"/>
          <w:color w:val="auto"/>
          <w:sz w:val="24"/>
          <w:szCs w:val="24"/>
          <w:highlight w:val="none"/>
        </w:rPr>
      </w:pPr>
      <w:bookmarkStart w:id="39" w:name="_Toc27005"/>
      <w:bookmarkStart w:id="40" w:name="_Toc7964"/>
      <w:r>
        <w:rPr>
          <w:rFonts w:hint="eastAsia" w:ascii="宋体" w:hAnsi="宋体" w:eastAsia="宋体" w:cs="宋体"/>
          <w:color w:val="auto"/>
          <w:sz w:val="24"/>
          <w:szCs w:val="24"/>
          <w:highlight w:val="none"/>
        </w:rPr>
        <w:t>地址：</w:t>
      </w:r>
      <w:bookmarkEnd w:id="39"/>
      <w:bookmarkEnd w:id="40"/>
      <w:r>
        <w:rPr>
          <w:rFonts w:hint="eastAsia" w:ascii="宋体" w:hAnsi="宋体" w:eastAsia="宋体" w:cs="宋体"/>
          <w:color w:val="auto"/>
          <w:sz w:val="24"/>
          <w:szCs w:val="24"/>
          <w:highlight w:val="none"/>
        </w:rPr>
        <w:t>三门峡市黄河路与经二路交叉口海洋商务813室</w:t>
      </w:r>
    </w:p>
    <w:p>
      <w:pPr>
        <w:spacing w:line="360" w:lineRule="auto"/>
        <w:ind w:firstLine="480" w:firstLineChars="200"/>
        <w:rPr>
          <w:rFonts w:ascii="宋体" w:hAnsi="宋体" w:eastAsia="宋体" w:cs="宋体"/>
          <w:color w:val="auto"/>
          <w:sz w:val="24"/>
          <w:szCs w:val="24"/>
          <w:highlight w:val="none"/>
        </w:rPr>
      </w:pPr>
      <w:bookmarkStart w:id="41" w:name="_Toc897"/>
      <w:bookmarkStart w:id="42" w:name="_Toc25421"/>
      <w:r>
        <w:rPr>
          <w:rFonts w:hint="eastAsia" w:ascii="宋体" w:hAnsi="宋体" w:eastAsia="宋体" w:cs="宋体"/>
          <w:color w:val="auto"/>
          <w:sz w:val="24"/>
          <w:szCs w:val="24"/>
          <w:highlight w:val="none"/>
        </w:rPr>
        <w:t>联系人：</w:t>
      </w:r>
      <w:bookmarkEnd w:id="41"/>
      <w:bookmarkEnd w:id="42"/>
      <w:r>
        <w:rPr>
          <w:rFonts w:hint="eastAsia" w:ascii="宋体" w:hAnsi="宋体" w:eastAsia="宋体" w:cs="宋体"/>
          <w:color w:val="auto"/>
          <w:sz w:val="24"/>
          <w:szCs w:val="24"/>
          <w:highlight w:val="none"/>
        </w:rPr>
        <w:t>杨女士、金女士</w:t>
      </w:r>
    </w:p>
    <w:p>
      <w:pPr>
        <w:spacing w:line="360" w:lineRule="auto"/>
        <w:ind w:firstLine="480" w:firstLineChars="200"/>
        <w:rPr>
          <w:rFonts w:ascii="宋体" w:hAnsi="宋体" w:eastAsia="宋体" w:cs="宋体"/>
          <w:color w:val="auto"/>
          <w:sz w:val="24"/>
          <w:szCs w:val="24"/>
          <w:highlight w:val="none"/>
        </w:rPr>
      </w:pPr>
      <w:bookmarkStart w:id="43" w:name="_Toc27420"/>
      <w:bookmarkStart w:id="44" w:name="_Toc26440"/>
      <w:r>
        <w:rPr>
          <w:rFonts w:hint="eastAsia" w:ascii="宋体" w:hAnsi="宋体" w:eastAsia="宋体" w:cs="宋体"/>
          <w:color w:val="auto"/>
          <w:sz w:val="24"/>
          <w:szCs w:val="24"/>
          <w:highlight w:val="none"/>
        </w:rPr>
        <w:t>联系电话：</w:t>
      </w:r>
      <w:bookmarkEnd w:id="43"/>
      <w:bookmarkEnd w:id="44"/>
      <w:r>
        <w:rPr>
          <w:rFonts w:hint="eastAsia" w:ascii="宋体" w:hAnsi="宋体" w:eastAsia="宋体" w:cs="宋体"/>
          <w:color w:val="auto"/>
          <w:sz w:val="24"/>
          <w:szCs w:val="24"/>
          <w:highlight w:val="none"/>
        </w:rPr>
        <w:t>15936885137、18903981665</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3、监督单位信息</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名称：义马市财政局政府采购监督管理科</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联系方式：0398-5832143</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4、项目联系方式</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项目联系人：杨女士</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联系电话：15936885137</w:t>
      </w:r>
      <w:bookmarkEnd w:id="15"/>
    </w:p>
    <w:p>
      <w:pPr>
        <w:spacing w:line="360" w:lineRule="auto"/>
        <w:ind w:firstLine="480" w:firstLineChars="200"/>
        <w:rPr>
          <w:rFonts w:ascii="宋体" w:hAnsi="宋体" w:eastAsia="宋体" w:cs="宋体"/>
          <w:color w:val="auto"/>
          <w:sz w:val="24"/>
          <w:szCs w:val="24"/>
          <w:highlight w:val="none"/>
        </w:rPr>
      </w:pPr>
    </w:p>
    <w:p>
      <w:pPr>
        <w:spacing w:line="360" w:lineRule="auto"/>
        <w:ind w:firstLine="480" w:firstLineChars="200"/>
        <w:rPr>
          <w:rFonts w:ascii="宋体" w:hAnsi="宋体" w:eastAsia="宋体" w:cs="宋体"/>
          <w:color w:val="auto"/>
          <w:sz w:val="24"/>
          <w:szCs w:val="24"/>
          <w:highlight w:val="none"/>
        </w:rPr>
      </w:pPr>
    </w:p>
    <w:p>
      <w:pPr>
        <w:spacing w:before="240" w:after="60" w:line="560" w:lineRule="exact"/>
        <w:jc w:val="center"/>
        <w:outlineLvl w:val="0"/>
        <w:rPr>
          <w:rFonts w:ascii="Cambria" w:hAnsi="Cambria" w:eastAsia="宋体" w:cs="Times New Roman"/>
          <w:b/>
          <w:bCs/>
          <w:color w:val="auto"/>
          <w:sz w:val="32"/>
          <w:szCs w:val="32"/>
          <w:highlight w:val="none"/>
        </w:rPr>
      </w:pPr>
      <w:bookmarkStart w:id="45" w:name="_Toc16612"/>
    </w:p>
    <w:p>
      <w:pPr>
        <w:spacing w:before="240" w:after="60" w:line="560" w:lineRule="exact"/>
        <w:jc w:val="center"/>
        <w:outlineLvl w:val="0"/>
        <w:rPr>
          <w:rFonts w:ascii="Cambria" w:hAnsi="Cambria" w:eastAsia="宋体" w:cs="Times New Roman"/>
          <w:b/>
          <w:bCs/>
          <w:color w:val="auto"/>
          <w:sz w:val="32"/>
          <w:szCs w:val="32"/>
          <w:highlight w:val="none"/>
        </w:rPr>
      </w:pPr>
    </w:p>
    <w:p>
      <w:pPr>
        <w:spacing w:before="240" w:after="60" w:line="560" w:lineRule="exact"/>
        <w:jc w:val="center"/>
        <w:outlineLvl w:val="0"/>
        <w:rPr>
          <w:rFonts w:ascii="Cambria" w:hAnsi="Cambria" w:eastAsia="宋体" w:cs="Times New Roman"/>
          <w:b/>
          <w:bCs/>
          <w:color w:val="auto"/>
          <w:sz w:val="32"/>
          <w:szCs w:val="32"/>
          <w:highlight w:val="none"/>
        </w:rPr>
      </w:pPr>
    </w:p>
    <w:p>
      <w:pPr>
        <w:spacing w:before="240" w:after="60" w:line="560" w:lineRule="exact"/>
        <w:jc w:val="center"/>
        <w:outlineLvl w:val="0"/>
        <w:rPr>
          <w:rFonts w:ascii="Cambria" w:hAnsi="Cambria" w:eastAsia="宋体" w:cs="Times New Roman"/>
          <w:b/>
          <w:bCs/>
          <w:color w:val="auto"/>
          <w:sz w:val="32"/>
          <w:szCs w:val="32"/>
          <w:highlight w:val="none"/>
        </w:rPr>
      </w:pPr>
    </w:p>
    <w:p>
      <w:pPr>
        <w:spacing w:before="240" w:after="60" w:line="560" w:lineRule="exact"/>
        <w:jc w:val="center"/>
        <w:outlineLvl w:val="0"/>
        <w:rPr>
          <w:rFonts w:ascii="Cambria" w:hAnsi="Cambria" w:eastAsia="宋体" w:cs="Times New Roman"/>
          <w:b/>
          <w:bCs/>
          <w:color w:val="auto"/>
          <w:sz w:val="32"/>
          <w:szCs w:val="32"/>
          <w:highlight w:val="none"/>
        </w:rPr>
      </w:pPr>
    </w:p>
    <w:p>
      <w:pPr>
        <w:spacing w:before="240" w:after="60" w:line="560" w:lineRule="exact"/>
        <w:jc w:val="center"/>
        <w:outlineLvl w:val="0"/>
        <w:rPr>
          <w:rFonts w:ascii="Cambria" w:hAnsi="Cambria" w:eastAsia="宋体" w:cs="Times New Roman"/>
          <w:b/>
          <w:bCs/>
          <w:color w:val="auto"/>
          <w:sz w:val="32"/>
          <w:szCs w:val="32"/>
          <w:highlight w:val="none"/>
        </w:rPr>
      </w:pPr>
      <w:r>
        <w:rPr>
          <w:rFonts w:hint="eastAsia" w:ascii="Cambria" w:hAnsi="Cambria" w:eastAsia="宋体" w:cs="Times New Roman"/>
          <w:b/>
          <w:bCs/>
          <w:color w:val="auto"/>
          <w:sz w:val="32"/>
          <w:szCs w:val="32"/>
          <w:highlight w:val="none"/>
        </w:rPr>
        <w:t>第二章 供应商须知</w:t>
      </w:r>
      <w:bookmarkEnd w:id="14"/>
      <w:bookmarkEnd w:id="16"/>
      <w:bookmarkEnd w:id="45"/>
    </w:p>
    <w:p>
      <w:pPr>
        <w:widowControl/>
        <w:wordWrap w:val="0"/>
        <w:snapToGrid w:val="0"/>
        <w:spacing w:line="560" w:lineRule="exact"/>
        <w:jc w:val="center"/>
        <w:outlineLvl w:val="2"/>
        <w:rPr>
          <w:rFonts w:ascii="宋体" w:hAnsi="宋体" w:eastAsia="宋体" w:cs="Arial"/>
          <w:b/>
          <w:bCs/>
          <w:color w:val="auto"/>
          <w:kern w:val="0"/>
          <w:sz w:val="28"/>
          <w:szCs w:val="28"/>
          <w:highlight w:val="none"/>
        </w:rPr>
      </w:pPr>
      <w:bookmarkStart w:id="46" w:name="_Toc508875394"/>
      <w:bookmarkStart w:id="47" w:name="_Toc383782879"/>
      <w:bookmarkStart w:id="48" w:name="_Toc497233289"/>
      <w:r>
        <w:rPr>
          <w:rFonts w:hint="eastAsia" w:ascii="宋体" w:hAnsi="宋体" w:eastAsia="宋体" w:cs="Arial"/>
          <w:b/>
          <w:bCs/>
          <w:color w:val="auto"/>
          <w:kern w:val="0"/>
          <w:sz w:val="28"/>
          <w:szCs w:val="28"/>
          <w:highlight w:val="none"/>
        </w:rPr>
        <w:t>供应商须知前附表</w:t>
      </w:r>
      <w:bookmarkEnd w:id="46"/>
      <w:bookmarkEnd w:id="47"/>
      <w:bookmarkEnd w:id="48"/>
    </w:p>
    <w:tbl>
      <w:tblPr>
        <w:tblStyle w:val="13"/>
        <w:tblW w:w="9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2332"/>
        <w:gridCol w:w="6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33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条款名称</w:t>
            </w:r>
          </w:p>
        </w:tc>
        <w:tc>
          <w:tcPr>
            <w:tcW w:w="608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3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0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义马市C128线农村公路提升工程等5条路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3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c>
          <w:tcPr>
            <w:tcW w:w="60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采购人：义马市交通运输局</w:t>
            </w:r>
          </w:p>
          <w:p>
            <w:pPr>
              <w:spacing w:line="276"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地址：义马市客运中心后院</w:t>
            </w:r>
          </w:p>
          <w:p>
            <w:pPr>
              <w:spacing w:line="276"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联系人：寇先生</w:t>
            </w:r>
          </w:p>
          <w:p>
            <w:pPr>
              <w:spacing w:line="276"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联系电话：0398-5587890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33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w:t>
            </w:r>
          </w:p>
        </w:tc>
        <w:tc>
          <w:tcPr>
            <w:tcW w:w="60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代理机构：河南建标工程管理有限公司</w:t>
            </w:r>
          </w:p>
          <w:p>
            <w:pPr>
              <w:spacing w:line="276" w:lineRule="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地址：三门峡市黄河路与经二路交叉口海洋商务813室</w:t>
            </w:r>
          </w:p>
          <w:p>
            <w:pPr>
              <w:spacing w:line="276" w:lineRule="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联系人：杨女士、金女士</w:t>
            </w:r>
          </w:p>
          <w:p>
            <w:pPr>
              <w:spacing w:line="276" w:lineRule="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联系电话：15936885137、18903981665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33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tc>
        <w:tc>
          <w:tcPr>
            <w:tcW w:w="60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义马市C128线农村公路提升工程等5条路</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位于义马市：主要施工内容为拆除旧路面，铺设水泥混凝土及沥青混凝土路面，砌筑挡土墙，安装道路交通标志，新做道路交通标线等</w:t>
            </w:r>
            <w:r>
              <w:rPr>
                <w:rFonts w:hint="eastAsia" w:ascii="宋体" w:hAnsi="宋体" w:eastAsia="宋体" w:cs="宋体"/>
                <w:color w:val="auto"/>
                <w:kern w:val="0"/>
                <w:sz w:val="24"/>
                <w:szCs w:val="24"/>
                <w:highlight w:val="none"/>
              </w:rPr>
              <w:t>。（具体详见工程量清单）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33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最高限价</w:t>
            </w:r>
          </w:p>
        </w:tc>
        <w:tc>
          <w:tcPr>
            <w:tcW w:w="60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3173791.00元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33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w:t>
            </w:r>
          </w:p>
        </w:tc>
        <w:tc>
          <w:tcPr>
            <w:tcW w:w="60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33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落实情况</w:t>
            </w:r>
          </w:p>
        </w:tc>
        <w:tc>
          <w:tcPr>
            <w:tcW w:w="60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33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磋商范围</w:t>
            </w:r>
          </w:p>
        </w:tc>
        <w:tc>
          <w:tcPr>
            <w:tcW w:w="60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磋商文件及工程量清单等范围内的全部内容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233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计划工期</w:t>
            </w:r>
          </w:p>
        </w:tc>
        <w:tc>
          <w:tcPr>
            <w:tcW w:w="60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233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质量要求</w:t>
            </w:r>
          </w:p>
        </w:tc>
        <w:tc>
          <w:tcPr>
            <w:tcW w:w="60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达到国家质量验收规范合格标准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233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磋商供应商资质条件</w:t>
            </w:r>
          </w:p>
        </w:tc>
        <w:tc>
          <w:tcPr>
            <w:tcW w:w="6081"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1、满足《中华人民共和国政府采购法》第二十二条规定；</w:t>
            </w:r>
          </w:p>
          <w:p>
            <w:pPr>
              <w:spacing w:line="276"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2、落实政府采购政策满足的资格要求：本项目面向中小企业，供应商须提供《中小企业声明函》，</w:t>
            </w:r>
            <w:r>
              <w:rPr>
                <w:rFonts w:hint="eastAsia" w:ascii="宋体" w:hAnsi="宋体" w:cs="宋体"/>
                <w:color w:val="auto"/>
                <w:sz w:val="24"/>
                <w:szCs w:val="24"/>
                <w:highlight w:val="none"/>
              </w:rPr>
              <w:t>大型企业及未提供中小企业声明函的企业不享受中小企业扶持政策，其响应文件将作无效响应处理。监狱企业及残疾人福利性单位视同小型、微型企业；</w:t>
            </w:r>
            <w:r>
              <w:rPr>
                <w:rFonts w:hint="eastAsia" w:ascii="宋体" w:hAnsi="宋体" w:eastAsia="宋体" w:cs="宋体"/>
                <w:color w:val="auto"/>
                <w:kern w:val="0"/>
                <w:sz w:val="24"/>
                <w:szCs w:val="24"/>
                <w:highlight w:val="none"/>
              </w:rPr>
              <w:t>；</w:t>
            </w:r>
          </w:p>
          <w:p>
            <w:pPr>
              <w:spacing w:line="276"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3、本项目的特定资格条件：</w:t>
            </w:r>
          </w:p>
          <w:p>
            <w:pPr>
              <w:spacing w:line="276"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（1）供应商须具备独立法人资格，具有有效的营业执照</w:t>
            </w:r>
          </w:p>
          <w:p>
            <w:pPr>
              <w:spacing w:line="276"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（2）供应商须具有公路工程施工总承包叁级（含叁级）及以上资质，具有有效的安全生产许可证，并在人员、设备、资金等方面具有相应的施工能力；</w:t>
            </w:r>
          </w:p>
          <w:p>
            <w:pPr>
              <w:spacing w:line="276"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拟派项目经理须具有公路工程专业贰级（含贰级）及以上注册建造师证书、具备有效的安全生产考核合格证书，未在其它在建工程项目中担任项目经理；且须提供近三个月连续在本单位缴费的社保证明（以社保网络查询或社保中心出具的证明为准）</w:t>
            </w:r>
          </w:p>
          <w:p>
            <w:pPr>
              <w:spacing w:line="276"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（4）供应商需提供本企业的无商业贿赂及不正当竞争行为的承诺书；</w:t>
            </w:r>
          </w:p>
          <w:p>
            <w:pPr>
              <w:spacing w:line="276"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（5）供应商须出具在中国裁判文书网（http://wenshu.court.gov.cn）自行查询的无行贿犯罪记录截图或自行承诺（查询/承诺对象为企业、法定代表人、项目经理）；</w:t>
            </w:r>
          </w:p>
          <w:p>
            <w:pPr>
              <w:widowControl/>
              <w:shd w:val="clear" w:color="auto" w:fill="FFFFFF"/>
              <w:spacing w:line="276" w:lineRule="auto"/>
              <w:jc w:val="left"/>
              <w:rPr>
                <w:rFonts w:ascii="宋体" w:hAnsi="宋体" w:cs="宋体"/>
                <w:color w:val="auto"/>
                <w:kern w:val="0"/>
                <w:sz w:val="24"/>
                <w:szCs w:val="28"/>
                <w:highlight w:val="none"/>
              </w:rPr>
            </w:pPr>
            <w:r>
              <w:rPr>
                <w:rFonts w:hint="eastAsia" w:ascii="宋体" w:hAnsi="宋体" w:cs="宋体"/>
                <w:color w:val="auto"/>
                <w:kern w:val="0"/>
                <w:sz w:val="24"/>
                <w:szCs w:val="28"/>
                <w:highlight w:val="none"/>
              </w:rPr>
              <w:t>（6）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供应商须提供相关网页查询页截图，查询时间为本项目公告发布之后；</w:t>
            </w:r>
          </w:p>
          <w:p>
            <w:pPr>
              <w:widowControl/>
              <w:shd w:val="clear" w:color="auto" w:fill="FFFFFF"/>
              <w:spacing w:line="276" w:lineRule="auto"/>
              <w:jc w:val="left"/>
              <w:rPr>
                <w:rFonts w:ascii="宋体" w:hAnsi="宋体" w:cs="宋体"/>
                <w:color w:val="auto"/>
                <w:kern w:val="0"/>
                <w:sz w:val="24"/>
                <w:szCs w:val="28"/>
                <w:highlight w:val="none"/>
              </w:rPr>
            </w:pPr>
            <w:r>
              <w:rPr>
                <w:rFonts w:hint="eastAsia" w:ascii="宋体" w:hAnsi="宋体" w:cs="宋体"/>
                <w:color w:val="auto"/>
                <w:kern w:val="0"/>
                <w:sz w:val="24"/>
                <w:szCs w:val="28"/>
                <w:highlight w:val="none"/>
              </w:rPr>
              <w:t>（7）单位负责人为同一人或者存在控股、管理关系的不同单位，不得参加同一标段投标（提供“国家企业信用信息公示系统” http://www.gsxt.gov.cn/index.html网页查询,需包含公司基本信息、股东信息及股权变更信息内容，查询时间为本项目公告发布之后）。</w:t>
            </w:r>
          </w:p>
          <w:p>
            <w:pPr>
              <w:widowControl/>
              <w:shd w:val="clear" w:color="auto" w:fill="FFFFFF"/>
              <w:spacing w:line="276" w:lineRule="auto"/>
              <w:jc w:val="left"/>
              <w:rPr>
                <w:rFonts w:ascii="宋体" w:hAnsi="宋体" w:cs="宋体"/>
                <w:color w:val="auto"/>
                <w:kern w:val="0"/>
                <w:sz w:val="24"/>
                <w:szCs w:val="28"/>
                <w:highlight w:val="none"/>
              </w:rPr>
            </w:pPr>
            <w:r>
              <w:rPr>
                <w:rFonts w:hint="eastAsia" w:ascii="宋体" w:hAnsi="宋体" w:cs="宋体"/>
                <w:color w:val="auto"/>
                <w:kern w:val="0"/>
                <w:sz w:val="24"/>
                <w:szCs w:val="28"/>
                <w:highlight w:val="none"/>
              </w:rPr>
              <w:t>（8）本项目不接受联合体投标。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233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踏勘现场</w:t>
            </w:r>
          </w:p>
        </w:tc>
        <w:tc>
          <w:tcPr>
            <w:tcW w:w="60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不组织，供应商自行踏勘，所发生的人员伤亡和财产损失自己承担。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233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磋商响应预备会</w:t>
            </w:r>
          </w:p>
        </w:tc>
        <w:tc>
          <w:tcPr>
            <w:tcW w:w="60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026" w:type="dxa"/>
            <w:tcBorders>
              <w:top w:val="single" w:color="auto" w:sz="4" w:space="0"/>
              <w:left w:val="single" w:color="auto" w:sz="4" w:space="0"/>
              <w:right w:val="single" w:color="auto" w:sz="4" w:space="0"/>
            </w:tcBorders>
            <w:vAlign w:val="center"/>
          </w:tcPr>
          <w:p>
            <w:pPr>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233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实质性要求和条件</w:t>
            </w:r>
          </w:p>
        </w:tc>
        <w:tc>
          <w:tcPr>
            <w:tcW w:w="60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响应文件应当对磋商文件的实质性要求和条件做出满足性或更有利于采购人的响应，否则，其响应将被否决。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26" w:type="dxa"/>
            <w:tcBorders>
              <w:top w:val="single" w:color="auto" w:sz="4" w:space="0"/>
              <w:left w:val="single" w:color="auto" w:sz="4" w:space="0"/>
              <w:right w:val="single" w:color="auto" w:sz="4" w:space="0"/>
            </w:tcBorders>
            <w:vAlign w:val="center"/>
          </w:tcPr>
          <w:p>
            <w:pPr>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233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构成磋商文件的其他材料</w:t>
            </w:r>
          </w:p>
        </w:tc>
        <w:tc>
          <w:tcPr>
            <w:tcW w:w="60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磋商文件的补充、澄清、修改、答疑（如有）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26" w:type="dxa"/>
            <w:tcBorders>
              <w:top w:val="single" w:color="auto" w:sz="4" w:space="0"/>
              <w:left w:val="single" w:color="auto" w:sz="4" w:space="0"/>
              <w:right w:val="single" w:color="auto" w:sz="4" w:space="0"/>
            </w:tcBorders>
            <w:vAlign w:val="center"/>
          </w:tcPr>
          <w:p>
            <w:pPr>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233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供应商提出问题的截止时间</w:t>
            </w:r>
          </w:p>
        </w:tc>
        <w:tc>
          <w:tcPr>
            <w:tcW w:w="60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rPr>
              <w:t>递交竞争性磋商响应文件截止之日5日前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026" w:type="dxa"/>
            <w:tcBorders>
              <w:top w:val="single" w:color="auto" w:sz="4" w:space="0"/>
              <w:left w:val="single" w:color="auto" w:sz="4" w:space="0"/>
              <w:right w:val="single" w:color="auto" w:sz="4" w:space="0"/>
            </w:tcBorders>
            <w:vAlign w:val="center"/>
          </w:tcPr>
          <w:p>
            <w:pPr>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233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供应商要求澄清磋商文件的截止时间</w:t>
            </w:r>
          </w:p>
        </w:tc>
        <w:tc>
          <w:tcPr>
            <w:tcW w:w="60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rPr>
              <w:t>递交竞争性磋商响应文件截止之日5日前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026" w:type="dxa"/>
            <w:tcBorders>
              <w:left w:val="single" w:color="auto" w:sz="4" w:space="0"/>
              <w:right w:val="single" w:color="auto" w:sz="4" w:space="0"/>
            </w:tcBorders>
            <w:vAlign w:val="center"/>
          </w:tcPr>
          <w:p>
            <w:pPr>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233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响应文件上传递交截止时间</w:t>
            </w:r>
          </w:p>
        </w:tc>
        <w:tc>
          <w:tcPr>
            <w:tcW w:w="60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rPr>
              <w:t>202</w:t>
            </w:r>
            <w:r>
              <w:rPr>
                <w:rFonts w:hint="eastAsia" w:ascii="宋体" w:hAnsi="宋体" w:eastAsia="宋体" w:cs="宋体"/>
                <w:color w:val="auto"/>
                <w:kern w:val="0"/>
                <w:sz w:val="24"/>
                <w:szCs w:val="24"/>
                <w:highlight w:val="none"/>
                <w:shd w:val="clear" w:color="auto" w:fill="FFFFFF"/>
                <w:lang w:val="en-US" w:eastAsia="zh-CN"/>
              </w:rPr>
              <w:t>6</w:t>
            </w:r>
            <w:r>
              <w:rPr>
                <w:rFonts w:hint="eastAsia" w:ascii="宋体" w:hAnsi="宋体" w:eastAsia="宋体" w:cs="宋体"/>
                <w:color w:val="auto"/>
                <w:kern w:val="0"/>
                <w:sz w:val="24"/>
                <w:szCs w:val="24"/>
                <w:highlight w:val="none"/>
                <w:shd w:val="clear" w:color="auto" w:fill="FFFFFF"/>
              </w:rPr>
              <w:t>年</w:t>
            </w:r>
            <w:r>
              <w:rPr>
                <w:rFonts w:hint="eastAsia" w:ascii="宋体" w:hAnsi="宋体" w:eastAsia="宋体" w:cs="宋体"/>
                <w:color w:val="auto"/>
                <w:kern w:val="0"/>
                <w:sz w:val="24"/>
                <w:szCs w:val="24"/>
                <w:highlight w:val="none"/>
                <w:shd w:val="clear" w:color="auto" w:fill="FFFFFF"/>
                <w:lang w:val="en-US" w:eastAsia="zh-CN"/>
              </w:rPr>
              <w:t>01</w:t>
            </w:r>
            <w:r>
              <w:rPr>
                <w:rFonts w:hint="eastAsia" w:ascii="宋体" w:hAnsi="宋体" w:eastAsia="宋体" w:cs="宋体"/>
                <w:color w:val="auto"/>
                <w:kern w:val="0"/>
                <w:sz w:val="24"/>
                <w:szCs w:val="24"/>
                <w:highlight w:val="none"/>
                <w:shd w:val="clear" w:color="auto" w:fill="FFFFFF"/>
              </w:rPr>
              <w:t>月</w:t>
            </w:r>
            <w:r>
              <w:rPr>
                <w:rFonts w:hint="eastAsia" w:ascii="宋体" w:hAnsi="宋体" w:eastAsia="宋体" w:cs="宋体"/>
                <w:color w:val="auto"/>
                <w:kern w:val="0"/>
                <w:sz w:val="24"/>
                <w:szCs w:val="24"/>
                <w:highlight w:val="none"/>
                <w:shd w:val="clear" w:color="auto" w:fill="FFFFFF"/>
                <w:lang w:val="en-US" w:eastAsia="zh-CN"/>
              </w:rPr>
              <w:t>09</w:t>
            </w:r>
            <w:r>
              <w:rPr>
                <w:rFonts w:hint="eastAsia" w:ascii="宋体" w:hAnsi="宋体" w:eastAsia="宋体" w:cs="宋体"/>
                <w:color w:val="auto"/>
                <w:kern w:val="0"/>
                <w:sz w:val="24"/>
                <w:szCs w:val="24"/>
                <w:highlight w:val="none"/>
                <w:shd w:val="clear" w:color="auto" w:fill="FFFFFF"/>
              </w:rPr>
              <w:t>日8时30分</w:t>
            </w:r>
            <w:r>
              <w:rPr>
                <w:rFonts w:hint="eastAsia" w:ascii="宋体" w:hAnsi="宋体" w:eastAsia="宋体" w:cs="宋体"/>
                <w:color w:val="auto"/>
                <w:sz w:val="24"/>
                <w:szCs w:val="24"/>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026" w:type="dxa"/>
            <w:tcBorders>
              <w:left w:val="single" w:color="auto" w:sz="4" w:space="0"/>
              <w:right w:val="single" w:color="auto" w:sz="4" w:space="0"/>
            </w:tcBorders>
            <w:vAlign w:val="center"/>
          </w:tcPr>
          <w:p>
            <w:pPr>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233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供应商确认收到磋商文件澄清的时间</w:t>
            </w:r>
          </w:p>
        </w:tc>
        <w:tc>
          <w:tcPr>
            <w:tcW w:w="60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在收到相应澄清文件后</w:t>
            </w:r>
            <w:r>
              <w:rPr>
                <w:rFonts w:hint="eastAsia" w:ascii="宋体" w:hAnsi="宋体" w:eastAsia="宋体" w:cs="宋体"/>
                <w:color w:val="auto"/>
                <w:sz w:val="24"/>
                <w:szCs w:val="24"/>
                <w:highlight w:val="none"/>
                <w:u w:val="single"/>
              </w:rPr>
              <w:t xml:space="preserve">  24  </w:t>
            </w:r>
            <w:r>
              <w:rPr>
                <w:rFonts w:hint="eastAsia" w:ascii="宋体" w:hAnsi="宋体" w:eastAsia="宋体" w:cs="宋体"/>
                <w:color w:val="auto"/>
                <w:sz w:val="24"/>
                <w:szCs w:val="24"/>
                <w:highlight w:val="none"/>
              </w:rPr>
              <w:t>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233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供应商确认收到磋商文件修改的时间</w:t>
            </w:r>
          </w:p>
        </w:tc>
        <w:tc>
          <w:tcPr>
            <w:tcW w:w="60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在收到相应修改文件后</w:t>
            </w:r>
            <w:r>
              <w:rPr>
                <w:rFonts w:hint="eastAsia" w:ascii="宋体" w:hAnsi="宋体" w:eastAsia="宋体" w:cs="宋体"/>
                <w:color w:val="auto"/>
                <w:sz w:val="24"/>
                <w:szCs w:val="24"/>
                <w:highlight w:val="none"/>
                <w:u w:val="single"/>
              </w:rPr>
              <w:t xml:space="preserve">  24  </w:t>
            </w:r>
            <w:r>
              <w:rPr>
                <w:rFonts w:hint="eastAsia" w:ascii="宋体" w:hAnsi="宋体" w:eastAsia="宋体" w:cs="宋体"/>
                <w:color w:val="auto"/>
                <w:sz w:val="24"/>
                <w:szCs w:val="24"/>
                <w:highlight w:val="none"/>
              </w:rPr>
              <w:t>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233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磋商有效期</w:t>
            </w:r>
          </w:p>
        </w:tc>
        <w:tc>
          <w:tcPr>
            <w:tcW w:w="6081"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磋商截止之日起60日历天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233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构成响应文件的其他资料</w:t>
            </w:r>
          </w:p>
        </w:tc>
        <w:tc>
          <w:tcPr>
            <w:tcW w:w="6081"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响应文件中须附有供应商须知前附表11款和第三章磋商办法中所需证件、证明的扫描件或加盖公章的复印件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233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近年财务状况的年份要求</w:t>
            </w:r>
          </w:p>
        </w:tc>
        <w:tc>
          <w:tcPr>
            <w:tcW w:w="60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2024年（新成立企业按已有年份计算）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233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近年完成的类似项目情况的时间要求</w:t>
            </w:r>
          </w:p>
        </w:tc>
        <w:tc>
          <w:tcPr>
            <w:tcW w:w="60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2022年1月以来（新成立企业按已有年份计算）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233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近年发生的诉讼及仲裁情况的时间要求</w:t>
            </w:r>
          </w:p>
        </w:tc>
        <w:tc>
          <w:tcPr>
            <w:tcW w:w="60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2022年1月以来（新成立企业按已有年份计算）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233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是否允许递交备选响应性文件</w:t>
            </w:r>
          </w:p>
        </w:tc>
        <w:tc>
          <w:tcPr>
            <w:tcW w:w="60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233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响应文件签字或盖章要求</w:t>
            </w:r>
          </w:p>
        </w:tc>
        <w:tc>
          <w:tcPr>
            <w:tcW w:w="60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电子化响应文件的签章：</w:t>
            </w:r>
          </w:p>
          <w:p>
            <w:pPr>
              <w:spacing w:line="276"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1、供应商在生成电子化响应文件后，应对电子化响应文件进行签章，未对电子化文件进行签章的视为无效响应。</w:t>
            </w:r>
          </w:p>
          <w:p>
            <w:pPr>
              <w:spacing w:line="276"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2、磋商文件中要求法定代表人或授权委托人盖章的，供应商在进行电子化响应文件签章时，以签盖法定代表人签章为准。</w:t>
            </w:r>
          </w:p>
          <w:p>
            <w:pPr>
              <w:spacing w:line="276"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3、电子化投标文件工具请在三门峡市公共资源交易中心进行下载。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28</w:t>
            </w:r>
          </w:p>
        </w:tc>
        <w:tc>
          <w:tcPr>
            <w:tcW w:w="233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磋商保证金</w:t>
            </w:r>
          </w:p>
        </w:tc>
        <w:tc>
          <w:tcPr>
            <w:tcW w:w="60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根据《河南省财政厅关于优化政府采购营商环境有关问题的通知》（豫财购【2019】4号）第6条的规定，磋商保证金不再收取。供应商应以承诺函的形式替代保证金，承诺函应明确承诺事项及违背承诺的责任。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29</w:t>
            </w:r>
          </w:p>
        </w:tc>
        <w:tc>
          <w:tcPr>
            <w:tcW w:w="233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是否退还响应文件</w:t>
            </w:r>
          </w:p>
        </w:tc>
        <w:tc>
          <w:tcPr>
            <w:tcW w:w="60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233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磋商时间和地点</w:t>
            </w:r>
          </w:p>
        </w:tc>
        <w:tc>
          <w:tcPr>
            <w:tcW w:w="60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kern w:val="0"/>
                <w:sz w:val="24"/>
                <w:szCs w:val="24"/>
                <w:highlight w:val="none"/>
                <w:shd w:val="clear" w:color="auto" w:fill="FFFFFF"/>
              </w:rPr>
              <w:t>202</w:t>
            </w:r>
            <w:r>
              <w:rPr>
                <w:rFonts w:hint="eastAsia" w:ascii="宋体" w:hAnsi="宋体" w:eastAsia="宋体" w:cs="宋体"/>
                <w:color w:val="auto"/>
                <w:kern w:val="0"/>
                <w:sz w:val="24"/>
                <w:szCs w:val="24"/>
                <w:highlight w:val="none"/>
                <w:shd w:val="clear" w:color="auto" w:fill="FFFFFF"/>
                <w:lang w:val="en-US" w:eastAsia="zh-CN"/>
              </w:rPr>
              <w:t>6</w:t>
            </w:r>
            <w:r>
              <w:rPr>
                <w:rFonts w:hint="eastAsia" w:ascii="宋体" w:hAnsi="宋体" w:eastAsia="宋体" w:cs="宋体"/>
                <w:color w:val="auto"/>
                <w:kern w:val="0"/>
                <w:sz w:val="24"/>
                <w:szCs w:val="24"/>
                <w:highlight w:val="none"/>
                <w:shd w:val="clear" w:color="auto" w:fill="FFFFFF"/>
              </w:rPr>
              <w:t>年</w:t>
            </w:r>
            <w:r>
              <w:rPr>
                <w:rFonts w:hint="eastAsia" w:ascii="宋体" w:hAnsi="宋体" w:eastAsia="宋体" w:cs="宋体"/>
                <w:color w:val="auto"/>
                <w:kern w:val="0"/>
                <w:sz w:val="24"/>
                <w:szCs w:val="24"/>
                <w:highlight w:val="none"/>
                <w:shd w:val="clear" w:color="auto" w:fill="FFFFFF"/>
                <w:lang w:val="en-US" w:eastAsia="zh-CN"/>
              </w:rPr>
              <w:t>01</w:t>
            </w:r>
            <w:r>
              <w:rPr>
                <w:rFonts w:hint="eastAsia" w:ascii="宋体" w:hAnsi="宋体" w:eastAsia="宋体" w:cs="宋体"/>
                <w:color w:val="auto"/>
                <w:kern w:val="0"/>
                <w:sz w:val="24"/>
                <w:szCs w:val="24"/>
                <w:highlight w:val="none"/>
                <w:shd w:val="clear" w:color="auto" w:fill="FFFFFF"/>
              </w:rPr>
              <w:t>月</w:t>
            </w:r>
            <w:r>
              <w:rPr>
                <w:rFonts w:hint="eastAsia" w:ascii="宋体" w:hAnsi="宋体" w:eastAsia="宋体" w:cs="宋体"/>
                <w:color w:val="auto"/>
                <w:kern w:val="0"/>
                <w:sz w:val="24"/>
                <w:szCs w:val="24"/>
                <w:highlight w:val="none"/>
                <w:shd w:val="clear" w:color="auto" w:fill="FFFFFF"/>
                <w:lang w:val="en-US" w:eastAsia="zh-CN"/>
              </w:rPr>
              <w:t>09</w:t>
            </w:r>
            <w:r>
              <w:rPr>
                <w:rFonts w:hint="eastAsia" w:ascii="宋体" w:hAnsi="宋体" w:eastAsia="宋体" w:cs="宋体"/>
                <w:color w:val="auto"/>
                <w:kern w:val="0"/>
                <w:sz w:val="24"/>
                <w:szCs w:val="24"/>
                <w:highlight w:val="none"/>
                <w:shd w:val="clear" w:color="auto" w:fill="FFFFFF"/>
              </w:rPr>
              <w:t>日</w:t>
            </w:r>
            <w:r>
              <w:rPr>
                <w:rFonts w:hint="eastAsia" w:ascii="宋体" w:hAnsi="宋体" w:eastAsia="宋体" w:cs="宋体"/>
                <w:color w:val="auto"/>
                <w:kern w:val="0"/>
                <w:sz w:val="24"/>
                <w:szCs w:val="24"/>
                <w:highlight w:val="none"/>
                <w:shd w:val="clear" w:color="auto" w:fill="FFFFFF"/>
                <w:lang w:val="en-US" w:eastAsia="zh-CN"/>
              </w:rPr>
              <w:t>0</w:t>
            </w:r>
            <w:r>
              <w:rPr>
                <w:rFonts w:hint="eastAsia" w:ascii="宋体" w:hAnsi="宋体" w:eastAsia="宋体" w:cs="宋体"/>
                <w:color w:val="auto"/>
                <w:kern w:val="0"/>
                <w:sz w:val="24"/>
                <w:szCs w:val="24"/>
                <w:highlight w:val="none"/>
                <w:shd w:val="clear" w:color="auto" w:fill="FFFFFF"/>
              </w:rPr>
              <w:t>8时30分</w:t>
            </w:r>
            <w:r>
              <w:rPr>
                <w:rFonts w:hint="eastAsia" w:ascii="宋体" w:hAnsi="宋体" w:eastAsia="宋体" w:cs="宋体"/>
                <w:color w:val="auto"/>
                <w:sz w:val="24"/>
                <w:szCs w:val="24"/>
                <w:highlight w:val="none"/>
              </w:rPr>
              <w:t>（北京时间）</w:t>
            </w:r>
          </w:p>
          <w:p>
            <w:pPr>
              <w:spacing w:line="276"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地点：义马市公共资源交易中心开标</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p>
        </w:tc>
        <w:tc>
          <w:tcPr>
            <w:tcW w:w="233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磋商程序</w:t>
            </w:r>
          </w:p>
        </w:tc>
        <w:tc>
          <w:tcPr>
            <w:tcW w:w="60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主持人按下列程序进行磋商会议：</w:t>
            </w:r>
          </w:p>
          <w:p>
            <w:pPr>
              <w:spacing w:line="276"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（1）宣布磋商纪律；（2）公布在磋商截止时间前上传响应文件的供应商名称；（3）响应文件解密；（4）会议结束。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p>
        </w:tc>
        <w:tc>
          <w:tcPr>
            <w:tcW w:w="233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磋商小组的组建</w:t>
            </w:r>
          </w:p>
        </w:tc>
        <w:tc>
          <w:tcPr>
            <w:tcW w:w="60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磋商小组由3人组成：采购人代表1人，经济、技术方面专家2人。</w:t>
            </w:r>
          </w:p>
          <w:p>
            <w:pPr>
              <w:spacing w:line="276"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评审专家确定方式：从相关专家库中随机抽取。</w:t>
            </w:r>
          </w:p>
          <w:p>
            <w:pPr>
              <w:spacing w:line="276"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根据省政府关于评标专家的有关管理规定，招标人代表（业主代表）无评标劳务费。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33</w:t>
            </w:r>
          </w:p>
        </w:tc>
        <w:tc>
          <w:tcPr>
            <w:tcW w:w="233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授权磋商小组推荐成交候选人数</w:t>
            </w:r>
          </w:p>
        </w:tc>
        <w:tc>
          <w:tcPr>
            <w:tcW w:w="60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按顺序推荐成交候选人数：3名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34</w:t>
            </w:r>
          </w:p>
        </w:tc>
        <w:tc>
          <w:tcPr>
            <w:tcW w:w="233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磋商文件的解释</w:t>
            </w:r>
          </w:p>
        </w:tc>
        <w:tc>
          <w:tcPr>
            <w:tcW w:w="60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在符合相关法律法规的前提下，磋商文件的解释权归采购人所有。本磋商文件中其他部分内容与供应商须知前附表不一致的，以供应商须知前附表为准。本磋商文件未尽事宜，执行国家、省、市相关规定。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w:t>
            </w:r>
          </w:p>
        </w:tc>
        <w:tc>
          <w:tcPr>
            <w:tcW w:w="233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成交公告</w:t>
            </w:r>
          </w:p>
        </w:tc>
        <w:tc>
          <w:tcPr>
            <w:tcW w:w="60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采购人将成交供应商的情况在本项目竞争性磋商公告发布的同一媒介</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中国</w:t>
            </w:r>
            <w:r>
              <w:rPr>
                <w:rFonts w:hint="eastAsia" w:ascii="宋体" w:hAnsi="宋体" w:eastAsia="宋体" w:cs="宋体"/>
                <w:color w:val="auto"/>
                <w:sz w:val="24"/>
                <w:szCs w:val="24"/>
                <w:highlight w:val="none"/>
              </w:rPr>
              <w:t>招标投标公共服务平台》、《河南省政府采购网》、《三门峡市公共资源交易中心网》等网站上</w:t>
            </w:r>
            <w:r>
              <w:rPr>
                <w:rFonts w:hint="eastAsia" w:ascii="宋体" w:hAnsi="宋体" w:eastAsia="宋体" w:cs="宋体"/>
                <w:color w:val="auto"/>
                <w:kern w:val="0"/>
                <w:sz w:val="24"/>
                <w:szCs w:val="24"/>
                <w:highlight w:val="none"/>
              </w:rPr>
              <w:t>予以公告同时向成交供应商发出成交通知书，公告期为1个工作日。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p>
        </w:tc>
        <w:tc>
          <w:tcPr>
            <w:tcW w:w="2332" w:type="dxa"/>
            <w:tcBorders>
              <w:top w:val="single" w:color="auto" w:sz="4" w:space="0"/>
              <w:left w:val="single" w:color="auto" w:sz="4" w:space="0"/>
              <w:bottom w:val="single" w:color="auto" w:sz="4" w:space="0"/>
              <w:right w:val="single" w:color="auto" w:sz="4" w:space="0"/>
            </w:tcBorders>
            <w:vAlign w:val="center"/>
          </w:tcPr>
          <w:p>
            <w:pPr>
              <w:spacing w:line="276"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代理费</w:t>
            </w:r>
          </w:p>
        </w:tc>
        <w:tc>
          <w:tcPr>
            <w:tcW w:w="60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本项目代理服务费</w:t>
            </w:r>
            <w:bookmarkStart w:id="49" w:name="OLE_LINK12"/>
            <w:bookmarkStart w:id="50" w:name="OLE_LINK11"/>
            <w:r>
              <w:rPr>
                <w:rFonts w:hint="eastAsia" w:ascii="宋体" w:hAnsi="宋体" w:eastAsia="宋体" w:cs="宋体"/>
                <w:color w:val="auto"/>
                <w:kern w:val="0"/>
                <w:sz w:val="24"/>
                <w:szCs w:val="24"/>
                <w:highlight w:val="none"/>
              </w:rPr>
              <w:t>根据《河南省招标代理服务收费指导意见（豫招协【2023】002号）》有关规定收取，参照控制价代理费暂定为37738.00元，具体以实际中标（成交）金额为基数计取，由成交供应商支付。</w:t>
            </w:r>
            <w:bookmarkEnd w:id="49"/>
            <w:bookmarkEnd w:id="5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37</w:t>
            </w:r>
          </w:p>
        </w:tc>
        <w:tc>
          <w:tcPr>
            <w:tcW w:w="2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eastAsia="宋体" w:cs="宋体"/>
                <w:color w:val="auto"/>
                <w:kern w:val="0"/>
                <w:sz w:val="24"/>
                <w:szCs w:val="24"/>
                <w:highlight w:val="none"/>
              </w:rPr>
            </w:pPr>
            <w:r>
              <w:rPr>
                <w:rFonts w:hint="eastAsia" w:ascii="宋体" w:hAnsi="宋体"/>
                <w:color w:val="auto"/>
                <w:kern w:val="0"/>
                <w:sz w:val="24"/>
                <w:szCs w:val="24"/>
                <w:highlight w:val="none"/>
              </w:rPr>
              <w:t>本项目对应的中小企业划分标准所属行业</w:t>
            </w:r>
          </w:p>
        </w:tc>
        <w:tc>
          <w:tcPr>
            <w:tcW w:w="608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宋体" w:hAnsi="宋体" w:eastAsia="宋体" w:cs="宋体"/>
                <w:color w:val="auto"/>
                <w:kern w:val="0"/>
                <w:sz w:val="24"/>
                <w:szCs w:val="24"/>
                <w:highlight w:val="none"/>
              </w:rPr>
            </w:pPr>
            <w:r>
              <w:rPr>
                <w:rFonts w:hint="eastAsia" w:ascii="宋体" w:hAnsi="宋体" w:cs="宋体"/>
                <w:color w:val="auto"/>
                <w:sz w:val="24"/>
                <w:szCs w:val="24"/>
                <w:highlight w:val="none"/>
              </w:rPr>
              <w:t>本次采购标的对应的中小企业划分标准所属行业为“建筑业”，所属行业界定标准参考《中小企业划型标准规定》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38</w:t>
            </w:r>
          </w:p>
        </w:tc>
        <w:tc>
          <w:tcPr>
            <w:tcW w:w="2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ascii="宋体" w:hAnsi="宋体" w:eastAsia="宋体" w:cs="宋体"/>
                <w:color w:val="auto"/>
                <w:kern w:val="0"/>
                <w:sz w:val="24"/>
                <w:szCs w:val="24"/>
                <w:highlight w:val="none"/>
              </w:rPr>
            </w:pPr>
            <w:r>
              <w:rPr>
                <w:rFonts w:ascii="宋体" w:hAnsi="宋体" w:cs="Courier New"/>
                <w:color w:val="auto"/>
                <w:kern w:val="0"/>
                <w:sz w:val="24"/>
                <w:szCs w:val="24"/>
                <w:highlight w:val="none"/>
              </w:rPr>
              <w:t>其他事项</w:t>
            </w:r>
          </w:p>
        </w:tc>
        <w:tc>
          <w:tcPr>
            <w:tcW w:w="6081" w:type="dxa"/>
            <w:tcBorders>
              <w:top w:val="single" w:color="auto" w:sz="4" w:space="0"/>
              <w:left w:val="single" w:color="auto" w:sz="4" w:space="0"/>
              <w:bottom w:val="single" w:color="auto" w:sz="4" w:space="0"/>
              <w:right w:val="single" w:color="auto" w:sz="4" w:space="0"/>
            </w:tcBorders>
            <w:vAlign w:val="center"/>
          </w:tcPr>
          <w:p>
            <w:pPr>
              <w:widowControl/>
              <w:tabs>
                <w:tab w:val="left" w:pos="0"/>
              </w:tabs>
              <w:autoSpaceDE w:val="0"/>
              <w:autoSpaceDN w:val="0"/>
              <w:adjustRightInd w:val="0"/>
              <w:snapToGrid w:val="0"/>
              <w:spacing w:line="320" w:lineRule="exact"/>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为贯彻落实《国务院关于印发扎实稳住经济一揽子政策措施的通知》（国发〔2022〕12号）有关要求，未预留份额专门面向中小企业的货物服务采购项目，以及货物服务预留份额项目中非预留部分采购包：对符合财库(2020) 46号文件规定小微企业的价格扣除优惠，由10%提高至20%，接受大中型企业与小微企业组成联合体或者允许大中型企业向一家或者多家小微企业分包的货物服务项目，联合协议或者分包意向协议约定小微企业的合同份额占到合同总金额的30%以上的，对联合体或者大中型企业的价格扣除优惠，由4%提高至6%,用扣除后的价格参与评审。工程类政府采购项目存在价格评审的，价格评审优惠按照财库【2020】46号文件的规定执行。</w:t>
            </w:r>
          </w:p>
          <w:p>
            <w:pPr>
              <w:widowControl/>
              <w:tabs>
                <w:tab w:val="left" w:pos="0"/>
              </w:tabs>
              <w:autoSpaceDE w:val="0"/>
              <w:autoSpaceDN w:val="0"/>
              <w:adjustRightInd w:val="0"/>
              <w:snapToGrid w:val="0"/>
              <w:spacing w:line="320" w:lineRule="exact"/>
              <w:jc w:val="left"/>
              <w:rPr>
                <w:rFonts w:ascii="宋体" w:hAnsi="宋体" w:eastAsia="宋体" w:cs="宋体"/>
                <w:color w:val="auto"/>
                <w:kern w:val="0"/>
                <w:sz w:val="24"/>
                <w:szCs w:val="24"/>
                <w:highlight w:val="none"/>
              </w:rPr>
            </w:pPr>
            <w:r>
              <w:rPr>
                <w:rFonts w:hint="eastAsia" w:ascii="宋体" w:hAnsi="宋体" w:cs="宋体"/>
                <w:b/>
                <w:color w:val="auto"/>
                <w:kern w:val="0"/>
                <w:sz w:val="24"/>
                <w:szCs w:val="24"/>
                <w:highlight w:val="none"/>
                <w:lang w:val="zh-CN"/>
              </w:rPr>
              <w:t>因本项目专门面向中小企业（监狱企业及残疾人福利性单位视同小型、微型企业）。供应商须提供《中小企业声明函》；监狱企业须提供证明文件；残疾人福利性单位须提供《残疾人福利性单位声明函》，故价格评审不采用比例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39</w:t>
            </w:r>
          </w:p>
        </w:tc>
        <w:tc>
          <w:tcPr>
            <w:tcW w:w="233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河南省政府采购合同融资政策告知函</w:t>
            </w:r>
          </w:p>
        </w:tc>
        <w:tc>
          <w:tcPr>
            <w:tcW w:w="60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各供应商：</w:t>
            </w:r>
          </w:p>
          <w:p>
            <w:pPr>
              <w:spacing w:line="276" w:lineRule="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欢迎贵公司参与河南省政府采购活动！</w:t>
            </w:r>
          </w:p>
          <w:p>
            <w:pPr>
              <w:spacing w:line="276" w:lineRule="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spacing w:line="276" w:lineRule="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贷款渠道和提供贷款的金融机构，可在河南省政府采购网“河南省政府采购合同融资平台”查询联系。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40</w:t>
            </w:r>
          </w:p>
        </w:tc>
        <w:tc>
          <w:tcPr>
            <w:tcW w:w="233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知识产权</w:t>
            </w:r>
          </w:p>
        </w:tc>
        <w:tc>
          <w:tcPr>
            <w:tcW w:w="60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构成本磋商文件各个组成部分的文件，未经采购人书面同意，供应商不得擅自复印和用于非本磋商项目所需的其他目的。采购人全部或者部分使用未成交供应商响应性文件中的技术成果或技术方案时，需征得其书面同意，并不得擅自复印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p>
        </w:tc>
        <w:tc>
          <w:tcPr>
            <w:tcW w:w="233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重新磋商的其他情形</w:t>
            </w:r>
          </w:p>
        </w:tc>
        <w:tc>
          <w:tcPr>
            <w:tcW w:w="60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除供应商须知规定的情形外，除非已经产生成交候选人，在磋商有效期内同意延长磋商有效期的供应商少于三个的，采购人应当依法重新磋商。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42</w:t>
            </w:r>
          </w:p>
        </w:tc>
        <w:tc>
          <w:tcPr>
            <w:tcW w:w="233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监督</w:t>
            </w:r>
          </w:p>
        </w:tc>
        <w:tc>
          <w:tcPr>
            <w:tcW w:w="60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本项目的磋商响应活动及其相关当事人应当接受有管辖权的行政监督部门依法实施的监督。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2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电</w:t>
            </w:r>
          </w:p>
          <w:p>
            <w:pPr>
              <w:spacing w:line="276" w:lineRule="auto"/>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子</w:t>
            </w:r>
          </w:p>
          <w:p>
            <w:pPr>
              <w:spacing w:line="276" w:lineRule="auto"/>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化</w:t>
            </w:r>
          </w:p>
          <w:p>
            <w:pPr>
              <w:spacing w:line="276" w:lineRule="auto"/>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交</w:t>
            </w:r>
          </w:p>
          <w:p>
            <w:pPr>
              <w:spacing w:line="276" w:lineRule="auto"/>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易</w:t>
            </w:r>
          </w:p>
          <w:p>
            <w:pPr>
              <w:spacing w:line="276" w:lineRule="auto"/>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w:t>
            </w:r>
          </w:p>
          <w:p>
            <w:pPr>
              <w:spacing w:line="276" w:lineRule="auto"/>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意</w:t>
            </w:r>
          </w:p>
          <w:p>
            <w:pPr>
              <w:spacing w:line="276" w:lineRule="auto"/>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事</w:t>
            </w:r>
          </w:p>
          <w:p>
            <w:pPr>
              <w:spacing w:line="276" w:lineRule="auto"/>
              <w:jc w:val="center"/>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项</w:t>
            </w:r>
          </w:p>
        </w:tc>
        <w:tc>
          <w:tcPr>
            <w:tcW w:w="8413" w:type="dxa"/>
            <w:gridSpan w:val="2"/>
            <w:tcBorders>
              <w:top w:val="single" w:color="auto" w:sz="4" w:space="0"/>
              <w:left w:val="single" w:color="auto" w:sz="4" w:space="0"/>
              <w:bottom w:val="single" w:color="auto" w:sz="4" w:space="0"/>
              <w:right w:val="single" w:color="auto" w:sz="4" w:space="0"/>
            </w:tcBorders>
            <w:vAlign w:val="center"/>
          </w:tcPr>
          <w:p>
            <w:pPr>
              <w:spacing w:line="276"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本项目为电子化、无纸化交易项目，响应文件是供应商通过中心投标文件制作系统制作，并经过电子签章和加密后生成的电子版响应文件。供应商响应时，将不再接受任何纸质文件资料。</w:t>
            </w:r>
          </w:p>
          <w:p>
            <w:pPr>
              <w:spacing w:line="276"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电子化响应文件具体制作教材请点击https://download.bqpoint.com/download/downloaddetail.html?SourceFrom=Ztb&amp;ZtbSoftXiaQuCode=1532&amp;ZtbSoftType=tballinclusive进行下载。</w:t>
            </w:r>
          </w:p>
          <w:p>
            <w:pPr>
              <w:spacing w:line="276"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温馨提示：本项目为电子化、无纸化交易项目，磋商时不接受任何纸质资料，为保证您能磋商成功，请需仔细阅读以下条款。</w:t>
            </w:r>
          </w:p>
          <w:p>
            <w:pPr>
              <w:spacing w:line="276"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一、电子化磋商响应</w:t>
            </w:r>
          </w:p>
          <w:p>
            <w:pPr>
              <w:spacing w:line="276"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（一）电子化响应文件的签章</w:t>
            </w:r>
          </w:p>
          <w:p>
            <w:pPr>
              <w:spacing w:line="276"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1、供应商在生成电子化响应文件后，应对电子化响应文件进行签章，未进行签章的视为无效响应。</w:t>
            </w:r>
          </w:p>
          <w:p>
            <w:pPr>
              <w:spacing w:line="276"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2、磋商文件中要求法定代表人或授权委托人签字或盖章的，供应商在进行电子化响应文件签章时，以签盖法定代表人签章为准。</w:t>
            </w:r>
          </w:p>
          <w:p>
            <w:pPr>
              <w:spacing w:line="276"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（二）电子化响应文件的格式及上传</w:t>
            </w:r>
          </w:p>
          <w:p>
            <w:pPr>
              <w:spacing w:line="276"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所上传的电子化响应文件，应是通过中心投标文件制作系统制作的，经过签章和加密后生成的电子版响应文件。其中包含用于响应文件上传的主文件（后缀为.smxtf）和用于应急补救的响应文件备份文件（后缀为.nsmxtf）。备份文件主要用于电子化开标出现技术问题后的补救。 </w:t>
            </w:r>
          </w:p>
          <w:p>
            <w:pPr>
              <w:spacing w:line="276"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注：供应商投报多个标段的，每个标段均要生成独立的电子响应文件。</w:t>
            </w:r>
          </w:p>
          <w:p>
            <w:pPr>
              <w:spacing w:line="276"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2、电子化响应文件应在磋商截止时间前成功上传至三门峡市公共资源电子化交易系统。至磋商截止时间止，仍未上传成功的电子化响应文件将不予接收。</w:t>
            </w:r>
          </w:p>
          <w:p>
            <w:pPr>
              <w:spacing w:line="276"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如按照电子化投标操作教材制作完成的电子化响应文件无法上传的，供应商应在磋商截止时间前尽早的联系中心技术人员，以便有充分的时间进行处理。供应商应充分考虑到处理技术问题和上传数据等工作所需的时间问题，响应文件未在磋商截止时间前成功上传的，其响应文件不予接收。</w:t>
            </w:r>
          </w:p>
          <w:p>
            <w:pPr>
              <w:spacing w:line="276"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技术联系电话：0398-3117871  </w:t>
            </w:r>
          </w:p>
          <w:p>
            <w:pPr>
              <w:spacing w:line="276"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（三）电子化项目开标、解密、唱标、评审</w:t>
            </w:r>
          </w:p>
          <w:p>
            <w:pPr>
              <w:spacing w:line="276"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采用电子化、无纸化进行招标，本项目为不见面开标项目，供应商无须到磋商现场参加磋商会议。供应商应当在磋商截止时间前，登录不见面开标大厅选择登录三门峡市公共资源电子招投标系统进行登录（网址为http://120.194.249.36:10094/BidOpening/bidopeninghallaction/hall/login），在线准时参加磋商活动并进行响应文件解密等。</w:t>
            </w:r>
          </w:p>
          <w:p>
            <w:pPr>
              <w:spacing w:line="276"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2、电子化响应文件采用一次加密方式。磋商时，由供应商使用 CA 证书，在规定时间内对其电子化响应文件进行解密。每位供应商的解密时间为磋商时间起30分钟内，如在规定时间内未完成解密的，其响应文件不予开标、唱标。</w:t>
            </w:r>
          </w:p>
          <w:p>
            <w:pPr>
              <w:spacing w:line="276"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3、电子化响应文件解密异常的处理</w:t>
            </w:r>
          </w:p>
          <w:p>
            <w:pPr>
              <w:spacing w:line="276"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如出现供应商的电子响应文件无法解密的情况，供应商应及时致电中介服务机构说明。响应文件解密异常，按以下步骤进行处理：</w:t>
            </w:r>
          </w:p>
          <w:p>
            <w:pPr>
              <w:spacing w:line="276"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（1）首先由技术人员进行问题排查。</w:t>
            </w:r>
          </w:p>
          <w:p>
            <w:pPr>
              <w:spacing w:line="276"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（2）经技术人员排查后，是供应商文件自身问题导致响应文件无法解密的，该响应文件将不予接收、解密和唱标。磋商会议继续进行。</w:t>
            </w:r>
          </w:p>
          <w:p>
            <w:pPr>
              <w:spacing w:line="276"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经技术人员排查后，如果是电子化交易系统问题造成响应文件无法解密的，将由技术人员对问题进行处理。如短时间内问题无法解决的，将由中介服务机构向监督部门申请，经监督部门同意后，暂停磋商会议，待问题解决后继续。</w:t>
            </w:r>
          </w:p>
          <w:p>
            <w:pPr>
              <w:spacing w:line="276"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4、待所有供应商响应文件解密完成后，由中介服务机构操作，对所有已解密响应文件进行唱标。</w:t>
            </w:r>
          </w:p>
          <w:p>
            <w:pPr>
              <w:spacing w:line="276"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供应商应保证在磋商期间电话、电脑、网络能够正常工作，供应商因停电、电脑病毒、网络堵塞等原因，未在规定的解密时间内对响应文件进行解密的，其响应文件不予接收、唱标。</w:t>
            </w:r>
          </w:p>
          <w:p>
            <w:pPr>
              <w:spacing w:line="276"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磋商时供应商可登录到交易系统中在开标大厅中点击开标一览表查看自己的磋商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pPr>
              <w:spacing w:line="276"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评审时，磋商小组对电子化响应文件有质疑的，将通过电子化交易系统对供应商发起质疑，并在监督人员的监督下，用免提模式致电需要答复的供应商进行详细质询。质疑回复内容确认后，供应商的回复文件必须以经过供应商和其法定代表人签章的PDF格式文件为准，并通过电子化交易系统提交至磋商小组。</w:t>
            </w:r>
          </w:p>
          <w:p>
            <w:pPr>
              <w:spacing w:line="276"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7、如磋商小组对需要回复的供应商连续三次致电未接通的，视为供应商放弃回复，磋商小组将自行对需要回复的内容进行认定。</w:t>
            </w:r>
          </w:p>
          <w:p>
            <w:pPr>
              <w:spacing w:line="276"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二、相关证书原件的提交</w:t>
            </w:r>
          </w:p>
          <w:p>
            <w:pPr>
              <w:spacing w:line="276"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本项目实行资格后审，审查内容以磋商截止时间前在三门峡市公共资源交易平台“响应文件”上传的信息为准，同时，供应商要完善主体库。规定时间外上传或更改的信息不作为评审依据。响应文件中上传的信息真实有效，扫描件清晰可辨。否则，由此造成应得分而未得分或资格审查不合格等情况的，由供应商承担责任。评审时不接受供应商所提交的任何原件。</w:t>
            </w:r>
          </w:p>
          <w:p>
            <w:pPr>
              <w:spacing w:line="276"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（二）供应商需应仔细阅读操作手册，保证上传内容齐全，真实有效，原件扫描件清晰可辨。因供应商上传原因导致应得分项而未得分或资格审查不合格等情况的，由供应商自行承担责任。</w:t>
            </w:r>
          </w:p>
          <w:p>
            <w:pPr>
              <w:spacing w:line="276"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提示：本项目为电子化、无纸化交易项目，磋商时不再接受任何纸质资料，为保证您能磋商成功，请需仔细阅读以上条款。</w:t>
            </w:r>
          </w:p>
        </w:tc>
      </w:tr>
    </w:tbl>
    <w:p>
      <w:pPr>
        <w:tabs>
          <w:tab w:val="left" w:pos="900"/>
        </w:tabs>
        <w:spacing w:line="560" w:lineRule="exact"/>
        <w:ind w:firstLine="562" w:firstLineChars="200"/>
        <w:rPr>
          <w:rFonts w:ascii="宋体" w:hAnsi="宋体" w:eastAsia="宋体" w:cs="宋体"/>
          <w:b/>
          <w:bCs/>
          <w:color w:val="auto"/>
          <w:sz w:val="28"/>
          <w:szCs w:val="28"/>
          <w:highlight w:val="none"/>
        </w:rPr>
      </w:pPr>
      <w:bookmarkStart w:id="51" w:name="_Toc466284452"/>
      <w:bookmarkStart w:id="52" w:name="_Toc14871"/>
    </w:p>
    <w:p>
      <w:pP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pPr>
        <w:tabs>
          <w:tab w:val="left" w:pos="900"/>
        </w:tabs>
        <w:spacing w:line="480" w:lineRule="exact"/>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1、总则</w:t>
      </w:r>
      <w:bookmarkEnd w:id="51"/>
      <w:bookmarkEnd w:id="52"/>
    </w:p>
    <w:p>
      <w:pPr>
        <w:tabs>
          <w:tab w:val="left" w:pos="900"/>
        </w:tabs>
        <w:spacing w:line="480" w:lineRule="exact"/>
        <w:ind w:firstLine="482" w:firstLineChars="200"/>
        <w:rPr>
          <w:rFonts w:ascii="宋体" w:hAnsi="宋体" w:eastAsia="宋体" w:cs="宋体"/>
          <w:b/>
          <w:bCs/>
          <w:color w:val="auto"/>
          <w:sz w:val="24"/>
          <w:szCs w:val="24"/>
          <w:highlight w:val="none"/>
        </w:rPr>
      </w:pPr>
      <w:bookmarkStart w:id="53" w:name="_Toc278155328"/>
      <w:bookmarkStart w:id="54" w:name="_Toc380394466"/>
      <w:bookmarkStart w:id="55" w:name="_Toc62"/>
      <w:bookmarkStart w:id="56" w:name="_Toc277149365"/>
      <w:bookmarkStart w:id="57" w:name="_Toc466284453"/>
      <w:r>
        <w:rPr>
          <w:rFonts w:hint="eastAsia" w:ascii="宋体" w:hAnsi="宋体" w:eastAsia="宋体" w:cs="宋体"/>
          <w:b/>
          <w:bCs/>
          <w:color w:val="auto"/>
          <w:sz w:val="24"/>
          <w:szCs w:val="24"/>
          <w:highlight w:val="none"/>
        </w:rPr>
        <w:t>1.1项目概况</w:t>
      </w:r>
      <w:bookmarkEnd w:id="53"/>
      <w:bookmarkEnd w:id="54"/>
      <w:bookmarkEnd w:id="55"/>
      <w:bookmarkEnd w:id="56"/>
      <w:bookmarkEnd w:id="57"/>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根据《中华人民共和国政府采购法》等有关法律、法规和规章的规定，本竞争性磋商项目已具备竞争性磋商条件，现对本项目进行竞争性磋商。</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1.1.1本项目名称：见供应商须知前附表。</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1.1.2采购人：见供应商须知前附表。</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1.1.3采购代理机构：见供应商须知前附表。</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1.1.4项目概况：见供应商须知前附表。</w:t>
      </w:r>
    </w:p>
    <w:p>
      <w:pPr>
        <w:tabs>
          <w:tab w:val="left" w:pos="900"/>
          <w:tab w:val="left" w:pos="1680"/>
        </w:tabs>
        <w:spacing w:line="480" w:lineRule="exact"/>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 资金来源和落实情况</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1.2.1本项目的资金来源：见供应商须知前附表。</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1.2.2本项目的资金落实情况：见供应商须知前附表</w:t>
      </w:r>
    </w:p>
    <w:p>
      <w:pPr>
        <w:tabs>
          <w:tab w:val="left" w:pos="900"/>
        </w:tabs>
        <w:spacing w:line="480" w:lineRule="exact"/>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1.3磋商范围、计划工期、质量要求和最高限价</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1.3.1本次磋商范围：见供应商须知前附表。</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1.3.2本项目的计划工期：见供应商须知前附表。</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1.3.3本项目的质量要求：见供应商须知前附表。</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1.3.4本项目的最高限价：见供应商须知前附表。</w:t>
      </w:r>
    </w:p>
    <w:p>
      <w:pPr>
        <w:tabs>
          <w:tab w:val="left" w:pos="900"/>
        </w:tabs>
        <w:spacing w:line="480" w:lineRule="exact"/>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1.4 供应商资格要求：</w:t>
      </w:r>
      <w:r>
        <w:rPr>
          <w:rFonts w:hint="eastAsia" w:ascii="宋体" w:hAnsi="宋体" w:eastAsia="宋体" w:cs="宋体"/>
          <w:color w:val="auto"/>
          <w:sz w:val="24"/>
          <w:szCs w:val="24"/>
          <w:highlight w:val="none"/>
        </w:rPr>
        <w:t>见供应商须知前附表。</w:t>
      </w:r>
    </w:p>
    <w:p>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1.4.1供应商应具备承担本项目资质条件、能力和信誉：</w:t>
      </w:r>
    </w:p>
    <w:p>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（1）资质要求：见供应商须知前附表；</w:t>
      </w:r>
    </w:p>
    <w:p>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（2）项目经理要求：见供应商须知前附表。</w:t>
      </w:r>
    </w:p>
    <w:p>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（3）信誉要求：见供应商须知前附表；</w:t>
      </w:r>
    </w:p>
    <w:p>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（4）中小企业声明函：见供应商须知前附表；</w:t>
      </w:r>
    </w:p>
    <w:p>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1.4.2本项目不接受联合体磋商。</w:t>
      </w:r>
    </w:p>
    <w:p>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1.4.3供应商不得存在下列情形之一：</w:t>
      </w:r>
    </w:p>
    <w:p>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（1）为采购人不具有独立法人资格的附属机构（单位）；</w:t>
      </w:r>
    </w:p>
    <w:p>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（2）与采购人存在利害关系且可能影响磋商公正性；</w:t>
      </w:r>
    </w:p>
    <w:p>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（3）与本项目的其他供应商为同一个单位负责人；</w:t>
      </w:r>
    </w:p>
    <w:p>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（4）与本项目的其他供应商存在控股、管理关系；</w:t>
      </w:r>
    </w:p>
    <w:p>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（5）为本项目的采购代理机构；</w:t>
      </w:r>
    </w:p>
    <w:p>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（6）与本项目采购代理机构同为一个法定代表人或与本项目采购代理机构存在控股或参股关系；</w:t>
      </w:r>
    </w:p>
    <w:p>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（7）被依法暂停或者取消磋商资格；</w:t>
      </w:r>
    </w:p>
    <w:p>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（8）被责令停产停业、暂扣或者吊销许可证、暂扣或者吊销执照；</w:t>
      </w:r>
    </w:p>
    <w:p>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（9）进入清算程序，或被宣告破产，或其他丧失履约能力的情形；</w:t>
      </w:r>
    </w:p>
    <w:p>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（10）法律法规或供应商须知前附表规定的其他情形。</w:t>
      </w:r>
    </w:p>
    <w:p>
      <w:pPr>
        <w:tabs>
          <w:tab w:val="left" w:pos="900"/>
        </w:tabs>
        <w:spacing w:line="480" w:lineRule="exact"/>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1.5 费用承担</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供应商准备和参加磋商响应活动发生的费用自理。</w:t>
      </w:r>
    </w:p>
    <w:p>
      <w:pPr>
        <w:tabs>
          <w:tab w:val="left" w:pos="900"/>
        </w:tabs>
        <w:spacing w:line="480" w:lineRule="exact"/>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1.6保密</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参与竞争性磋商响应活动的各方应对竞争性磋商文件和磋商响应文件中的商业和技术等秘密保密，违者应对由此造成的后果承担法律责任。</w:t>
      </w:r>
    </w:p>
    <w:p>
      <w:pPr>
        <w:tabs>
          <w:tab w:val="left" w:pos="900"/>
        </w:tabs>
        <w:spacing w:line="480" w:lineRule="exact"/>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1.7语言文字</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除专用术语外，与采购有关的语言均使用中文。必要时专用术语应附有中文注释。</w:t>
      </w:r>
    </w:p>
    <w:p>
      <w:pPr>
        <w:tabs>
          <w:tab w:val="left" w:pos="900"/>
        </w:tabs>
        <w:spacing w:line="480" w:lineRule="exact"/>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1.8 计量单位</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所有计量均采用中华人民共和国法定计量单位。</w:t>
      </w:r>
    </w:p>
    <w:p>
      <w:pPr>
        <w:tabs>
          <w:tab w:val="left" w:pos="900"/>
        </w:tabs>
        <w:spacing w:line="480" w:lineRule="exact"/>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1.9  踏勘现场：不组织</w:t>
      </w:r>
    </w:p>
    <w:p>
      <w:pPr>
        <w:tabs>
          <w:tab w:val="left" w:pos="900"/>
        </w:tabs>
        <w:spacing w:line="480" w:lineRule="exact"/>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1.10 磋商响应预备会：不组织</w:t>
      </w:r>
    </w:p>
    <w:p>
      <w:pPr>
        <w:tabs>
          <w:tab w:val="left" w:pos="900"/>
        </w:tabs>
        <w:spacing w:line="480" w:lineRule="exact"/>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2、竞争性磋商文件</w:t>
      </w:r>
    </w:p>
    <w:p>
      <w:pPr>
        <w:tabs>
          <w:tab w:val="left" w:pos="900"/>
        </w:tabs>
        <w:spacing w:line="480" w:lineRule="exact"/>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2.1竞争性磋商文件的组成</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竞争性磋商文件包括：</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（1）竞争性磋商公告；</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（2）供应商须知；</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（3）磋商办法；</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（4）合同条款及格式；</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（5）工程量清单；</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（6）技术标准及要求；</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（7）响应文件格式。</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根据本章第2.2款和第2.3款对竞争性磋商文件所作的澄清、修改，构成竞争性磋商文件的组成部分。</w:t>
      </w:r>
    </w:p>
    <w:p>
      <w:pPr>
        <w:tabs>
          <w:tab w:val="left" w:pos="900"/>
        </w:tabs>
        <w:spacing w:line="480" w:lineRule="exact"/>
        <w:ind w:firstLine="482" w:firstLineChars="200"/>
        <w:rPr>
          <w:rFonts w:ascii="宋体" w:hAnsi="宋体" w:eastAsia="宋体" w:cs="宋体"/>
          <w:b/>
          <w:bCs/>
          <w:color w:val="auto"/>
          <w:sz w:val="24"/>
          <w:szCs w:val="24"/>
          <w:highlight w:val="none"/>
        </w:rPr>
      </w:pPr>
      <w:bookmarkStart w:id="58" w:name="_Toc438797952"/>
      <w:bookmarkStart w:id="59" w:name="_Toc391284749"/>
      <w:bookmarkStart w:id="60" w:name="_Toc438797187"/>
      <w:r>
        <w:rPr>
          <w:rFonts w:hint="eastAsia" w:ascii="宋体" w:hAnsi="宋体" w:eastAsia="宋体" w:cs="宋体"/>
          <w:b/>
          <w:bCs/>
          <w:color w:val="auto"/>
          <w:sz w:val="24"/>
          <w:szCs w:val="24"/>
          <w:highlight w:val="none"/>
        </w:rPr>
        <w:t>2.2 竞争性磋商文件的澄清</w:t>
      </w:r>
      <w:bookmarkEnd w:id="58"/>
      <w:bookmarkEnd w:id="59"/>
      <w:bookmarkEnd w:id="60"/>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2.2.1 供应商应仔细阅读和检查磋商文件的全部内容。如发现缺页或附件不全，应及时向采购人提出，以便补齐。如有疑问，应在磋商截止日期5日前在三门峡市公共资源交易系统中提出咨询并打电话至采购人或采购代理机构，要求采购人或采购代理机构对磋商文件予以澄清。否则，将视为对本磋商文件要求无任何异议。</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2.2.2 磋商文件的澄清以澄清回复的方式在三门峡市公共资源交易系统中回复所有报名完成供应商或发布澄清公告，但不指明澄清问题的来源。澄清磋商文件实质性内容且影响响应文件编制的，应当顺延提交首次响应文件截止时间。</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2.2.3 提交首次响应文件截止之日前，采购人、采购代理机构可以对已发出的磋商文件进行必要的澄清或者修改，澄清或者修改的内容作为磋商文件的组成部分。澄清或者修改的内容可能影响响应文件编制的，采购人、采购代理机构将在提交首次响应文件截止时间至少5日前，在相关网上发布变更公告形式通知所有获取磋商文件的供应商。不足5日的，应当顺延提交首次响应文件截止时间。</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2.2.4磋商文件澄清、修改、补充通知内容均以发布的澄清、变更、补充公告内容为准。当磋商文件、修改补充通知、澄清内容相互矛盾时，以最后发出的通知或修改文件为准。</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2.2.5供应商应自行查看澄清或变更信息。</w:t>
      </w:r>
    </w:p>
    <w:p>
      <w:pPr>
        <w:tabs>
          <w:tab w:val="left" w:pos="900"/>
        </w:tabs>
        <w:spacing w:line="480" w:lineRule="exact"/>
        <w:ind w:firstLine="482" w:firstLineChars="200"/>
        <w:rPr>
          <w:rFonts w:ascii="宋体" w:hAnsi="宋体" w:eastAsia="宋体" w:cs="宋体"/>
          <w:b/>
          <w:bCs/>
          <w:color w:val="auto"/>
          <w:sz w:val="24"/>
          <w:szCs w:val="24"/>
          <w:highlight w:val="none"/>
        </w:rPr>
      </w:pPr>
      <w:bookmarkStart w:id="61" w:name="_Toc508875397"/>
      <w:bookmarkStart w:id="62" w:name="_Toc497233292"/>
      <w:r>
        <w:rPr>
          <w:rFonts w:hint="eastAsia" w:ascii="宋体" w:hAnsi="宋体" w:eastAsia="宋体" w:cs="宋体"/>
          <w:b/>
          <w:bCs/>
          <w:color w:val="auto"/>
          <w:sz w:val="24"/>
          <w:szCs w:val="24"/>
          <w:highlight w:val="none"/>
        </w:rPr>
        <w:t>2.3 磋商文件的修改</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2.3.1 在磋商截止时间5天前，采购人可以在电子交易系统中修改竞争性磋商文件，并以公告的形式告知所有潜在供应商。如果修改磋商文件的时间距磋商截止时间不足5天，相应延长磋商截止时间。</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2.3.2 采购人一旦对竞争性磋商文件作出了澄清、修改，即刻发生效力，采购人有关的补充文件，将作为竞争性磋商文件的组成部分。无论潜在的供应商是否实际收到该澄清和修改文件，磋商文件澄清、修改均对其具有约束力。同时，采购人和供应商的权利及义务将受到新的截止期的约束。</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2.3.4 修改（更正）或补充文件将作为竞争性磋商文件的组成部分，对所有供应商具有约束力。当竞争性磋商文件与修改（更正）或补充文件相矛盾时，以最后发出的修改（更正）或补充文件为准。</w:t>
      </w:r>
    </w:p>
    <w:p>
      <w:pPr>
        <w:tabs>
          <w:tab w:val="left" w:pos="900"/>
        </w:tabs>
        <w:spacing w:line="480" w:lineRule="exact"/>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3、响应文件</w:t>
      </w:r>
    </w:p>
    <w:p>
      <w:pPr>
        <w:tabs>
          <w:tab w:val="left" w:pos="900"/>
        </w:tabs>
        <w:spacing w:line="480" w:lineRule="exact"/>
        <w:ind w:firstLine="482" w:firstLineChars="200"/>
        <w:rPr>
          <w:rFonts w:ascii="宋体" w:hAnsi="宋体" w:eastAsia="宋体" w:cs="宋体"/>
          <w:b/>
          <w:color w:val="auto"/>
          <w:sz w:val="24"/>
          <w:szCs w:val="24"/>
          <w:highlight w:val="none"/>
        </w:rPr>
      </w:pPr>
      <w:bookmarkStart w:id="63" w:name="_Toc28446"/>
      <w:bookmarkStart w:id="64" w:name="_Toc466284492"/>
      <w:bookmarkStart w:id="65" w:name="_Toc270604616"/>
      <w:bookmarkStart w:id="66" w:name="_Toc269470344"/>
      <w:bookmarkStart w:id="67" w:name="_Toc380394506"/>
      <w:r>
        <w:rPr>
          <w:rFonts w:hint="eastAsia" w:ascii="宋体" w:hAnsi="宋体" w:eastAsia="宋体" w:cs="宋体"/>
          <w:b/>
          <w:color w:val="auto"/>
          <w:sz w:val="24"/>
          <w:szCs w:val="24"/>
          <w:highlight w:val="none"/>
        </w:rPr>
        <w:t>3.1 响应文件的组成</w:t>
      </w:r>
    </w:p>
    <w:p>
      <w:pPr>
        <w:tabs>
          <w:tab w:val="left" w:pos="900"/>
        </w:tabs>
        <w:spacing w:line="480" w:lineRule="exact"/>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3.1.1 响应文件应包括下列内容：</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 磋商函及磋商函附录</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法定代表人身份证明</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 授权委托书</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 磋商承诺函</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5已标价工程量清单</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6施工组织设计</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7项目管理机构</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8供应商基本情况</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9其他材料</w:t>
      </w:r>
    </w:p>
    <w:p>
      <w:pPr>
        <w:tabs>
          <w:tab w:val="left" w:pos="900"/>
        </w:tabs>
        <w:spacing w:line="480" w:lineRule="exact"/>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3.2 磋商报价</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3.2.1供应商的报价应含有所投项目、税费、交付后约定期限内免费后续等所发生的一切应有费用。</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本项目的报价应按照竞争磋商文件、补充通知、答疑纪要、现场情况、承包范围，并充分考虑国家政策性调整等风险系数，由各供应商根据自身情况，在合理范围内，自主考虑、优惠报价，但不得低于企业成本。</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3.2.2响应文件的磋商报价应是竞争性磋商文件所确定的磋商范围内的全部工作内容的价格体现。供应商应认真阅读竞争性磋商文件，根据竞争性磋商文件规定的内容，对本次磋商的全部工作内容进行磋商报价。磋商报价应包含验收合格正式交付使用前所发生的一切费用，且供应商只能提出一个不变价格，采购人不接受任何选择报价。</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3.2.3 磋商报价包括的风险范围为：供应商人应结合自身条件，并充分考虑本项目难度、工期的要求、质量要求以及市场因素、现场环境因素、社会因素、市场价格调整因素等各方面原因合理报价。但不得低于企业实际成本。   </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报价将被认为已综合考虑了在项目全过程中可能发生的全部不可预见费用。供应商未考虑到或漏算的项目，合同执行期间人员费用等相关的变动；各种原因工期工作时间延长，成交供应商无权再以任何理由提出延长工期、增加价款或索赔等要求。如果供应商对任何报价遗漏或未计，均被认为已包含在其他费用中，采购人不另行支付。</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3.2.4如磋商函中的大写金额和小写金额不一致的，以大写金额为准；总价金额与单价金额不一致的，以单价金额为准，但单价金额小数点有明显错误的除外；对不同文字文本磋商文件的解释发生异议的，以中文文本为准。</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3.2.5 全部报价均应以人民币为计量币种，并以人民币进行结算。</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3.2.6供应商在磋商报价前可以自行踏勘现场，充分考虑了现状条件可能影响到项目正常服务工作的所有风险因素。无论供应商是否进行了上述现场踏勘工作，其磋商报价中均将被认为已包含有在作业期间发生的全部不可预见的风险费用，供应商成交后则无权因此要求任何工期或费用上的索赔。</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3.2.7期间由于项目条件发生变化或供应商原因造成技术方案的更改，所增加的措施费用及周期一概不予调整，相应的费用供应商应在磋商报价中充分考虑，采购人不另支付。</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3.2.8增值税属不可竞争费用，如违背国家税收规定的，对未按规定计取增值税的供应商，其磋商报价按低于成本价处理。</w:t>
      </w:r>
    </w:p>
    <w:p>
      <w:pPr>
        <w:tabs>
          <w:tab w:val="left" w:pos="900"/>
        </w:tabs>
        <w:spacing w:line="480" w:lineRule="exact"/>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3.3 磋商有效期</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3.3.1 在供应商须知前附表规定的磋商有效期内，供应商不得要求撤销或修改其响应文件。</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3.3.2 出现特殊情况需要延长磋商有效期的，采购人以书面形式通知所有供应商延长磋商有效期。供应商同意延长的，不得要求或被允许修改或撤销其响应文件；供应商拒绝延长的，其磋商失效。</w:t>
      </w:r>
    </w:p>
    <w:p>
      <w:pPr>
        <w:tabs>
          <w:tab w:val="left" w:pos="900"/>
        </w:tabs>
        <w:spacing w:line="480" w:lineRule="exact"/>
        <w:ind w:firstLine="482" w:firstLineChars="200"/>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3.4 磋商保证金：</w:t>
      </w:r>
      <w:r>
        <w:rPr>
          <w:rFonts w:hint="eastAsia" w:ascii="宋体" w:hAnsi="宋体" w:eastAsia="宋体" w:cs="宋体"/>
          <w:color w:val="auto"/>
          <w:sz w:val="24"/>
          <w:szCs w:val="24"/>
          <w:highlight w:val="none"/>
        </w:rPr>
        <w:t>本项目不收取磋商保证金。</w:t>
      </w:r>
    </w:p>
    <w:p>
      <w:pPr>
        <w:tabs>
          <w:tab w:val="left" w:pos="900"/>
        </w:tabs>
        <w:spacing w:line="480" w:lineRule="exact"/>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3.5 资格审查资料：</w:t>
      </w:r>
      <w:r>
        <w:rPr>
          <w:rFonts w:hint="eastAsia" w:ascii="宋体" w:hAnsi="宋体" w:eastAsia="宋体" w:cs="宋体"/>
          <w:color w:val="auto"/>
          <w:sz w:val="24"/>
          <w:szCs w:val="24"/>
          <w:highlight w:val="none"/>
        </w:rPr>
        <w:t>详见供应商须知前附表</w:t>
      </w:r>
    </w:p>
    <w:p>
      <w:pPr>
        <w:tabs>
          <w:tab w:val="left" w:pos="900"/>
        </w:tabs>
        <w:spacing w:line="480" w:lineRule="exact"/>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3.6 响应文件的编制：</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3.6.1 响应文件应按第七章“响应文件格式”进行编写，如有必要，可以增加附页，作为响应文件的组成部分。其中，磋商函附录在满足磋商文件实质性要求的基础上，可以提出比磋商文件要求更有利于采购人的承诺。</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3.6.2 响应文件应当对磋商文件有关计划工期、磋商有效期、质量要求、磋商范围等实质性内容作出响应。</w:t>
      </w:r>
    </w:p>
    <w:p>
      <w:pPr>
        <w:tabs>
          <w:tab w:val="left" w:pos="900"/>
        </w:tabs>
        <w:spacing w:line="480" w:lineRule="exact"/>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3.7 响应文件的签署：</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3.7.1电子响应文件必须上传电子评标系统。</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3.7.2电子响应文件由供应商的法定代表人签字或盖章。</w:t>
      </w:r>
      <w:bookmarkStart w:id="68" w:name="_Toc184635074"/>
      <w:bookmarkEnd w:id="68"/>
    </w:p>
    <w:p>
      <w:pPr>
        <w:tabs>
          <w:tab w:val="left" w:pos="900"/>
        </w:tabs>
        <w:spacing w:line="480" w:lineRule="exact"/>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4、电子响应文件的递交</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4.1供应商应在规定的磋商截止时间前递交响应文件。</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4.2供应商递交响应文件的地点：见供应商须知前附表。</w:t>
      </w:r>
      <w:bookmarkStart w:id="69" w:name="_Toc466566696"/>
      <w:bookmarkEnd w:id="69"/>
      <w:bookmarkStart w:id="70" w:name="_Toc466566785"/>
      <w:bookmarkEnd w:id="70"/>
      <w:bookmarkStart w:id="71" w:name="_Toc184635075"/>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4.3 逾期送达或者未送达指定地点的响应文件，采购人不予受理。</w:t>
      </w:r>
      <w:bookmarkEnd w:id="71"/>
    </w:p>
    <w:p>
      <w:pPr>
        <w:tabs>
          <w:tab w:val="left" w:pos="900"/>
        </w:tabs>
        <w:spacing w:line="480" w:lineRule="exact"/>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5、磋商</w:t>
      </w:r>
    </w:p>
    <w:p>
      <w:pPr>
        <w:tabs>
          <w:tab w:val="left" w:pos="900"/>
        </w:tabs>
        <w:spacing w:line="480" w:lineRule="exact"/>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5.1 磋商时间和地点</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采购人在本磋商文件规定的响应文件递交截止时间（磋商时间）和地点竞争性磋商。</w:t>
      </w:r>
    </w:p>
    <w:p>
      <w:pPr>
        <w:tabs>
          <w:tab w:val="left" w:pos="900"/>
        </w:tabs>
        <w:spacing w:line="480" w:lineRule="exact"/>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5.2  磋商程序</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5.2.1采购人按须知前附表规定的时间和地点磋商；</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5.2.2本项目采用电子化、无纸化进行磋商；</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5.2.3响应文件有下列情况之一的,采购人将不予接收：</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5.2.3.1响应文件递交截止时间后上传的；</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5.2.4按照响应文件上传顺序进行解密；</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5.2.5经确认无误后，按照报送时间顺序确定磋商顺序；</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5.2.6磋商时供应商可登录到交易系统中在磋商解密栏中点击磋商一览表查看自己的磋商报价。如对磋商过程有异议的，应在供应商解密成功后20分钟内向中介服务机构电话质疑。</w:t>
      </w:r>
    </w:p>
    <w:p>
      <w:pPr>
        <w:tabs>
          <w:tab w:val="left" w:pos="900"/>
        </w:tabs>
        <w:spacing w:line="480" w:lineRule="exact"/>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6、 磋商细则</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6.1采购人按照上传响应文件时间的顺序，决定磋商顺序；</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6.2磋商小组所有成员在指定时间和地点与各供应商单独进行磋商。每位供应商有3-5分钟时间回答磋商小组以交易中心系统电子形式的提问。在磋商中，磋商的任何一方不得透露与磋商有关的其他供应商的技术资料、价格和其他信息。磋商文件有实质性变动的，磋商小组应当以三门峡公共资源交易中心系统电子形式通知所有参加磋商的供应商。</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6.3本次磋商中，响应文件中的磋商报价为第一次报价。</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6.4供应商在磋商小组规定的时间内进行第二次报价，通过交易中心系统以电子形式递交，第二次报价为最终报价。</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6.5本项目采用综合评分法，磋商小组成员综合评审各供应商提交的响应文件，按总得分由高到低的顺序推荐3名成交候选人，并编写评审报告。</w:t>
      </w:r>
    </w:p>
    <w:p>
      <w:pPr>
        <w:tabs>
          <w:tab w:val="left" w:pos="900"/>
        </w:tabs>
        <w:spacing w:line="480" w:lineRule="exact"/>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7、磋商注意事项</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7.1磋商小组由采购人依法组建，负责磋商。根据《政府采购竞争性磋商采购方式管理办法》的规定，磋商小组应当履行以下义务：</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（一）遵纪守法，客观、公正、廉洁地履行职责；</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（二）根据竞争性磋商文件的规定独立进行评审，对个人的评审意见承担法律责任；</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（三）参与磋商报告的起草；</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（四）配合采购人、采购代理机构答复供应商提出的质疑；</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（五）配合财政部门的投诉处理和监督检查工作。</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7.2磋商小组由采购人代表和有关技术、经济方面的专家组成。磋商小组人数及技术、经济专家的确定方式见供应商须知前附表。</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7.3 磋商原则</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7.3.1严格按照竞争性磋商文件中的所有相关规定；按照“公平、公正、科学”的原则进行磋商。</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7.3.2反对不正当竞争。</w:t>
      </w:r>
    </w:p>
    <w:p>
      <w:pPr>
        <w:tabs>
          <w:tab w:val="left" w:pos="900"/>
        </w:tabs>
        <w:spacing w:line="480" w:lineRule="exact"/>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8、磋商过程的保密</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8.1响应文件的审查、澄清、评价和比较的有关资料以及成交候选人的推荐情况，与磋商有关的其他任何情况均应严格保密。</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8.2在响应文件的评审和比较、成交候选人推荐以及授予合同的过程中，供应商向采购人和磋商小组施加影响的任何行为，都将会导致其磋商被拒绝。</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8.3采购人不对未成交供应商就磋商过程以及未能成交原因作出任何解释。未成交供应商不得向磋商小组成员和其他有关人员索问磋商过程的情况和资料。</w:t>
      </w:r>
    </w:p>
    <w:p>
      <w:pPr>
        <w:tabs>
          <w:tab w:val="left" w:pos="900"/>
        </w:tabs>
        <w:spacing w:line="480" w:lineRule="exact"/>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9、响应文件的澄清</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可以要求供应商对其响应文件中含义不明确的内容作必要的澄清或说明。供应商澄清和说明不得超出响应文件的范围或者改变响应文件实质性内容。凡属于磋商小组在磋商发现的计算错误并进行核实的修改不在此列。</w:t>
      </w:r>
    </w:p>
    <w:p>
      <w:pPr>
        <w:tabs>
          <w:tab w:val="left" w:pos="900"/>
        </w:tabs>
        <w:spacing w:line="480" w:lineRule="exact"/>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10、响应文件的初步评审</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10.1根据初步评审要求经审查有效的响应文件，才能提交磋商小组进行评审。</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10.2磋商小组首先评定每份响应文件是否实质上响应了竞争性磋商文件的要求。所谓实质上响应，是指响应文件与竞争性磋商文件的所有实质性条款、条件和要求相符，无显著差异或保留，或者对合同中约定的采购人的权利和供应商的义务方面造成重大的限制，纠正这些差异或保留，将会对其他实质上响应竞争性磋商文件要求的供应商的竞争地位产生不公正的影响。</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10.3如果响应文件实质上不响应竞争性磋商文件的要求，采购人将予以拒绝，并且不允许供应商通过修改或撤消其不符合要求的差异或保留，使之成为具有响应性的磋商。</w:t>
      </w:r>
    </w:p>
    <w:p>
      <w:pPr>
        <w:tabs>
          <w:tab w:val="left" w:pos="900"/>
        </w:tabs>
        <w:spacing w:line="480" w:lineRule="exact"/>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11、响应文件计算错误的修正</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11.1磋商小组将对确定为实质上响应竞争性磋商文件要求的响应文件进行校核，看其是否有计算或表达上的错误，修正错误的原则如下：</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11.1.1如果数字表示的金额和用文字表示的金额不一致时，应以文字表示的金额为准；</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11.1.2当单价与数量的乘积与合价不一致时，以单价为准，除非磋商小组认为单价有明显的小数点错误，此时应以标出的合价为准，并修改单价。</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11.2按上述修正错误的原则及方法调整或修正响应文件的磋商报价，供应商同意后，调整后的磋商报价对供应商起约束作用。如果供应商不接受修正后的报价，则磋商小组对其不再进行评审。</w:t>
      </w:r>
    </w:p>
    <w:p>
      <w:pPr>
        <w:tabs>
          <w:tab w:val="left" w:pos="900"/>
        </w:tabs>
        <w:spacing w:line="480" w:lineRule="exact"/>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12、响应文件的评审、比较和否决</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12.1磋商小组仅对在实质上响应竞争性磋商文件要求的响应文件进行评估和比较。</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12.2在磋商过程中，磋商小组发现供应商的磋商报价明显低于其他供应商的报价，并有可能低于其企业成本的，则磋商小组可以要求该供应商作出说明并提供相关证明材料。供应商不能合理说明或不能提供相关证明材料的，磋商小组对其响应文件不再进行评审。</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12.3在首轮磋商的基础上，磋商小组讨论、分析、综合各种因素后，决定是否与各方再次进行磋商。 </w:t>
      </w:r>
    </w:p>
    <w:p>
      <w:pPr>
        <w:tabs>
          <w:tab w:val="left" w:pos="900"/>
        </w:tabs>
        <w:spacing w:line="480" w:lineRule="exact"/>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13、定标</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磋商小组成员综合评审各供应商提交的响应文件，按总得分由高到低的顺序推荐3名成交候选人。</w:t>
      </w:r>
    </w:p>
    <w:p>
      <w:pPr>
        <w:tabs>
          <w:tab w:val="left" w:pos="900"/>
        </w:tabs>
        <w:spacing w:line="480" w:lineRule="exact"/>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14、合同的授予</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14.1合同授予标准</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本磋商项目的合同将授予按本须知办法确定的成交供应商。</w:t>
      </w:r>
    </w:p>
    <w:p>
      <w:pPr>
        <w:tabs>
          <w:tab w:val="left" w:pos="900"/>
        </w:tabs>
        <w:spacing w:line="480" w:lineRule="exact"/>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15、成交通知书</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15.l成交供应商确定后，采购人将向成交供应商发出成交通知书。</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15.2成交通知书是合同的组成部分。</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15.3采购人将在发出成交通知书的同时，将成交结果通知所有未成交的供应商。</w:t>
      </w:r>
    </w:p>
    <w:p>
      <w:pPr>
        <w:tabs>
          <w:tab w:val="left" w:pos="900"/>
        </w:tabs>
        <w:spacing w:line="480" w:lineRule="exact"/>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16、合同协议书的签订</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16.l采购人与成交供应商将于成交通知书发出之日起30日内，按照竞争性磋商文件和成交供应商的响应文件签订合同。</w:t>
      </w:r>
    </w:p>
    <w:p>
      <w:pPr>
        <w:tabs>
          <w:tab w:val="left" w:pos="900"/>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16.2成交供应商无正当理由拒签合同的，则采购人将废除授标，同时依法承担相应的法律责任。</w:t>
      </w:r>
      <w:bookmarkEnd w:id="61"/>
      <w:bookmarkEnd w:id="62"/>
      <w:bookmarkEnd w:id="63"/>
      <w:bookmarkEnd w:id="64"/>
      <w:bookmarkEnd w:id="65"/>
      <w:bookmarkEnd w:id="66"/>
      <w:bookmarkEnd w:id="67"/>
      <w:bookmarkStart w:id="72" w:name="_Toc7104349"/>
    </w:p>
    <w:p>
      <w:pP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pPr>
        <w:spacing w:line="560" w:lineRule="exact"/>
        <w:jc w:val="center"/>
        <w:outlineLvl w:val="0"/>
        <w:rPr>
          <w:rFonts w:ascii="宋体" w:hAnsi="宋体" w:eastAsia="宋体" w:cs="宋体"/>
          <w:b/>
          <w:bCs/>
          <w:color w:val="auto"/>
          <w:sz w:val="32"/>
          <w:szCs w:val="32"/>
          <w:highlight w:val="none"/>
        </w:rPr>
      </w:pPr>
      <w:bookmarkStart w:id="73" w:name="_Toc27955"/>
      <w:r>
        <w:rPr>
          <w:rFonts w:hint="eastAsia" w:ascii="宋体" w:hAnsi="宋体" w:eastAsia="宋体" w:cs="宋体"/>
          <w:b/>
          <w:bCs/>
          <w:color w:val="auto"/>
          <w:sz w:val="32"/>
          <w:szCs w:val="32"/>
          <w:highlight w:val="none"/>
        </w:rPr>
        <w:t>第三章 磋商办法</w:t>
      </w:r>
      <w:bookmarkEnd w:id="72"/>
      <w:bookmarkEnd w:id="73"/>
    </w:p>
    <w:p>
      <w:pPr>
        <w:spacing w:line="560" w:lineRule="exact"/>
        <w:jc w:val="center"/>
        <w:outlineLvl w:val="0"/>
        <w:rPr>
          <w:rFonts w:ascii="宋体" w:hAnsi="宋体" w:eastAsia="宋体" w:cs="宋体"/>
          <w:b/>
          <w:bCs/>
          <w:color w:val="auto"/>
          <w:sz w:val="28"/>
          <w:szCs w:val="28"/>
          <w:highlight w:val="none"/>
        </w:rPr>
      </w:pPr>
      <w:bookmarkStart w:id="74" w:name="_Toc32421"/>
      <w:bookmarkStart w:id="75" w:name="_Toc10269"/>
      <w:r>
        <w:rPr>
          <w:rFonts w:hint="eastAsia" w:ascii="宋体" w:hAnsi="宋体" w:eastAsia="宋体" w:cs="宋体"/>
          <w:b/>
          <w:bCs/>
          <w:color w:val="auto"/>
          <w:sz w:val="28"/>
          <w:szCs w:val="28"/>
          <w:highlight w:val="none"/>
        </w:rPr>
        <w:t>磋商办法前附表</w:t>
      </w:r>
      <w:bookmarkEnd w:id="74"/>
      <w:bookmarkEnd w:id="75"/>
    </w:p>
    <w:tbl>
      <w:tblPr>
        <w:tblStyle w:val="13"/>
        <w:tblW w:w="10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17"/>
        <w:gridCol w:w="1225"/>
        <w:gridCol w:w="2195"/>
        <w:gridCol w:w="5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224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68" w:firstLineChars="28"/>
              <w:jc w:val="center"/>
              <w:rPr>
                <w:rFonts w:ascii="宋体" w:hAnsi="宋体" w:eastAsia="宋体" w:cs="宋体"/>
                <w:b/>
                <w:color w:val="auto"/>
                <w:spacing w:val="1"/>
                <w:kern w:val="0"/>
                <w:sz w:val="24"/>
                <w:szCs w:val="24"/>
                <w:highlight w:val="none"/>
              </w:rPr>
            </w:pPr>
            <w:r>
              <w:rPr>
                <w:rFonts w:hint="eastAsia" w:ascii="宋体" w:hAnsi="宋体" w:eastAsia="宋体" w:cs="宋体"/>
                <w:b/>
                <w:color w:val="auto"/>
                <w:spacing w:val="1"/>
                <w:kern w:val="0"/>
                <w:sz w:val="24"/>
                <w:szCs w:val="24"/>
                <w:highlight w:val="none"/>
              </w:rPr>
              <w:t>条款号</w:t>
            </w:r>
          </w:p>
        </w:tc>
        <w:tc>
          <w:tcPr>
            <w:tcW w:w="219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68" w:firstLineChars="28"/>
              <w:jc w:val="center"/>
              <w:rPr>
                <w:rFonts w:ascii="宋体" w:hAnsi="宋体" w:eastAsia="宋体" w:cs="宋体"/>
                <w:b/>
                <w:color w:val="auto"/>
                <w:spacing w:val="1"/>
                <w:kern w:val="0"/>
                <w:sz w:val="24"/>
                <w:szCs w:val="24"/>
                <w:highlight w:val="none"/>
              </w:rPr>
            </w:pPr>
            <w:r>
              <w:rPr>
                <w:rFonts w:hint="eastAsia" w:ascii="宋体" w:hAnsi="宋体" w:eastAsia="宋体" w:cs="宋体"/>
                <w:b/>
                <w:color w:val="auto"/>
                <w:spacing w:val="1"/>
                <w:kern w:val="0"/>
                <w:sz w:val="24"/>
                <w:szCs w:val="24"/>
                <w:highlight w:val="none"/>
              </w:rPr>
              <w:t>评审因素</w:t>
            </w:r>
          </w:p>
        </w:tc>
        <w:tc>
          <w:tcPr>
            <w:tcW w:w="56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68" w:firstLineChars="28"/>
              <w:jc w:val="center"/>
              <w:rPr>
                <w:rFonts w:ascii="宋体" w:hAnsi="宋体" w:eastAsia="宋体" w:cs="宋体"/>
                <w:b/>
                <w:color w:val="auto"/>
                <w:spacing w:val="1"/>
                <w:kern w:val="0"/>
                <w:sz w:val="24"/>
                <w:szCs w:val="24"/>
                <w:highlight w:val="none"/>
              </w:rPr>
            </w:pPr>
            <w:r>
              <w:rPr>
                <w:rFonts w:hint="eastAsia" w:ascii="宋体" w:hAnsi="宋体" w:eastAsia="宋体" w:cs="宋体"/>
                <w:b/>
                <w:color w:val="auto"/>
                <w:spacing w:val="1"/>
                <w:kern w:val="0"/>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17" w:type="dxa"/>
            <w:vMerge w:val="restart"/>
            <w:tcBorders>
              <w:top w:val="single" w:color="auto" w:sz="4" w:space="0"/>
            </w:tcBorders>
            <w:vAlign w:val="center"/>
          </w:tcPr>
          <w:p>
            <w:pPr>
              <w:autoSpaceDE w:val="0"/>
              <w:autoSpaceDN w:val="0"/>
              <w:adjustRightInd w:val="0"/>
              <w:spacing w:line="400" w:lineRule="exact"/>
              <w:ind w:firstLine="67" w:firstLineChars="28"/>
              <w:jc w:val="center"/>
              <w:rPr>
                <w:rFonts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1.1.1</w:t>
            </w:r>
          </w:p>
        </w:tc>
        <w:tc>
          <w:tcPr>
            <w:tcW w:w="1225" w:type="dxa"/>
            <w:vMerge w:val="restart"/>
            <w:tcBorders>
              <w:top w:val="single" w:color="auto" w:sz="4" w:space="0"/>
            </w:tcBorders>
            <w:vAlign w:val="center"/>
          </w:tcPr>
          <w:p>
            <w:pPr>
              <w:autoSpaceDE w:val="0"/>
              <w:autoSpaceDN w:val="0"/>
              <w:adjustRightInd w:val="0"/>
              <w:spacing w:line="400" w:lineRule="exact"/>
              <w:ind w:firstLine="67" w:firstLineChars="28"/>
              <w:jc w:val="center"/>
              <w:rPr>
                <w:rFonts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符合性评审标准</w:t>
            </w:r>
          </w:p>
        </w:tc>
        <w:tc>
          <w:tcPr>
            <w:tcW w:w="2195" w:type="dxa"/>
            <w:tcBorders>
              <w:top w:val="single" w:color="auto" w:sz="4" w:space="0"/>
            </w:tcBorders>
            <w:vAlign w:val="center"/>
          </w:tcPr>
          <w:p>
            <w:pPr>
              <w:autoSpaceDE w:val="0"/>
              <w:autoSpaceDN w:val="0"/>
              <w:adjustRightInd w:val="0"/>
              <w:spacing w:line="400" w:lineRule="exact"/>
              <w:ind w:firstLine="67" w:firstLineChars="28"/>
              <w:jc w:val="center"/>
              <w:rPr>
                <w:rFonts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供应商名称</w:t>
            </w:r>
          </w:p>
        </w:tc>
        <w:tc>
          <w:tcPr>
            <w:tcW w:w="5697" w:type="dxa"/>
            <w:tcBorders>
              <w:top w:val="single" w:color="auto" w:sz="4" w:space="0"/>
            </w:tcBorders>
            <w:vAlign w:val="center"/>
          </w:tcPr>
          <w:p>
            <w:pPr>
              <w:autoSpaceDE w:val="0"/>
              <w:autoSpaceDN w:val="0"/>
              <w:adjustRightInd w:val="0"/>
              <w:spacing w:line="400" w:lineRule="exact"/>
              <w:ind w:firstLine="67" w:firstLineChars="28"/>
              <w:jc w:val="left"/>
              <w:rPr>
                <w:rFonts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与营业执照、资质证书、安全生产许可证一致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17" w:type="dxa"/>
            <w:vMerge w:val="continue"/>
            <w:vAlign w:val="center"/>
          </w:tcPr>
          <w:p>
            <w:pPr>
              <w:autoSpaceDE w:val="0"/>
              <w:autoSpaceDN w:val="0"/>
              <w:adjustRightInd w:val="0"/>
              <w:spacing w:line="400" w:lineRule="exact"/>
              <w:ind w:firstLine="67" w:firstLineChars="28"/>
              <w:jc w:val="center"/>
              <w:rPr>
                <w:rFonts w:ascii="宋体" w:hAnsi="宋体" w:eastAsia="宋体" w:cs="宋体"/>
                <w:color w:val="auto"/>
                <w:spacing w:val="1"/>
                <w:kern w:val="0"/>
                <w:sz w:val="24"/>
                <w:szCs w:val="24"/>
                <w:highlight w:val="none"/>
              </w:rPr>
            </w:pPr>
          </w:p>
        </w:tc>
        <w:tc>
          <w:tcPr>
            <w:tcW w:w="1225" w:type="dxa"/>
            <w:vMerge w:val="continue"/>
            <w:vAlign w:val="center"/>
          </w:tcPr>
          <w:p>
            <w:pPr>
              <w:autoSpaceDE w:val="0"/>
              <w:autoSpaceDN w:val="0"/>
              <w:adjustRightInd w:val="0"/>
              <w:spacing w:line="400" w:lineRule="exact"/>
              <w:ind w:firstLine="67" w:firstLineChars="28"/>
              <w:jc w:val="center"/>
              <w:rPr>
                <w:rFonts w:ascii="宋体" w:hAnsi="宋体" w:eastAsia="宋体" w:cs="宋体"/>
                <w:color w:val="auto"/>
                <w:spacing w:val="1"/>
                <w:kern w:val="0"/>
                <w:sz w:val="24"/>
                <w:szCs w:val="24"/>
                <w:highlight w:val="none"/>
              </w:rPr>
            </w:pPr>
          </w:p>
        </w:tc>
        <w:tc>
          <w:tcPr>
            <w:tcW w:w="2195" w:type="dxa"/>
            <w:vAlign w:val="center"/>
          </w:tcPr>
          <w:p>
            <w:pPr>
              <w:autoSpaceDE w:val="0"/>
              <w:autoSpaceDN w:val="0"/>
              <w:adjustRightInd w:val="0"/>
              <w:spacing w:line="400" w:lineRule="exact"/>
              <w:ind w:firstLine="67" w:firstLineChars="28"/>
              <w:jc w:val="center"/>
              <w:rPr>
                <w:rFonts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磋商函盖章</w:t>
            </w:r>
          </w:p>
        </w:tc>
        <w:tc>
          <w:tcPr>
            <w:tcW w:w="5697" w:type="dxa"/>
            <w:vAlign w:val="center"/>
          </w:tcPr>
          <w:p>
            <w:pPr>
              <w:autoSpaceDE w:val="0"/>
              <w:autoSpaceDN w:val="0"/>
              <w:adjustRightInd w:val="0"/>
              <w:spacing w:line="400" w:lineRule="exact"/>
              <w:ind w:firstLine="9" w:firstLineChars="4"/>
              <w:jc w:val="left"/>
              <w:rPr>
                <w:rFonts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加盖单位章并有法定代表人签章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17" w:type="dxa"/>
            <w:vMerge w:val="continue"/>
            <w:vAlign w:val="center"/>
          </w:tcPr>
          <w:p>
            <w:pPr>
              <w:autoSpaceDE w:val="0"/>
              <w:autoSpaceDN w:val="0"/>
              <w:adjustRightInd w:val="0"/>
              <w:spacing w:line="400" w:lineRule="exact"/>
              <w:ind w:firstLine="67" w:firstLineChars="28"/>
              <w:jc w:val="center"/>
              <w:rPr>
                <w:rFonts w:ascii="宋体" w:hAnsi="宋体" w:eastAsia="宋体" w:cs="宋体"/>
                <w:color w:val="auto"/>
                <w:spacing w:val="1"/>
                <w:kern w:val="0"/>
                <w:sz w:val="24"/>
                <w:szCs w:val="24"/>
                <w:highlight w:val="none"/>
              </w:rPr>
            </w:pPr>
          </w:p>
        </w:tc>
        <w:tc>
          <w:tcPr>
            <w:tcW w:w="1225" w:type="dxa"/>
            <w:vMerge w:val="continue"/>
            <w:vAlign w:val="center"/>
          </w:tcPr>
          <w:p>
            <w:pPr>
              <w:autoSpaceDE w:val="0"/>
              <w:autoSpaceDN w:val="0"/>
              <w:adjustRightInd w:val="0"/>
              <w:spacing w:line="400" w:lineRule="exact"/>
              <w:ind w:firstLine="67" w:firstLineChars="28"/>
              <w:jc w:val="center"/>
              <w:rPr>
                <w:rFonts w:ascii="宋体" w:hAnsi="宋体" w:eastAsia="宋体" w:cs="宋体"/>
                <w:color w:val="auto"/>
                <w:spacing w:val="1"/>
                <w:kern w:val="0"/>
                <w:sz w:val="24"/>
                <w:szCs w:val="24"/>
                <w:highlight w:val="none"/>
              </w:rPr>
            </w:pPr>
          </w:p>
        </w:tc>
        <w:tc>
          <w:tcPr>
            <w:tcW w:w="2195" w:type="dxa"/>
            <w:vAlign w:val="center"/>
          </w:tcPr>
          <w:p>
            <w:pPr>
              <w:autoSpaceDE w:val="0"/>
              <w:autoSpaceDN w:val="0"/>
              <w:adjustRightInd w:val="0"/>
              <w:spacing w:line="400" w:lineRule="exact"/>
              <w:ind w:firstLine="67" w:firstLineChars="28"/>
              <w:jc w:val="center"/>
              <w:rPr>
                <w:rFonts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报价唯一</w:t>
            </w:r>
          </w:p>
        </w:tc>
        <w:tc>
          <w:tcPr>
            <w:tcW w:w="5697" w:type="dxa"/>
            <w:vAlign w:val="center"/>
          </w:tcPr>
          <w:p>
            <w:pPr>
              <w:autoSpaceDE w:val="0"/>
              <w:autoSpaceDN w:val="0"/>
              <w:adjustRightInd w:val="0"/>
              <w:spacing w:line="400" w:lineRule="exact"/>
              <w:ind w:firstLine="67" w:firstLineChars="28"/>
              <w:jc w:val="left"/>
              <w:rPr>
                <w:rFonts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只能有一个有效报价，且不超过最高限价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17" w:type="dxa"/>
            <w:vMerge w:val="restart"/>
            <w:vAlign w:val="center"/>
          </w:tcPr>
          <w:p>
            <w:pPr>
              <w:autoSpaceDE w:val="0"/>
              <w:autoSpaceDN w:val="0"/>
              <w:adjustRightInd w:val="0"/>
              <w:spacing w:line="400" w:lineRule="exact"/>
              <w:ind w:firstLine="67" w:firstLineChars="28"/>
              <w:jc w:val="center"/>
              <w:rPr>
                <w:rFonts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1.1.2</w:t>
            </w:r>
          </w:p>
        </w:tc>
        <w:tc>
          <w:tcPr>
            <w:tcW w:w="1225" w:type="dxa"/>
            <w:vMerge w:val="restart"/>
            <w:vAlign w:val="center"/>
          </w:tcPr>
          <w:p>
            <w:pPr>
              <w:autoSpaceDE w:val="0"/>
              <w:autoSpaceDN w:val="0"/>
              <w:adjustRightInd w:val="0"/>
              <w:spacing w:line="400" w:lineRule="exact"/>
              <w:ind w:firstLine="67" w:firstLineChars="28"/>
              <w:jc w:val="center"/>
              <w:rPr>
                <w:rFonts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资格评审标准</w:t>
            </w:r>
          </w:p>
        </w:tc>
        <w:tc>
          <w:tcPr>
            <w:tcW w:w="2195" w:type="dxa"/>
            <w:vAlign w:val="center"/>
          </w:tcPr>
          <w:p>
            <w:pPr>
              <w:autoSpaceDE w:val="0"/>
              <w:autoSpaceDN w:val="0"/>
              <w:adjustRightInd w:val="0"/>
              <w:spacing w:line="400" w:lineRule="exact"/>
              <w:ind w:firstLine="67" w:firstLineChars="28"/>
              <w:jc w:val="center"/>
              <w:rPr>
                <w:rFonts w:ascii="宋体" w:hAnsi="宋体" w:eastAsia="宋体" w:cs="宋体"/>
                <w:b/>
                <w:bCs/>
                <w:color w:val="auto"/>
                <w:spacing w:val="1"/>
                <w:kern w:val="0"/>
                <w:sz w:val="24"/>
                <w:szCs w:val="24"/>
                <w:highlight w:val="none"/>
              </w:rPr>
            </w:pPr>
            <w:r>
              <w:rPr>
                <w:rFonts w:hint="eastAsia" w:ascii="宋体" w:hAnsi="宋体" w:eastAsia="宋体" w:cs="宋体"/>
                <w:color w:val="auto"/>
                <w:spacing w:val="1"/>
                <w:kern w:val="0"/>
                <w:sz w:val="24"/>
                <w:szCs w:val="24"/>
                <w:highlight w:val="none"/>
              </w:rPr>
              <w:t>营业执照</w:t>
            </w:r>
          </w:p>
        </w:tc>
        <w:tc>
          <w:tcPr>
            <w:tcW w:w="5697" w:type="dxa"/>
            <w:vAlign w:val="center"/>
          </w:tcPr>
          <w:p>
            <w:pPr>
              <w:autoSpaceDE w:val="0"/>
              <w:autoSpaceDN w:val="0"/>
              <w:adjustRightInd w:val="0"/>
              <w:spacing w:line="400" w:lineRule="exact"/>
              <w:ind w:firstLine="67" w:firstLineChars="28"/>
              <w:jc w:val="left"/>
              <w:rPr>
                <w:rFonts w:ascii="宋体" w:hAnsi="宋体" w:eastAsia="宋体" w:cs="宋体"/>
                <w:color w:val="auto"/>
                <w:spacing w:val="1"/>
                <w:kern w:val="0"/>
                <w:sz w:val="24"/>
                <w:szCs w:val="24"/>
                <w:highlight w:val="none"/>
              </w:rPr>
            </w:pPr>
            <w:r>
              <w:rPr>
                <w:rFonts w:hint="eastAsia" w:ascii="宋体" w:hAnsi="宋体" w:eastAsia="宋体" w:cs="宋体"/>
                <w:color w:val="auto"/>
                <w:kern w:val="0"/>
                <w:sz w:val="24"/>
                <w:szCs w:val="24"/>
                <w:highlight w:val="none"/>
              </w:rPr>
              <w:t>供应商须具备独立法人资格，具有有效的营业执照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17" w:type="dxa"/>
            <w:vMerge w:val="continue"/>
            <w:vAlign w:val="center"/>
          </w:tcPr>
          <w:p>
            <w:pPr>
              <w:autoSpaceDE w:val="0"/>
              <w:autoSpaceDN w:val="0"/>
              <w:adjustRightInd w:val="0"/>
              <w:spacing w:line="400" w:lineRule="exact"/>
              <w:ind w:firstLine="67" w:firstLineChars="28"/>
              <w:jc w:val="center"/>
              <w:rPr>
                <w:rFonts w:ascii="宋体" w:hAnsi="宋体" w:eastAsia="宋体" w:cs="宋体"/>
                <w:color w:val="auto"/>
                <w:spacing w:val="1"/>
                <w:kern w:val="0"/>
                <w:sz w:val="24"/>
                <w:szCs w:val="24"/>
                <w:highlight w:val="none"/>
              </w:rPr>
            </w:pPr>
          </w:p>
        </w:tc>
        <w:tc>
          <w:tcPr>
            <w:tcW w:w="1225" w:type="dxa"/>
            <w:vMerge w:val="continue"/>
            <w:vAlign w:val="center"/>
          </w:tcPr>
          <w:p>
            <w:pPr>
              <w:autoSpaceDE w:val="0"/>
              <w:autoSpaceDN w:val="0"/>
              <w:adjustRightInd w:val="0"/>
              <w:spacing w:line="400" w:lineRule="exact"/>
              <w:ind w:firstLine="67" w:firstLineChars="28"/>
              <w:jc w:val="center"/>
              <w:rPr>
                <w:rFonts w:ascii="宋体" w:hAnsi="宋体" w:eastAsia="宋体" w:cs="宋体"/>
                <w:color w:val="auto"/>
                <w:spacing w:val="1"/>
                <w:kern w:val="0"/>
                <w:sz w:val="24"/>
                <w:szCs w:val="24"/>
                <w:highlight w:val="none"/>
              </w:rPr>
            </w:pPr>
          </w:p>
        </w:tc>
        <w:tc>
          <w:tcPr>
            <w:tcW w:w="2195" w:type="dxa"/>
            <w:vAlign w:val="center"/>
          </w:tcPr>
          <w:p>
            <w:pPr>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供应商资质</w:t>
            </w:r>
          </w:p>
        </w:tc>
        <w:tc>
          <w:tcPr>
            <w:tcW w:w="5697" w:type="dxa"/>
            <w:vAlign w:val="center"/>
          </w:tcPr>
          <w:p>
            <w:pPr>
              <w:snapToGrid w:val="0"/>
              <w:spacing w:line="400" w:lineRule="exact"/>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供应商须具有公路工程施工总承包叁级（含叁级）及以上资质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17" w:type="dxa"/>
            <w:vMerge w:val="continue"/>
            <w:vAlign w:val="center"/>
          </w:tcPr>
          <w:p>
            <w:pPr>
              <w:autoSpaceDE w:val="0"/>
              <w:autoSpaceDN w:val="0"/>
              <w:adjustRightInd w:val="0"/>
              <w:spacing w:line="400" w:lineRule="exact"/>
              <w:ind w:firstLine="67" w:firstLineChars="28"/>
              <w:jc w:val="center"/>
              <w:rPr>
                <w:rFonts w:ascii="宋体" w:hAnsi="宋体" w:eastAsia="宋体" w:cs="宋体"/>
                <w:color w:val="auto"/>
                <w:spacing w:val="1"/>
                <w:kern w:val="0"/>
                <w:sz w:val="24"/>
                <w:szCs w:val="24"/>
                <w:highlight w:val="none"/>
              </w:rPr>
            </w:pPr>
          </w:p>
        </w:tc>
        <w:tc>
          <w:tcPr>
            <w:tcW w:w="1225" w:type="dxa"/>
            <w:vMerge w:val="continue"/>
            <w:vAlign w:val="center"/>
          </w:tcPr>
          <w:p>
            <w:pPr>
              <w:autoSpaceDE w:val="0"/>
              <w:autoSpaceDN w:val="0"/>
              <w:adjustRightInd w:val="0"/>
              <w:spacing w:line="400" w:lineRule="exact"/>
              <w:ind w:firstLine="67" w:firstLineChars="28"/>
              <w:jc w:val="center"/>
              <w:rPr>
                <w:rFonts w:ascii="宋体" w:hAnsi="宋体" w:eastAsia="宋体" w:cs="宋体"/>
                <w:color w:val="auto"/>
                <w:spacing w:val="1"/>
                <w:kern w:val="0"/>
                <w:sz w:val="24"/>
                <w:szCs w:val="24"/>
                <w:highlight w:val="none"/>
              </w:rPr>
            </w:pPr>
          </w:p>
        </w:tc>
        <w:tc>
          <w:tcPr>
            <w:tcW w:w="2195" w:type="dxa"/>
            <w:vAlign w:val="center"/>
          </w:tcPr>
          <w:p>
            <w:pPr>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安全生产许可证</w:t>
            </w:r>
          </w:p>
        </w:tc>
        <w:tc>
          <w:tcPr>
            <w:tcW w:w="5697" w:type="dxa"/>
            <w:vAlign w:val="center"/>
          </w:tcPr>
          <w:p>
            <w:pPr>
              <w:snapToGrid w:val="0"/>
              <w:spacing w:line="400" w:lineRule="exact"/>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具有有效的安全生产许可证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17" w:type="dxa"/>
            <w:vMerge w:val="continue"/>
            <w:vAlign w:val="center"/>
          </w:tcPr>
          <w:p>
            <w:pPr>
              <w:autoSpaceDE w:val="0"/>
              <w:autoSpaceDN w:val="0"/>
              <w:adjustRightInd w:val="0"/>
              <w:spacing w:line="400" w:lineRule="exact"/>
              <w:ind w:firstLine="67" w:firstLineChars="28"/>
              <w:jc w:val="center"/>
              <w:rPr>
                <w:rFonts w:ascii="宋体" w:hAnsi="宋体" w:eastAsia="宋体" w:cs="宋体"/>
                <w:color w:val="auto"/>
                <w:spacing w:val="1"/>
                <w:kern w:val="0"/>
                <w:sz w:val="24"/>
                <w:szCs w:val="24"/>
                <w:highlight w:val="none"/>
              </w:rPr>
            </w:pPr>
          </w:p>
        </w:tc>
        <w:tc>
          <w:tcPr>
            <w:tcW w:w="1225" w:type="dxa"/>
            <w:vMerge w:val="continue"/>
            <w:vAlign w:val="center"/>
          </w:tcPr>
          <w:p>
            <w:pPr>
              <w:autoSpaceDE w:val="0"/>
              <w:autoSpaceDN w:val="0"/>
              <w:adjustRightInd w:val="0"/>
              <w:spacing w:line="400" w:lineRule="exact"/>
              <w:ind w:firstLine="67" w:firstLineChars="28"/>
              <w:jc w:val="center"/>
              <w:rPr>
                <w:rFonts w:ascii="宋体" w:hAnsi="宋体" w:eastAsia="宋体" w:cs="宋体"/>
                <w:color w:val="auto"/>
                <w:spacing w:val="1"/>
                <w:kern w:val="0"/>
                <w:sz w:val="24"/>
                <w:szCs w:val="24"/>
                <w:highlight w:val="none"/>
              </w:rPr>
            </w:pPr>
          </w:p>
        </w:tc>
        <w:tc>
          <w:tcPr>
            <w:tcW w:w="2195" w:type="dxa"/>
            <w:vAlign w:val="center"/>
          </w:tcPr>
          <w:p>
            <w:pPr>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项目经理</w:t>
            </w:r>
          </w:p>
        </w:tc>
        <w:tc>
          <w:tcPr>
            <w:tcW w:w="5697" w:type="dxa"/>
            <w:vAlign w:val="center"/>
          </w:tcPr>
          <w:p>
            <w:pPr>
              <w:spacing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应具备公路工程专业贰级（含贰级）及以上注册建造师资格、具备有效的安全生产考核合格证书，未在其它在建工程项目中担任项目经理；且须提</w:t>
            </w:r>
          </w:p>
          <w:p>
            <w:pPr>
              <w:spacing w:line="400" w:lineRule="exac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供近三个月连续在本单位缴费的社保证明（以社保网络查询或社保中心出具的证明为准）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17" w:type="dxa"/>
            <w:vMerge w:val="continue"/>
            <w:vAlign w:val="center"/>
          </w:tcPr>
          <w:p>
            <w:pPr>
              <w:autoSpaceDE w:val="0"/>
              <w:autoSpaceDN w:val="0"/>
              <w:adjustRightInd w:val="0"/>
              <w:spacing w:line="400" w:lineRule="exact"/>
              <w:ind w:firstLine="67" w:firstLineChars="28"/>
              <w:jc w:val="center"/>
              <w:rPr>
                <w:rFonts w:ascii="宋体" w:hAnsi="宋体" w:eastAsia="宋体" w:cs="宋体"/>
                <w:color w:val="auto"/>
                <w:spacing w:val="1"/>
                <w:kern w:val="0"/>
                <w:sz w:val="24"/>
                <w:szCs w:val="24"/>
                <w:highlight w:val="none"/>
              </w:rPr>
            </w:pPr>
          </w:p>
        </w:tc>
        <w:tc>
          <w:tcPr>
            <w:tcW w:w="1225" w:type="dxa"/>
            <w:vMerge w:val="continue"/>
            <w:vAlign w:val="center"/>
          </w:tcPr>
          <w:p>
            <w:pPr>
              <w:autoSpaceDE w:val="0"/>
              <w:autoSpaceDN w:val="0"/>
              <w:adjustRightInd w:val="0"/>
              <w:spacing w:line="400" w:lineRule="exact"/>
              <w:ind w:firstLine="67" w:firstLineChars="28"/>
              <w:jc w:val="center"/>
              <w:rPr>
                <w:rFonts w:ascii="宋体" w:hAnsi="宋体" w:eastAsia="宋体" w:cs="宋体"/>
                <w:color w:val="auto"/>
                <w:spacing w:val="1"/>
                <w:kern w:val="0"/>
                <w:sz w:val="24"/>
                <w:szCs w:val="24"/>
                <w:highlight w:val="none"/>
              </w:rPr>
            </w:pPr>
          </w:p>
        </w:tc>
        <w:tc>
          <w:tcPr>
            <w:tcW w:w="2195" w:type="dxa"/>
            <w:vAlign w:val="center"/>
          </w:tcPr>
          <w:p>
            <w:pPr>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无商业贿赂及无不正当竞争行为的承诺书</w:t>
            </w:r>
          </w:p>
        </w:tc>
        <w:tc>
          <w:tcPr>
            <w:tcW w:w="5697" w:type="dxa"/>
            <w:vAlign w:val="center"/>
          </w:tcPr>
          <w:p>
            <w:pPr>
              <w:snapToGrid w:val="0"/>
              <w:spacing w:line="400" w:lineRule="exact"/>
              <w:jc w:val="left"/>
              <w:textAlignment w:val="baseline"/>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供应商需提供本企业的无商业贿赂及不正当竞争行为的承诺书；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17" w:type="dxa"/>
            <w:vMerge w:val="continue"/>
            <w:vAlign w:val="center"/>
          </w:tcPr>
          <w:p>
            <w:pPr>
              <w:autoSpaceDE w:val="0"/>
              <w:autoSpaceDN w:val="0"/>
              <w:adjustRightInd w:val="0"/>
              <w:spacing w:line="400" w:lineRule="exact"/>
              <w:ind w:firstLine="67" w:firstLineChars="28"/>
              <w:jc w:val="center"/>
              <w:rPr>
                <w:rFonts w:ascii="宋体" w:hAnsi="宋体" w:eastAsia="宋体" w:cs="宋体"/>
                <w:color w:val="auto"/>
                <w:spacing w:val="1"/>
                <w:kern w:val="0"/>
                <w:sz w:val="24"/>
                <w:szCs w:val="24"/>
                <w:highlight w:val="none"/>
              </w:rPr>
            </w:pPr>
          </w:p>
        </w:tc>
        <w:tc>
          <w:tcPr>
            <w:tcW w:w="1225" w:type="dxa"/>
            <w:vMerge w:val="continue"/>
            <w:vAlign w:val="center"/>
          </w:tcPr>
          <w:p>
            <w:pPr>
              <w:autoSpaceDE w:val="0"/>
              <w:autoSpaceDN w:val="0"/>
              <w:adjustRightInd w:val="0"/>
              <w:spacing w:line="400" w:lineRule="exact"/>
              <w:ind w:firstLine="67" w:firstLineChars="28"/>
              <w:jc w:val="center"/>
              <w:rPr>
                <w:rFonts w:ascii="宋体" w:hAnsi="宋体" w:eastAsia="宋体" w:cs="宋体"/>
                <w:color w:val="auto"/>
                <w:spacing w:val="1"/>
                <w:kern w:val="0"/>
                <w:sz w:val="24"/>
                <w:szCs w:val="24"/>
                <w:highlight w:val="none"/>
              </w:rPr>
            </w:pPr>
          </w:p>
        </w:tc>
        <w:tc>
          <w:tcPr>
            <w:tcW w:w="2195" w:type="dxa"/>
            <w:vAlign w:val="center"/>
          </w:tcPr>
          <w:p>
            <w:pPr>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无行贿犯罪记录</w:t>
            </w:r>
          </w:p>
        </w:tc>
        <w:tc>
          <w:tcPr>
            <w:tcW w:w="5697" w:type="dxa"/>
            <w:vAlign w:val="center"/>
          </w:tcPr>
          <w:p>
            <w:pPr>
              <w:snapToGrid w:val="0"/>
              <w:spacing w:line="400" w:lineRule="exact"/>
              <w:jc w:val="left"/>
              <w:textAlignment w:val="baseline"/>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供应商须出具在中国裁判文书网（http://wenshu.court.gov.cn）自行查询的无行贿犯罪记录截图或自行承诺（查询/承诺对象为企业、法定代表人、项目经理）；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17" w:type="dxa"/>
            <w:vMerge w:val="continue"/>
            <w:vAlign w:val="center"/>
          </w:tcPr>
          <w:p>
            <w:pPr>
              <w:autoSpaceDE w:val="0"/>
              <w:autoSpaceDN w:val="0"/>
              <w:adjustRightInd w:val="0"/>
              <w:spacing w:line="400" w:lineRule="exact"/>
              <w:ind w:firstLine="67" w:firstLineChars="28"/>
              <w:jc w:val="center"/>
              <w:rPr>
                <w:rFonts w:ascii="宋体" w:hAnsi="宋体" w:eastAsia="宋体" w:cs="宋体"/>
                <w:color w:val="auto"/>
                <w:spacing w:val="1"/>
                <w:kern w:val="0"/>
                <w:sz w:val="24"/>
                <w:szCs w:val="24"/>
                <w:highlight w:val="none"/>
              </w:rPr>
            </w:pPr>
          </w:p>
        </w:tc>
        <w:tc>
          <w:tcPr>
            <w:tcW w:w="1225" w:type="dxa"/>
            <w:vMerge w:val="continue"/>
            <w:vAlign w:val="center"/>
          </w:tcPr>
          <w:p>
            <w:pPr>
              <w:autoSpaceDE w:val="0"/>
              <w:autoSpaceDN w:val="0"/>
              <w:adjustRightInd w:val="0"/>
              <w:spacing w:line="400" w:lineRule="exact"/>
              <w:ind w:firstLine="67" w:firstLineChars="28"/>
              <w:jc w:val="center"/>
              <w:rPr>
                <w:rFonts w:ascii="宋体" w:hAnsi="宋体" w:eastAsia="宋体" w:cs="宋体"/>
                <w:color w:val="auto"/>
                <w:spacing w:val="1"/>
                <w:kern w:val="0"/>
                <w:sz w:val="24"/>
                <w:szCs w:val="24"/>
                <w:highlight w:val="none"/>
              </w:rPr>
            </w:pPr>
          </w:p>
        </w:tc>
        <w:tc>
          <w:tcPr>
            <w:tcW w:w="2195" w:type="dxa"/>
            <w:vAlign w:val="center"/>
          </w:tcPr>
          <w:p>
            <w:pPr>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信用中国及中国政府采购网查询记录</w:t>
            </w:r>
          </w:p>
        </w:tc>
        <w:tc>
          <w:tcPr>
            <w:tcW w:w="5697" w:type="dxa"/>
            <w:vAlign w:val="center"/>
          </w:tcPr>
          <w:p>
            <w:pPr>
              <w:spacing w:line="400" w:lineRule="exact"/>
              <w:rPr>
                <w:rFonts w:ascii="宋体" w:hAnsi="宋体" w:eastAsia="宋体" w:cs="宋体"/>
                <w:color w:val="auto"/>
                <w:sz w:val="24"/>
                <w:szCs w:val="24"/>
                <w:highlight w:val="none"/>
              </w:rPr>
            </w:pPr>
            <w:r>
              <w:rPr>
                <w:rFonts w:hint="eastAsia" w:ascii="宋体" w:hAnsi="宋体" w:cs="宋体"/>
                <w:color w:val="auto"/>
                <w:kern w:val="0"/>
                <w:sz w:val="24"/>
                <w:szCs w:val="28"/>
                <w:highlight w:val="none"/>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供应商须提供相关网页查询页截图，查询时间为本项目公告发布之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17" w:type="dxa"/>
            <w:vMerge w:val="continue"/>
            <w:vAlign w:val="center"/>
          </w:tcPr>
          <w:p>
            <w:pPr>
              <w:autoSpaceDE w:val="0"/>
              <w:autoSpaceDN w:val="0"/>
              <w:adjustRightInd w:val="0"/>
              <w:spacing w:line="400" w:lineRule="exact"/>
              <w:ind w:firstLine="67" w:firstLineChars="28"/>
              <w:jc w:val="center"/>
              <w:rPr>
                <w:rFonts w:ascii="宋体" w:hAnsi="宋体" w:eastAsia="宋体" w:cs="宋体"/>
                <w:color w:val="auto"/>
                <w:spacing w:val="1"/>
                <w:kern w:val="0"/>
                <w:sz w:val="24"/>
                <w:szCs w:val="24"/>
                <w:highlight w:val="none"/>
              </w:rPr>
            </w:pPr>
          </w:p>
        </w:tc>
        <w:tc>
          <w:tcPr>
            <w:tcW w:w="1225" w:type="dxa"/>
            <w:vMerge w:val="continue"/>
            <w:vAlign w:val="center"/>
          </w:tcPr>
          <w:p>
            <w:pPr>
              <w:autoSpaceDE w:val="0"/>
              <w:autoSpaceDN w:val="0"/>
              <w:adjustRightInd w:val="0"/>
              <w:spacing w:line="400" w:lineRule="exact"/>
              <w:ind w:firstLine="67" w:firstLineChars="28"/>
              <w:jc w:val="center"/>
              <w:rPr>
                <w:rFonts w:ascii="宋体" w:hAnsi="宋体" w:eastAsia="宋体" w:cs="宋体"/>
                <w:color w:val="auto"/>
                <w:spacing w:val="1"/>
                <w:kern w:val="0"/>
                <w:sz w:val="24"/>
                <w:szCs w:val="24"/>
                <w:highlight w:val="none"/>
              </w:rPr>
            </w:pPr>
          </w:p>
        </w:tc>
        <w:tc>
          <w:tcPr>
            <w:tcW w:w="2195" w:type="dxa"/>
            <w:vAlign w:val="center"/>
          </w:tcPr>
          <w:p>
            <w:pPr>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信息查询</w:t>
            </w:r>
          </w:p>
        </w:tc>
        <w:tc>
          <w:tcPr>
            <w:tcW w:w="5697" w:type="dxa"/>
            <w:vAlign w:val="center"/>
          </w:tcPr>
          <w:p>
            <w:pPr>
              <w:spacing w:line="400" w:lineRule="exact"/>
              <w:jc w:val="left"/>
              <w:rPr>
                <w:rFonts w:ascii="宋体" w:hAnsi="宋体" w:eastAsia="宋体" w:cs="宋体"/>
                <w:color w:val="auto"/>
                <w:spacing w:val="1"/>
                <w:kern w:val="0"/>
                <w:sz w:val="24"/>
                <w:szCs w:val="24"/>
                <w:highlight w:val="none"/>
              </w:rPr>
            </w:pPr>
            <w:r>
              <w:rPr>
                <w:rFonts w:hint="eastAsia" w:ascii="宋体" w:hAnsi="宋体" w:cs="宋体"/>
                <w:color w:val="auto"/>
                <w:kern w:val="0"/>
                <w:sz w:val="24"/>
                <w:szCs w:val="28"/>
                <w:highlight w:val="none"/>
              </w:rPr>
              <w:t>单位负责人为同一人或者存在控股、管理关系的不同单位，不得参加同一标段投标（提供“国家企业信用信息公示系统” http://www.gsxt.gov.cn/index.html网页查询,需包含公司基本信息、股东信息及股权变更信息内容，查询时间为本项目公告发布之后）。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17" w:type="dxa"/>
            <w:vMerge w:val="continue"/>
            <w:vAlign w:val="center"/>
          </w:tcPr>
          <w:p>
            <w:pPr>
              <w:autoSpaceDE w:val="0"/>
              <w:autoSpaceDN w:val="0"/>
              <w:adjustRightInd w:val="0"/>
              <w:spacing w:line="400" w:lineRule="exact"/>
              <w:ind w:firstLine="67" w:firstLineChars="28"/>
              <w:jc w:val="center"/>
              <w:rPr>
                <w:rFonts w:ascii="宋体" w:hAnsi="宋体" w:eastAsia="宋体" w:cs="宋体"/>
                <w:color w:val="auto"/>
                <w:spacing w:val="1"/>
                <w:kern w:val="0"/>
                <w:sz w:val="24"/>
                <w:szCs w:val="24"/>
                <w:highlight w:val="none"/>
              </w:rPr>
            </w:pPr>
          </w:p>
        </w:tc>
        <w:tc>
          <w:tcPr>
            <w:tcW w:w="1225" w:type="dxa"/>
            <w:vMerge w:val="continue"/>
            <w:vAlign w:val="center"/>
          </w:tcPr>
          <w:p>
            <w:pPr>
              <w:autoSpaceDE w:val="0"/>
              <w:autoSpaceDN w:val="0"/>
              <w:adjustRightInd w:val="0"/>
              <w:spacing w:line="400" w:lineRule="exact"/>
              <w:ind w:firstLine="67" w:firstLineChars="28"/>
              <w:jc w:val="center"/>
              <w:rPr>
                <w:rFonts w:ascii="宋体" w:hAnsi="宋体" w:eastAsia="宋体" w:cs="宋体"/>
                <w:color w:val="auto"/>
                <w:spacing w:val="1"/>
                <w:kern w:val="0"/>
                <w:sz w:val="24"/>
                <w:szCs w:val="24"/>
                <w:highlight w:val="none"/>
              </w:rPr>
            </w:pPr>
          </w:p>
        </w:tc>
        <w:tc>
          <w:tcPr>
            <w:tcW w:w="2195" w:type="dxa"/>
            <w:vAlign w:val="center"/>
          </w:tcPr>
          <w:p>
            <w:pPr>
              <w:spacing w:line="400" w:lineRule="exact"/>
              <w:jc w:val="center"/>
              <w:rPr>
                <w:rFonts w:ascii="宋体" w:hAnsi="宋体" w:eastAsia="宋体" w:cs="宋体"/>
                <w:color w:val="auto"/>
                <w:spacing w:val="1"/>
                <w:kern w:val="0"/>
                <w:sz w:val="24"/>
                <w:szCs w:val="24"/>
                <w:highlight w:val="none"/>
              </w:rPr>
            </w:pPr>
            <w:r>
              <w:rPr>
                <w:rFonts w:hint="eastAsia" w:ascii="宋体" w:hAnsi="宋体" w:eastAsia="宋体" w:cs="宋体"/>
                <w:color w:val="auto"/>
                <w:sz w:val="24"/>
                <w:szCs w:val="24"/>
                <w:highlight w:val="none"/>
              </w:rPr>
              <w:t>中小企业声明函</w:t>
            </w:r>
          </w:p>
        </w:tc>
        <w:tc>
          <w:tcPr>
            <w:tcW w:w="5697" w:type="dxa"/>
            <w:vAlign w:val="center"/>
          </w:tcPr>
          <w:p>
            <w:pPr>
              <w:spacing w:line="4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供应商必须是中小企业，并出具《中小企业声明函》。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17" w:type="dxa"/>
            <w:vMerge w:val="continue"/>
            <w:vAlign w:val="center"/>
          </w:tcPr>
          <w:p>
            <w:pPr>
              <w:autoSpaceDE w:val="0"/>
              <w:autoSpaceDN w:val="0"/>
              <w:adjustRightInd w:val="0"/>
              <w:spacing w:line="400" w:lineRule="exact"/>
              <w:ind w:firstLine="67" w:firstLineChars="28"/>
              <w:jc w:val="center"/>
              <w:rPr>
                <w:rFonts w:ascii="宋体" w:hAnsi="宋体" w:eastAsia="宋体" w:cs="宋体"/>
                <w:color w:val="auto"/>
                <w:spacing w:val="1"/>
                <w:kern w:val="0"/>
                <w:sz w:val="24"/>
                <w:szCs w:val="24"/>
                <w:highlight w:val="none"/>
              </w:rPr>
            </w:pPr>
          </w:p>
        </w:tc>
        <w:tc>
          <w:tcPr>
            <w:tcW w:w="1225" w:type="dxa"/>
            <w:vMerge w:val="continue"/>
            <w:vAlign w:val="center"/>
          </w:tcPr>
          <w:p>
            <w:pPr>
              <w:autoSpaceDE w:val="0"/>
              <w:autoSpaceDN w:val="0"/>
              <w:adjustRightInd w:val="0"/>
              <w:spacing w:line="400" w:lineRule="exact"/>
              <w:ind w:firstLine="67" w:firstLineChars="28"/>
              <w:jc w:val="center"/>
              <w:rPr>
                <w:rFonts w:ascii="宋体" w:hAnsi="宋体" w:eastAsia="宋体" w:cs="宋体"/>
                <w:color w:val="auto"/>
                <w:spacing w:val="1"/>
                <w:kern w:val="0"/>
                <w:sz w:val="24"/>
                <w:szCs w:val="24"/>
                <w:highlight w:val="none"/>
              </w:rPr>
            </w:pPr>
          </w:p>
        </w:tc>
        <w:tc>
          <w:tcPr>
            <w:tcW w:w="2195" w:type="dxa"/>
            <w:vAlign w:val="center"/>
          </w:tcPr>
          <w:p>
            <w:pPr>
              <w:autoSpaceDE w:val="0"/>
              <w:autoSpaceDN w:val="0"/>
              <w:adjustRightInd w:val="0"/>
              <w:spacing w:line="400" w:lineRule="exact"/>
              <w:ind w:firstLine="67" w:firstLineChars="28"/>
              <w:jc w:val="center"/>
              <w:rPr>
                <w:rFonts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其他资料</w:t>
            </w:r>
          </w:p>
        </w:tc>
        <w:tc>
          <w:tcPr>
            <w:tcW w:w="5697" w:type="dxa"/>
            <w:vAlign w:val="center"/>
          </w:tcPr>
          <w:p>
            <w:pPr>
              <w:autoSpaceDE w:val="0"/>
              <w:autoSpaceDN w:val="0"/>
              <w:adjustRightInd w:val="0"/>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竞争性磋商文件规定的其他资格审查资料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17" w:type="dxa"/>
            <w:vMerge w:val="restart"/>
            <w:vAlign w:val="center"/>
          </w:tcPr>
          <w:p>
            <w:pPr>
              <w:autoSpaceDE w:val="0"/>
              <w:autoSpaceDN w:val="0"/>
              <w:adjustRightInd w:val="0"/>
              <w:spacing w:line="400" w:lineRule="exact"/>
              <w:ind w:firstLine="67" w:firstLineChars="28"/>
              <w:jc w:val="center"/>
              <w:rPr>
                <w:rFonts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 xml:space="preserve">                           1.1.3</w:t>
            </w:r>
          </w:p>
        </w:tc>
        <w:tc>
          <w:tcPr>
            <w:tcW w:w="1225" w:type="dxa"/>
            <w:vMerge w:val="restart"/>
            <w:vAlign w:val="center"/>
          </w:tcPr>
          <w:p>
            <w:pPr>
              <w:autoSpaceDE w:val="0"/>
              <w:autoSpaceDN w:val="0"/>
              <w:adjustRightInd w:val="0"/>
              <w:spacing w:line="400" w:lineRule="exact"/>
              <w:ind w:firstLine="67" w:firstLineChars="28"/>
              <w:jc w:val="center"/>
              <w:rPr>
                <w:rFonts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响应性评审标准</w:t>
            </w:r>
          </w:p>
        </w:tc>
        <w:tc>
          <w:tcPr>
            <w:tcW w:w="2195" w:type="dxa"/>
            <w:vAlign w:val="center"/>
          </w:tcPr>
          <w:p>
            <w:pPr>
              <w:autoSpaceDE w:val="0"/>
              <w:autoSpaceDN w:val="0"/>
              <w:adjustRightInd w:val="0"/>
              <w:spacing w:line="400" w:lineRule="exact"/>
              <w:ind w:firstLine="67" w:firstLineChars="28"/>
              <w:jc w:val="center"/>
              <w:rPr>
                <w:rFonts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磋商范围</w:t>
            </w:r>
          </w:p>
        </w:tc>
        <w:tc>
          <w:tcPr>
            <w:tcW w:w="5697" w:type="dxa"/>
            <w:vAlign w:val="center"/>
          </w:tcPr>
          <w:p>
            <w:pPr>
              <w:autoSpaceDE w:val="0"/>
              <w:autoSpaceDN w:val="0"/>
              <w:adjustRightInd w:val="0"/>
              <w:spacing w:line="400" w:lineRule="exact"/>
              <w:jc w:val="left"/>
              <w:rPr>
                <w:rFonts w:ascii="宋体" w:hAnsi="宋体" w:eastAsia="宋体" w:cs="宋体"/>
                <w:color w:val="auto"/>
                <w:spacing w:val="1"/>
                <w:kern w:val="0"/>
                <w:sz w:val="24"/>
                <w:szCs w:val="24"/>
                <w:highlight w:val="none"/>
              </w:rPr>
            </w:pPr>
            <w:r>
              <w:rPr>
                <w:rFonts w:hint="eastAsia" w:ascii="宋体" w:hAnsi="宋体" w:eastAsia="宋体" w:cs="宋体"/>
                <w:color w:val="auto"/>
                <w:kern w:val="0"/>
                <w:sz w:val="24"/>
                <w:szCs w:val="24"/>
                <w:highlight w:val="none"/>
              </w:rPr>
              <w:t>磋商文件及工程量清单等范围内的全部内容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17" w:type="dxa"/>
            <w:vMerge w:val="continue"/>
            <w:vAlign w:val="center"/>
          </w:tcPr>
          <w:p>
            <w:pPr>
              <w:autoSpaceDE w:val="0"/>
              <w:autoSpaceDN w:val="0"/>
              <w:adjustRightInd w:val="0"/>
              <w:spacing w:line="400" w:lineRule="exact"/>
              <w:ind w:firstLine="67" w:firstLineChars="28"/>
              <w:jc w:val="center"/>
              <w:rPr>
                <w:rFonts w:ascii="宋体" w:hAnsi="宋体" w:eastAsia="宋体" w:cs="宋体"/>
                <w:color w:val="auto"/>
                <w:spacing w:val="1"/>
                <w:kern w:val="0"/>
                <w:sz w:val="24"/>
                <w:szCs w:val="24"/>
                <w:highlight w:val="none"/>
              </w:rPr>
            </w:pPr>
          </w:p>
        </w:tc>
        <w:tc>
          <w:tcPr>
            <w:tcW w:w="1225" w:type="dxa"/>
            <w:vMerge w:val="continue"/>
            <w:vAlign w:val="center"/>
          </w:tcPr>
          <w:p>
            <w:pPr>
              <w:autoSpaceDE w:val="0"/>
              <w:autoSpaceDN w:val="0"/>
              <w:adjustRightInd w:val="0"/>
              <w:spacing w:line="400" w:lineRule="exact"/>
              <w:ind w:firstLine="67" w:firstLineChars="28"/>
              <w:jc w:val="center"/>
              <w:rPr>
                <w:rFonts w:ascii="宋体" w:hAnsi="宋体" w:eastAsia="宋体" w:cs="宋体"/>
                <w:color w:val="auto"/>
                <w:spacing w:val="1"/>
                <w:kern w:val="0"/>
                <w:sz w:val="24"/>
                <w:szCs w:val="24"/>
                <w:highlight w:val="none"/>
              </w:rPr>
            </w:pPr>
          </w:p>
        </w:tc>
        <w:tc>
          <w:tcPr>
            <w:tcW w:w="2195" w:type="dxa"/>
            <w:vAlign w:val="center"/>
          </w:tcPr>
          <w:p>
            <w:pPr>
              <w:autoSpaceDE w:val="0"/>
              <w:autoSpaceDN w:val="0"/>
              <w:adjustRightInd w:val="0"/>
              <w:spacing w:line="40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计划工期</w:t>
            </w:r>
          </w:p>
        </w:tc>
        <w:tc>
          <w:tcPr>
            <w:tcW w:w="5697" w:type="dxa"/>
            <w:vAlign w:val="center"/>
          </w:tcPr>
          <w:p>
            <w:pPr>
              <w:autoSpaceDE w:val="0"/>
              <w:autoSpaceDN w:val="0"/>
              <w:adjustRightInd w:val="0"/>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17" w:type="dxa"/>
            <w:vMerge w:val="continue"/>
            <w:vAlign w:val="center"/>
          </w:tcPr>
          <w:p>
            <w:pPr>
              <w:autoSpaceDE w:val="0"/>
              <w:autoSpaceDN w:val="0"/>
              <w:adjustRightInd w:val="0"/>
              <w:spacing w:line="400" w:lineRule="exact"/>
              <w:ind w:firstLine="67" w:firstLineChars="28"/>
              <w:jc w:val="center"/>
              <w:rPr>
                <w:rFonts w:ascii="宋体" w:hAnsi="宋体" w:eastAsia="宋体" w:cs="宋体"/>
                <w:color w:val="auto"/>
                <w:spacing w:val="1"/>
                <w:kern w:val="0"/>
                <w:sz w:val="24"/>
                <w:szCs w:val="24"/>
                <w:highlight w:val="none"/>
              </w:rPr>
            </w:pPr>
          </w:p>
        </w:tc>
        <w:tc>
          <w:tcPr>
            <w:tcW w:w="1225" w:type="dxa"/>
            <w:vMerge w:val="continue"/>
            <w:vAlign w:val="center"/>
          </w:tcPr>
          <w:p>
            <w:pPr>
              <w:autoSpaceDE w:val="0"/>
              <w:autoSpaceDN w:val="0"/>
              <w:adjustRightInd w:val="0"/>
              <w:spacing w:line="400" w:lineRule="exact"/>
              <w:ind w:firstLine="67" w:firstLineChars="28"/>
              <w:jc w:val="center"/>
              <w:rPr>
                <w:rFonts w:ascii="宋体" w:hAnsi="宋体" w:eastAsia="宋体" w:cs="宋体"/>
                <w:color w:val="auto"/>
                <w:spacing w:val="1"/>
                <w:kern w:val="0"/>
                <w:sz w:val="24"/>
                <w:szCs w:val="24"/>
                <w:highlight w:val="none"/>
              </w:rPr>
            </w:pPr>
          </w:p>
        </w:tc>
        <w:tc>
          <w:tcPr>
            <w:tcW w:w="2195" w:type="dxa"/>
            <w:vAlign w:val="center"/>
          </w:tcPr>
          <w:p>
            <w:pPr>
              <w:autoSpaceDE w:val="0"/>
              <w:autoSpaceDN w:val="0"/>
              <w:adjustRightInd w:val="0"/>
              <w:spacing w:line="400" w:lineRule="exact"/>
              <w:ind w:firstLine="67" w:firstLineChars="28"/>
              <w:jc w:val="center"/>
              <w:rPr>
                <w:rFonts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质量要求</w:t>
            </w:r>
          </w:p>
        </w:tc>
        <w:tc>
          <w:tcPr>
            <w:tcW w:w="5697" w:type="dxa"/>
            <w:vAlign w:val="center"/>
          </w:tcPr>
          <w:p>
            <w:pPr>
              <w:autoSpaceDE w:val="0"/>
              <w:autoSpaceDN w:val="0"/>
              <w:adjustRightInd w:val="0"/>
              <w:spacing w:line="400" w:lineRule="exact"/>
              <w:jc w:val="left"/>
              <w:rPr>
                <w:rFonts w:ascii="宋体" w:hAnsi="宋体" w:eastAsia="宋体" w:cs="宋体"/>
                <w:color w:val="auto"/>
                <w:spacing w:val="1"/>
                <w:kern w:val="0"/>
                <w:sz w:val="24"/>
                <w:szCs w:val="24"/>
                <w:highlight w:val="none"/>
              </w:rPr>
            </w:pPr>
            <w:r>
              <w:rPr>
                <w:rFonts w:hint="eastAsia" w:ascii="宋体" w:hAnsi="宋体" w:eastAsia="宋体" w:cs="宋体"/>
                <w:color w:val="auto"/>
                <w:sz w:val="24"/>
                <w:szCs w:val="24"/>
                <w:highlight w:val="none"/>
              </w:rPr>
              <w:t>达到国家质量验收规范合格标准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17" w:type="dxa"/>
            <w:vMerge w:val="continue"/>
            <w:vAlign w:val="center"/>
          </w:tcPr>
          <w:p>
            <w:pPr>
              <w:autoSpaceDE w:val="0"/>
              <w:autoSpaceDN w:val="0"/>
              <w:adjustRightInd w:val="0"/>
              <w:spacing w:line="400" w:lineRule="exact"/>
              <w:ind w:firstLine="67" w:firstLineChars="28"/>
              <w:jc w:val="center"/>
              <w:rPr>
                <w:rFonts w:ascii="宋体" w:hAnsi="宋体" w:eastAsia="宋体" w:cs="宋体"/>
                <w:color w:val="auto"/>
                <w:spacing w:val="1"/>
                <w:kern w:val="0"/>
                <w:sz w:val="24"/>
                <w:szCs w:val="24"/>
                <w:highlight w:val="none"/>
              </w:rPr>
            </w:pPr>
          </w:p>
        </w:tc>
        <w:tc>
          <w:tcPr>
            <w:tcW w:w="1225" w:type="dxa"/>
            <w:vMerge w:val="continue"/>
            <w:vAlign w:val="center"/>
          </w:tcPr>
          <w:p>
            <w:pPr>
              <w:autoSpaceDE w:val="0"/>
              <w:autoSpaceDN w:val="0"/>
              <w:adjustRightInd w:val="0"/>
              <w:spacing w:line="400" w:lineRule="exact"/>
              <w:ind w:firstLine="67" w:firstLineChars="28"/>
              <w:jc w:val="center"/>
              <w:rPr>
                <w:rFonts w:ascii="宋体" w:hAnsi="宋体" w:eastAsia="宋体" w:cs="宋体"/>
                <w:color w:val="auto"/>
                <w:spacing w:val="1"/>
                <w:kern w:val="0"/>
                <w:sz w:val="24"/>
                <w:szCs w:val="24"/>
                <w:highlight w:val="none"/>
              </w:rPr>
            </w:pPr>
          </w:p>
        </w:tc>
        <w:tc>
          <w:tcPr>
            <w:tcW w:w="2195" w:type="dxa"/>
            <w:vAlign w:val="center"/>
          </w:tcPr>
          <w:p>
            <w:pPr>
              <w:autoSpaceDE w:val="0"/>
              <w:autoSpaceDN w:val="0"/>
              <w:adjustRightInd w:val="0"/>
              <w:spacing w:line="400" w:lineRule="exact"/>
              <w:ind w:firstLine="67" w:firstLineChars="28"/>
              <w:jc w:val="center"/>
              <w:rPr>
                <w:rFonts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磋商有效期</w:t>
            </w:r>
          </w:p>
        </w:tc>
        <w:tc>
          <w:tcPr>
            <w:tcW w:w="5697" w:type="dxa"/>
            <w:vAlign w:val="center"/>
          </w:tcPr>
          <w:p>
            <w:pPr>
              <w:autoSpaceDE w:val="0"/>
              <w:autoSpaceDN w:val="0"/>
              <w:adjustRightInd w:val="0"/>
              <w:spacing w:line="400" w:lineRule="exact"/>
              <w:jc w:val="left"/>
              <w:rPr>
                <w:rFonts w:ascii="宋体" w:hAnsi="宋体" w:eastAsia="宋体" w:cs="宋体"/>
                <w:color w:val="auto"/>
                <w:spacing w:val="1"/>
                <w:kern w:val="0"/>
                <w:sz w:val="24"/>
                <w:szCs w:val="24"/>
                <w:highlight w:val="none"/>
              </w:rPr>
            </w:pPr>
            <w:r>
              <w:rPr>
                <w:rFonts w:hint="eastAsia" w:ascii="宋体" w:hAnsi="宋体" w:eastAsia="宋体" w:cs="宋体"/>
                <w:color w:val="auto"/>
                <w:kern w:val="0"/>
                <w:sz w:val="24"/>
                <w:szCs w:val="24"/>
                <w:highlight w:val="none"/>
              </w:rPr>
              <w:t>磋商截止之日起60日历天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17" w:type="dxa"/>
            <w:vMerge w:val="continue"/>
            <w:vAlign w:val="center"/>
          </w:tcPr>
          <w:p>
            <w:pPr>
              <w:autoSpaceDE w:val="0"/>
              <w:autoSpaceDN w:val="0"/>
              <w:adjustRightInd w:val="0"/>
              <w:spacing w:line="400" w:lineRule="exact"/>
              <w:ind w:firstLine="67" w:firstLineChars="28"/>
              <w:jc w:val="center"/>
              <w:rPr>
                <w:rFonts w:ascii="宋体" w:hAnsi="宋体" w:eastAsia="宋体" w:cs="宋体"/>
                <w:color w:val="auto"/>
                <w:spacing w:val="1"/>
                <w:kern w:val="0"/>
                <w:sz w:val="24"/>
                <w:szCs w:val="24"/>
                <w:highlight w:val="none"/>
              </w:rPr>
            </w:pPr>
          </w:p>
        </w:tc>
        <w:tc>
          <w:tcPr>
            <w:tcW w:w="1225" w:type="dxa"/>
            <w:vMerge w:val="continue"/>
            <w:vAlign w:val="center"/>
          </w:tcPr>
          <w:p>
            <w:pPr>
              <w:autoSpaceDE w:val="0"/>
              <w:autoSpaceDN w:val="0"/>
              <w:adjustRightInd w:val="0"/>
              <w:spacing w:line="400" w:lineRule="exact"/>
              <w:ind w:firstLine="67" w:firstLineChars="28"/>
              <w:jc w:val="center"/>
              <w:rPr>
                <w:rFonts w:ascii="宋体" w:hAnsi="宋体" w:eastAsia="宋体" w:cs="宋体"/>
                <w:color w:val="auto"/>
                <w:spacing w:val="1"/>
                <w:kern w:val="0"/>
                <w:sz w:val="24"/>
                <w:szCs w:val="24"/>
                <w:highlight w:val="none"/>
              </w:rPr>
            </w:pPr>
          </w:p>
        </w:tc>
        <w:tc>
          <w:tcPr>
            <w:tcW w:w="2195" w:type="dxa"/>
            <w:vAlign w:val="center"/>
          </w:tcPr>
          <w:p>
            <w:pPr>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已标价工程量清单</w:t>
            </w:r>
          </w:p>
        </w:tc>
        <w:tc>
          <w:tcPr>
            <w:tcW w:w="5697" w:type="dxa"/>
            <w:vAlign w:val="center"/>
          </w:tcPr>
          <w:p>
            <w:pPr>
              <w:spacing w:line="4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符合“工程量清单”给出的范围及数量，供应商不得擅自修改工程量清单上的工程项目和数量，否则其磋商响应将予否决。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17" w:type="dxa"/>
            <w:vAlign w:val="center"/>
          </w:tcPr>
          <w:p>
            <w:pPr>
              <w:autoSpaceDE w:val="0"/>
              <w:autoSpaceDN w:val="0"/>
              <w:adjustRightInd w:val="0"/>
              <w:spacing w:line="400" w:lineRule="exact"/>
              <w:ind w:firstLine="67" w:firstLineChars="28"/>
              <w:jc w:val="center"/>
              <w:rPr>
                <w:rFonts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1.2.1</w:t>
            </w:r>
          </w:p>
        </w:tc>
        <w:tc>
          <w:tcPr>
            <w:tcW w:w="3420" w:type="dxa"/>
            <w:gridSpan w:val="2"/>
            <w:vAlign w:val="center"/>
          </w:tcPr>
          <w:p>
            <w:pPr>
              <w:autoSpaceDE w:val="0"/>
              <w:autoSpaceDN w:val="0"/>
              <w:adjustRightInd w:val="0"/>
              <w:spacing w:line="400" w:lineRule="exact"/>
              <w:jc w:val="center"/>
              <w:rPr>
                <w:rFonts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分值构成</w:t>
            </w:r>
          </w:p>
          <w:p>
            <w:pPr>
              <w:autoSpaceDE w:val="0"/>
              <w:autoSpaceDN w:val="0"/>
              <w:adjustRightInd w:val="0"/>
              <w:spacing w:line="400" w:lineRule="exact"/>
              <w:ind w:firstLine="67" w:firstLineChars="28"/>
              <w:jc w:val="center"/>
              <w:rPr>
                <w:rFonts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(总分100分)</w:t>
            </w:r>
          </w:p>
        </w:tc>
        <w:tc>
          <w:tcPr>
            <w:tcW w:w="5697" w:type="dxa"/>
            <w:vAlign w:val="center"/>
          </w:tcPr>
          <w:p>
            <w:pPr>
              <w:spacing w:line="400" w:lineRule="exact"/>
              <w:rPr>
                <w:rFonts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磋商报价：30分；技术部分：50分；</w:t>
            </w:r>
          </w:p>
          <w:p>
            <w:pPr>
              <w:spacing w:line="400" w:lineRule="exact"/>
              <w:rPr>
                <w:rFonts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综合部分：20分。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0" w:hRule="atLeast"/>
          <w:jc w:val="center"/>
        </w:trPr>
        <w:tc>
          <w:tcPr>
            <w:tcW w:w="1017" w:type="dxa"/>
            <w:vAlign w:val="center"/>
          </w:tcPr>
          <w:p>
            <w:pPr>
              <w:autoSpaceDE w:val="0"/>
              <w:autoSpaceDN w:val="0"/>
              <w:adjustRightInd w:val="0"/>
              <w:spacing w:line="400" w:lineRule="exact"/>
              <w:ind w:firstLine="67" w:firstLineChars="28"/>
              <w:jc w:val="center"/>
              <w:rPr>
                <w:rFonts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1.2.2</w:t>
            </w:r>
          </w:p>
        </w:tc>
        <w:tc>
          <w:tcPr>
            <w:tcW w:w="3420" w:type="dxa"/>
            <w:gridSpan w:val="2"/>
            <w:vAlign w:val="center"/>
          </w:tcPr>
          <w:p>
            <w:pPr>
              <w:autoSpaceDE w:val="0"/>
              <w:autoSpaceDN w:val="0"/>
              <w:adjustRightInd w:val="0"/>
              <w:spacing w:line="400" w:lineRule="exact"/>
              <w:ind w:firstLine="4" w:firstLineChars="2"/>
              <w:jc w:val="center"/>
              <w:rPr>
                <w:rFonts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磋商报价（30分）</w:t>
            </w:r>
          </w:p>
          <w:p>
            <w:pPr>
              <w:autoSpaceDE w:val="0"/>
              <w:autoSpaceDN w:val="0"/>
              <w:adjustRightInd w:val="0"/>
              <w:spacing w:line="400" w:lineRule="exact"/>
              <w:ind w:firstLine="67" w:firstLineChars="28"/>
              <w:jc w:val="center"/>
              <w:rPr>
                <w:rFonts w:ascii="宋体" w:hAnsi="宋体" w:eastAsia="宋体" w:cs="宋体"/>
                <w:color w:val="auto"/>
                <w:spacing w:val="1"/>
                <w:kern w:val="0"/>
                <w:sz w:val="24"/>
                <w:szCs w:val="24"/>
                <w:highlight w:val="none"/>
              </w:rPr>
            </w:pPr>
          </w:p>
        </w:tc>
        <w:tc>
          <w:tcPr>
            <w:tcW w:w="5697" w:type="dxa"/>
            <w:vAlign w:val="center"/>
          </w:tcPr>
          <w:p>
            <w:pPr>
              <w:spacing w:line="400" w:lineRule="exact"/>
              <w:rPr>
                <w:rFonts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1、综合评分法中的价格分统一采用低价优先法计算，即满足磋商文件要求且最后报价最低的供应商的价格为磋商基准价，其价格分为满分。</w:t>
            </w:r>
          </w:p>
          <w:p>
            <w:pPr>
              <w:spacing w:line="400" w:lineRule="exact"/>
              <w:rPr>
                <w:rFonts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2、其他供应商的价格分统一按照下列公式计算：磋商报价得分=（磋商基准价/最后磋商报价）×30</w:t>
            </w:r>
          </w:p>
          <w:p>
            <w:pPr>
              <w:spacing w:line="400" w:lineRule="exact"/>
              <w:rPr>
                <w:rFonts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注：（1）分值计算保留两位小数。</w:t>
            </w:r>
          </w:p>
          <w:p>
            <w:pPr>
              <w:spacing w:line="400" w:lineRule="exact"/>
              <w:rPr>
                <w:rFonts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（2）本项目专门面向中小企业采购，不再进行价格扣除。参加政府采购活动的中小企业应当提供《中小企业声明函》；</w:t>
            </w:r>
          </w:p>
          <w:p>
            <w:pPr>
              <w:spacing w:line="400" w:lineRule="exact"/>
              <w:rPr>
                <w:rFonts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3、磋商小组认为供应商的报价明显低于其他通过符合性审查供应商的报价，有可能影响工程质量或者不能诚信履约的，应当要求其在合理的时间内提供说明，必要时提交相关证明材料；供应商不能证明其报价合理性的，磋商小组应当将其作为无效文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1017" w:type="dxa"/>
            <w:vMerge w:val="restart"/>
            <w:vAlign w:val="center"/>
          </w:tcPr>
          <w:p>
            <w:pPr>
              <w:autoSpaceDE w:val="0"/>
              <w:autoSpaceDN w:val="0"/>
              <w:adjustRightInd w:val="0"/>
              <w:spacing w:line="400" w:lineRule="exact"/>
              <w:ind w:firstLine="67" w:firstLineChars="28"/>
              <w:jc w:val="center"/>
              <w:rPr>
                <w:rFonts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1.2.3</w:t>
            </w:r>
          </w:p>
        </w:tc>
        <w:tc>
          <w:tcPr>
            <w:tcW w:w="1225" w:type="dxa"/>
            <w:vMerge w:val="restart"/>
            <w:vAlign w:val="center"/>
          </w:tcPr>
          <w:p>
            <w:pPr>
              <w:autoSpaceDE w:val="0"/>
              <w:autoSpaceDN w:val="0"/>
              <w:adjustRightInd w:val="0"/>
              <w:spacing w:line="400" w:lineRule="exact"/>
              <w:ind w:firstLine="4" w:firstLineChars="2"/>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技术部分（50分）</w:t>
            </w:r>
          </w:p>
        </w:tc>
        <w:tc>
          <w:tcPr>
            <w:tcW w:w="2195" w:type="dxa"/>
            <w:vAlign w:val="center"/>
          </w:tcPr>
          <w:p>
            <w:pPr>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主要施工方案及技术措施</w:t>
            </w:r>
          </w:p>
          <w:p>
            <w:pPr>
              <w:spacing w:line="400" w:lineRule="exact"/>
              <w:jc w:val="center"/>
              <w:rPr>
                <w:rFonts w:ascii="宋体" w:hAnsi="宋体" w:eastAsia="宋体" w:cs="宋体"/>
                <w:color w:val="auto"/>
                <w:spacing w:val="-6"/>
                <w:kern w:val="0"/>
                <w:sz w:val="24"/>
                <w:szCs w:val="24"/>
                <w:highlight w:val="none"/>
              </w:rPr>
            </w:pPr>
            <w:r>
              <w:rPr>
                <w:rFonts w:hint="eastAsia" w:ascii="宋体" w:hAnsi="宋体" w:eastAsia="宋体" w:cs="宋体"/>
                <w:color w:val="auto"/>
                <w:sz w:val="24"/>
                <w:szCs w:val="24"/>
                <w:highlight w:val="none"/>
              </w:rPr>
              <w:t>8分</w:t>
            </w:r>
          </w:p>
        </w:tc>
        <w:tc>
          <w:tcPr>
            <w:tcW w:w="5697" w:type="dxa"/>
            <w:vAlign w:val="center"/>
          </w:tcPr>
          <w:p>
            <w:pPr>
              <w:adjustRightInd w:val="0"/>
              <w:snapToGrid w:val="0"/>
              <w:spacing w:line="40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施工方案（含工程特点、施工重点与难点及绿色施工）总体安排合理，运用先进、合理的施工工艺、施工机械，技术措施详细、全面、合理、可行，完全满足项目需求的，得8分；</w:t>
            </w:r>
          </w:p>
          <w:p>
            <w:pPr>
              <w:adjustRightInd w:val="0"/>
              <w:snapToGrid w:val="0"/>
              <w:spacing w:line="40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施工方案与技术措施不先进或者不详细、不全面、或者有瑕疵的，得6分；</w:t>
            </w:r>
          </w:p>
          <w:p>
            <w:pPr>
              <w:adjustRightInd w:val="0"/>
              <w:snapToGrid w:val="0"/>
              <w:spacing w:line="400" w:lineRule="exact"/>
              <w:jc w:val="left"/>
              <w:rPr>
                <w:rFonts w:ascii="宋体" w:hAnsi="宋体" w:eastAsia="宋体" w:cs="宋体"/>
                <w:color w:val="auto"/>
                <w:spacing w:val="-6"/>
                <w:kern w:val="0"/>
                <w:sz w:val="24"/>
                <w:szCs w:val="24"/>
                <w:highlight w:val="none"/>
              </w:rPr>
            </w:pPr>
            <w:r>
              <w:rPr>
                <w:rFonts w:hint="eastAsia" w:ascii="宋体" w:hAnsi="宋体" w:eastAsia="宋体" w:cs="宋体"/>
                <w:color w:val="auto"/>
                <w:sz w:val="24"/>
                <w:szCs w:val="24"/>
                <w:highlight w:val="none"/>
              </w:rPr>
              <w:t>施工方案与技术措施不合理或者不可行或者不能满足项目需求的，得4分。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1017" w:type="dxa"/>
            <w:vMerge w:val="continue"/>
            <w:vAlign w:val="center"/>
          </w:tcPr>
          <w:p>
            <w:pPr>
              <w:autoSpaceDE w:val="0"/>
              <w:autoSpaceDN w:val="0"/>
              <w:adjustRightInd w:val="0"/>
              <w:spacing w:line="400" w:lineRule="exact"/>
              <w:ind w:firstLine="67" w:firstLineChars="28"/>
              <w:jc w:val="center"/>
              <w:rPr>
                <w:rFonts w:ascii="宋体" w:hAnsi="宋体" w:eastAsia="宋体" w:cs="宋体"/>
                <w:color w:val="auto"/>
                <w:spacing w:val="1"/>
                <w:kern w:val="0"/>
                <w:sz w:val="24"/>
                <w:szCs w:val="24"/>
                <w:highlight w:val="none"/>
              </w:rPr>
            </w:pPr>
          </w:p>
        </w:tc>
        <w:tc>
          <w:tcPr>
            <w:tcW w:w="1225" w:type="dxa"/>
            <w:vMerge w:val="continue"/>
            <w:vAlign w:val="center"/>
          </w:tcPr>
          <w:p>
            <w:pPr>
              <w:autoSpaceDE w:val="0"/>
              <w:autoSpaceDN w:val="0"/>
              <w:adjustRightInd w:val="0"/>
              <w:spacing w:line="400" w:lineRule="exact"/>
              <w:ind w:firstLine="4" w:firstLineChars="2"/>
              <w:jc w:val="center"/>
              <w:rPr>
                <w:rFonts w:ascii="宋体" w:hAnsi="宋体" w:eastAsia="宋体" w:cs="宋体"/>
                <w:color w:val="auto"/>
                <w:sz w:val="24"/>
                <w:szCs w:val="24"/>
                <w:highlight w:val="none"/>
              </w:rPr>
            </w:pPr>
          </w:p>
        </w:tc>
        <w:tc>
          <w:tcPr>
            <w:tcW w:w="2195" w:type="dxa"/>
            <w:vAlign w:val="center"/>
          </w:tcPr>
          <w:p>
            <w:pPr>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质量管理体系与质量保证措施</w:t>
            </w:r>
          </w:p>
          <w:p>
            <w:pPr>
              <w:spacing w:line="400" w:lineRule="exact"/>
              <w:jc w:val="center"/>
              <w:rPr>
                <w:rFonts w:ascii="宋体" w:hAnsi="宋体" w:eastAsia="宋体" w:cs="宋体"/>
                <w:color w:val="auto"/>
                <w:spacing w:val="-6"/>
                <w:kern w:val="0"/>
                <w:sz w:val="24"/>
                <w:szCs w:val="24"/>
                <w:highlight w:val="none"/>
              </w:rPr>
            </w:pPr>
            <w:r>
              <w:rPr>
                <w:rFonts w:hint="eastAsia" w:ascii="宋体" w:hAnsi="宋体" w:eastAsia="宋体" w:cs="宋体"/>
                <w:color w:val="auto"/>
                <w:sz w:val="24"/>
                <w:szCs w:val="24"/>
                <w:highlight w:val="none"/>
              </w:rPr>
              <w:t>6分</w:t>
            </w:r>
          </w:p>
        </w:tc>
        <w:tc>
          <w:tcPr>
            <w:tcW w:w="5697" w:type="dxa"/>
            <w:vAlign w:val="center"/>
          </w:tcPr>
          <w:p>
            <w:pPr>
              <w:adjustRightInd w:val="0"/>
              <w:snapToGrid w:val="0"/>
              <w:spacing w:line="40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质量管理体系健全、组织机构形式合理，质量保证措施详细、全面、合理、可行，完全满足项目需求的，得6分；</w:t>
            </w:r>
          </w:p>
          <w:p>
            <w:pPr>
              <w:adjustRightInd w:val="0"/>
              <w:snapToGrid w:val="0"/>
              <w:spacing w:line="40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质量管理体系不健全或者质量保证措施不详细或者不全面、针对性不强、有质量管理漏洞的，得4分；</w:t>
            </w:r>
          </w:p>
          <w:p>
            <w:pPr>
              <w:adjustRightInd w:val="0"/>
              <w:snapToGrid w:val="0"/>
              <w:spacing w:line="400" w:lineRule="exact"/>
              <w:jc w:val="left"/>
              <w:rPr>
                <w:rFonts w:ascii="宋体" w:hAnsi="宋体" w:eastAsia="宋体" w:cs="宋体"/>
                <w:color w:val="auto"/>
                <w:spacing w:val="-6"/>
                <w:kern w:val="0"/>
                <w:sz w:val="24"/>
                <w:szCs w:val="24"/>
                <w:highlight w:val="none"/>
              </w:rPr>
            </w:pPr>
            <w:r>
              <w:rPr>
                <w:rFonts w:hint="eastAsia" w:ascii="宋体" w:hAnsi="宋体" w:eastAsia="宋体" w:cs="宋体"/>
                <w:color w:val="auto"/>
                <w:sz w:val="24"/>
                <w:szCs w:val="24"/>
                <w:highlight w:val="none"/>
              </w:rPr>
              <w:t>质量保证措施不合理或者不可行的，得2分；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1017" w:type="dxa"/>
            <w:vMerge w:val="continue"/>
            <w:vAlign w:val="center"/>
          </w:tcPr>
          <w:p>
            <w:pPr>
              <w:autoSpaceDE w:val="0"/>
              <w:autoSpaceDN w:val="0"/>
              <w:adjustRightInd w:val="0"/>
              <w:spacing w:line="400" w:lineRule="exact"/>
              <w:ind w:firstLine="67" w:firstLineChars="28"/>
              <w:jc w:val="center"/>
              <w:rPr>
                <w:rFonts w:ascii="宋体" w:hAnsi="宋体" w:eastAsia="宋体" w:cs="宋体"/>
                <w:color w:val="auto"/>
                <w:spacing w:val="1"/>
                <w:kern w:val="0"/>
                <w:sz w:val="24"/>
                <w:szCs w:val="24"/>
                <w:highlight w:val="none"/>
              </w:rPr>
            </w:pPr>
          </w:p>
        </w:tc>
        <w:tc>
          <w:tcPr>
            <w:tcW w:w="1225" w:type="dxa"/>
            <w:vMerge w:val="continue"/>
            <w:vAlign w:val="center"/>
          </w:tcPr>
          <w:p>
            <w:pPr>
              <w:autoSpaceDE w:val="0"/>
              <w:autoSpaceDN w:val="0"/>
              <w:adjustRightInd w:val="0"/>
              <w:spacing w:line="400" w:lineRule="exact"/>
              <w:ind w:firstLine="4" w:firstLineChars="2"/>
              <w:jc w:val="center"/>
              <w:rPr>
                <w:rFonts w:ascii="宋体" w:hAnsi="宋体" w:eastAsia="宋体" w:cs="宋体"/>
                <w:color w:val="auto"/>
                <w:sz w:val="24"/>
                <w:szCs w:val="24"/>
                <w:highlight w:val="none"/>
              </w:rPr>
            </w:pPr>
          </w:p>
        </w:tc>
        <w:tc>
          <w:tcPr>
            <w:tcW w:w="2195" w:type="dxa"/>
            <w:vAlign w:val="center"/>
          </w:tcPr>
          <w:p>
            <w:pPr>
              <w:spacing w:line="400" w:lineRule="exact"/>
              <w:jc w:val="center"/>
              <w:rPr>
                <w:rFonts w:ascii="宋体" w:hAnsi="宋体" w:eastAsia="宋体" w:cs="宋体"/>
                <w:color w:val="auto"/>
                <w:spacing w:val="-6"/>
                <w:kern w:val="0"/>
                <w:sz w:val="24"/>
                <w:szCs w:val="24"/>
                <w:highlight w:val="none"/>
              </w:rPr>
            </w:pPr>
            <w:r>
              <w:rPr>
                <w:rFonts w:hint="eastAsia" w:ascii="宋体" w:hAnsi="宋体" w:eastAsia="宋体" w:cs="宋体"/>
                <w:color w:val="auto"/>
                <w:sz w:val="24"/>
                <w:szCs w:val="24"/>
                <w:highlight w:val="none"/>
              </w:rPr>
              <w:t>安全管理体系与措施8分</w:t>
            </w:r>
          </w:p>
        </w:tc>
        <w:tc>
          <w:tcPr>
            <w:tcW w:w="5697" w:type="dxa"/>
            <w:vAlign w:val="center"/>
          </w:tcPr>
          <w:p>
            <w:pPr>
              <w:adjustRightInd w:val="0"/>
              <w:snapToGrid w:val="0"/>
              <w:spacing w:line="40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安全管理体系、安全责任制和安全管理制度健全，根据工程特点、周边环境和施工工艺，正确识别现场重大危险源并有相应的安全防护管理措施，安全保证措施详细、全面、合理、可行的，得8分；</w:t>
            </w:r>
          </w:p>
          <w:p>
            <w:pPr>
              <w:adjustRightInd w:val="0"/>
              <w:snapToGrid w:val="0"/>
              <w:spacing w:line="40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安全管理体系不健全或者安全防护管理措施不详细、不全面、 针对性不强、安全防护管理措施由漏洞的，得6分；</w:t>
            </w:r>
          </w:p>
          <w:p>
            <w:pPr>
              <w:adjustRightInd w:val="0"/>
              <w:snapToGrid w:val="0"/>
              <w:spacing w:line="400" w:lineRule="exact"/>
              <w:jc w:val="left"/>
              <w:rPr>
                <w:rFonts w:ascii="宋体" w:hAnsi="宋体" w:eastAsia="宋体" w:cs="宋体"/>
                <w:color w:val="auto"/>
                <w:spacing w:val="-6"/>
                <w:kern w:val="0"/>
                <w:sz w:val="24"/>
                <w:szCs w:val="24"/>
                <w:highlight w:val="none"/>
              </w:rPr>
            </w:pPr>
            <w:r>
              <w:rPr>
                <w:rFonts w:hint="eastAsia" w:ascii="宋体" w:hAnsi="宋体" w:eastAsia="宋体" w:cs="宋体"/>
                <w:color w:val="auto"/>
                <w:sz w:val="24"/>
                <w:szCs w:val="24"/>
                <w:highlight w:val="none"/>
              </w:rPr>
              <w:t>安全管理体系与保证措施不合理或者不可行的，得4分。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1017" w:type="dxa"/>
            <w:vMerge w:val="continue"/>
            <w:vAlign w:val="center"/>
          </w:tcPr>
          <w:p>
            <w:pPr>
              <w:autoSpaceDE w:val="0"/>
              <w:autoSpaceDN w:val="0"/>
              <w:adjustRightInd w:val="0"/>
              <w:spacing w:line="400" w:lineRule="exact"/>
              <w:ind w:firstLine="67" w:firstLineChars="28"/>
              <w:jc w:val="center"/>
              <w:rPr>
                <w:rFonts w:ascii="宋体" w:hAnsi="宋体" w:eastAsia="宋体" w:cs="宋体"/>
                <w:color w:val="auto"/>
                <w:spacing w:val="1"/>
                <w:kern w:val="0"/>
                <w:sz w:val="24"/>
                <w:szCs w:val="24"/>
                <w:highlight w:val="none"/>
              </w:rPr>
            </w:pPr>
          </w:p>
        </w:tc>
        <w:tc>
          <w:tcPr>
            <w:tcW w:w="1225" w:type="dxa"/>
            <w:vMerge w:val="continue"/>
            <w:vAlign w:val="center"/>
          </w:tcPr>
          <w:p>
            <w:pPr>
              <w:autoSpaceDE w:val="0"/>
              <w:autoSpaceDN w:val="0"/>
              <w:adjustRightInd w:val="0"/>
              <w:spacing w:line="400" w:lineRule="exact"/>
              <w:ind w:firstLine="4" w:firstLineChars="2"/>
              <w:jc w:val="center"/>
              <w:rPr>
                <w:rFonts w:ascii="宋体" w:hAnsi="宋体" w:eastAsia="宋体" w:cs="宋体"/>
                <w:color w:val="auto"/>
                <w:sz w:val="24"/>
                <w:szCs w:val="24"/>
                <w:highlight w:val="none"/>
              </w:rPr>
            </w:pPr>
          </w:p>
        </w:tc>
        <w:tc>
          <w:tcPr>
            <w:tcW w:w="2195" w:type="dxa"/>
            <w:vAlign w:val="center"/>
          </w:tcPr>
          <w:p>
            <w:pPr>
              <w:spacing w:line="400" w:lineRule="exact"/>
              <w:jc w:val="center"/>
              <w:rPr>
                <w:rFonts w:ascii="宋体" w:hAnsi="宋体" w:eastAsia="宋体" w:cs="宋体"/>
                <w:color w:val="auto"/>
                <w:spacing w:val="-6"/>
                <w:kern w:val="0"/>
                <w:sz w:val="24"/>
                <w:szCs w:val="24"/>
                <w:highlight w:val="none"/>
              </w:rPr>
            </w:pPr>
            <w:r>
              <w:rPr>
                <w:rFonts w:hint="eastAsia" w:ascii="宋体" w:hAnsi="宋体" w:eastAsia="宋体" w:cs="宋体"/>
                <w:color w:val="auto"/>
                <w:sz w:val="24"/>
                <w:szCs w:val="24"/>
                <w:highlight w:val="none"/>
              </w:rPr>
              <w:t>工期保证措施8分</w:t>
            </w:r>
          </w:p>
        </w:tc>
        <w:tc>
          <w:tcPr>
            <w:tcW w:w="5697" w:type="dxa"/>
            <w:vAlign w:val="center"/>
          </w:tcPr>
          <w:p>
            <w:pPr>
              <w:adjustRightInd w:val="0"/>
              <w:snapToGrid w:val="0"/>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工期承诺满足采购文件要求，工期保证措施全面、详细、合理、可行且有针对性，有具体的违约责任承诺，得8分；</w:t>
            </w:r>
          </w:p>
          <w:p>
            <w:pPr>
              <w:adjustRightInd w:val="0"/>
              <w:snapToGrid w:val="0"/>
              <w:spacing w:line="4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工期保证措施不全面或者不详细或者缺乏针对性的，得6分；</w:t>
            </w:r>
          </w:p>
          <w:p>
            <w:pPr>
              <w:adjustRightInd w:val="0"/>
              <w:snapToGrid w:val="0"/>
              <w:spacing w:line="400" w:lineRule="exact"/>
              <w:jc w:val="left"/>
              <w:rPr>
                <w:rFonts w:ascii="宋体" w:hAnsi="宋体" w:eastAsia="宋体" w:cs="宋体"/>
                <w:color w:val="auto"/>
                <w:spacing w:val="-6"/>
                <w:kern w:val="0"/>
                <w:sz w:val="24"/>
                <w:szCs w:val="24"/>
                <w:highlight w:val="none"/>
              </w:rPr>
            </w:pPr>
            <w:r>
              <w:rPr>
                <w:rFonts w:hint="eastAsia" w:ascii="宋体" w:hAnsi="宋体" w:eastAsia="宋体" w:cs="宋体"/>
                <w:color w:val="auto"/>
                <w:kern w:val="0"/>
                <w:sz w:val="24"/>
                <w:szCs w:val="24"/>
                <w:highlight w:val="none"/>
              </w:rPr>
              <w:t>工期保证措施不合理或者不可行或者没有违约责任承诺或者不能满足采购文件要求的，得4分；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1017" w:type="dxa"/>
            <w:vMerge w:val="continue"/>
            <w:vAlign w:val="center"/>
          </w:tcPr>
          <w:p>
            <w:pPr>
              <w:autoSpaceDE w:val="0"/>
              <w:autoSpaceDN w:val="0"/>
              <w:adjustRightInd w:val="0"/>
              <w:spacing w:line="400" w:lineRule="exact"/>
              <w:ind w:firstLine="67" w:firstLineChars="28"/>
              <w:jc w:val="center"/>
              <w:rPr>
                <w:rFonts w:ascii="宋体" w:hAnsi="宋体" w:eastAsia="宋体" w:cs="宋体"/>
                <w:color w:val="auto"/>
                <w:spacing w:val="1"/>
                <w:kern w:val="0"/>
                <w:sz w:val="24"/>
                <w:szCs w:val="24"/>
                <w:highlight w:val="none"/>
              </w:rPr>
            </w:pPr>
          </w:p>
        </w:tc>
        <w:tc>
          <w:tcPr>
            <w:tcW w:w="1225" w:type="dxa"/>
            <w:vMerge w:val="continue"/>
            <w:vAlign w:val="center"/>
          </w:tcPr>
          <w:p>
            <w:pPr>
              <w:autoSpaceDE w:val="0"/>
              <w:autoSpaceDN w:val="0"/>
              <w:adjustRightInd w:val="0"/>
              <w:spacing w:line="400" w:lineRule="exact"/>
              <w:ind w:firstLine="4" w:firstLineChars="2"/>
              <w:jc w:val="center"/>
              <w:rPr>
                <w:rFonts w:ascii="宋体" w:hAnsi="宋体" w:eastAsia="宋体" w:cs="宋体"/>
                <w:color w:val="auto"/>
                <w:sz w:val="24"/>
                <w:szCs w:val="24"/>
                <w:highlight w:val="none"/>
              </w:rPr>
            </w:pPr>
          </w:p>
        </w:tc>
        <w:tc>
          <w:tcPr>
            <w:tcW w:w="2195" w:type="dxa"/>
            <w:vAlign w:val="center"/>
          </w:tcPr>
          <w:p>
            <w:pPr>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文明施工、环境保护措施</w:t>
            </w:r>
          </w:p>
          <w:p>
            <w:pPr>
              <w:spacing w:line="400" w:lineRule="exact"/>
              <w:jc w:val="center"/>
              <w:rPr>
                <w:rFonts w:ascii="宋体" w:hAnsi="宋体" w:eastAsia="宋体" w:cs="宋体"/>
                <w:color w:val="auto"/>
                <w:spacing w:val="-6"/>
                <w:kern w:val="0"/>
                <w:sz w:val="24"/>
                <w:szCs w:val="24"/>
                <w:highlight w:val="none"/>
              </w:rPr>
            </w:pPr>
            <w:r>
              <w:rPr>
                <w:rFonts w:hint="eastAsia" w:ascii="宋体" w:hAnsi="宋体" w:eastAsia="宋体" w:cs="宋体"/>
                <w:color w:val="auto"/>
                <w:sz w:val="24"/>
                <w:szCs w:val="24"/>
                <w:highlight w:val="none"/>
              </w:rPr>
              <w:t>6 分</w:t>
            </w:r>
          </w:p>
        </w:tc>
        <w:tc>
          <w:tcPr>
            <w:tcW w:w="5697" w:type="dxa"/>
            <w:vAlign w:val="center"/>
          </w:tcPr>
          <w:p>
            <w:pPr>
              <w:adjustRightInd w:val="0"/>
              <w:snapToGrid w:val="0"/>
              <w:spacing w:line="40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文明施工、环境保护措施符合相关标准、规范、规程，有具体的安全文明措施费用投入使用计划的，得6分；</w:t>
            </w:r>
          </w:p>
          <w:p>
            <w:pPr>
              <w:adjustRightInd w:val="0"/>
              <w:snapToGrid w:val="0"/>
              <w:spacing w:line="40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文明施工、环境保护措施不全面或者不详细或者缺乏针对性、有瑕疵的，得4分；</w:t>
            </w:r>
          </w:p>
          <w:p>
            <w:pPr>
              <w:adjustRightInd w:val="0"/>
              <w:snapToGrid w:val="0"/>
              <w:spacing w:line="400" w:lineRule="exact"/>
              <w:jc w:val="left"/>
              <w:rPr>
                <w:rFonts w:ascii="宋体" w:hAnsi="宋体" w:eastAsia="宋体" w:cs="宋体"/>
                <w:color w:val="auto"/>
                <w:spacing w:val="-6"/>
                <w:kern w:val="0"/>
                <w:sz w:val="24"/>
                <w:szCs w:val="24"/>
                <w:highlight w:val="none"/>
              </w:rPr>
            </w:pPr>
            <w:r>
              <w:rPr>
                <w:rFonts w:hint="eastAsia" w:ascii="宋体" w:hAnsi="宋体" w:eastAsia="宋体" w:cs="宋体"/>
                <w:color w:val="auto"/>
                <w:sz w:val="24"/>
                <w:szCs w:val="24"/>
                <w:highlight w:val="none"/>
              </w:rPr>
              <w:t>文明施工、环境保护措施简单或者不合理或者不可行的，得2分。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1017" w:type="dxa"/>
            <w:vMerge w:val="continue"/>
            <w:vAlign w:val="center"/>
          </w:tcPr>
          <w:p>
            <w:pPr>
              <w:autoSpaceDE w:val="0"/>
              <w:autoSpaceDN w:val="0"/>
              <w:adjustRightInd w:val="0"/>
              <w:spacing w:line="400" w:lineRule="exact"/>
              <w:ind w:firstLine="67" w:firstLineChars="28"/>
              <w:jc w:val="center"/>
              <w:rPr>
                <w:rFonts w:ascii="宋体" w:hAnsi="宋体" w:eastAsia="宋体" w:cs="宋体"/>
                <w:color w:val="auto"/>
                <w:spacing w:val="1"/>
                <w:kern w:val="0"/>
                <w:sz w:val="24"/>
                <w:szCs w:val="24"/>
                <w:highlight w:val="none"/>
              </w:rPr>
            </w:pPr>
          </w:p>
        </w:tc>
        <w:tc>
          <w:tcPr>
            <w:tcW w:w="1225" w:type="dxa"/>
            <w:vMerge w:val="continue"/>
            <w:vAlign w:val="center"/>
          </w:tcPr>
          <w:p>
            <w:pPr>
              <w:autoSpaceDE w:val="0"/>
              <w:autoSpaceDN w:val="0"/>
              <w:adjustRightInd w:val="0"/>
              <w:spacing w:line="400" w:lineRule="exact"/>
              <w:ind w:firstLine="4" w:firstLineChars="2"/>
              <w:jc w:val="center"/>
              <w:rPr>
                <w:rFonts w:ascii="宋体" w:hAnsi="宋体" w:eastAsia="宋体" w:cs="宋体"/>
                <w:color w:val="auto"/>
                <w:sz w:val="24"/>
                <w:szCs w:val="24"/>
                <w:highlight w:val="none"/>
              </w:rPr>
            </w:pPr>
          </w:p>
        </w:tc>
        <w:tc>
          <w:tcPr>
            <w:tcW w:w="2195" w:type="dxa"/>
            <w:vAlign w:val="center"/>
          </w:tcPr>
          <w:p>
            <w:pPr>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施工进度计划表或网络图</w:t>
            </w:r>
          </w:p>
          <w:p>
            <w:pPr>
              <w:spacing w:line="400" w:lineRule="exact"/>
              <w:jc w:val="center"/>
              <w:rPr>
                <w:rFonts w:ascii="宋体" w:hAnsi="宋体" w:eastAsia="宋体" w:cs="宋体"/>
                <w:color w:val="auto"/>
                <w:spacing w:val="-6"/>
                <w:kern w:val="0"/>
                <w:sz w:val="24"/>
                <w:szCs w:val="24"/>
                <w:highlight w:val="none"/>
              </w:rPr>
            </w:pPr>
            <w:r>
              <w:rPr>
                <w:rFonts w:hint="eastAsia" w:ascii="宋体" w:hAnsi="宋体" w:eastAsia="宋体" w:cs="宋体"/>
                <w:color w:val="auto"/>
                <w:sz w:val="24"/>
                <w:szCs w:val="24"/>
                <w:highlight w:val="none"/>
              </w:rPr>
              <w:t>6分</w:t>
            </w:r>
          </w:p>
        </w:tc>
        <w:tc>
          <w:tcPr>
            <w:tcW w:w="5697" w:type="dxa"/>
            <w:vAlign w:val="center"/>
          </w:tcPr>
          <w:p>
            <w:pPr>
              <w:adjustRightInd w:val="0"/>
              <w:snapToGrid w:val="0"/>
              <w:spacing w:line="40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进度计划编制合理、可行、关键线路清晰、准确、满足项目工期要求的，得6分；</w:t>
            </w:r>
          </w:p>
          <w:p>
            <w:pPr>
              <w:adjustRightInd w:val="0"/>
              <w:snapToGrid w:val="0"/>
              <w:spacing w:line="40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进度计划逻辑关系不清晰、不明确或者关键线路不清晰、不准确的，得4分；</w:t>
            </w:r>
          </w:p>
          <w:p>
            <w:pPr>
              <w:adjustRightInd w:val="0"/>
              <w:snapToGrid w:val="0"/>
              <w:spacing w:line="400" w:lineRule="exact"/>
              <w:jc w:val="left"/>
              <w:rPr>
                <w:rFonts w:ascii="宋体" w:hAnsi="宋体" w:eastAsia="宋体" w:cs="宋体"/>
                <w:color w:val="auto"/>
                <w:spacing w:val="-6"/>
                <w:kern w:val="0"/>
                <w:sz w:val="24"/>
                <w:szCs w:val="24"/>
                <w:highlight w:val="none"/>
              </w:rPr>
            </w:pPr>
            <w:r>
              <w:rPr>
                <w:rFonts w:hint="eastAsia" w:ascii="宋体" w:hAnsi="宋体" w:eastAsia="宋体" w:cs="宋体"/>
                <w:color w:val="auto"/>
                <w:sz w:val="24"/>
                <w:szCs w:val="24"/>
                <w:highlight w:val="none"/>
              </w:rPr>
              <w:t>进度计划不合理或者不能满足项目需求的，得2分；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1017" w:type="dxa"/>
            <w:vMerge w:val="continue"/>
            <w:vAlign w:val="center"/>
          </w:tcPr>
          <w:p>
            <w:pPr>
              <w:autoSpaceDE w:val="0"/>
              <w:autoSpaceDN w:val="0"/>
              <w:adjustRightInd w:val="0"/>
              <w:spacing w:line="400" w:lineRule="exact"/>
              <w:ind w:firstLine="67" w:firstLineChars="28"/>
              <w:jc w:val="center"/>
              <w:rPr>
                <w:rFonts w:ascii="宋体" w:hAnsi="宋体" w:eastAsia="宋体" w:cs="宋体"/>
                <w:color w:val="auto"/>
                <w:spacing w:val="1"/>
                <w:kern w:val="0"/>
                <w:sz w:val="24"/>
                <w:szCs w:val="24"/>
                <w:highlight w:val="none"/>
              </w:rPr>
            </w:pPr>
          </w:p>
        </w:tc>
        <w:tc>
          <w:tcPr>
            <w:tcW w:w="1225" w:type="dxa"/>
            <w:vMerge w:val="continue"/>
            <w:vAlign w:val="center"/>
          </w:tcPr>
          <w:p>
            <w:pPr>
              <w:autoSpaceDE w:val="0"/>
              <w:autoSpaceDN w:val="0"/>
              <w:adjustRightInd w:val="0"/>
              <w:spacing w:line="400" w:lineRule="exact"/>
              <w:ind w:firstLine="4" w:firstLineChars="2"/>
              <w:jc w:val="center"/>
              <w:rPr>
                <w:rFonts w:ascii="宋体" w:hAnsi="宋体" w:eastAsia="宋体" w:cs="宋体"/>
                <w:color w:val="auto"/>
                <w:sz w:val="24"/>
                <w:szCs w:val="24"/>
                <w:highlight w:val="none"/>
              </w:rPr>
            </w:pPr>
          </w:p>
        </w:tc>
        <w:tc>
          <w:tcPr>
            <w:tcW w:w="2195" w:type="dxa"/>
            <w:vAlign w:val="center"/>
          </w:tcPr>
          <w:p>
            <w:pPr>
              <w:spacing w:line="400" w:lineRule="exact"/>
              <w:jc w:val="center"/>
              <w:rPr>
                <w:rFonts w:ascii="宋体" w:hAnsi="宋体" w:eastAsia="宋体" w:cs="宋体"/>
                <w:color w:val="auto"/>
                <w:spacing w:val="-6"/>
                <w:kern w:val="0"/>
                <w:sz w:val="24"/>
                <w:szCs w:val="24"/>
                <w:highlight w:val="none"/>
              </w:rPr>
            </w:pPr>
            <w:r>
              <w:rPr>
                <w:rFonts w:hint="eastAsia" w:ascii="宋体" w:hAnsi="宋体" w:eastAsia="宋体" w:cs="宋体"/>
                <w:color w:val="auto"/>
                <w:sz w:val="24"/>
                <w:szCs w:val="24"/>
                <w:highlight w:val="none"/>
              </w:rPr>
              <w:t>风险管理措施4 分</w:t>
            </w:r>
          </w:p>
        </w:tc>
        <w:tc>
          <w:tcPr>
            <w:tcW w:w="5697" w:type="dxa"/>
            <w:vAlign w:val="center"/>
          </w:tcPr>
          <w:p>
            <w:pPr>
              <w:adjustRightInd w:val="0"/>
              <w:snapToGrid w:val="0"/>
              <w:spacing w:line="40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风险防控管理措施齐全、考虑周密、针对性强，风险控制要点定位准确，各阶段风险控制及应急措施得力的，得4分。</w:t>
            </w:r>
          </w:p>
          <w:p>
            <w:pPr>
              <w:adjustRightInd w:val="0"/>
              <w:snapToGrid w:val="0"/>
              <w:spacing w:line="400" w:lineRule="exact"/>
              <w:jc w:val="left"/>
              <w:rPr>
                <w:rFonts w:ascii="宋体" w:hAnsi="宋体" w:eastAsia="宋体" w:cs="宋体"/>
                <w:color w:val="auto"/>
                <w:spacing w:val="-6"/>
                <w:kern w:val="0"/>
                <w:sz w:val="24"/>
                <w:szCs w:val="24"/>
                <w:highlight w:val="none"/>
              </w:rPr>
            </w:pPr>
            <w:r>
              <w:rPr>
                <w:rFonts w:hint="eastAsia" w:ascii="宋体" w:hAnsi="宋体" w:eastAsia="宋体" w:cs="宋体"/>
                <w:color w:val="auto"/>
                <w:sz w:val="24"/>
                <w:szCs w:val="24"/>
                <w:highlight w:val="none"/>
              </w:rPr>
              <w:t>风险防控管理措施不够齐全、考虑不够周密、针对性不强，或者风险控制要点定位不准确，各阶段风险控制及应急措施不够得力的，得2分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1017" w:type="dxa"/>
            <w:vMerge w:val="continue"/>
            <w:vAlign w:val="center"/>
          </w:tcPr>
          <w:p>
            <w:pPr>
              <w:autoSpaceDE w:val="0"/>
              <w:autoSpaceDN w:val="0"/>
              <w:adjustRightInd w:val="0"/>
              <w:spacing w:line="400" w:lineRule="exact"/>
              <w:ind w:firstLine="67" w:firstLineChars="28"/>
              <w:jc w:val="center"/>
              <w:rPr>
                <w:rFonts w:ascii="宋体" w:hAnsi="宋体" w:eastAsia="宋体" w:cs="宋体"/>
                <w:color w:val="auto"/>
                <w:spacing w:val="1"/>
                <w:kern w:val="0"/>
                <w:sz w:val="24"/>
                <w:szCs w:val="24"/>
                <w:highlight w:val="none"/>
              </w:rPr>
            </w:pPr>
          </w:p>
        </w:tc>
        <w:tc>
          <w:tcPr>
            <w:tcW w:w="1225" w:type="dxa"/>
            <w:vMerge w:val="continue"/>
            <w:vAlign w:val="center"/>
          </w:tcPr>
          <w:p>
            <w:pPr>
              <w:autoSpaceDE w:val="0"/>
              <w:autoSpaceDN w:val="0"/>
              <w:adjustRightInd w:val="0"/>
              <w:spacing w:line="400" w:lineRule="exact"/>
              <w:ind w:firstLine="4" w:firstLineChars="2"/>
              <w:jc w:val="center"/>
              <w:rPr>
                <w:rFonts w:ascii="宋体" w:hAnsi="宋体" w:eastAsia="宋体" w:cs="宋体"/>
                <w:color w:val="auto"/>
                <w:sz w:val="24"/>
                <w:szCs w:val="24"/>
                <w:highlight w:val="none"/>
              </w:rPr>
            </w:pPr>
          </w:p>
        </w:tc>
        <w:tc>
          <w:tcPr>
            <w:tcW w:w="2195" w:type="dxa"/>
            <w:vAlign w:val="center"/>
          </w:tcPr>
          <w:p>
            <w:pPr>
              <w:spacing w:line="400" w:lineRule="exact"/>
              <w:jc w:val="center"/>
              <w:rPr>
                <w:rFonts w:ascii="宋体" w:hAnsi="宋体" w:eastAsia="宋体" w:cs="宋体"/>
                <w:color w:val="auto"/>
                <w:spacing w:val="-6"/>
                <w:kern w:val="0"/>
                <w:sz w:val="24"/>
                <w:szCs w:val="24"/>
                <w:highlight w:val="none"/>
              </w:rPr>
            </w:pPr>
            <w:r>
              <w:rPr>
                <w:rFonts w:hint="eastAsia" w:ascii="宋体" w:hAnsi="宋体" w:eastAsia="宋体" w:cs="宋体"/>
                <w:color w:val="auto"/>
                <w:sz w:val="24"/>
                <w:szCs w:val="24"/>
                <w:highlight w:val="none"/>
              </w:rPr>
              <w:t>拟投入资源配备计划4 分</w:t>
            </w:r>
          </w:p>
        </w:tc>
        <w:tc>
          <w:tcPr>
            <w:tcW w:w="5697" w:type="dxa"/>
            <w:vAlign w:val="center"/>
          </w:tcPr>
          <w:p>
            <w:pPr>
              <w:adjustRightInd w:val="0"/>
              <w:snapToGrid w:val="0"/>
              <w:spacing w:line="40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拟配置的机械设备、劳动力、主要物资及投入计划满足工期、质量、施工工艺需求的，得4分；</w:t>
            </w:r>
          </w:p>
          <w:p>
            <w:pPr>
              <w:adjustRightInd w:val="0"/>
              <w:snapToGrid w:val="0"/>
              <w:spacing w:line="40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资源配置及投入计划与工期、质量、施工工艺不完全适应或者有瑕疵的，得2分；</w:t>
            </w:r>
          </w:p>
          <w:p>
            <w:pPr>
              <w:adjustRightInd w:val="0"/>
              <w:snapToGrid w:val="0"/>
              <w:spacing w:line="400" w:lineRule="exact"/>
              <w:jc w:val="left"/>
              <w:rPr>
                <w:rFonts w:ascii="宋体" w:hAnsi="宋体" w:eastAsia="宋体" w:cs="宋体"/>
                <w:color w:val="auto"/>
                <w:spacing w:val="-6"/>
                <w:kern w:val="0"/>
                <w:sz w:val="24"/>
                <w:szCs w:val="24"/>
                <w:highlight w:val="none"/>
              </w:rPr>
            </w:pPr>
            <w:r>
              <w:rPr>
                <w:rFonts w:hint="eastAsia" w:ascii="宋体" w:hAnsi="宋体" w:eastAsia="宋体" w:cs="宋体"/>
                <w:color w:val="auto"/>
                <w:sz w:val="24"/>
                <w:szCs w:val="24"/>
                <w:highlight w:val="none"/>
              </w:rPr>
              <w:t>资源配备计划较差的，得1分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jc w:val="center"/>
        </w:trPr>
        <w:tc>
          <w:tcPr>
            <w:tcW w:w="1017" w:type="dxa"/>
            <w:vMerge w:val="restart"/>
            <w:vAlign w:val="center"/>
          </w:tcPr>
          <w:p>
            <w:pPr>
              <w:autoSpaceDE w:val="0"/>
              <w:autoSpaceDN w:val="0"/>
              <w:adjustRightInd w:val="0"/>
              <w:spacing w:line="400" w:lineRule="exact"/>
              <w:ind w:firstLine="67" w:firstLineChars="28"/>
              <w:jc w:val="center"/>
              <w:rPr>
                <w:rFonts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1.2.4</w:t>
            </w:r>
          </w:p>
        </w:tc>
        <w:tc>
          <w:tcPr>
            <w:tcW w:w="1225" w:type="dxa"/>
            <w:vMerge w:val="restart"/>
            <w:vAlign w:val="center"/>
          </w:tcPr>
          <w:p>
            <w:pPr>
              <w:autoSpaceDE w:val="0"/>
              <w:autoSpaceDN w:val="0"/>
              <w:adjustRightInd w:val="0"/>
              <w:spacing w:line="400" w:lineRule="exact"/>
              <w:ind w:firstLine="4" w:firstLineChars="2"/>
              <w:jc w:val="center"/>
              <w:rPr>
                <w:rFonts w:ascii="宋体" w:hAnsi="宋体" w:eastAsia="宋体" w:cs="宋体"/>
                <w:color w:val="auto"/>
                <w:spacing w:val="1"/>
                <w:kern w:val="0"/>
                <w:sz w:val="24"/>
                <w:szCs w:val="24"/>
                <w:highlight w:val="none"/>
              </w:rPr>
            </w:pPr>
          </w:p>
          <w:p>
            <w:pPr>
              <w:autoSpaceDE w:val="0"/>
              <w:autoSpaceDN w:val="0"/>
              <w:adjustRightInd w:val="0"/>
              <w:spacing w:line="400" w:lineRule="exact"/>
              <w:ind w:firstLine="4" w:firstLineChars="2"/>
              <w:jc w:val="center"/>
              <w:rPr>
                <w:rFonts w:ascii="宋体" w:hAnsi="宋体" w:eastAsia="宋体" w:cs="宋体"/>
                <w:color w:val="auto"/>
                <w:spacing w:val="1"/>
                <w:kern w:val="0"/>
                <w:sz w:val="24"/>
                <w:szCs w:val="24"/>
                <w:highlight w:val="none"/>
              </w:rPr>
            </w:pPr>
          </w:p>
          <w:p>
            <w:pPr>
              <w:autoSpaceDE w:val="0"/>
              <w:autoSpaceDN w:val="0"/>
              <w:adjustRightInd w:val="0"/>
              <w:spacing w:line="400" w:lineRule="exact"/>
              <w:ind w:firstLine="4" w:firstLineChars="2"/>
              <w:jc w:val="center"/>
              <w:rPr>
                <w:rFonts w:ascii="宋体" w:hAnsi="宋体" w:eastAsia="宋体" w:cs="宋体"/>
                <w:color w:val="auto"/>
                <w:spacing w:val="1"/>
                <w:kern w:val="0"/>
                <w:sz w:val="24"/>
                <w:szCs w:val="24"/>
                <w:highlight w:val="none"/>
              </w:rPr>
            </w:pPr>
          </w:p>
          <w:p>
            <w:pPr>
              <w:autoSpaceDE w:val="0"/>
              <w:autoSpaceDN w:val="0"/>
              <w:adjustRightInd w:val="0"/>
              <w:spacing w:line="400" w:lineRule="exact"/>
              <w:ind w:firstLine="4" w:firstLineChars="2"/>
              <w:jc w:val="center"/>
              <w:rPr>
                <w:rFonts w:ascii="宋体" w:hAnsi="宋体" w:eastAsia="宋体" w:cs="宋体"/>
                <w:color w:val="auto"/>
                <w:spacing w:val="1"/>
                <w:kern w:val="0"/>
                <w:sz w:val="24"/>
                <w:szCs w:val="24"/>
                <w:highlight w:val="none"/>
              </w:rPr>
            </w:pPr>
          </w:p>
          <w:p>
            <w:pPr>
              <w:autoSpaceDE w:val="0"/>
              <w:autoSpaceDN w:val="0"/>
              <w:adjustRightInd w:val="0"/>
              <w:spacing w:line="400" w:lineRule="exact"/>
              <w:ind w:firstLine="4" w:firstLineChars="2"/>
              <w:jc w:val="center"/>
              <w:rPr>
                <w:rFonts w:ascii="宋体" w:hAnsi="宋体" w:eastAsia="宋体" w:cs="宋体"/>
                <w:color w:val="auto"/>
                <w:spacing w:val="1"/>
                <w:kern w:val="0"/>
                <w:sz w:val="24"/>
                <w:szCs w:val="24"/>
                <w:highlight w:val="none"/>
              </w:rPr>
            </w:pPr>
            <w:r>
              <w:rPr>
                <w:rFonts w:hint="eastAsia" w:ascii="宋体" w:hAnsi="宋体" w:eastAsia="宋体" w:cs="宋体"/>
                <w:color w:val="auto"/>
                <w:spacing w:val="1"/>
                <w:kern w:val="0"/>
                <w:sz w:val="24"/>
                <w:szCs w:val="24"/>
                <w:highlight w:val="none"/>
              </w:rPr>
              <w:t>综合部分（20分）</w:t>
            </w:r>
          </w:p>
        </w:tc>
        <w:tc>
          <w:tcPr>
            <w:tcW w:w="2195" w:type="dxa"/>
            <w:vAlign w:val="center"/>
          </w:tcPr>
          <w:p>
            <w:pPr>
              <w:widowControl/>
              <w:spacing w:line="40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企业业绩</w:t>
            </w:r>
          </w:p>
          <w:p>
            <w:pPr>
              <w:widowControl/>
              <w:spacing w:line="400" w:lineRule="exact"/>
              <w:jc w:val="center"/>
              <w:rPr>
                <w:rFonts w:ascii="宋体" w:hAnsi="宋体" w:eastAsia="宋体" w:cs="宋体"/>
                <w:color w:val="auto"/>
                <w:spacing w:val="-6"/>
                <w:kern w:val="0"/>
                <w:sz w:val="24"/>
                <w:szCs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分</w:t>
            </w:r>
          </w:p>
        </w:tc>
        <w:tc>
          <w:tcPr>
            <w:tcW w:w="5697" w:type="dxa"/>
            <w:vAlign w:val="center"/>
          </w:tcPr>
          <w:p>
            <w:pPr>
              <w:widowControl/>
              <w:spacing w:line="400" w:lineRule="exact"/>
              <w:rPr>
                <w:rFonts w:ascii="宋体" w:hAnsi="宋体" w:eastAsia="宋体" w:cs="宋体"/>
                <w:color w:val="auto"/>
                <w:spacing w:val="-6"/>
                <w:kern w:val="0"/>
                <w:sz w:val="24"/>
                <w:szCs w:val="24"/>
                <w:highlight w:val="none"/>
              </w:rPr>
            </w:pPr>
            <w:r>
              <w:rPr>
                <w:rFonts w:hint="eastAsia" w:ascii="宋体" w:hAnsi="宋体" w:eastAsia="宋体" w:cs="宋体"/>
                <w:color w:val="auto"/>
                <w:sz w:val="24"/>
                <w:highlight w:val="none"/>
              </w:rPr>
              <w:t>企业2022年1月1日以来具有类似业绩，提供一份得2分，最多得6分（</w:t>
            </w:r>
            <w:r>
              <w:rPr>
                <w:rFonts w:hint="eastAsia" w:ascii="宋体" w:hAnsi="宋体" w:eastAsia="宋体"/>
                <w:b/>
                <w:color w:val="auto"/>
                <w:sz w:val="24"/>
                <w:szCs w:val="24"/>
                <w:highlight w:val="none"/>
              </w:rPr>
              <w:t>时间以合同签订日期为准，需提供中标通知书和施工合同，响应文件中附原件扫描件,否则不得分</w:t>
            </w:r>
            <w:r>
              <w:rPr>
                <w:rFonts w:hint="eastAsia" w:ascii="宋体" w:hAnsi="宋体" w:eastAsia="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atLeast"/>
          <w:jc w:val="center"/>
        </w:trPr>
        <w:tc>
          <w:tcPr>
            <w:tcW w:w="1017" w:type="dxa"/>
            <w:vMerge w:val="continue"/>
            <w:vAlign w:val="center"/>
          </w:tcPr>
          <w:p>
            <w:pPr>
              <w:autoSpaceDE w:val="0"/>
              <w:autoSpaceDN w:val="0"/>
              <w:adjustRightInd w:val="0"/>
              <w:spacing w:line="400" w:lineRule="exact"/>
              <w:ind w:firstLine="67" w:firstLineChars="28"/>
              <w:jc w:val="center"/>
              <w:rPr>
                <w:rFonts w:ascii="宋体" w:hAnsi="宋体" w:eastAsia="宋体" w:cs="宋体"/>
                <w:color w:val="auto"/>
                <w:spacing w:val="1"/>
                <w:kern w:val="0"/>
                <w:sz w:val="24"/>
                <w:szCs w:val="24"/>
                <w:highlight w:val="none"/>
              </w:rPr>
            </w:pPr>
          </w:p>
        </w:tc>
        <w:tc>
          <w:tcPr>
            <w:tcW w:w="1225" w:type="dxa"/>
            <w:vMerge w:val="continue"/>
            <w:vAlign w:val="center"/>
          </w:tcPr>
          <w:p>
            <w:pPr>
              <w:autoSpaceDE w:val="0"/>
              <w:autoSpaceDN w:val="0"/>
              <w:adjustRightInd w:val="0"/>
              <w:spacing w:line="400" w:lineRule="exact"/>
              <w:ind w:firstLine="4" w:firstLineChars="2"/>
              <w:jc w:val="center"/>
              <w:rPr>
                <w:rFonts w:ascii="宋体" w:hAnsi="宋体" w:eastAsia="宋体" w:cs="宋体"/>
                <w:color w:val="auto"/>
                <w:spacing w:val="1"/>
                <w:kern w:val="0"/>
                <w:sz w:val="24"/>
                <w:szCs w:val="24"/>
                <w:highlight w:val="none"/>
              </w:rPr>
            </w:pPr>
          </w:p>
        </w:tc>
        <w:tc>
          <w:tcPr>
            <w:tcW w:w="2195" w:type="dxa"/>
            <w:vAlign w:val="center"/>
          </w:tcPr>
          <w:p>
            <w:pPr>
              <w:widowControl/>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项目管理机构组成</w:t>
            </w:r>
          </w:p>
          <w:p>
            <w:pPr>
              <w:widowControl/>
              <w:spacing w:line="400" w:lineRule="exact"/>
              <w:jc w:val="center"/>
              <w:rPr>
                <w:rFonts w:ascii="宋体" w:hAnsi="宋体" w:eastAsia="宋体" w:cs="宋体"/>
                <w:color w:val="auto"/>
                <w:spacing w:val="-6"/>
                <w:kern w:val="0"/>
                <w:sz w:val="24"/>
                <w:szCs w:val="24"/>
                <w:highlight w:val="none"/>
              </w:rPr>
            </w:pPr>
            <w:r>
              <w:rPr>
                <w:rFonts w:hint="eastAsia" w:ascii="宋体" w:hAnsi="宋体" w:cs="宋体"/>
                <w:color w:val="auto"/>
                <w:sz w:val="24"/>
                <w:highlight w:val="none"/>
              </w:rPr>
              <w:t>5分</w:t>
            </w:r>
          </w:p>
        </w:tc>
        <w:tc>
          <w:tcPr>
            <w:tcW w:w="5697" w:type="dxa"/>
            <w:vAlign w:val="center"/>
          </w:tcPr>
          <w:p>
            <w:pPr>
              <w:widowControl/>
              <w:spacing w:line="400" w:lineRule="exact"/>
              <w:rPr>
                <w:rFonts w:ascii="宋体" w:hAnsi="宋体" w:eastAsia="宋体" w:cs="宋体"/>
                <w:color w:val="auto"/>
                <w:sz w:val="24"/>
                <w:highlight w:val="none"/>
              </w:rPr>
            </w:pPr>
            <w:r>
              <w:rPr>
                <w:rFonts w:hint="eastAsia" w:ascii="宋体" w:hAnsi="宋体" w:eastAsia="宋体" w:cs="宋体"/>
                <w:color w:val="auto"/>
                <w:sz w:val="24"/>
                <w:highlight w:val="none"/>
              </w:rPr>
              <w:t>项目管理机构组成中施工员、安全员、质检员（或质量员）、材料员、资料员；专业人员证件（上岗证或资格证、社保证明）齐全者得5分，每少一项扣1分，扣完为止。</w:t>
            </w:r>
          </w:p>
          <w:p>
            <w:pPr>
              <w:widowControl/>
              <w:spacing w:line="400" w:lineRule="exact"/>
              <w:rPr>
                <w:rFonts w:ascii="宋体" w:hAnsi="宋体" w:eastAsia="宋体" w:cs="宋体"/>
                <w:color w:val="auto"/>
                <w:spacing w:val="-6"/>
                <w:kern w:val="0"/>
                <w:sz w:val="24"/>
                <w:szCs w:val="24"/>
                <w:highlight w:val="none"/>
              </w:rPr>
            </w:pPr>
            <w:r>
              <w:rPr>
                <w:rFonts w:hint="eastAsia" w:ascii="宋体" w:hAnsi="宋体" w:eastAsia="宋体" w:cs="宋体"/>
                <w:color w:val="auto"/>
                <w:sz w:val="24"/>
                <w:highlight w:val="none"/>
              </w:rPr>
              <w:t>注：评标时以响应文件中提供的证书证件的原件扫描件为准。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jc w:val="center"/>
        </w:trPr>
        <w:tc>
          <w:tcPr>
            <w:tcW w:w="1017" w:type="dxa"/>
            <w:vMerge w:val="continue"/>
            <w:vAlign w:val="center"/>
          </w:tcPr>
          <w:p>
            <w:pPr>
              <w:autoSpaceDE w:val="0"/>
              <w:autoSpaceDN w:val="0"/>
              <w:adjustRightInd w:val="0"/>
              <w:spacing w:line="400" w:lineRule="exact"/>
              <w:ind w:firstLine="67" w:firstLineChars="28"/>
              <w:jc w:val="center"/>
              <w:rPr>
                <w:rFonts w:ascii="宋体" w:hAnsi="宋体" w:eastAsia="宋体" w:cs="宋体"/>
                <w:color w:val="auto"/>
                <w:spacing w:val="1"/>
                <w:kern w:val="0"/>
                <w:sz w:val="24"/>
                <w:szCs w:val="24"/>
                <w:highlight w:val="none"/>
              </w:rPr>
            </w:pPr>
          </w:p>
        </w:tc>
        <w:tc>
          <w:tcPr>
            <w:tcW w:w="1225" w:type="dxa"/>
            <w:vMerge w:val="continue"/>
            <w:vAlign w:val="center"/>
          </w:tcPr>
          <w:p>
            <w:pPr>
              <w:autoSpaceDE w:val="0"/>
              <w:autoSpaceDN w:val="0"/>
              <w:adjustRightInd w:val="0"/>
              <w:spacing w:line="400" w:lineRule="exact"/>
              <w:ind w:firstLine="4" w:firstLineChars="2"/>
              <w:jc w:val="center"/>
              <w:rPr>
                <w:rFonts w:ascii="宋体" w:hAnsi="宋体" w:eastAsia="宋体" w:cs="宋体"/>
                <w:color w:val="auto"/>
                <w:spacing w:val="1"/>
                <w:kern w:val="0"/>
                <w:sz w:val="24"/>
                <w:szCs w:val="24"/>
                <w:highlight w:val="none"/>
              </w:rPr>
            </w:pPr>
          </w:p>
        </w:tc>
        <w:tc>
          <w:tcPr>
            <w:tcW w:w="2195" w:type="dxa"/>
            <w:vAlign w:val="center"/>
          </w:tcPr>
          <w:p>
            <w:pPr>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highlight w:val="none"/>
              </w:rPr>
              <w:t>承诺质量、工期达到磋商文件要求并有具体措施</w:t>
            </w:r>
          </w:p>
          <w:p>
            <w:pPr>
              <w:pStyle w:val="6"/>
              <w:widowControl/>
              <w:spacing w:line="400" w:lineRule="exact"/>
              <w:jc w:val="center"/>
              <w:rPr>
                <w:rFonts w:hAnsi="宋体"/>
                <w:color w:val="auto"/>
                <w:spacing w:val="-6"/>
                <w:highlight w:val="none"/>
              </w:rPr>
            </w:pPr>
            <w:r>
              <w:rPr>
                <w:rFonts w:hint="eastAsia" w:hAnsi="宋体"/>
                <w:color w:val="auto"/>
                <w:highlight w:val="none"/>
              </w:rPr>
              <w:t>5分</w:t>
            </w:r>
          </w:p>
        </w:tc>
        <w:tc>
          <w:tcPr>
            <w:tcW w:w="5697" w:type="dxa"/>
            <w:vAlign w:val="center"/>
          </w:tcPr>
          <w:p>
            <w:pPr>
              <w:spacing w:line="400" w:lineRule="exact"/>
              <w:jc w:val="left"/>
              <w:rPr>
                <w:rFonts w:ascii="宋体" w:hAnsi="宋体" w:eastAsia="宋体" w:cs="宋体"/>
                <w:color w:val="auto"/>
                <w:kern w:val="0"/>
                <w:sz w:val="24"/>
                <w:highlight w:val="none"/>
              </w:rPr>
            </w:pPr>
            <w:r>
              <w:rPr>
                <w:rFonts w:hint="eastAsia" w:ascii="宋体" w:hAnsi="宋体" w:eastAsia="宋体" w:cs="宋体"/>
                <w:color w:val="auto"/>
                <w:sz w:val="24"/>
                <w:szCs w:val="24"/>
                <w:highlight w:val="none"/>
              </w:rPr>
              <w:t>具有全面、详实、可行、合法有效的书面保证技术措施落实到位的承诺和落实不到位的处理承诺，其中包括各关键岗位人员（项目经理及相关技术人员）的在岗、更换等履职尽责承诺，提供响应人履约保证，得5分；</w:t>
            </w:r>
          </w:p>
          <w:p>
            <w:pPr>
              <w:spacing w:line="400" w:lineRule="exact"/>
              <w:jc w:val="left"/>
              <w:rPr>
                <w:rFonts w:ascii="宋体" w:hAnsi="宋体" w:eastAsia="宋体" w:cs="宋体"/>
                <w:color w:val="auto"/>
                <w:spacing w:val="-6"/>
                <w:kern w:val="0"/>
                <w:sz w:val="24"/>
                <w:szCs w:val="24"/>
                <w:highlight w:val="none"/>
              </w:rPr>
            </w:pPr>
            <w:r>
              <w:rPr>
                <w:rFonts w:hint="eastAsia" w:ascii="宋体" w:hAnsi="宋体" w:eastAsia="宋体" w:cs="宋体"/>
                <w:color w:val="auto"/>
                <w:sz w:val="24"/>
                <w:szCs w:val="24"/>
                <w:highlight w:val="none"/>
              </w:rPr>
              <w:t>保证技术措施落实到位的承诺和落实不到位的处理承诺不够全面、详尽、无具体措施、不可行的，得2分；无承诺不得分。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017" w:type="dxa"/>
            <w:vMerge w:val="continue"/>
            <w:vAlign w:val="center"/>
          </w:tcPr>
          <w:p>
            <w:pPr>
              <w:autoSpaceDE w:val="0"/>
              <w:autoSpaceDN w:val="0"/>
              <w:adjustRightInd w:val="0"/>
              <w:spacing w:line="400" w:lineRule="exact"/>
              <w:ind w:firstLine="67" w:firstLineChars="28"/>
              <w:jc w:val="center"/>
              <w:rPr>
                <w:rFonts w:ascii="宋体" w:hAnsi="宋体" w:eastAsia="宋体" w:cs="宋体"/>
                <w:color w:val="auto"/>
                <w:spacing w:val="1"/>
                <w:kern w:val="0"/>
                <w:sz w:val="24"/>
                <w:szCs w:val="24"/>
                <w:highlight w:val="none"/>
              </w:rPr>
            </w:pPr>
          </w:p>
        </w:tc>
        <w:tc>
          <w:tcPr>
            <w:tcW w:w="1225" w:type="dxa"/>
            <w:vMerge w:val="continue"/>
            <w:vAlign w:val="center"/>
          </w:tcPr>
          <w:p>
            <w:pPr>
              <w:autoSpaceDE w:val="0"/>
              <w:autoSpaceDN w:val="0"/>
              <w:adjustRightInd w:val="0"/>
              <w:spacing w:line="400" w:lineRule="exact"/>
              <w:ind w:firstLine="4" w:firstLineChars="2"/>
              <w:jc w:val="center"/>
              <w:rPr>
                <w:rFonts w:ascii="宋体" w:hAnsi="宋体" w:eastAsia="宋体" w:cs="宋体"/>
                <w:color w:val="auto"/>
                <w:spacing w:val="1"/>
                <w:kern w:val="0"/>
                <w:sz w:val="24"/>
                <w:szCs w:val="24"/>
                <w:highlight w:val="none"/>
              </w:rPr>
            </w:pPr>
          </w:p>
        </w:tc>
        <w:tc>
          <w:tcPr>
            <w:tcW w:w="2195" w:type="dxa"/>
            <w:vAlign w:val="center"/>
          </w:tcPr>
          <w:p>
            <w:pPr>
              <w:pStyle w:val="6"/>
              <w:widowControl/>
              <w:spacing w:line="400" w:lineRule="exact"/>
              <w:jc w:val="center"/>
              <w:rPr>
                <w:rFonts w:hAnsi="宋体"/>
                <w:color w:val="auto"/>
                <w:highlight w:val="none"/>
              </w:rPr>
            </w:pPr>
            <w:r>
              <w:rPr>
                <w:rFonts w:hint="eastAsia" w:hAnsi="宋体"/>
                <w:color w:val="auto"/>
                <w:highlight w:val="none"/>
              </w:rPr>
              <w:t>履职尽责服务承诺</w:t>
            </w:r>
          </w:p>
          <w:p>
            <w:pPr>
              <w:pStyle w:val="6"/>
              <w:widowControl/>
              <w:spacing w:line="400" w:lineRule="exact"/>
              <w:jc w:val="center"/>
              <w:rPr>
                <w:rFonts w:hAnsi="宋体"/>
                <w:color w:val="auto"/>
                <w:spacing w:val="-6"/>
                <w:highlight w:val="none"/>
              </w:rPr>
            </w:pPr>
            <w:r>
              <w:rPr>
                <w:rFonts w:hint="eastAsia" w:hAnsi="宋体"/>
                <w:color w:val="auto"/>
                <w:highlight w:val="none"/>
              </w:rPr>
              <w:t>4分</w:t>
            </w:r>
          </w:p>
        </w:tc>
        <w:tc>
          <w:tcPr>
            <w:tcW w:w="5697" w:type="dxa"/>
            <w:vAlign w:val="center"/>
          </w:tcPr>
          <w:p>
            <w:pPr>
              <w:spacing w:line="400" w:lineRule="exact"/>
              <w:rPr>
                <w:rStyle w:val="30"/>
                <w:color w:val="auto"/>
                <w:highlight w:val="none"/>
              </w:rPr>
            </w:pPr>
            <w:r>
              <w:rPr>
                <w:rStyle w:val="30"/>
                <w:rFonts w:hint="eastAsia"/>
                <w:color w:val="auto"/>
                <w:highlight w:val="none"/>
              </w:rPr>
              <w:t>响应人根据企业自身情况作出更有利于采购人的优惠服务条件及承诺，磋商小组根据对所有响应人的优惠承诺进行横向比较，以最有利于采购人进行打分。内容全面、合理、可行性强的得4分；措施较全面、可行性一般的得得2分；内容不完整、可行性差的得1分；</w:t>
            </w:r>
          </w:p>
        </w:tc>
      </w:tr>
    </w:tbl>
    <w:p>
      <w:pPr>
        <w:rPr>
          <w:rFonts w:ascii="宋体" w:hAnsi="宋体" w:eastAsia="宋体" w:cs="宋体"/>
          <w:b/>
          <w:color w:val="auto"/>
          <w:sz w:val="24"/>
          <w:szCs w:val="24"/>
          <w:highlight w:val="none"/>
        </w:rPr>
      </w:pPr>
      <w:bookmarkStart w:id="76" w:name="_Toc1518"/>
      <w:bookmarkStart w:id="77" w:name="_Toc471195381"/>
      <w:r>
        <w:rPr>
          <w:rFonts w:hint="eastAsia" w:ascii="宋体" w:hAnsi="宋体" w:eastAsia="宋体" w:cs="宋体"/>
          <w:b/>
          <w:color w:val="auto"/>
          <w:sz w:val="24"/>
          <w:szCs w:val="24"/>
          <w:highlight w:val="none"/>
        </w:rPr>
        <w:br w:type="page"/>
      </w:r>
    </w:p>
    <w:p>
      <w:pPr>
        <w:spacing w:beforeLines="50" w:line="480" w:lineRule="exact"/>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评审方法</w:t>
      </w:r>
    </w:p>
    <w:p>
      <w:pPr>
        <w:adjustRightInd w:val="0"/>
        <w:spacing w:beforeLines="50" w:line="480" w:lineRule="exact"/>
        <w:ind w:firstLine="480" w:firstLineChars="200"/>
        <w:textAlignment w:val="baseline"/>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磋商小组对满足磋商文件实质性要求的响应文件，按本章规定的量化因素和分值进行打分，并计算出供应商综合得分。供应商的最终得分为所有评委对其打分的算术平均值。计分过程按四舍五入取至小数点后两位，最终得分取至小数点后二位。</w:t>
      </w:r>
    </w:p>
    <w:p>
      <w:pPr>
        <w:adjustRightInd w:val="0"/>
        <w:spacing w:beforeLines="50" w:line="480" w:lineRule="exact"/>
        <w:ind w:firstLine="480" w:firstLineChars="200"/>
        <w:textAlignment w:val="baseline"/>
        <w:rPr>
          <w:rFonts w:ascii="宋体" w:hAnsi="宋体" w:eastAsia="宋体" w:cs="宋体"/>
          <w:color w:val="auto"/>
          <w:spacing w:val="10"/>
          <w:kern w:val="0"/>
          <w:sz w:val="24"/>
          <w:szCs w:val="24"/>
          <w:highlight w:val="none"/>
        </w:rPr>
      </w:pPr>
      <w:r>
        <w:rPr>
          <w:rFonts w:hint="eastAsia" w:ascii="宋体" w:hAnsi="宋体" w:eastAsia="宋体" w:cs="宋体"/>
          <w:color w:val="auto"/>
          <w:kern w:val="0"/>
          <w:sz w:val="24"/>
          <w:szCs w:val="24"/>
          <w:highlight w:val="none"/>
        </w:rPr>
        <w:t>磋商小组应当根据综合评分由高到低的顺序推荐3名成交候选人，但磋商报价低于其成本的除外，并</w:t>
      </w:r>
      <w:r>
        <w:rPr>
          <w:rFonts w:hint="eastAsia" w:ascii="宋体" w:hAnsi="宋体" w:eastAsia="宋体" w:cs="宋体"/>
          <w:color w:val="auto"/>
          <w:spacing w:val="10"/>
          <w:kern w:val="0"/>
          <w:sz w:val="24"/>
          <w:szCs w:val="24"/>
          <w:highlight w:val="none"/>
        </w:rPr>
        <w:t>出具磋商评审报告，在报告上全体签字。</w:t>
      </w:r>
    </w:p>
    <w:p>
      <w:pPr>
        <w:adjustRightInd w:val="0"/>
        <w:spacing w:beforeLines="50" w:line="480" w:lineRule="exact"/>
        <w:ind w:firstLine="480" w:firstLineChars="200"/>
        <w:textAlignment w:val="baseline"/>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最终得分相同的，按照最后报价由低到高的顺序推荐。最终得分和最后报价均相同的，按照技术部分优劣顺序或磋商小组举手表决，少数服从多数的原则推荐。</w:t>
      </w:r>
      <w:bookmarkEnd w:id="76"/>
      <w:bookmarkEnd w:id="77"/>
      <w:bookmarkStart w:id="78" w:name="_Toc471195382"/>
      <w:bookmarkStart w:id="79" w:name="_Toc16388"/>
      <w:bookmarkStart w:id="80" w:name="_Toc26615"/>
    </w:p>
    <w:p>
      <w:pPr>
        <w:adjustRightInd w:val="0"/>
        <w:spacing w:line="480" w:lineRule="exact"/>
        <w:ind w:firstLine="482" w:firstLineChars="200"/>
        <w:textAlignment w:val="baseline"/>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 评审标准</w:t>
      </w:r>
      <w:bookmarkEnd w:id="78"/>
      <w:bookmarkEnd w:id="79"/>
      <w:bookmarkEnd w:id="80"/>
    </w:p>
    <w:p>
      <w:pPr>
        <w:spacing w:line="480" w:lineRule="exact"/>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1.1初步评审标准</w:t>
      </w:r>
    </w:p>
    <w:p>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符合性评审标准：见磋商办法前附表。</w:t>
      </w:r>
    </w:p>
    <w:p>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资格评审标准：见</w:t>
      </w:r>
      <w:r>
        <w:rPr>
          <w:rFonts w:hint="eastAsia" w:ascii="宋体" w:hAnsi="宋体" w:eastAsia="宋体" w:cs="宋体"/>
          <w:color w:val="auto"/>
          <w:kern w:val="0"/>
          <w:sz w:val="24"/>
          <w:szCs w:val="24"/>
          <w:highlight w:val="none"/>
        </w:rPr>
        <w:t>磋商</w:t>
      </w:r>
      <w:r>
        <w:rPr>
          <w:rFonts w:hint="eastAsia" w:ascii="宋体" w:hAnsi="宋体" w:eastAsia="宋体" w:cs="宋体"/>
          <w:color w:val="auto"/>
          <w:sz w:val="24"/>
          <w:szCs w:val="24"/>
          <w:highlight w:val="none"/>
        </w:rPr>
        <w:t>办法前附表。</w:t>
      </w:r>
    </w:p>
    <w:p>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响应性评审标准：见</w:t>
      </w:r>
      <w:r>
        <w:rPr>
          <w:rFonts w:hint="eastAsia" w:ascii="宋体" w:hAnsi="宋体" w:eastAsia="宋体" w:cs="宋体"/>
          <w:color w:val="auto"/>
          <w:kern w:val="0"/>
          <w:sz w:val="24"/>
          <w:szCs w:val="24"/>
          <w:highlight w:val="none"/>
        </w:rPr>
        <w:t>磋商</w:t>
      </w:r>
      <w:r>
        <w:rPr>
          <w:rFonts w:hint="eastAsia" w:ascii="宋体" w:hAnsi="宋体" w:eastAsia="宋体" w:cs="宋体"/>
          <w:color w:val="auto"/>
          <w:sz w:val="24"/>
          <w:szCs w:val="24"/>
          <w:highlight w:val="none"/>
        </w:rPr>
        <w:t>办法前附表。</w:t>
      </w:r>
    </w:p>
    <w:p>
      <w:pPr>
        <w:spacing w:line="480" w:lineRule="exact"/>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1.2分值构成与磋商标准</w:t>
      </w:r>
    </w:p>
    <w:p>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磋商报价：见磋商办法前附表；</w:t>
      </w:r>
    </w:p>
    <w:p>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技术部分：见磋商办法前附表；</w:t>
      </w:r>
    </w:p>
    <w:p>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综合部分：见磋商办法前附表；</w:t>
      </w:r>
    </w:p>
    <w:p>
      <w:pPr>
        <w:spacing w:line="480" w:lineRule="exact"/>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1.3磋商基准价计算</w:t>
      </w:r>
    </w:p>
    <w:p>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磋商基准价计算方法：见磋商办法前附表。</w:t>
      </w:r>
    </w:p>
    <w:p>
      <w:pPr>
        <w:spacing w:after="120" w:line="480" w:lineRule="exact"/>
        <w:ind w:firstLine="482" w:firstLineChars="200"/>
        <w:rPr>
          <w:rFonts w:ascii="宋体" w:hAnsi="宋体" w:eastAsia="宋体" w:cs="宋体"/>
          <w:b/>
          <w:bCs/>
          <w:color w:val="auto"/>
          <w:sz w:val="24"/>
          <w:szCs w:val="24"/>
          <w:highlight w:val="none"/>
        </w:rPr>
      </w:pPr>
      <w:bookmarkStart w:id="81" w:name="_Toc19858"/>
      <w:bookmarkStart w:id="82" w:name="_Toc471195383"/>
      <w:r>
        <w:rPr>
          <w:rFonts w:hint="eastAsia" w:ascii="宋体" w:hAnsi="宋体" w:eastAsia="宋体" w:cs="宋体"/>
          <w:b/>
          <w:bCs/>
          <w:color w:val="auto"/>
          <w:sz w:val="24"/>
          <w:szCs w:val="24"/>
          <w:highlight w:val="none"/>
        </w:rPr>
        <w:t>2.磋商程序</w:t>
      </w:r>
      <w:bookmarkEnd w:id="81"/>
      <w:bookmarkEnd w:id="82"/>
    </w:p>
    <w:p>
      <w:pPr>
        <w:spacing w:line="480" w:lineRule="exact"/>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2.1初步评审</w:t>
      </w:r>
    </w:p>
    <w:p>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2.1.1磋商小组依据本章磋商办法前附表规定的标准，对符合资格的供应商的磋商文件进行初步审查，以确定其是否满足磋商文件的实质性要求，有一项不符合评审标准的，磋商小组应当认定其磋商响应无效。</w:t>
      </w:r>
    </w:p>
    <w:p>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2.1.2供应商有以下情形之一的，其磋商作无效文件处理：</w:t>
      </w:r>
    </w:p>
    <w:p>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（1）串通磋商或弄虚作假或有其他违法行为的； </w:t>
      </w:r>
    </w:p>
    <w:p>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（2）不按磋商小组要求澄清、说明或补正的。</w:t>
      </w:r>
    </w:p>
    <w:p>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2.1.3磋商报价有算术错误的，磋商小组按以下原则对磋商报价进行修正，修正的价格经供应商确认后具有约束力。供应商不接受修正价格的，其磋商响应文件作无效文件处理。</w:t>
      </w:r>
    </w:p>
    <w:p>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(1）响应文件中的大写金额与小写金额不一致的，以大写金额为准；</w:t>
      </w:r>
    </w:p>
    <w:p>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(2）总价金额与依据单价计算出的结果不一致的，以单价金额为准修正总价，但单价金额小数点有明显错误的除外。</w:t>
      </w:r>
    </w:p>
    <w:p>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注：磋商小组根据磋商文件中对供应商的资格要求供应商进行初步评审。只有通过初步评审的供应商才能进入下一步评审程序。</w:t>
      </w:r>
    </w:p>
    <w:p>
      <w:pPr>
        <w:spacing w:line="480" w:lineRule="exact"/>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2.2详细评审</w:t>
      </w:r>
    </w:p>
    <w:p>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2.2.1通过初步评审的供应商磋商小组按本章第1.2款规定的量化因素和分值进行打分，并计算出综合评估得分。</w:t>
      </w:r>
    </w:p>
    <w:p>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（1）按本章第 1.2.2目规定的评审因素和分值对</w:t>
      </w:r>
      <w:r>
        <w:rPr>
          <w:rFonts w:hint="eastAsia" w:ascii="宋体" w:hAnsi="宋体" w:eastAsia="宋体" w:cs="宋体"/>
          <w:color w:val="auto"/>
          <w:spacing w:val="1"/>
          <w:kern w:val="0"/>
          <w:sz w:val="24"/>
          <w:szCs w:val="24"/>
          <w:highlight w:val="none"/>
        </w:rPr>
        <w:t>磋商报价</w:t>
      </w:r>
      <w:r>
        <w:rPr>
          <w:rFonts w:hint="eastAsia" w:ascii="宋体" w:hAnsi="宋体" w:eastAsia="宋体" w:cs="宋体"/>
          <w:color w:val="auto"/>
          <w:sz w:val="24"/>
          <w:szCs w:val="24"/>
          <w:highlight w:val="none"/>
        </w:rPr>
        <w:t>计算出得分A；</w:t>
      </w:r>
    </w:p>
    <w:p>
      <w:pPr>
        <w:tabs>
          <w:tab w:val="left" w:pos="987"/>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（2）按本章第 1.2.3目规定的评审因素和分值对技术部分计算出得分B；</w:t>
      </w:r>
    </w:p>
    <w:p>
      <w:pPr>
        <w:tabs>
          <w:tab w:val="left" w:pos="987"/>
        </w:tabs>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（3）按本章第 1.2.4目规定的评审因素和分值对综合部分计算出得分C。</w:t>
      </w:r>
    </w:p>
    <w:p>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2.2.2评分分值计算保留小数点后两位，小数点后第三位“四舍五入”。</w:t>
      </w:r>
    </w:p>
    <w:p>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2.2.3磋商供应商得分=A+B+C。</w:t>
      </w:r>
    </w:p>
    <w:p>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2.2.4磋商小组发现供应商的报价明显低于其他磋商报价，或者在设有标底时明显低于标底，使得其磋商报价可能低于其个别成本的，应当要求该供应商作出说明并提供相应的证明材料。供应商不能合理说明或者不能提供相应证明材料的，由磋商小组认定该供应商以低于成本报价竞标，其磋商作废标处理。</w:t>
      </w:r>
    </w:p>
    <w:p>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2.2.5供应商的最终得分：磋商小组由五名以下（含五名）评委组成时，</w:t>
      </w:r>
      <w:r>
        <w:rPr>
          <w:rFonts w:hint="eastAsia" w:ascii="宋体" w:hAnsi="宋体" w:eastAsia="宋体" w:cs="宋体"/>
          <w:color w:val="auto"/>
          <w:sz w:val="24"/>
          <w:szCs w:val="24"/>
          <w:highlight w:val="none"/>
        </w:rPr>
        <w:t>各评委评分的算术平均值为</w:t>
      </w:r>
      <w:r>
        <w:rPr>
          <w:rFonts w:hint="eastAsia" w:ascii="宋体" w:hAnsi="宋体" w:eastAsia="宋体" w:cs="宋体"/>
          <w:color w:val="auto"/>
          <w:kern w:val="0"/>
          <w:sz w:val="24"/>
          <w:szCs w:val="24"/>
          <w:highlight w:val="none"/>
        </w:rPr>
        <w:t>该磋商供应商的最终得分。</w:t>
      </w:r>
    </w:p>
    <w:p>
      <w:pPr>
        <w:spacing w:line="480" w:lineRule="exact"/>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2.3磋商响应文件的澄清和补正</w:t>
      </w:r>
    </w:p>
    <w:p>
      <w:pPr>
        <w:spacing w:line="480" w:lineRule="exact"/>
        <w:ind w:left="170"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2.3.1在磋商过程中，磋商小组可以要求供应商对所提交磋商响应文件中不明确的内容进行澄清或说明，或者对细微偏差进行补正。磋商小组不接受供应商主动提出的澄清、说明或补正。</w:t>
      </w:r>
    </w:p>
    <w:p>
      <w:pPr>
        <w:spacing w:line="480" w:lineRule="exact"/>
        <w:ind w:left="170"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2.3.2澄清、说明和补正不得改变磋商响应文件的实质性内容（算术性错误修正的除外）。供应商的澄清、说明和补正属于磋商响应文件的组成部分。</w:t>
      </w:r>
    </w:p>
    <w:p>
      <w:pPr>
        <w:spacing w:line="480" w:lineRule="exact"/>
        <w:ind w:left="170"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2.3.3磋商小组对供应商提交的澄清、说明或补正有疑问的，可以要求供应商进一步澄清、说明或补正，直至满足磋商小组的要求。</w:t>
      </w:r>
    </w:p>
    <w:p>
      <w:pPr>
        <w:tabs>
          <w:tab w:val="left" w:pos="425"/>
        </w:tabs>
        <w:spacing w:line="480" w:lineRule="exact"/>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3磋商结果</w:t>
      </w:r>
    </w:p>
    <w:p>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3.1除第二章“供应商须知”前附表授权直接确定成交供应商外，磋商小组按照得分由高到低的顺序推荐成交候选人。</w:t>
      </w:r>
    </w:p>
    <w:p>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3.2磋商小组完成评审后，应当向采购人提交评审报告。</w:t>
      </w:r>
    </w:p>
    <w:p>
      <w:pPr>
        <w:widowControl/>
        <w:spacing w:line="560" w:lineRule="exact"/>
        <w:jc w:val="center"/>
        <w:outlineLvl w:val="0"/>
        <w:rPr>
          <w:rFonts w:ascii="宋体" w:hAnsi="宋体" w:eastAsia="宋体" w:cs="宋体"/>
          <w:b/>
          <w:color w:val="auto"/>
          <w:sz w:val="32"/>
          <w:szCs w:val="32"/>
          <w:highlight w:val="none"/>
        </w:rPr>
      </w:pPr>
      <w:r>
        <w:rPr>
          <w:rFonts w:hint="eastAsia" w:ascii="宋体" w:hAnsi="宋体" w:eastAsia="宋体" w:cs="宋体"/>
          <w:color w:val="auto"/>
          <w:sz w:val="28"/>
          <w:szCs w:val="28"/>
          <w:highlight w:val="none"/>
        </w:rPr>
        <w:br w:type="page"/>
      </w:r>
      <w:bookmarkStart w:id="83" w:name="_Toc24783"/>
      <w:bookmarkStart w:id="84" w:name="_Toc7104350"/>
      <w:bookmarkStart w:id="85" w:name="_Toc508875409"/>
      <w:r>
        <w:rPr>
          <w:rFonts w:hint="eastAsia" w:ascii="宋体" w:hAnsi="宋体" w:eastAsia="宋体" w:cs="宋体"/>
          <w:b/>
          <w:color w:val="auto"/>
          <w:sz w:val="32"/>
          <w:szCs w:val="32"/>
          <w:highlight w:val="none"/>
        </w:rPr>
        <w:t>第四章 合同条款及格式</w:t>
      </w:r>
      <w:bookmarkEnd w:id="83"/>
      <w:bookmarkEnd w:id="84"/>
      <w:bookmarkEnd w:id="85"/>
    </w:p>
    <w:p>
      <w:pPr>
        <w:spacing w:line="560" w:lineRule="exact"/>
        <w:ind w:firstLine="560" w:firstLineChars="200"/>
        <w:rPr>
          <w:rFonts w:ascii="宋体" w:hAnsi="宋体" w:eastAsia="宋体" w:cs="宋体"/>
          <w:color w:val="auto"/>
          <w:sz w:val="28"/>
          <w:szCs w:val="28"/>
          <w:highlight w:val="none"/>
        </w:rPr>
      </w:pPr>
    </w:p>
    <w:p>
      <w:pPr>
        <w:keepNext/>
        <w:spacing w:line="600" w:lineRule="exact"/>
        <w:ind w:left="720" w:hanging="720"/>
        <w:jc w:val="center"/>
        <w:outlineLvl w:val="0"/>
        <w:rPr>
          <w:rFonts w:ascii="宋体" w:hAnsi="Courier New" w:eastAsia="宋体" w:cs="宋体"/>
          <w:color w:val="auto"/>
          <w:sz w:val="24"/>
          <w:szCs w:val="24"/>
          <w:highlight w:val="none"/>
        </w:rPr>
      </w:pPr>
      <w:bookmarkStart w:id="86" w:name="_Toc16281"/>
      <w:bookmarkStart w:id="87" w:name="_Toc29245"/>
      <w:bookmarkStart w:id="88" w:name="_Toc4588"/>
      <w:bookmarkStart w:id="89" w:name="_Toc27433"/>
      <w:bookmarkStart w:id="90" w:name="_Toc7104351"/>
      <w:bookmarkStart w:id="91" w:name="_Toc508875410"/>
      <w:r>
        <w:rPr>
          <w:rFonts w:hint="eastAsia" w:ascii="黑体" w:hAnsi="Calibri" w:eastAsia="宋体" w:cs="宋体"/>
          <w:b/>
          <w:color w:val="auto"/>
          <w:sz w:val="24"/>
          <w:szCs w:val="24"/>
          <w:highlight w:val="none"/>
        </w:rPr>
        <w:t>（以实际签订合同为准）</w:t>
      </w:r>
      <w:bookmarkEnd w:id="86"/>
      <w:bookmarkEnd w:id="87"/>
      <w:bookmarkEnd w:id="88"/>
      <w:bookmarkEnd w:id="89"/>
    </w:p>
    <w:p>
      <w:pPr>
        <w:widowControl/>
        <w:ind w:firstLine="487" w:firstLineChars="202"/>
        <w:rPr>
          <w:rFonts w:ascii="宋体" w:hAnsi="宋体" w:eastAsia="宋体" w:cs="Times New Roman"/>
          <w:b/>
          <w:bCs/>
          <w:color w:val="auto"/>
          <w:sz w:val="24"/>
          <w:szCs w:val="24"/>
          <w:highlight w:val="none"/>
        </w:rPr>
      </w:pPr>
    </w:p>
    <w:p>
      <w:pPr>
        <w:widowControl/>
        <w:spacing w:line="360" w:lineRule="auto"/>
        <w:ind w:firstLine="484" w:firstLineChars="20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由采购人与成交单位根据本磋商文件、成交单位响应文件及成交通知书，以《建设工程施工合同（示范文本）》（GF-2017-0201）为范本，协商签订本项目施工合同。</w:t>
      </w:r>
    </w:p>
    <w:p>
      <w:pPr>
        <w:widowControl/>
        <w:spacing w:line="360" w:lineRule="auto"/>
        <w:ind w:firstLine="484" w:firstLineChars="202"/>
        <w:rPr>
          <w:rFonts w:ascii="宋体" w:hAnsi="宋体" w:eastAsia="宋体" w:cs="宋体"/>
          <w:color w:val="auto"/>
          <w:sz w:val="24"/>
          <w:szCs w:val="24"/>
          <w:highlight w:val="none"/>
        </w:rPr>
      </w:pPr>
    </w:p>
    <w:p>
      <w:pPr>
        <w:widowControl/>
        <w:spacing w:line="360" w:lineRule="auto"/>
        <w:ind w:firstLine="484" w:firstLineChars="202"/>
        <w:rPr>
          <w:rFonts w:ascii="宋体" w:hAnsi="宋体" w:eastAsia="宋体" w:cs="宋体"/>
          <w:color w:val="auto"/>
          <w:sz w:val="24"/>
          <w:szCs w:val="24"/>
          <w:highlight w:val="none"/>
        </w:rPr>
      </w:pPr>
    </w:p>
    <w:p>
      <w:pPr>
        <w:widowControl/>
        <w:spacing w:line="360" w:lineRule="auto"/>
        <w:ind w:firstLine="484" w:firstLineChars="202"/>
        <w:rPr>
          <w:rFonts w:ascii="宋体" w:hAnsi="宋体" w:eastAsia="宋体" w:cs="宋体"/>
          <w:color w:val="auto"/>
          <w:sz w:val="24"/>
          <w:szCs w:val="24"/>
          <w:highlight w:val="none"/>
        </w:rPr>
      </w:pPr>
    </w:p>
    <w:p>
      <w:pPr>
        <w:widowControl/>
        <w:spacing w:line="360" w:lineRule="auto"/>
        <w:ind w:firstLine="484" w:firstLineChars="202"/>
        <w:rPr>
          <w:rFonts w:ascii="宋体" w:hAnsi="宋体" w:eastAsia="宋体" w:cs="宋体"/>
          <w:color w:val="auto"/>
          <w:sz w:val="24"/>
          <w:szCs w:val="24"/>
          <w:highlight w:val="none"/>
        </w:rPr>
      </w:pPr>
    </w:p>
    <w:p>
      <w:pPr>
        <w:widowControl/>
        <w:spacing w:line="360" w:lineRule="auto"/>
        <w:ind w:firstLine="484" w:firstLineChars="202"/>
        <w:rPr>
          <w:rFonts w:ascii="宋体" w:hAnsi="宋体" w:eastAsia="宋体" w:cs="宋体"/>
          <w:color w:val="auto"/>
          <w:sz w:val="24"/>
          <w:szCs w:val="24"/>
          <w:highlight w:val="none"/>
        </w:rPr>
      </w:pPr>
    </w:p>
    <w:p>
      <w:pPr>
        <w:widowControl/>
        <w:spacing w:line="360" w:lineRule="auto"/>
        <w:ind w:firstLine="484" w:firstLineChars="202"/>
        <w:rPr>
          <w:rFonts w:ascii="宋体" w:hAnsi="宋体" w:eastAsia="宋体" w:cs="宋体"/>
          <w:color w:val="auto"/>
          <w:sz w:val="24"/>
          <w:szCs w:val="24"/>
          <w:highlight w:val="none"/>
        </w:rPr>
      </w:pPr>
    </w:p>
    <w:p>
      <w:pPr>
        <w:widowControl/>
        <w:spacing w:line="360" w:lineRule="auto"/>
        <w:ind w:firstLine="484" w:firstLineChars="202"/>
        <w:rPr>
          <w:rFonts w:ascii="宋体" w:hAnsi="宋体" w:eastAsia="宋体" w:cs="宋体"/>
          <w:color w:val="auto"/>
          <w:sz w:val="24"/>
          <w:szCs w:val="24"/>
          <w:highlight w:val="none"/>
        </w:rPr>
      </w:pPr>
    </w:p>
    <w:p>
      <w:pPr>
        <w:widowControl/>
        <w:spacing w:line="360" w:lineRule="auto"/>
        <w:ind w:firstLine="484" w:firstLineChars="202"/>
        <w:rPr>
          <w:rFonts w:ascii="宋体" w:hAnsi="宋体" w:eastAsia="宋体" w:cs="宋体"/>
          <w:color w:val="auto"/>
          <w:sz w:val="24"/>
          <w:szCs w:val="24"/>
          <w:highlight w:val="none"/>
        </w:rPr>
      </w:pPr>
    </w:p>
    <w:p>
      <w:pPr>
        <w:widowControl/>
        <w:spacing w:line="360" w:lineRule="auto"/>
        <w:ind w:firstLine="484" w:firstLineChars="202"/>
        <w:rPr>
          <w:rFonts w:ascii="宋体" w:hAnsi="宋体" w:eastAsia="宋体" w:cs="宋体"/>
          <w:color w:val="auto"/>
          <w:sz w:val="24"/>
          <w:szCs w:val="24"/>
          <w:highlight w:val="none"/>
        </w:rPr>
      </w:pPr>
    </w:p>
    <w:p>
      <w:pPr>
        <w:widowControl/>
        <w:spacing w:line="360" w:lineRule="auto"/>
        <w:ind w:firstLine="484" w:firstLineChars="202"/>
        <w:rPr>
          <w:rFonts w:ascii="宋体" w:hAnsi="宋体" w:eastAsia="宋体" w:cs="宋体"/>
          <w:color w:val="auto"/>
          <w:sz w:val="24"/>
          <w:szCs w:val="24"/>
          <w:highlight w:val="none"/>
        </w:rPr>
      </w:pPr>
    </w:p>
    <w:p>
      <w:pPr>
        <w:widowControl/>
        <w:spacing w:line="360" w:lineRule="auto"/>
        <w:ind w:firstLine="484" w:firstLineChars="202"/>
        <w:rPr>
          <w:rFonts w:ascii="宋体" w:hAnsi="宋体" w:eastAsia="宋体" w:cs="宋体"/>
          <w:color w:val="auto"/>
          <w:sz w:val="24"/>
          <w:szCs w:val="24"/>
          <w:highlight w:val="none"/>
        </w:rPr>
      </w:pPr>
    </w:p>
    <w:p>
      <w:pPr>
        <w:widowControl/>
        <w:spacing w:line="360" w:lineRule="auto"/>
        <w:ind w:firstLine="484" w:firstLineChars="202"/>
        <w:rPr>
          <w:rFonts w:ascii="宋体" w:hAnsi="宋体" w:eastAsia="宋体" w:cs="宋体"/>
          <w:color w:val="auto"/>
          <w:sz w:val="24"/>
          <w:szCs w:val="24"/>
          <w:highlight w:val="none"/>
        </w:rPr>
      </w:pPr>
    </w:p>
    <w:p>
      <w:pPr>
        <w:widowControl/>
        <w:spacing w:line="360" w:lineRule="auto"/>
        <w:ind w:firstLine="484" w:firstLineChars="202"/>
        <w:rPr>
          <w:rFonts w:ascii="宋体" w:hAnsi="宋体" w:eastAsia="宋体" w:cs="宋体"/>
          <w:color w:val="auto"/>
          <w:sz w:val="24"/>
          <w:szCs w:val="24"/>
          <w:highlight w:val="none"/>
        </w:rPr>
      </w:pPr>
    </w:p>
    <w:p>
      <w:pPr>
        <w:widowControl/>
        <w:spacing w:line="360" w:lineRule="auto"/>
        <w:ind w:firstLine="484" w:firstLineChars="202"/>
        <w:rPr>
          <w:rFonts w:ascii="宋体" w:hAnsi="宋体" w:eastAsia="宋体" w:cs="宋体"/>
          <w:color w:val="auto"/>
          <w:sz w:val="24"/>
          <w:szCs w:val="24"/>
          <w:highlight w:val="none"/>
        </w:rPr>
      </w:pPr>
    </w:p>
    <w:p>
      <w:pPr>
        <w:widowControl/>
        <w:spacing w:line="360" w:lineRule="auto"/>
        <w:ind w:firstLine="484" w:firstLineChars="202"/>
        <w:rPr>
          <w:rFonts w:ascii="宋体" w:hAnsi="宋体" w:eastAsia="宋体" w:cs="宋体"/>
          <w:color w:val="auto"/>
          <w:sz w:val="24"/>
          <w:szCs w:val="24"/>
          <w:highlight w:val="none"/>
        </w:rPr>
      </w:pPr>
    </w:p>
    <w:p>
      <w:pPr>
        <w:widowControl/>
        <w:spacing w:line="360" w:lineRule="auto"/>
        <w:ind w:firstLine="484" w:firstLineChars="202"/>
        <w:rPr>
          <w:rFonts w:ascii="宋体" w:hAnsi="宋体" w:eastAsia="宋体" w:cs="宋体"/>
          <w:color w:val="auto"/>
          <w:sz w:val="24"/>
          <w:szCs w:val="24"/>
          <w:highlight w:val="none"/>
        </w:rPr>
      </w:pPr>
    </w:p>
    <w:p>
      <w:pPr>
        <w:widowControl/>
        <w:spacing w:line="360" w:lineRule="auto"/>
        <w:ind w:firstLine="484" w:firstLineChars="202"/>
        <w:rPr>
          <w:rFonts w:ascii="宋体" w:hAnsi="宋体" w:eastAsia="宋体" w:cs="宋体"/>
          <w:color w:val="auto"/>
          <w:sz w:val="24"/>
          <w:szCs w:val="24"/>
          <w:highlight w:val="none"/>
        </w:rPr>
      </w:pPr>
    </w:p>
    <w:p>
      <w:pPr>
        <w:widowControl/>
        <w:spacing w:line="360" w:lineRule="auto"/>
        <w:ind w:firstLine="484" w:firstLineChars="202"/>
        <w:rPr>
          <w:rFonts w:ascii="宋体" w:hAnsi="宋体" w:eastAsia="宋体" w:cs="宋体"/>
          <w:color w:val="auto"/>
          <w:sz w:val="24"/>
          <w:szCs w:val="24"/>
          <w:highlight w:val="none"/>
        </w:rPr>
      </w:pPr>
    </w:p>
    <w:p>
      <w:pPr>
        <w:widowControl/>
        <w:spacing w:line="360" w:lineRule="auto"/>
        <w:ind w:firstLine="484" w:firstLineChars="202"/>
        <w:rPr>
          <w:rFonts w:ascii="宋体" w:hAnsi="宋体" w:eastAsia="宋体" w:cs="宋体"/>
          <w:color w:val="auto"/>
          <w:sz w:val="24"/>
          <w:szCs w:val="24"/>
          <w:highlight w:val="none"/>
        </w:rPr>
      </w:pPr>
    </w:p>
    <w:p>
      <w:pPr>
        <w:spacing w:before="240" w:after="60" w:line="560" w:lineRule="exact"/>
        <w:jc w:val="center"/>
        <w:outlineLvl w:val="0"/>
        <w:rPr>
          <w:rFonts w:ascii="宋体" w:hAnsi="宋体" w:eastAsia="宋体" w:cs="宋体"/>
          <w:b/>
          <w:bCs/>
          <w:color w:val="auto"/>
          <w:sz w:val="32"/>
          <w:szCs w:val="32"/>
          <w:highlight w:val="none"/>
        </w:rPr>
      </w:pPr>
      <w:bookmarkStart w:id="92" w:name="_Toc30985"/>
      <w:r>
        <w:rPr>
          <w:rFonts w:hint="eastAsia" w:ascii="宋体" w:hAnsi="宋体" w:eastAsia="宋体" w:cs="宋体"/>
          <w:b/>
          <w:bCs/>
          <w:color w:val="auto"/>
          <w:sz w:val="32"/>
          <w:szCs w:val="32"/>
          <w:highlight w:val="none"/>
        </w:rPr>
        <w:t>第五章</w:t>
      </w:r>
      <w:bookmarkEnd w:id="90"/>
      <w:bookmarkEnd w:id="91"/>
      <w:r>
        <w:rPr>
          <w:rFonts w:hint="eastAsia" w:ascii="宋体" w:hAnsi="宋体" w:eastAsia="宋体" w:cs="宋体"/>
          <w:b/>
          <w:bCs/>
          <w:color w:val="auto"/>
          <w:sz w:val="32"/>
          <w:szCs w:val="32"/>
          <w:highlight w:val="none"/>
        </w:rPr>
        <w:t>工程量清单</w:t>
      </w:r>
      <w:bookmarkEnd w:id="92"/>
    </w:p>
    <w:p>
      <w:pPr>
        <w:rPr>
          <w:rFonts w:ascii="Calibri" w:hAnsi="Calibri" w:eastAsia="宋体" w:cs="Times New Roman"/>
          <w:color w:val="auto"/>
          <w:highlight w:val="none"/>
        </w:rPr>
      </w:pPr>
    </w:p>
    <w:p>
      <w:pPr>
        <w:rPr>
          <w:rFonts w:ascii="Calibri" w:hAnsi="Calibri" w:eastAsia="宋体" w:cs="Times New Roman"/>
          <w:color w:val="auto"/>
          <w:highlight w:val="none"/>
        </w:rPr>
      </w:pPr>
    </w:p>
    <w:p>
      <w:pPr>
        <w:jc w:val="center"/>
        <w:rPr>
          <w:rFonts w:ascii="Calibri" w:hAnsi="Calibri" w:eastAsia="宋体" w:cs="Times New Roman"/>
          <w:color w:val="auto"/>
          <w:sz w:val="28"/>
          <w:szCs w:val="28"/>
          <w:highlight w:val="none"/>
        </w:rPr>
      </w:pPr>
      <w:r>
        <w:rPr>
          <w:rFonts w:hint="eastAsia" w:ascii="Calibri" w:hAnsi="Calibri" w:eastAsia="宋体" w:cs="Times New Roman"/>
          <w:color w:val="auto"/>
          <w:sz w:val="28"/>
          <w:szCs w:val="28"/>
          <w:highlight w:val="none"/>
        </w:rPr>
        <w:t>另附</w:t>
      </w:r>
    </w:p>
    <w:p>
      <w:pPr>
        <w:rPr>
          <w:rFonts w:ascii="Calibri" w:hAnsi="Calibri" w:eastAsia="宋体" w:cs="Times New Roman"/>
          <w:color w:val="auto"/>
          <w:highlight w:val="none"/>
        </w:rPr>
      </w:pPr>
    </w:p>
    <w:p>
      <w:pPr>
        <w:rPr>
          <w:rFonts w:ascii="Calibri" w:hAnsi="Calibri" w:eastAsia="宋体" w:cs="Times New Roman"/>
          <w:color w:val="auto"/>
          <w:highlight w:val="none"/>
        </w:rPr>
      </w:pPr>
    </w:p>
    <w:p>
      <w:pPr>
        <w:rPr>
          <w:rFonts w:ascii="Calibri" w:hAnsi="Calibri" w:eastAsia="宋体" w:cs="Times New Roman"/>
          <w:color w:val="auto"/>
          <w:highlight w:val="none"/>
        </w:rPr>
      </w:pPr>
    </w:p>
    <w:p>
      <w:pPr>
        <w:rPr>
          <w:rFonts w:ascii="Calibri" w:hAnsi="Calibri" w:eastAsia="宋体" w:cs="Times New Roman"/>
          <w:color w:val="auto"/>
          <w:highlight w:val="none"/>
        </w:rPr>
      </w:pPr>
    </w:p>
    <w:p>
      <w:pPr>
        <w:rPr>
          <w:rFonts w:ascii="Calibri" w:hAnsi="Calibri" w:eastAsia="宋体" w:cs="Times New Roman"/>
          <w:color w:val="auto"/>
          <w:highlight w:val="none"/>
        </w:rPr>
      </w:pPr>
    </w:p>
    <w:p>
      <w:pPr>
        <w:rPr>
          <w:rFonts w:ascii="Calibri" w:hAnsi="Calibri" w:eastAsia="宋体" w:cs="Times New Roman"/>
          <w:color w:val="auto"/>
          <w:highlight w:val="none"/>
        </w:rPr>
      </w:pPr>
    </w:p>
    <w:p>
      <w:pPr>
        <w:rPr>
          <w:rFonts w:ascii="Calibri" w:hAnsi="Calibri" w:eastAsia="宋体" w:cs="Times New Roman"/>
          <w:color w:val="auto"/>
          <w:highlight w:val="none"/>
        </w:rPr>
      </w:pPr>
    </w:p>
    <w:p>
      <w:pPr>
        <w:rPr>
          <w:rFonts w:ascii="Calibri" w:hAnsi="Calibri" w:eastAsia="宋体" w:cs="Times New Roman"/>
          <w:color w:val="auto"/>
          <w:highlight w:val="none"/>
        </w:rPr>
      </w:pPr>
    </w:p>
    <w:p>
      <w:pPr>
        <w:rPr>
          <w:rFonts w:ascii="Calibri" w:hAnsi="Calibri" w:eastAsia="宋体" w:cs="Times New Roman"/>
          <w:color w:val="auto"/>
          <w:highlight w:val="none"/>
        </w:rPr>
      </w:pPr>
    </w:p>
    <w:p>
      <w:pPr>
        <w:rPr>
          <w:rFonts w:ascii="Calibri" w:hAnsi="Calibri" w:eastAsia="宋体" w:cs="Times New Roman"/>
          <w:color w:val="auto"/>
          <w:highlight w:val="none"/>
        </w:rPr>
      </w:pPr>
    </w:p>
    <w:p>
      <w:pPr>
        <w:rPr>
          <w:rFonts w:ascii="Calibri" w:hAnsi="Calibri" w:eastAsia="宋体" w:cs="Times New Roman"/>
          <w:color w:val="auto"/>
          <w:highlight w:val="none"/>
        </w:rPr>
      </w:pPr>
    </w:p>
    <w:p>
      <w:pPr>
        <w:rPr>
          <w:rFonts w:ascii="Calibri" w:hAnsi="Calibri" w:eastAsia="宋体" w:cs="Times New Roman"/>
          <w:color w:val="auto"/>
          <w:highlight w:val="none"/>
        </w:rPr>
      </w:pPr>
    </w:p>
    <w:p>
      <w:pPr>
        <w:rPr>
          <w:rFonts w:ascii="Calibri" w:hAnsi="Calibri" w:eastAsia="宋体" w:cs="Times New Roman"/>
          <w:color w:val="auto"/>
          <w:highlight w:val="none"/>
        </w:rPr>
      </w:pPr>
    </w:p>
    <w:p>
      <w:pPr>
        <w:rPr>
          <w:rFonts w:ascii="Calibri" w:hAnsi="Calibri" w:eastAsia="宋体" w:cs="Times New Roman"/>
          <w:color w:val="auto"/>
          <w:highlight w:val="none"/>
        </w:rPr>
      </w:pPr>
    </w:p>
    <w:p>
      <w:pPr>
        <w:rPr>
          <w:rFonts w:ascii="Calibri" w:hAnsi="Calibri" w:eastAsia="宋体" w:cs="Times New Roman"/>
          <w:color w:val="auto"/>
          <w:highlight w:val="none"/>
        </w:rPr>
      </w:pPr>
    </w:p>
    <w:p>
      <w:pPr>
        <w:rPr>
          <w:rFonts w:ascii="Calibri" w:hAnsi="Calibri" w:eastAsia="宋体" w:cs="Times New Roman"/>
          <w:color w:val="auto"/>
          <w:highlight w:val="none"/>
        </w:rPr>
      </w:pPr>
    </w:p>
    <w:p>
      <w:pPr>
        <w:rPr>
          <w:rFonts w:ascii="Calibri" w:hAnsi="Calibri" w:eastAsia="宋体" w:cs="Times New Roman"/>
          <w:color w:val="auto"/>
          <w:highlight w:val="none"/>
        </w:rPr>
      </w:pPr>
    </w:p>
    <w:p>
      <w:pPr>
        <w:rPr>
          <w:rFonts w:ascii="Calibri" w:hAnsi="Calibri" w:eastAsia="宋体" w:cs="Times New Roman"/>
          <w:color w:val="auto"/>
          <w:highlight w:val="none"/>
        </w:rPr>
      </w:pPr>
    </w:p>
    <w:p>
      <w:pPr>
        <w:rPr>
          <w:rFonts w:ascii="Calibri" w:hAnsi="Calibri" w:eastAsia="宋体" w:cs="Times New Roman"/>
          <w:color w:val="auto"/>
          <w:highlight w:val="none"/>
        </w:rPr>
      </w:pPr>
    </w:p>
    <w:p>
      <w:pPr>
        <w:rPr>
          <w:rFonts w:ascii="Calibri" w:hAnsi="Calibri" w:eastAsia="宋体" w:cs="Times New Roman"/>
          <w:color w:val="auto"/>
          <w:highlight w:val="none"/>
        </w:rPr>
      </w:pPr>
    </w:p>
    <w:p>
      <w:pPr>
        <w:rPr>
          <w:rFonts w:ascii="Calibri" w:hAnsi="Calibri" w:eastAsia="宋体" w:cs="Times New Roman"/>
          <w:color w:val="auto"/>
          <w:highlight w:val="none"/>
        </w:rPr>
      </w:pPr>
    </w:p>
    <w:p>
      <w:pPr>
        <w:rPr>
          <w:rFonts w:ascii="Calibri" w:hAnsi="Calibri" w:eastAsia="宋体" w:cs="Times New Roman"/>
          <w:color w:val="auto"/>
          <w:highlight w:val="none"/>
        </w:rPr>
      </w:pPr>
    </w:p>
    <w:p>
      <w:pPr>
        <w:rPr>
          <w:rFonts w:ascii="Calibri" w:hAnsi="Calibri" w:eastAsia="宋体" w:cs="Times New Roman"/>
          <w:color w:val="auto"/>
          <w:highlight w:val="none"/>
        </w:rPr>
      </w:pPr>
    </w:p>
    <w:p>
      <w:pPr>
        <w:rPr>
          <w:rFonts w:ascii="Calibri" w:hAnsi="Calibri" w:eastAsia="宋体" w:cs="Times New Roman"/>
          <w:color w:val="auto"/>
          <w:highlight w:val="none"/>
        </w:rPr>
      </w:pPr>
    </w:p>
    <w:p>
      <w:pPr>
        <w:rPr>
          <w:rFonts w:ascii="Calibri" w:hAnsi="Calibri" w:eastAsia="宋体" w:cs="Times New Roman"/>
          <w:color w:val="auto"/>
          <w:highlight w:val="none"/>
        </w:rPr>
      </w:pPr>
    </w:p>
    <w:p>
      <w:pPr>
        <w:rPr>
          <w:rFonts w:ascii="Calibri" w:hAnsi="Calibri" w:eastAsia="宋体" w:cs="Times New Roman"/>
          <w:color w:val="auto"/>
          <w:highlight w:val="none"/>
        </w:rPr>
      </w:pPr>
    </w:p>
    <w:p>
      <w:pPr>
        <w:rPr>
          <w:rFonts w:ascii="Calibri" w:hAnsi="Calibri" w:eastAsia="宋体" w:cs="Times New Roman"/>
          <w:color w:val="auto"/>
          <w:highlight w:val="none"/>
        </w:rPr>
      </w:pPr>
    </w:p>
    <w:p>
      <w:pPr>
        <w:rPr>
          <w:rFonts w:ascii="Calibri" w:hAnsi="Calibri" w:eastAsia="宋体" w:cs="Times New Roman"/>
          <w:color w:val="auto"/>
          <w:highlight w:val="none"/>
        </w:rPr>
      </w:pPr>
    </w:p>
    <w:p>
      <w:pPr>
        <w:rPr>
          <w:rFonts w:ascii="Calibri" w:hAnsi="Calibri" w:eastAsia="宋体" w:cs="Times New Roman"/>
          <w:color w:val="auto"/>
          <w:highlight w:val="none"/>
        </w:rPr>
      </w:pPr>
    </w:p>
    <w:p>
      <w:pPr>
        <w:rPr>
          <w:rFonts w:ascii="Calibri" w:hAnsi="Calibri" w:eastAsia="宋体" w:cs="Times New Roman"/>
          <w:color w:val="auto"/>
          <w:highlight w:val="none"/>
        </w:rPr>
      </w:pPr>
    </w:p>
    <w:p>
      <w:pPr>
        <w:rPr>
          <w:rFonts w:ascii="Calibri" w:hAnsi="Calibri" w:eastAsia="宋体" w:cs="Times New Roman"/>
          <w:color w:val="auto"/>
          <w:highlight w:val="none"/>
        </w:rPr>
      </w:pPr>
    </w:p>
    <w:p>
      <w:pPr>
        <w:rPr>
          <w:rFonts w:ascii="Calibri" w:hAnsi="Calibri" w:eastAsia="宋体" w:cs="Times New Roman"/>
          <w:color w:val="auto"/>
          <w:highlight w:val="none"/>
        </w:rPr>
      </w:pPr>
    </w:p>
    <w:p>
      <w:pPr>
        <w:widowControl/>
        <w:adjustRightInd w:val="0"/>
        <w:snapToGrid w:val="0"/>
        <w:spacing w:after="200" w:line="560" w:lineRule="exact"/>
        <w:jc w:val="center"/>
        <w:outlineLvl w:val="0"/>
        <w:rPr>
          <w:rFonts w:ascii="宋体" w:hAnsi="宋体" w:eastAsia="宋体" w:cs="宋体"/>
          <w:b/>
          <w:bCs/>
          <w:color w:val="auto"/>
          <w:kern w:val="0"/>
          <w:sz w:val="32"/>
          <w:szCs w:val="32"/>
          <w:highlight w:val="none"/>
        </w:rPr>
      </w:pPr>
      <w:bookmarkStart w:id="93" w:name="_Toc14853"/>
      <w:r>
        <w:rPr>
          <w:rFonts w:hint="eastAsia" w:ascii="宋体" w:hAnsi="宋体" w:eastAsia="宋体" w:cs="宋体"/>
          <w:b/>
          <w:bCs/>
          <w:color w:val="auto"/>
          <w:kern w:val="0"/>
          <w:sz w:val="32"/>
          <w:szCs w:val="32"/>
          <w:highlight w:val="none"/>
        </w:rPr>
        <w:t>第六章  技术标准及要求</w:t>
      </w:r>
      <w:bookmarkEnd w:id="93"/>
    </w:p>
    <w:p>
      <w:pPr>
        <w:spacing w:line="360" w:lineRule="auto"/>
        <w:ind w:firstLine="480" w:firstLineChars="200"/>
        <w:rPr>
          <w:rFonts w:ascii="宋体" w:hAnsi="Times New Roman" w:eastAsia="宋体" w:cs="宋体"/>
          <w:color w:val="auto"/>
          <w:sz w:val="24"/>
          <w:szCs w:val="24"/>
          <w:highlight w:val="none"/>
        </w:rPr>
      </w:pPr>
      <w:bookmarkStart w:id="94" w:name="_Toc290577186"/>
      <w:bookmarkStart w:id="95" w:name="_Toc285539108"/>
      <w:bookmarkStart w:id="96" w:name="_Toc282615320"/>
      <w:bookmarkStart w:id="97" w:name="_Toc287621014"/>
      <w:r>
        <w:rPr>
          <w:rFonts w:hint="eastAsia" w:ascii="宋体" w:hAnsi="宋体" w:eastAsia="宋体" w:cs="宋体"/>
          <w:color w:val="auto"/>
          <w:sz w:val="24"/>
          <w:szCs w:val="24"/>
          <w:highlight w:val="none"/>
        </w:rPr>
        <w:t>一、适用的规范、标准和规程</w:t>
      </w:r>
      <w:bookmarkEnd w:id="94"/>
      <w:bookmarkEnd w:id="95"/>
      <w:bookmarkEnd w:id="96"/>
      <w:bookmarkEnd w:id="97"/>
    </w:p>
    <w:p>
      <w:pPr>
        <w:spacing w:line="360" w:lineRule="auto"/>
        <w:ind w:firstLine="480" w:firstLineChars="200"/>
        <w:rPr>
          <w:rFonts w:ascii="宋体" w:hAnsi="Times New Roman" w:eastAsia="宋体" w:cs="宋体"/>
          <w:color w:val="auto"/>
          <w:sz w:val="24"/>
          <w:szCs w:val="24"/>
          <w:highlight w:val="none"/>
        </w:rPr>
      </w:pPr>
      <w:r>
        <w:rPr>
          <w:rFonts w:hint="eastAsia" w:ascii="宋体" w:hAnsi="宋体" w:eastAsia="宋体" w:cs="宋体"/>
          <w:color w:val="auto"/>
          <w:sz w:val="24"/>
          <w:szCs w:val="24"/>
          <w:highlight w:val="none"/>
        </w:rPr>
        <w:t>1、本工程适用现行国家、行业和地方规范、标准和规程。构成合同文件的任何内容与适用的规范、标准和规程之间出现矛盾，施工人应书面要求发包人予以澄清，除发包人有特别指示外，监理人应按照最严格的标准执行。</w:t>
      </w:r>
    </w:p>
    <w:p>
      <w:pPr>
        <w:spacing w:line="360" w:lineRule="auto"/>
        <w:ind w:firstLine="480" w:firstLineChars="200"/>
        <w:rPr>
          <w:rFonts w:ascii="宋体" w:hAnsi="Times New Roman" w:eastAsia="宋体" w:cs="宋体"/>
          <w:color w:val="auto"/>
          <w:sz w:val="24"/>
          <w:szCs w:val="24"/>
          <w:highlight w:val="none"/>
        </w:rPr>
      </w:pPr>
      <w:r>
        <w:rPr>
          <w:rFonts w:hint="eastAsia" w:ascii="宋体" w:hAnsi="宋体" w:eastAsia="宋体" w:cs="宋体"/>
          <w:color w:val="auto"/>
          <w:sz w:val="24"/>
          <w:szCs w:val="24"/>
          <w:highlight w:val="none"/>
        </w:rPr>
        <w:t>2、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w:t>
      </w:r>
    </w:p>
    <w:p>
      <w:pPr>
        <w:spacing w:line="360" w:lineRule="auto"/>
        <w:ind w:firstLine="482" w:firstLineChars="200"/>
        <w:rPr>
          <w:rFonts w:ascii="宋体" w:hAnsi="Times New Roman" w:eastAsia="宋体" w:cs="宋体"/>
          <w:b/>
          <w:color w:val="auto"/>
          <w:sz w:val="24"/>
          <w:szCs w:val="24"/>
          <w:highlight w:val="none"/>
        </w:rPr>
      </w:pPr>
      <w:bookmarkStart w:id="98" w:name="_Toc287621015"/>
      <w:bookmarkStart w:id="99" w:name="_Toc285539109"/>
      <w:bookmarkStart w:id="100" w:name="_Toc282615321"/>
      <w:bookmarkStart w:id="101" w:name="_Toc290577187"/>
      <w:r>
        <w:rPr>
          <w:rFonts w:hint="eastAsia" w:ascii="宋体" w:hAnsi="宋体" w:eastAsia="宋体" w:cs="宋体"/>
          <w:b/>
          <w:color w:val="auto"/>
          <w:sz w:val="24"/>
          <w:szCs w:val="24"/>
          <w:highlight w:val="none"/>
        </w:rPr>
        <w:t>二、</w:t>
      </w:r>
      <w:r>
        <w:rPr>
          <w:rFonts w:hint="eastAsia" w:ascii="宋体" w:hAnsi="宋体" w:eastAsia="宋体" w:cs="宋体"/>
          <w:color w:val="auto"/>
          <w:sz w:val="24"/>
          <w:szCs w:val="24"/>
          <w:highlight w:val="none"/>
        </w:rPr>
        <w:t>施工、监理及验收规范</w:t>
      </w:r>
      <w:bookmarkEnd w:id="98"/>
      <w:bookmarkEnd w:id="99"/>
      <w:bookmarkEnd w:id="100"/>
      <w:bookmarkEnd w:id="101"/>
    </w:p>
    <w:p>
      <w:pPr>
        <w:spacing w:line="360" w:lineRule="auto"/>
        <w:ind w:firstLine="480" w:firstLineChars="200"/>
        <w:rPr>
          <w:rFonts w:ascii="宋体" w:hAnsi="Times New Roman" w:eastAsia="宋体" w:cs="宋体"/>
          <w:color w:val="auto"/>
          <w:sz w:val="24"/>
          <w:szCs w:val="24"/>
          <w:highlight w:val="none"/>
        </w:rPr>
      </w:pPr>
      <w:r>
        <w:rPr>
          <w:rFonts w:hint="eastAsia" w:ascii="宋体" w:hAnsi="宋体" w:eastAsia="宋体" w:cs="宋体"/>
          <w:color w:val="auto"/>
          <w:sz w:val="24"/>
          <w:szCs w:val="24"/>
          <w:highlight w:val="none"/>
        </w:rPr>
        <w:t>本工程执行国家现行的与本工程有关的施工、监理及验收规范、标准图集、图纸设计等。</w:t>
      </w:r>
    </w:p>
    <w:p>
      <w:pPr>
        <w:spacing w:line="360" w:lineRule="auto"/>
        <w:ind w:firstLine="480" w:firstLineChars="200"/>
        <w:rPr>
          <w:rFonts w:ascii="宋体" w:hAnsi="宋体" w:eastAsia="宋体" w:cs="宋体"/>
          <w:color w:val="auto"/>
          <w:sz w:val="24"/>
          <w:szCs w:val="24"/>
          <w:highlight w:val="none"/>
        </w:rPr>
      </w:pPr>
      <w:bookmarkStart w:id="102" w:name="_Toc282615322"/>
      <w:bookmarkStart w:id="103" w:name="_Toc290577188"/>
      <w:bookmarkStart w:id="104" w:name="_Toc285539110"/>
      <w:bookmarkStart w:id="105" w:name="_Toc287621016"/>
      <w:r>
        <w:rPr>
          <w:rFonts w:hint="eastAsia" w:ascii="宋体" w:hAnsi="宋体" w:eastAsia="宋体" w:cs="宋体"/>
          <w:color w:val="auto"/>
          <w:sz w:val="24"/>
          <w:szCs w:val="24"/>
          <w:highlight w:val="none"/>
        </w:rPr>
        <w:t>三、主要质量检验评定标准</w:t>
      </w:r>
      <w:bookmarkEnd w:id="102"/>
      <w:bookmarkEnd w:id="103"/>
      <w:bookmarkEnd w:id="104"/>
      <w:bookmarkEnd w:id="105"/>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本工程执行国家现行的与本工程有关的质量检验评定标准。工程质量应达到国家规定的合格标准。</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四、技术条款未尽事宜应执行相关标准和规程规范。本章节所提供的技术数据，仅供参考，最终以实际施工设计为准。</w:t>
      </w:r>
    </w:p>
    <w:p>
      <w:pPr>
        <w:rPr>
          <w:rFonts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br w:type="page"/>
      </w:r>
    </w:p>
    <w:p>
      <w:pPr>
        <w:widowControl/>
        <w:adjustRightInd w:val="0"/>
        <w:snapToGrid w:val="0"/>
        <w:spacing w:after="200" w:line="560" w:lineRule="exact"/>
        <w:jc w:val="center"/>
        <w:outlineLvl w:val="0"/>
        <w:rPr>
          <w:rFonts w:ascii="宋体" w:hAnsi="宋体" w:eastAsia="宋体" w:cs="宋体"/>
          <w:b/>
          <w:bCs/>
          <w:color w:val="auto"/>
          <w:kern w:val="0"/>
          <w:sz w:val="32"/>
          <w:szCs w:val="32"/>
          <w:highlight w:val="none"/>
        </w:rPr>
      </w:pPr>
      <w:bookmarkStart w:id="106" w:name="_Toc8988"/>
      <w:r>
        <w:rPr>
          <w:rFonts w:hint="eastAsia" w:ascii="宋体" w:hAnsi="宋体" w:eastAsia="宋体" w:cs="宋体"/>
          <w:b/>
          <w:bCs/>
          <w:color w:val="auto"/>
          <w:kern w:val="0"/>
          <w:sz w:val="32"/>
          <w:szCs w:val="32"/>
          <w:highlight w:val="none"/>
        </w:rPr>
        <w:t>第七章    响应文件格式</w:t>
      </w:r>
      <w:bookmarkEnd w:id="106"/>
    </w:p>
    <w:p>
      <w:pPr>
        <w:widowControl/>
        <w:spacing w:after="200" w:line="560" w:lineRule="exact"/>
        <w:ind w:firstLine="1448" w:firstLineChars="515"/>
        <w:jc w:val="left"/>
        <w:rPr>
          <w:rFonts w:ascii="宋体" w:hAnsi="宋体" w:eastAsia="宋体" w:cs="宋体"/>
          <w:b/>
          <w:bCs/>
          <w:color w:val="auto"/>
          <w:kern w:val="0"/>
          <w:sz w:val="28"/>
          <w:szCs w:val="28"/>
          <w:highlight w:val="none"/>
          <w:u w:val="single"/>
        </w:rPr>
      </w:pPr>
    </w:p>
    <w:p>
      <w:pPr>
        <w:widowControl/>
        <w:spacing w:after="200" w:line="560" w:lineRule="exact"/>
        <w:ind w:firstLine="1448" w:firstLineChars="515"/>
        <w:jc w:val="left"/>
        <w:rPr>
          <w:rFonts w:ascii="宋体" w:hAnsi="宋体" w:eastAsia="宋体" w:cs="宋体"/>
          <w:b/>
          <w:bCs/>
          <w:color w:val="auto"/>
          <w:kern w:val="0"/>
          <w:sz w:val="28"/>
          <w:szCs w:val="28"/>
          <w:highlight w:val="none"/>
          <w:u w:val="single"/>
        </w:rPr>
      </w:pPr>
    </w:p>
    <w:p>
      <w:pPr>
        <w:widowControl/>
        <w:snapToGrid w:val="0"/>
        <w:spacing w:line="360" w:lineRule="auto"/>
        <w:ind w:right="-340" w:rightChars="-162"/>
        <w:jc w:val="center"/>
        <w:rPr>
          <w:rFonts w:ascii="宋体" w:hAnsi="宋体" w:cs="宋体"/>
          <w:b/>
          <w:color w:val="auto"/>
          <w:kern w:val="0"/>
          <w:sz w:val="52"/>
          <w:szCs w:val="52"/>
          <w:highlight w:val="none"/>
          <w:u w:val="single"/>
        </w:rPr>
      </w:pPr>
      <w:r>
        <w:rPr>
          <w:rFonts w:hint="eastAsia" w:ascii="宋体" w:hAnsi="宋体" w:cs="宋体"/>
          <w:b/>
          <w:color w:val="auto"/>
          <w:kern w:val="0"/>
          <w:sz w:val="52"/>
          <w:szCs w:val="52"/>
          <w:highlight w:val="none"/>
          <w:u w:val="single"/>
        </w:rPr>
        <w:t xml:space="preserve">            （项目名称）</w:t>
      </w:r>
    </w:p>
    <w:p>
      <w:pPr>
        <w:pStyle w:val="6"/>
        <w:rPr>
          <w:color w:val="auto"/>
          <w:highlight w:val="none"/>
        </w:rPr>
      </w:pPr>
    </w:p>
    <w:p>
      <w:pPr>
        <w:spacing w:line="360" w:lineRule="auto"/>
        <w:ind w:right="-340" w:rightChars="-162" w:firstLine="351" w:firstLineChars="97"/>
        <w:jc w:val="center"/>
        <w:rPr>
          <w:rFonts w:ascii="宋体" w:hAnsi="宋体"/>
          <w:b/>
          <w:color w:val="auto"/>
          <w:sz w:val="36"/>
          <w:szCs w:val="36"/>
          <w:highlight w:val="none"/>
        </w:rPr>
      </w:pPr>
    </w:p>
    <w:p>
      <w:pPr>
        <w:pStyle w:val="6"/>
        <w:rPr>
          <w:color w:val="auto"/>
          <w:highlight w:val="none"/>
        </w:rPr>
      </w:pPr>
    </w:p>
    <w:p>
      <w:pPr>
        <w:pStyle w:val="6"/>
        <w:rPr>
          <w:color w:val="auto"/>
          <w:highlight w:val="none"/>
        </w:rPr>
      </w:pPr>
    </w:p>
    <w:p>
      <w:pPr>
        <w:spacing w:line="360" w:lineRule="auto"/>
        <w:ind w:right="-340" w:rightChars="-162"/>
        <w:jc w:val="center"/>
        <w:rPr>
          <w:rFonts w:ascii="宋体" w:hAnsi="宋体"/>
          <w:b/>
          <w:color w:val="auto"/>
          <w:sz w:val="72"/>
          <w:szCs w:val="72"/>
          <w:highlight w:val="none"/>
        </w:rPr>
      </w:pPr>
      <w:r>
        <w:rPr>
          <w:rFonts w:hint="eastAsia" w:ascii="宋体" w:hAnsi="宋体"/>
          <w:b/>
          <w:color w:val="auto"/>
          <w:sz w:val="72"/>
          <w:szCs w:val="72"/>
          <w:highlight w:val="none"/>
        </w:rPr>
        <w:t>响 应 文 件</w:t>
      </w:r>
    </w:p>
    <w:p>
      <w:pPr>
        <w:spacing w:line="360" w:lineRule="auto"/>
        <w:ind w:right="-340" w:rightChars="-162" w:firstLine="2238" w:firstLineChars="796"/>
        <w:rPr>
          <w:rFonts w:ascii="宋体" w:hAnsi="宋体" w:cs="宋体"/>
          <w:b/>
          <w:color w:val="auto"/>
          <w:sz w:val="28"/>
          <w:szCs w:val="28"/>
          <w:highlight w:val="none"/>
          <w:shd w:val="clear" w:color="auto" w:fill="FFFFFF"/>
        </w:rPr>
      </w:pPr>
    </w:p>
    <w:p>
      <w:pPr>
        <w:pStyle w:val="6"/>
        <w:rPr>
          <w:color w:val="auto"/>
          <w:highlight w:val="none"/>
        </w:rPr>
      </w:pPr>
    </w:p>
    <w:p>
      <w:pPr>
        <w:pStyle w:val="6"/>
        <w:rPr>
          <w:color w:val="auto"/>
          <w:highlight w:val="none"/>
        </w:rPr>
      </w:pPr>
    </w:p>
    <w:p>
      <w:pPr>
        <w:spacing w:line="360" w:lineRule="auto"/>
        <w:ind w:right="-340" w:rightChars="-162" w:firstLine="2891" w:firstLineChars="900"/>
        <w:rPr>
          <w:rFonts w:ascii="宋体" w:hAnsi="宋体" w:cs="宋体"/>
          <w:b/>
          <w:color w:val="auto"/>
          <w:sz w:val="32"/>
          <w:szCs w:val="32"/>
          <w:highlight w:val="none"/>
          <w:shd w:val="clear" w:color="auto" w:fill="FFFFFF"/>
        </w:rPr>
      </w:pPr>
    </w:p>
    <w:p>
      <w:pPr>
        <w:spacing w:line="360" w:lineRule="auto"/>
        <w:ind w:right="-340" w:rightChars="-162" w:firstLine="2878" w:firstLineChars="896"/>
        <w:rPr>
          <w:rFonts w:ascii="宋体" w:hAnsi="宋体" w:cs="宋体"/>
          <w:b/>
          <w:color w:val="auto"/>
          <w:sz w:val="32"/>
          <w:szCs w:val="32"/>
          <w:highlight w:val="none"/>
          <w:shd w:val="clear" w:color="auto" w:fill="FFFFFF"/>
        </w:rPr>
      </w:pPr>
      <w:r>
        <w:rPr>
          <w:rFonts w:hint="eastAsia" w:ascii="宋体" w:hAnsi="宋体" w:cs="宋体"/>
          <w:b/>
          <w:color w:val="auto"/>
          <w:sz w:val="32"/>
          <w:szCs w:val="32"/>
          <w:highlight w:val="none"/>
          <w:shd w:val="clear" w:color="auto" w:fill="FFFFFF"/>
        </w:rPr>
        <w:t>项目编号：</w:t>
      </w:r>
    </w:p>
    <w:p>
      <w:pPr>
        <w:spacing w:line="360" w:lineRule="auto"/>
        <w:ind w:right="-340" w:rightChars="-162" w:firstLine="2878" w:firstLineChars="896"/>
        <w:rPr>
          <w:rFonts w:ascii="宋体" w:hAnsi="宋体" w:cs="宋体"/>
          <w:b/>
          <w:color w:val="auto"/>
          <w:sz w:val="32"/>
          <w:szCs w:val="32"/>
          <w:highlight w:val="none"/>
          <w:shd w:val="clear" w:color="auto" w:fill="FFFFFF"/>
        </w:rPr>
      </w:pPr>
      <w:r>
        <w:rPr>
          <w:rFonts w:hint="eastAsia" w:ascii="宋体" w:hAnsi="宋体" w:cs="宋体"/>
          <w:b/>
          <w:color w:val="auto"/>
          <w:sz w:val="32"/>
          <w:szCs w:val="32"/>
          <w:highlight w:val="none"/>
          <w:shd w:val="clear" w:color="auto" w:fill="FFFFFF"/>
        </w:rPr>
        <w:t>采购编号：</w:t>
      </w:r>
    </w:p>
    <w:p>
      <w:pPr>
        <w:spacing w:line="360" w:lineRule="auto"/>
        <w:ind w:right="-340" w:rightChars="-162"/>
        <w:jc w:val="center"/>
        <w:rPr>
          <w:rFonts w:ascii="宋体" w:hAnsi="宋体"/>
          <w:b/>
          <w:color w:val="auto"/>
          <w:sz w:val="30"/>
          <w:szCs w:val="30"/>
          <w:highlight w:val="none"/>
        </w:rPr>
      </w:pPr>
    </w:p>
    <w:p>
      <w:pPr>
        <w:pStyle w:val="6"/>
        <w:rPr>
          <w:color w:val="auto"/>
          <w:highlight w:val="none"/>
        </w:rPr>
      </w:pPr>
    </w:p>
    <w:p>
      <w:pPr>
        <w:spacing w:line="600" w:lineRule="exact"/>
        <w:ind w:right="-340" w:rightChars="-162" w:firstLine="398" w:firstLineChars="132"/>
        <w:jc w:val="center"/>
        <w:rPr>
          <w:rFonts w:ascii="宋体" w:hAnsi="宋体"/>
          <w:b/>
          <w:color w:val="auto"/>
          <w:sz w:val="30"/>
          <w:szCs w:val="30"/>
          <w:highlight w:val="none"/>
        </w:rPr>
      </w:pPr>
    </w:p>
    <w:p>
      <w:pPr>
        <w:spacing w:line="600" w:lineRule="exact"/>
        <w:ind w:right="-340" w:rightChars="-162" w:firstLine="1560" w:firstLineChars="518"/>
        <w:rPr>
          <w:rFonts w:ascii="宋体" w:hAnsi="宋体"/>
          <w:b/>
          <w:color w:val="auto"/>
          <w:sz w:val="30"/>
          <w:szCs w:val="30"/>
          <w:highlight w:val="none"/>
          <w:u w:val="single"/>
        </w:rPr>
      </w:pPr>
      <w:r>
        <w:rPr>
          <w:rFonts w:hint="eastAsia" w:ascii="宋体" w:hAnsi="宋体"/>
          <w:b/>
          <w:color w:val="auto"/>
          <w:sz w:val="30"/>
          <w:szCs w:val="30"/>
          <w:highlight w:val="none"/>
        </w:rPr>
        <w:t>供  应  商：（盖单位章）</w:t>
      </w:r>
    </w:p>
    <w:p>
      <w:pPr>
        <w:spacing w:line="600" w:lineRule="exact"/>
        <w:ind w:right="-340" w:rightChars="-162" w:firstLine="1560" w:firstLineChars="518"/>
        <w:rPr>
          <w:rFonts w:ascii="宋体" w:hAnsi="宋体"/>
          <w:b/>
          <w:color w:val="auto"/>
          <w:sz w:val="30"/>
          <w:szCs w:val="30"/>
          <w:highlight w:val="none"/>
          <w:u w:val="single"/>
        </w:rPr>
      </w:pPr>
      <w:r>
        <w:rPr>
          <w:rFonts w:hint="eastAsia" w:ascii="宋体" w:hAnsi="宋体"/>
          <w:b/>
          <w:color w:val="auto"/>
          <w:sz w:val="30"/>
          <w:szCs w:val="30"/>
          <w:highlight w:val="none"/>
        </w:rPr>
        <w:t>法定代表人：（电子签章）</w:t>
      </w:r>
    </w:p>
    <w:p>
      <w:pPr>
        <w:spacing w:line="600" w:lineRule="exact"/>
        <w:ind w:right="-340" w:rightChars="-162" w:firstLine="1560" w:firstLineChars="518"/>
        <w:rPr>
          <w:rFonts w:ascii="宋体" w:hAnsi="宋体"/>
          <w:b/>
          <w:color w:val="auto"/>
          <w:sz w:val="30"/>
          <w:szCs w:val="30"/>
          <w:highlight w:val="none"/>
          <w:u w:val="single"/>
        </w:rPr>
      </w:pPr>
      <w:r>
        <w:rPr>
          <w:rFonts w:hint="eastAsia" w:ascii="宋体" w:hAnsi="宋体"/>
          <w:b/>
          <w:color w:val="auto"/>
          <w:sz w:val="30"/>
          <w:szCs w:val="30"/>
          <w:highlight w:val="none"/>
        </w:rPr>
        <w:t>日    期：年月日</w:t>
      </w:r>
    </w:p>
    <w:p>
      <w:pPr>
        <w:spacing w:line="560" w:lineRule="exact"/>
        <w:jc w:val="center"/>
        <w:rPr>
          <w:rFonts w:ascii="宋体" w:hAnsi="宋体" w:eastAsia="宋体" w:cs="宋体"/>
          <w:color w:val="auto"/>
          <w:sz w:val="28"/>
          <w:szCs w:val="28"/>
          <w:highlight w:val="none"/>
        </w:rPr>
      </w:pPr>
    </w:p>
    <w:p>
      <w:pPr>
        <w:spacing w:after="120" w:line="560" w:lineRule="exact"/>
        <w:ind w:left="420" w:leftChars="200" w:firstLine="560" w:firstLineChars="200"/>
        <w:rPr>
          <w:rFonts w:ascii="宋体" w:hAnsi="宋体" w:eastAsia="宋体" w:cs="宋体"/>
          <w:color w:val="auto"/>
          <w:sz w:val="28"/>
          <w:szCs w:val="28"/>
          <w:highlight w:val="none"/>
        </w:rPr>
      </w:pPr>
    </w:p>
    <w:p>
      <w:pPr>
        <w:spacing w:line="5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目  录</w:t>
      </w:r>
    </w:p>
    <w:p>
      <w:pPr>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（自拟）</w:t>
      </w:r>
    </w:p>
    <w:p>
      <w:pPr>
        <w:spacing w:line="560" w:lineRule="exact"/>
        <w:rPr>
          <w:rFonts w:ascii="宋体" w:hAnsi="宋体" w:eastAsia="宋体" w:cs="宋体"/>
          <w:b/>
          <w:color w:val="auto"/>
          <w:sz w:val="28"/>
          <w:szCs w:val="28"/>
          <w:highlight w:val="none"/>
        </w:rPr>
      </w:pPr>
    </w:p>
    <w:p>
      <w:pPr>
        <w:spacing w:line="0" w:lineRule="atLeast"/>
        <w:jc w:val="center"/>
        <w:outlineLvl w:val="1"/>
        <w:rPr>
          <w:rFonts w:ascii="宋体" w:hAnsi="宋体" w:eastAsia="宋体" w:cs="宋体"/>
          <w:b/>
          <w:bCs/>
          <w:color w:val="auto"/>
          <w:sz w:val="28"/>
          <w:szCs w:val="28"/>
          <w:highlight w:val="none"/>
        </w:rPr>
      </w:pPr>
      <w:bookmarkStart w:id="107" w:name="_Toc375233600"/>
      <w:bookmarkStart w:id="108" w:name="_Toc497233308"/>
      <w:bookmarkStart w:id="109" w:name="_Toc383433661"/>
      <w:bookmarkStart w:id="110" w:name="_Toc381941233"/>
      <w:bookmarkStart w:id="111" w:name="_Toc397244560"/>
      <w:bookmarkStart w:id="112" w:name="_Toc383433759"/>
      <w:bookmarkStart w:id="113" w:name="_Toc508875412"/>
      <w:bookmarkStart w:id="114" w:name="_Toc397244488"/>
      <w:r>
        <w:rPr>
          <w:rFonts w:hint="eastAsia" w:ascii="宋体" w:hAnsi="宋体" w:eastAsia="宋体" w:cs="宋体"/>
          <w:bCs/>
          <w:color w:val="auto"/>
          <w:sz w:val="28"/>
          <w:szCs w:val="28"/>
          <w:highlight w:val="none"/>
        </w:rPr>
        <w:br w:type="page"/>
      </w:r>
      <w:bookmarkEnd w:id="107"/>
      <w:bookmarkEnd w:id="108"/>
      <w:bookmarkEnd w:id="109"/>
      <w:bookmarkEnd w:id="110"/>
      <w:bookmarkEnd w:id="111"/>
      <w:bookmarkEnd w:id="112"/>
      <w:bookmarkEnd w:id="113"/>
      <w:bookmarkEnd w:id="114"/>
      <w:bookmarkStart w:id="115" w:name="_Toc21074"/>
      <w:bookmarkStart w:id="116" w:name="_Toc9992"/>
      <w:bookmarkStart w:id="117" w:name="_Toc16807"/>
      <w:bookmarkStart w:id="118" w:name="_Toc11316"/>
      <w:r>
        <w:rPr>
          <w:rFonts w:hint="eastAsia" w:ascii="宋体" w:hAnsi="宋体" w:eastAsia="宋体" w:cs="宋体"/>
          <w:b/>
          <w:bCs/>
          <w:color w:val="auto"/>
          <w:sz w:val="28"/>
          <w:szCs w:val="28"/>
          <w:highlight w:val="none"/>
        </w:rPr>
        <w:t>一、磋商函及磋商函附录</w:t>
      </w:r>
      <w:bookmarkEnd w:id="115"/>
      <w:bookmarkEnd w:id="116"/>
      <w:bookmarkEnd w:id="117"/>
      <w:bookmarkEnd w:id="118"/>
    </w:p>
    <w:p>
      <w:pPr>
        <w:spacing w:line="0" w:lineRule="atLeast"/>
        <w:jc w:val="center"/>
        <w:rPr>
          <w:rFonts w:ascii="宋体" w:hAnsi="宋体" w:eastAsia="宋体" w:cs="宋体"/>
          <w:b/>
          <w:bCs/>
          <w:color w:val="auto"/>
          <w:sz w:val="28"/>
          <w:szCs w:val="28"/>
          <w:highlight w:val="none"/>
        </w:rPr>
      </w:pPr>
    </w:p>
    <w:p>
      <w:pPr>
        <w:spacing w:line="0" w:lineRule="atLeast"/>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（一）磋商函</w:t>
      </w:r>
    </w:p>
    <w:p>
      <w:pPr>
        <w:spacing w:line="440" w:lineRule="exact"/>
        <w:jc w:val="left"/>
        <w:rPr>
          <w:rFonts w:ascii="宋体" w:hAnsi="宋体" w:eastAsia="宋体" w:cs="宋体"/>
          <w:color w:val="auto"/>
          <w:sz w:val="28"/>
          <w:szCs w:val="28"/>
          <w:highlight w:val="none"/>
        </w:rPr>
      </w:pPr>
    </w:p>
    <w:p>
      <w:pPr>
        <w:spacing w:line="50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致：（采购人名称）</w:t>
      </w:r>
    </w:p>
    <w:p>
      <w:pPr>
        <w:spacing w:line="500" w:lineRule="exac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1、我方已仔细研究了</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（项目名称）竞争性磋商文件的全部内容，愿以人民币（大写：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元）的磋商总报价。 按合同约定实施和完成承包工程，修补工程中的任何缺陷。</w:t>
      </w:r>
    </w:p>
    <w:p>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2、如果我方成交，我方保证在</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日历天（工期）内竣工，并确保工程质量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。我方同意本磋商函在竞争性磋商文件规定的提交响应文件截止时间后，在竞争性磋商文件规定的磋商有效期期满前对我方具有约束力，且随时准备接受你方发出的成交通知书。</w:t>
      </w:r>
    </w:p>
    <w:p>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3、我方承诺在磋商有效期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日历天内不修改、撤销响应文件。</w:t>
      </w:r>
    </w:p>
    <w:p>
      <w:pPr>
        <w:spacing w:line="5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4、如我方成交：</w:t>
      </w:r>
    </w:p>
    <w:p>
      <w:pPr>
        <w:spacing w:line="500" w:lineRule="exact"/>
        <w:ind w:firstLine="54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（1）我方承诺在收到通知后领取成交通知书，并在成交通知书规定的期限内与你方签订合同，逾期可视为放弃成交。</w:t>
      </w:r>
    </w:p>
    <w:p>
      <w:pPr>
        <w:spacing w:line="500" w:lineRule="exact"/>
        <w:ind w:firstLine="54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（2）随同本磋商函递交的磋商函附录属于合同文件的组成部分。</w:t>
      </w:r>
    </w:p>
    <w:p>
      <w:pPr>
        <w:spacing w:line="500" w:lineRule="exact"/>
        <w:ind w:firstLine="54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（3）我方承诺在合同约定的期限内完成并移交全部合同工程。</w:t>
      </w:r>
    </w:p>
    <w:p>
      <w:pPr>
        <w:spacing w:line="500" w:lineRule="exact"/>
        <w:ind w:firstLine="54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（4）我方承诺满足合同专用条款中补充条款的内容。</w:t>
      </w:r>
    </w:p>
    <w:p>
      <w:pPr>
        <w:spacing w:line="500" w:lineRule="exact"/>
        <w:ind w:firstLine="54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（5）我方承诺并理解采购人不以最低磋商报价为成交价的唯一选择。</w:t>
      </w:r>
    </w:p>
    <w:p>
      <w:pPr>
        <w:spacing w:line="5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5．我方在此声明，所递交的响应文件及有关资料内容完整、真实和准确。</w:t>
      </w:r>
    </w:p>
    <w:p>
      <w:pPr>
        <w:spacing w:line="460" w:lineRule="exact"/>
        <w:ind w:firstLine="3840" w:firstLineChars="1600"/>
        <w:jc w:val="left"/>
        <w:rPr>
          <w:rFonts w:ascii="宋体" w:hAnsi="宋体" w:eastAsia="宋体" w:cs="宋体"/>
          <w:color w:val="auto"/>
          <w:sz w:val="24"/>
          <w:szCs w:val="24"/>
          <w:highlight w:val="none"/>
        </w:rPr>
      </w:pPr>
    </w:p>
    <w:p>
      <w:pPr>
        <w:spacing w:line="460" w:lineRule="exact"/>
        <w:ind w:firstLine="3840" w:firstLineChars="1600"/>
        <w:jc w:val="left"/>
        <w:rPr>
          <w:rFonts w:ascii="宋体" w:hAnsi="宋体" w:eastAsia="宋体" w:cs="宋体"/>
          <w:color w:val="auto"/>
          <w:sz w:val="24"/>
          <w:szCs w:val="24"/>
          <w:highlight w:val="none"/>
        </w:rPr>
      </w:pPr>
    </w:p>
    <w:p>
      <w:pPr>
        <w:spacing w:line="700" w:lineRule="exact"/>
        <w:ind w:right="480" w:firstLine="3600" w:firstLineChars="15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 （</w:t>
      </w:r>
      <w:r>
        <w:rPr>
          <w:rFonts w:hint="eastAsia" w:ascii="宋体" w:hAnsi="宋体" w:cs="楷体_GB2312"/>
          <w:color w:val="auto"/>
          <w:sz w:val="24"/>
          <w:highlight w:val="none"/>
        </w:rPr>
        <w:t>盖单位章</w:t>
      </w:r>
      <w:r>
        <w:rPr>
          <w:rFonts w:hint="eastAsia" w:ascii="宋体" w:hAnsi="宋体" w:eastAsia="宋体" w:cs="宋体"/>
          <w:color w:val="auto"/>
          <w:sz w:val="24"/>
          <w:szCs w:val="24"/>
          <w:highlight w:val="none"/>
        </w:rPr>
        <w:t>）</w:t>
      </w:r>
    </w:p>
    <w:p>
      <w:pPr>
        <w:wordWrap w:val="0"/>
        <w:spacing w:line="700" w:lineRule="exact"/>
        <w:ind w:firstLine="54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法定代表人：（电子签章）</w:t>
      </w:r>
    </w:p>
    <w:p>
      <w:pPr>
        <w:spacing w:line="700" w:lineRule="exact"/>
        <w:ind w:right="480" w:firstLine="3600" w:firstLineChars="1500"/>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Times New Roman"/>
          <w:color w:val="auto"/>
          <w:sz w:val="24"/>
          <w:szCs w:val="24"/>
          <w:highlight w:val="none"/>
        </w:rPr>
        <w:t>年月日</w:t>
      </w:r>
    </w:p>
    <w:p>
      <w:pPr>
        <w:spacing w:line="23" w:lineRule="exact"/>
        <w:rPr>
          <w:rFonts w:ascii="宋体" w:hAnsi="宋体" w:eastAsia="宋体" w:cs="宋体"/>
          <w:color w:val="auto"/>
          <w:sz w:val="28"/>
          <w:szCs w:val="28"/>
          <w:highlight w:val="none"/>
        </w:rPr>
      </w:pPr>
    </w:p>
    <w:p>
      <w:pPr>
        <w:widowControl/>
        <w:jc w:val="left"/>
        <w:rPr>
          <w:rFonts w:ascii="宋体" w:hAnsi="宋体" w:eastAsia="宋体" w:cs="宋体"/>
          <w:color w:val="auto"/>
          <w:sz w:val="28"/>
          <w:szCs w:val="28"/>
          <w:highlight w:val="none"/>
        </w:rPr>
        <w:sectPr>
          <w:footerReference r:id="rId5" w:type="default"/>
          <w:pgSz w:w="11900" w:h="16838"/>
          <w:pgMar w:top="1440" w:right="1800" w:bottom="1440" w:left="1800" w:header="720" w:footer="720" w:gutter="0"/>
          <w:pgNumType w:start="1"/>
          <w:cols w:space="720" w:num="1"/>
          <w:docGrid w:type="lines" w:linePitch="360" w:charSpace="0"/>
        </w:sectPr>
      </w:pPr>
    </w:p>
    <w:p>
      <w:pPr>
        <w:spacing w:beforeLines="100" w:afterLines="50" w:line="240" w:lineRule="exact"/>
        <w:jc w:val="center"/>
        <w:textAlignment w:val="center"/>
        <w:rPr>
          <w:rFonts w:ascii="宋体" w:hAnsi="宋体" w:eastAsia="宋体" w:cs="宋体"/>
          <w:b/>
          <w:bCs/>
          <w:color w:val="auto"/>
          <w:sz w:val="28"/>
          <w:szCs w:val="28"/>
          <w:highlight w:val="none"/>
        </w:rPr>
      </w:pPr>
      <w:bookmarkStart w:id="119" w:name="page58"/>
      <w:bookmarkEnd w:id="119"/>
    </w:p>
    <w:p>
      <w:pPr>
        <w:spacing w:beforeLines="100" w:afterLines="50" w:line="240" w:lineRule="exact"/>
        <w:jc w:val="center"/>
        <w:textAlignment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（二）磋商函附录</w:t>
      </w:r>
    </w:p>
    <w:tbl>
      <w:tblPr>
        <w:tblStyle w:val="13"/>
        <w:tblW w:w="8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5"/>
        <w:gridCol w:w="1887"/>
        <w:gridCol w:w="704"/>
        <w:gridCol w:w="1095"/>
        <w:gridCol w:w="1263"/>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105" w:type="dxa"/>
            <w:tcBorders>
              <w:top w:val="single" w:color="auto" w:sz="4" w:space="0"/>
              <w:left w:val="single" w:color="auto" w:sz="4" w:space="0"/>
              <w:bottom w:val="single" w:color="auto" w:sz="4" w:space="0"/>
              <w:right w:val="single" w:color="auto" w:sz="4" w:space="0"/>
            </w:tcBorders>
            <w:vAlign w:val="center"/>
          </w:tcPr>
          <w:p>
            <w:pPr>
              <w:spacing w:line="331" w:lineRule="exact"/>
              <w:ind w:right="-239"/>
              <w:jc w:val="center"/>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项目名称</w:t>
            </w:r>
          </w:p>
        </w:tc>
        <w:tc>
          <w:tcPr>
            <w:tcW w:w="6434" w:type="dxa"/>
            <w:gridSpan w:val="5"/>
            <w:tcBorders>
              <w:top w:val="single" w:color="auto" w:sz="4" w:space="0"/>
              <w:left w:val="nil"/>
              <w:bottom w:val="single" w:color="auto" w:sz="4" w:space="0"/>
              <w:right w:val="single" w:color="auto" w:sz="4" w:space="0"/>
            </w:tcBorders>
            <w:vAlign w:val="center"/>
          </w:tcPr>
          <w:p>
            <w:pPr>
              <w:spacing w:line="331" w:lineRule="exact"/>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105" w:type="dxa"/>
            <w:tcBorders>
              <w:top w:val="single" w:color="auto" w:sz="4" w:space="0"/>
              <w:left w:val="single" w:color="auto" w:sz="4" w:space="0"/>
              <w:bottom w:val="single" w:color="auto" w:sz="4" w:space="0"/>
              <w:right w:val="single" w:color="auto" w:sz="4" w:space="0"/>
            </w:tcBorders>
            <w:vAlign w:val="center"/>
          </w:tcPr>
          <w:p>
            <w:pPr>
              <w:spacing w:line="300" w:lineRule="exact"/>
              <w:ind w:right="-239"/>
              <w:jc w:val="center"/>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供应商名称</w:t>
            </w:r>
          </w:p>
        </w:tc>
        <w:tc>
          <w:tcPr>
            <w:tcW w:w="6434" w:type="dxa"/>
            <w:gridSpan w:val="5"/>
            <w:tcBorders>
              <w:top w:val="single" w:color="auto" w:sz="4" w:space="0"/>
              <w:left w:val="nil"/>
              <w:bottom w:val="single" w:color="auto" w:sz="4" w:space="0"/>
              <w:right w:val="single" w:color="auto" w:sz="4" w:space="0"/>
            </w:tcBorders>
            <w:vAlign w:val="center"/>
          </w:tcPr>
          <w:p>
            <w:pPr>
              <w:spacing w:line="300" w:lineRule="exact"/>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2105" w:type="dxa"/>
            <w:tcBorders>
              <w:top w:val="single" w:color="auto" w:sz="4" w:space="0"/>
              <w:left w:val="single" w:color="auto" w:sz="4" w:space="0"/>
              <w:bottom w:val="single" w:color="auto" w:sz="4" w:space="0"/>
              <w:right w:val="single" w:color="auto" w:sz="4" w:space="0"/>
            </w:tcBorders>
            <w:vAlign w:val="center"/>
          </w:tcPr>
          <w:p>
            <w:pPr>
              <w:spacing w:line="300" w:lineRule="exact"/>
              <w:ind w:right="-239"/>
              <w:jc w:val="center"/>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项目经理</w:t>
            </w:r>
          </w:p>
        </w:tc>
        <w:tc>
          <w:tcPr>
            <w:tcW w:w="1887" w:type="dxa"/>
            <w:tcBorders>
              <w:top w:val="single" w:color="auto" w:sz="4" w:space="0"/>
              <w:left w:val="nil"/>
              <w:bottom w:val="single" w:color="auto" w:sz="4" w:space="0"/>
              <w:right w:val="single" w:color="auto" w:sz="4" w:space="0"/>
            </w:tcBorders>
            <w:vAlign w:val="center"/>
          </w:tcPr>
          <w:p>
            <w:pPr>
              <w:spacing w:line="300" w:lineRule="exact"/>
              <w:jc w:val="center"/>
              <w:rPr>
                <w:rFonts w:ascii="宋体" w:hAnsi="宋体" w:eastAsia="宋体" w:cs="宋体"/>
                <w:color w:val="auto"/>
                <w:sz w:val="24"/>
                <w:szCs w:val="24"/>
                <w:highlight w:val="none"/>
              </w:rPr>
            </w:pPr>
          </w:p>
        </w:tc>
        <w:tc>
          <w:tcPr>
            <w:tcW w:w="704" w:type="dxa"/>
            <w:tcBorders>
              <w:top w:val="single" w:color="auto" w:sz="4" w:space="0"/>
              <w:left w:val="nil"/>
              <w:bottom w:val="single" w:color="auto" w:sz="4" w:space="0"/>
              <w:right w:val="single" w:color="auto" w:sz="4" w:space="0"/>
            </w:tcBorders>
            <w:vAlign w:val="center"/>
          </w:tcPr>
          <w:p>
            <w:pPr>
              <w:spacing w:line="300" w:lineRule="exact"/>
              <w:ind w:right="-239"/>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级别</w:t>
            </w:r>
          </w:p>
        </w:tc>
        <w:tc>
          <w:tcPr>
            <w:tcW w:w="1095" w:type="dxa"/>
            <w:tcBorders>
              <w:top w:val="single" w:color="auto" w:sz="4" w:space="0"/>
              <w:left w:val="nil"/>
              <w:bottom w:val="single" w:color="auto" w:sz="4" w:space="0"/>
              <w:right w:val="single" w:color="auto" w:sz="4" w:space="0"/>
            </w:tcBorders>
            <w:vAlign w:val="center"/>
          </w:tcPr>
          <w:p>
            <w:pPr>
              <w:spacing w:line="300" w:lineRule="exact"/>
              <w:jc w:val="center"/>
              <w:rPr>
                <w:rFonts w:ascii="宋体" w:hAnsi="宋体" w:eastAsia="宋体" w:cs="宋体"/>
                <w:color w:val="auto"/>
                <w:sz w:val="24"/>
                <w:szCs w:val="24"/>
                <w:highlight w:val="none"/>
              </w:rPr>
            </w:pPr>
          </w:p>
        </w:tc>
        <w:tc>
          <w:tcPr>
            <w:tcW w:w="1263" w:type="dxa"/>
            <w:tcBorders>
              <w:top w:val="single" w:color="auto" w:sz="4" w:space="0"/>
              <w:left w:val="nil"/>
              <w:bottom w:val="single" w:color="auto" w:sz="4" w:space="0"/>
              <w:right w:val="single" w:color="auto" w:sz="4" w:space="0"/>
            </w:tcBorders>
            <w:vAlign w:val="center"/>
          </w:tcPr>
          <w:p>
            <w:pPr>
              <w:spacing w:line="300" w:lineRule="exact"/>
              <w:ind w:right="-239"/>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注册编号</w:t>
            </w:r>
          </w:p>
        </w:tc>
        <w:tc>
          <w:tcPr>
            <w:tcW w:w="1485" w:type="dxa"/>
            <w:tcBorders>
              <w:top w:val="single" w:color="auto" w:sz="4" w:space="0"/>
              <w:left w:val="nil"/>
              <w:bottom w:val="single" w:color="auto" w:sz="4" w:space="0"/>
              <w:right w:val="single" w:color="auto" w:sz="4" w:space="0"/>
            </w:tcBorders>
            <w:vAlign w:val="center"/>
          </w:tcPr>
          <w:p>
            <w:pPr>
              <w:spacing w:line="300" w:lineRule="exact"/>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2105" w:type="dxa"/>
            <w:tcBorders>
              <w:top w:val="single" w:color="auto" w:sz="4" w:space="0"/>
              <w:left w:val="single" w:color="auto" w:sz="4" w:space="0"/>
              <w:bottom w:val="single" w:color="auto" w:sz="4" w:space="0"/>
              <w:right w:val="single" w:color="auto" w:sz="4" w:space="0"/>
            </w:tcBorders>
            <w:vAlign w:val="center"/>
          </w:tcPr>
          <w:p>
            <w:pPr>
              <w:spacing w:line="295" w:lineRule="exact"/>
              <w:ind w:right="-239"/>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磋商范围</w:t>
            </w:r>
          </w:p>
        </w:tc>
        <w:tc>
          <w:tcPr>
            <w:tcW w:w="6434" w:type="dxa"/>
            <w:gridSpan w:val="5"/>
            <w:tcBorders>
              <w:top w:val="single" w:color="auto" w:sz="4" w:space="0"/>
              <w:left w:val="nil"/>
              <w:bottom w:val="single" w:color="auto" w:sz="4" w:space="0"/>
              <w:right w:val="single" w:color="auto" w:sz="4" w:space="0"/>
            </w:tcBorders>
            <w:vAlign w:val="center"/>
          </w:tcPr>
          <w:p>
            <w:pPr>
              <w:spacing w:line="295" w:lineRule="exact"/>
              <w:jc w:val="center"/>
              <w:rPr>
                <w:rFonts w:ascii="宋体" w:hAnsi="宋体" w:eastAsia="宋体" w:cs="宋体"/>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2105" w:type="dxa"/>
            <w:tcBorders>
              <w:top w:val="single" w:color="auto" w:sz="4" w:space="0"/>
              <w:left w:val="single" w:color="auto" w:sz="4" w:space="0"/>
              <w:bottom w:val="single" w:color="auto" w:sz="4" w:space="0"/>
              <w:right w:val="single" w:color="auto" w:sz="4" w:space="0"/>
            </w:tcBorders>
            <w:vAlign w:val="center"/>
          </w:tcPr>
          <w:p>
            <w:pPr>
              <w:spacing w:line="295" w:lineRule="exact"/>
              <w:ind w:right="-239"/>
              <w:jc w:val="center"/>
              <w:rPr>
                <w:rFonts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计划工期</w:t>
            </w:r>
          </w:p>
        </w:tc>
        <w:tc>
          <w:tcPr>
            <w:tcW w:w="6434" w:type="dxa"/>
            <w:gridSpan w:val="5"/>
            <w:tcBorders>
              <w:top w:val="single" w:color="auto" w:sz="4" w:space="0"/>
              <w:left w:val="nil"/>
              <w:bottom w:val="single" w:color="auto" w:sz="4" w:space="0"/>
              <w:right w:val="single" w:color="auto" w:sz="4" w:space="0"/>
            </w:tcBorders>
            <w:vAlign w:val="center"/>
          </w:tcPr>
          <w:p>
            <w:pPr>
              <w:spacing w:line="295" w:lineRule="exact"/>
              <w:jc w:val="center"/>
              <w:rPr>
                <w:rFonts w:ascii="宋体" w:hAnsi="宋体" w:eastAsia="宋体" w:cs="宋体"/>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2105" w:type="dxa"/>
            <w:tcBorders>
              <w:top w:val="single" w:color="auto" w:sz="4" w:space="0"/>
              <w:left w:val="single" w:color="auto" w:sz="4" w:space="0"/>
              <w:bottom w:val="single" w:color="auto" w:sz="4" w:space="0"/>
              <w:right w:val="single" w:color="auto" w:sz="4" w:space="0"/>
            </w:tcBorders>
            <w:vAlign w:val="center"/>
          </w:tcPr>
          <w:p>
            <w:pPr>
              <w:spacing w:line="307" w:lineRule="exact"/>
              <w:ind w:right="-239"/>
              <w:jc w:val="center"/>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磋商总报价</w:t>
            </w:r>
          </w:p>
        </w:tc>
        <w:tc>
          <w:tcPr>
            <w:tcW w:w="6434" w:type="dxa"/>
            <w:gridSpan w:val="5"/>
            <w:tcBorders>
              <w:top w:val="single" w:color="auto" w:sz="4" w:space="0"/>
              <w:left w:val="nil"/>
              <w:bottom w:val="single" w:color="auto" w:sz="4" w:space="0"/>
              <w:right w:val="single" w:color="auto" w:sz="4" w:space="0"/>
            </w:tcBorders>
            <w:vAlign w:val="center"/>
          </w:tcPr>
          <w:p>
            <w:pPr>
              <w:spacing w:line="307" w:lineRule="exact"/>
              <w:ind w:left="108" w:right="-239"/>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大写：；</w:t>
            </w:r>
            <w:r>
              <w:rPr>
                <w:rFonts w:hint="eastAsia" w:ascii="宋体" w:hAnsi="宋体" w:eastAsia="宋体" w:cs="宋体"/>
                <w:color w:val="auto"/>
                <w:sz w:val="24"/>
                <w:szCs w:val="24"/>
                <w:highlight w:val="none"/>
              </w:rPr>
              <w:t> </w:t>
            </w:r>
            <w:r>
              <w:rPr>
                <w:rFonts w:hint="eastAsia" w:ascii="宋体" w:hAnsi="宋体" w:eastAsia="宋体" w:cs="宋体"/>
                <w:color w:val="auto"/>
                <w:spacing w:val="-1"/>
                <w:sz w:val="24"/>
                <w:szCs w:val="24"/>
                <w:highlight w:val="none"/>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105" w:type="dxa"/>
            <w:tcBorders>
              <w:top w:val="single" w:color="auto" w:sz="4" w:space="0"/>
              <w:left w:val="single" w:color="auto" w:sz="4" w:space="0"/>
              <w:bottom w:val="single" w:color="auto" w:sz="4" w:space="0"/>
              <w:right w:val="single" w:color="auto" w:sz="4" w:space="0"/>
            </w:tcBorders>
            <w:vAlign w:val="center"/>
          </w:tcPr>
          <w:p>
            <w:pPr>
              <w:spacing w:line="387" w:lineRule="exact"/>
              <w:ind w:right="-239"/>
              <w:jc w:val="center"/>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质量要求</w:t>
            </w:r>
          </w:p>
        </w:tc>
        <w:tc>
          <w:tcPr>
            <w:tcW w:w="6434" w:type="dxa"/>
            <w:gridSpan w:val="5"/>
            <w:tcBorders>
              <w:top w:val="single" w:color="auto" w:sz="4" w:space="0"/>
              <w:left w:val="nil"/>
              <w:bottom w:val="single" w:color="auto" w:sz="4" w:space="0"/>
              <w:right w:val="single" w:color="auto" w:sz="4" w:space="0"/>
            </w:tcBorders>
            <w:vAlign w:val="center"/>
          </w:tcPr>
          <w:p>
            <w:pPr>
              <w:spacing w:line="387" w:lineRule="exact"/>
              <w:jc w:val="center"/>
              <w:rPr>
                <w:rFonts w:ascii="宋体" w:hAnsi="宋体" w:eastAsia="宋体" w:cs="宋体"/>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105" w:type="dxa"/>
            <w:tcBorders>
              <w:top w:val="single" w:color="auto" w:sz="4" w:space="0"/>
              <w:left w:val="single" w:color="auto" w:sz="4" w:space="0"/>
              <w:bottom w:val="single" w:color="auto" w:sz="4" w:space="0"/>
              <w:right w:val="single" w:color="auto" w:sz="4" w:space="0"/>
            </w:tcBorders>
            <w:vAlign w:val="center"/>
          </w:tcPr>
          <w:p>
            <w:pPr>
              <w:spacing w:line="387" w:lineRule="exact"/>
              <w:ind w:right="-239"/>
              <w:jc w:val="center"/>
              <w:rPr>
                <w:rFonts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磋商有效期</w:t>
            </w:r>
          </w:p>
        </w:tc>
        <w:tc>
          <w:tcPr>
            <w:tcW w:w="6434" w:type="dxa"/>
            <w:gridSpan w:val="5"/>
            <w:tcBorders>
              <w:top w:val="single" w:color="auto" w:sz="4" w:space="0"/>
              <w:left w:val="nil"/>
              <w:bottom w:val="single" w:color="auto" w:sz="4" w:space="0"/>
              <w:right w:val="single" w:color="auto" w:sz="4" w:space="0"/>
            </w:tcBorders>
            <w:vAlign w:val="center"/>
          </w:tcPr>
          <w:p>
            <w:pPr>
              <w:spacing w:line="387" w:lineRule="exact"/>
              <w:jc w:val="center"/>
              <w:rPr>
                <w:rFonts w:ascii="宋体" w:hAnsi="宋体" w:eastAsia="宋体" w:cs="宋体"/>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2105" w:type="dxa"/>
            <w:tcBorders>
              <w:top w:val="single" w:color="auto" w:sz="4" w:space="0"/>
              <w:left w:val="single" w:color="auto" w:sz="4" w:space="0"/>
              <w:bottom w:val="single" w:color="auto" w:sz="4" w:space="0"/>
              <w:right w:val="single" w:color="auto" w:sz="4" w:space="0"/>
            </w:tcBorders>
            <w:vAlign w:val="center"/>
          </w:tcPr>
          <w:p>
            <w:pPr>
              <w:spacing w:line="427" w:lineRule="exact"/>
              <w:ind w:right="-239"/>
              <w:jc w:val="center"/>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安全目标</w:t>
            </w:r>
          </w:p>
        </w:tc>
        <w:tc>
          <w:tcPr>
            <w:tcW w:w="6434" w:type="dxa"/>
            <w:gridSpan w:val="5"/>
            <w:tcBorders>
              <w:top w:val="single" w:color="auto" w:sz="4" w:space="0"/>
              <w:left w:val="nil"/>
              <w:bottom w:val="single" w:color="auto" w:sz="4" w:space="0"/>
              <w:right w:val="single" w:color="auto" w:sz="4" w:space="0"/>
            </w:tcBorders>
            <w:vAlign w:val="center"/>
          </w:tcPr>
          <w:p>
            <w:pPr>
              <w:spacing w:line="423" w:lineRule="exact"/>
              <w:ind w:right="-239"/>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杜绝死亡事故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2105" w:type="dxa"/>
            <w:tcBorders>
              <w:top w:val="single" w:color="auto" w:sz="4" w:space="0"/>
              <w:left w:val="single" w:color="auto" w:sz="4" w:space="0"/>
              <w:bottom w:val="single" w:color="auto" w:sz="4" w:space="0"/>
              <w:right w:val="single" w:color="auto" w:sz="4" w:space="0"/>
            </w:tcBorders>
            <w:vAlign w:val="center"/>
          </w:tcPr>
          <w:p>
            <w:pPr>
              <w:spacing w:line="427" w:lineRule="exact"/>
              <w:ind w:right="-239"/>
              <w:jc w:val="center"/>
              <w:rPr>
                <w:rFonts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项目联系人及联系方式</w:t>
            </w:r>
          </w:p>
        </w:tc>
        <w:tc>
          <w:tcPr>
            <w:tcW w:w="6434" w:type="dxa"/>
            <w:gridSpan w:val="5"/>
            <w:tcBorders>
              <w:top w:val="single" w:color="auto" w:sz="4" w:space="0"/>
              <w:left w:val="nil"/>
              <w:bottom w:val="single" w:color="auto" w:sz="4" w:space="0"/>
              <w:right w:val="single" w:color="auto" w:sz="4" w:space="0"/>
            </w:tcBorders>
            <w:vAlign w:val="center"/>
          </w:tcPr>
          <w:p>
            <w:pPr>
              <w:spacing w:line="423" w:lineRule="exact"/>
              <w:ind w:right="-239"/>
              <w:rPr>
                <w:rFonts w:ascii="宋体" w:hAnsi="宋体" w:eastAsia="宋体" w:cs="宋体"/>
                <w:color w:val="auto"/>
                <w:spacing w:val="-1"/>
                <w:sz w:val="24"/>
                <w:szCs w:val="24"/>
                <w:highlight w:val="none"/>
              </w:rPr>
            </w:pPr>
          </w:p>
        </w:tc>
      </w:tr>
    </w:tbl>
    <w:p>
      <w:pPr>
        <w:spacing w:line="440" w:lineRule="exact"/>
        <w:rPr>
          <w:rFonts w:ascii="宋体" w:hAnsi="宋体" w:eastAsia="宋体" w:cs="宋体"/>
          <w:color w:val="auto"/>
          <w:sz w:val="28"/>
          <w:szCs w:val="28"/>
          <w:highlight w:val="none"/>
        </w:rPr>
      </w:pPr>
    </w:p>
    <w:p>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cs="楷体_GB2312"/>
          <w:color w:val="auto"/>
          <w:sz w:val="24"/>
          <w:highlight w:val="none"/>
        </w:rPr>
        <w:t>盖单位章</w:t>
      </w:r>
      <w:r>
        <w:rPr>
          <w:rFonts w:hint="eastAsia" w:ascii="宋体" w:hAnsi="宋体" w:eastAsia="宋体" w:cs="宋体"/>
          <w:color w:val="auto"/>
          <w:sz w:val="24"/>
          <w:szCs w:val="24"/>
          <w:highlight w:val="none"/>
        </w:rPr>
        <w:t>）</w:t>
      </w:r>
    </w:p>
    <w:p>
      <w:pPr>
        <w:spacing w:line="7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法定代表人：（电子签章）</w:t>
      </w:r>
    </w:p>
    <w:p>
      <w:pPr>
        <w:spacing w:line="700" w:lineRule="exact"/>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 xml:space="preserve">日期：   年   月   日 </w:t>
      </w:r>
    </w:p>
    <w:p>
      <w:pPr>
        <w:spacing w:line="440" w:lineRule="exact"/>
        <w:jc w:val="center"/>
        <w:outlineLvl w:val="1"/>
        <w:rPr>
          <w:rFonts w:ascii="宋体" w:hAnsi="宋体" w:eastAsia="宋体" w:cs="宋体"/>
          <w:b/>
          <w:bCs/>
          <w:color w:val="auto"/>
          <w:sz w:val="28"/>
          <w:szCs w:val="28"/>
          <w:highlight w:val="none"/>
        </w:rPr>
      </w:pPr>
      <w:bookmarkStart w:id="120" w:name="_Toc6390"/>
      <w:r>
        <w:rPr>
          <w:rFonts w:hint="eastAsia" w:ascii="宋体" w:hAnsi="宋体" w:eastAsia="宋体" w:cs="宋体"/>
          <w:b/>
          <w:bCs/>
          <w:color w:val="auto"/>
          <w:sz w:val="28"/>
          <w:szCs w:val="28"/>
          <w:highlight w:val="none"/>
        </w:rPr>
        <w:br w:type="page"/>
      </w:r>
      <w:bookmarkStart w:id="121" w:name="_Toc25657"/>
      <w:bookmarkStart w:id="122" w:name="_Toc9432"/>
      <w:bookmarkStart w:id="123" w:name="_Toc4763"/>
      <w:r>
        <w:rPr>
          <w:rFonts w:hint="eastAsia" w:ascii="宋体" w:hAnsi="宋体" w:eastAsia="宋体" w:cs="宋体"/>
          <w:b/>
          <w:bCs/>
          <w:color w:val="auto"/>
          <w:sz w:val="28"/>
          <w:szCs w:val="28"/>
          <w:highlight w:val="none"/>
        </w:rPr>
        <w:t>二、法定代表人身份证明</w:t>
      </w:r>
      <w:bookmarkEnd w:id="120"/>
      <w:bookmarkEnd w:id="121"/>
      <w:bookmarkEnd w:id="122"/>
      <w:bookmarkEnd w:id="123"/>
    </w:p>
    <w:p>
      <w:pPr>
        <w:spacing w:line="480" w:lineRule="exact"/>
        <w:textAlignment w:val="center"/>
        <w:rPr>
          <w:rFonts w:ascii="宋体" w:hAnsi="宋体" w:eastAsia="宋体" w:cs="宋体"/>
          <w:color w:val="auto"/>
          <w:sz w:val="28"/>
          <w:szCs w:val="28"/>
          <w:highlight w:val="none"/>
        </w:rPr>
      </w:pPr>
    </w:p>
    <w:p>
      <w:pPr>
        <w:autoSpaceDE w:val="0"/>
        <w:autoSpaceDN w:val="0"/>
        <w:adjustRightInd w:val="0"/>
        <w:spacing w:line="480" w:lineRule="auto"/>
        <w:jc w:val="left"/>
        <w:rPr>
          <w:rFonts w:ascii="宋体" w:hAnsi="宋体" w:cs="仿宋_GB2312"/>
          <w:color w:val="auto"/>
          <w:kern w:val="0"/>
          <w:highlight w:val="none"/>
        </w:rPr>
      </w:pPr>
    </w:p>
    <w:p>
      <w:pPr>
        <w:autoSpaceDE w:val="0"/>
        <w:autoSpaceDN w:val="0"/>
        <w:adjustRightInd w:val="0"/>
        <w:spacing w:line="480" w:lineRule="auto"/>
        <w:jc w:val="left"/>
        <w:rPr>
          <w:rFonts w:ascii="宋体" w:hAnsi="宋体" w:cs="TimesNewRomanPSMT"/>
          <w:color w:val="auto"/>
          <w:kern w:val="0"/>
          <w:sz w:val="24"/>
          <w:szCs w:val="28"/>
          <w:highlight w:val="none"/>
          <w:u w:val="single"/>
        </w:rPr>
      </w:pPr>
      <w:r>
        <w:rPr>
          <w:rFonts w:hint="eastAsia" w:ascii="宋体" w:hAnsi="宋体" w:cs="仿宋_GB2312"/>
          <w:color w:val="auto"/>
          <w:kern w:val="0"/>
          <w:sz w:val="24"/>
          <w:szCs w:val="28"/>
          <w:highlight w:val="none"/>
        </w:rPr>
        <w:t>供应商名称：</w:t>
      </w:r>
      <w:r>
        <w:rPr>
          <w:rFonts w:hint="eastAsia" w:ascii="宋体" w:hAnsi="宋体" w:cs="TimesNewRomanPSMT"/>
          <w:color w:val="auto"/>
          <w:kern w:val="0"/>
          <w:sz w:val="24"/>
          <w:szCs w:val="28"/>
          <w:highlight w:val="none"/>
          <w:u w:val="single"/>
        </w:rPr>
        <w:t xml:space="preserve">                     ；</w:t>
      </w:r>
    </w:p>
    <w:p>
      <w:pPr>
        <w:autoSpaceDE w:val="0"/>
        <w:autoSpaceDN w:val="0"/>
        <w:adjustRightInd w:val="0"/>
        <w:spacing w:line="480" w:lineRule="auto"/>
        <w:ind w:firstLine="480"/>
        <w:jc w:val="left"/>
        <w:rPr>
          <w:rFonts w:ascii="宋体" w:hAnsi="宋体" w:cs="仿宋_GB2312"/>
          <w:color w:val="auto"/>
          <w:kern w:val="0"/>
          <w:sz w:val="24"/>
          <w:szCs w:val="28"/>
          <w:highlight w:val="none"/>
        </w:rPr>
      </w:pPr>
      <w:r>
        <w:rPr>
          <w:rFonts w:hint="eastAsia" w:ascii="宋体" w:hAnsi="宋体" w:cs="仿宋_GB2312"/>
          <w:color w:val="auto"/>
          <w:kern w:val="0"/>
          <w:sz w:val="24"/>
          <w:szCs w:val="28"/>
          <w:highlight w:val="none"/>
        </w:rPr>
        <w:t>单位性质：</w:t>
      </w:r>
      <w:r>
        <w:rPr>
          <w:rFonts w:hint="eastAsia" w:ascii="宋体" w:hAnsi="宋体" w:cs="TimesNewRomanPSMT"/>
          <w:color w:val="auto"/>
          <w:kern w:val="0"/>
          <w:sz w:val="24"/>
          <w:szCs w:val="28"/>
          <w:highlight w:val="none"/>
          <w:u w:val="single"/>
        </w:rPr>
        <w:t xml:space="preserve">                       ；</w:t>
      </w:r>
    </w:p>
    <w:p>
      <w:pPr>
        <w:autoSpaceDE w:val="0"/>
        <w:autoSpaceDN w:val="0"/>
        <w:adjustRightInd w:val="0"/>
        <w:spacing w:line="480" w:lineRule="auto"/>
        <w:ind w:firstLine="480"/>
        <w:jc w:val="left"/>
        <w:rPr>
          <w:rFonts w:ascii="宋体" w:hAnsi="宋体" w:cs="仿宋_GB2312"/>
          <w:color w:val="auto"/>
          <w:kern w:val="0"/>
          <w:sz w:val="24"/>
          <w:szCs w:val="28"/>
          <w:highlight w:val="none"/>
        </w:rPr>
      </w:pPr>
      <w:r>
        <w:rPr>
          <w:rFonts w:hint="eastAsia" w:ascii="宋体" w:hAnsi="宋体" w:cs="仿宋_GB2312"/>
          <w:color w:val="auto"/>
          <w:kern w:val="0"/>
          <w:sz w:val="24"/>
          <w:szCs w:val="28"/>
          <w:highlight w:val="none"/>
        </w:rPr>
        <w:t>地址：</w:t>
      </w:r>
      <w:r>
        <w:rPr>
          <w:rFonts w:hint="eastAsia" w:ascii="宋体" w:hAnsi="宋体" w:cs="TimesNewRomanPSMT"/>
          <w:color w:val="auto"/>
          <w:kern w:val="0"/>
          <w:sz w:val="24"/>
          <w:szCs w:val="28"/>
          <w:highlight w:val="none"/>
          <w:u w:val="single"/>
        </w:rPr>
        <w:t xml:space="preserve">                             ； </w:t>
      </w:r>
    </w:p>
    <w:p>
      <w:pPr>
        <w:autoSpaceDE w:val="0"/>
        <w:autoSpaceDN w:val="0"/>
        <w:adjustRightInd w:val="0"/>
        <w:spacing w:line="480" w:lineRule="auto"/>
        <w:ind w:firstLine="480"/>
        <w:jc w:val="left"/>
        <w:rPr>
          <w:rFonts w:ascii="宋体" w:hAnsi="宋体" w:cs="仿宋_GB2312"/>
          <w:color w:val="auto"/>
          <w:kern w:val="0"/>
          <w:sz w:val="24"/>
          <w:szCs w:val="28"/>
          <w:highlight w:val="none"/>
        </w:rPr>
      </w:pPr>
      <w:r>
        <w:rPr>
          <w:rFonts w:hint="eastAsia" w:ascii="宋体" w:hAnsi="宋体" w:cs="仿宋_GB2312"/>
          <w:color w:val="auto"/>
          <w:kern w:val="0"/>
          <w:sz w:val="24"/>
          <w:szCs w:val="28"/>
          <w:highlight w:val="none"/>
        </w:rPr>
        <w:t>成立时间：年月日</w:t>
      </w:r>
    </w:p>
    <w:p>
      <w:pPr>
        <w:autoSpaceDE w:val="0"/>
        <w:autoSpaceDN w:val="0"/>
        <w:adjustRightInd w:val="0"/>
        <w:spacing w:line="480" w:lineRule="auto"/>
        <w:ind w:firstLine="480"/>
        <w:jc w:val="left"/>
        <w:rPr>
          <w:rFonts w:ascii="宋体" w:hAnsi="宋体" w:cs="仿宋_GB2312"/>
          <w:color w:val="auto"/>
          <w:kern w:val="0"/>
          <w:sz w:val="24"/>
          <w:szCs w:val="28"/>
          <w:highlight w:val="none"/>
        </w:rPr>
      </w:pPr>
      <w:r>
        <w:rPr>
          <w:rFonts w:hint="eastAsia" w:ascii="宋体" w:hAnsi="宋体" w:cs="仿宋_GB2312"/>
          <w:color w:val="auto"/>
          <w:kern w:val="0"/>
          <w:sz w:val="24"/>
          <w:szCs w:val="28"/>
          <w:highlight w:val="none"/>
        </w:rPr>
        <w:t>经营期限：</w:t>
      </w:r>
      <w:r>
        <w:rPr>
          <w:rFonts w:hint="eastAsia" w:ascii="宋体" w:hAnsi="宋体" w:cs="TimesNewRomanPSMT"/>
          <w:color w:val="auto"/>
          <w:kern w:val="0"/>
          <w:sz w:val="24"/>
          <w:szCs w:val="28"/>
          <w:highlight w:val="none"/>
          <w:u w:val="single"/>
        </w:rPr>
        <w:t xml:space="preserve">                     ；</w:t>
      </w:r>
    </w:p>
    <w:p>
      <w:pPr>
        <w:autoSpaceDE w:val="0"/>
        <w:autoSpaceDN w:val="0"/>
        <w:adjustRightInd w:val="0"/>
        <w:spacing w:line="480" w:lineRule="auto"/>
        <w:ind w:firstLine="480"/>
        <w:jc w:val="left"/>
        <w:rPr>
          <w:rFonts w:ascii="宋体" w:hAnsi="宋体" w:cs="仿宋_GB2312"/>
          <w:color w:val="auto"/>
          <w:kern w:val="0"/>
          <w:sz w:val="24"/>
          <w:szCs w:val="28"/>
          <w:highlight w:val="none"/>
          <w:u w:val="single"/>
        </w:rPr>
      </w:pPr>
      <w:r>
        <w:rPr>
          <w:rFonts w:hint="eastAsia" w:ascii="宋体" w:hAnsi="宋体" w:cs="仿宋_GB2312"/>
          <w:color w:val="auto"/>
          <w:kern w:val="0"/>
          <w:sz w:val="24"/>
          <w:szCs w:val="28"/>
          <w:highlight w:val="none"/>
        </w:rPr>
        <w:t>姓名：</w:t>
      </w:r>
      <w:r>
        <w:rPr>
          <w:rFonts w:hint="eastAsia" w:ascii="宋体" w:hAnsi="宋体" w:cs="仿宋_GB2312"/>
          <w:color w:val="auto"/>
          <w:kern w:val="0"/>
          <w:sz w:val="24"/>
          <w:szCs w:val="28"/>
          <w:highlight w:val="none"/>
          <w:u w:val="single"/>
        </w:rPr>
        <w:t xml:space="preserve">                         ；</w:t>
      </w:r>
    </w:p>
    <w:p>
      <w:pPr>
        <w:autoSpaceDE w:val="0"/>
        <w:autoSpaceDN w:val="0"/>
        <w:adjustRightInd w:val="0"/>
        <w:spacing w:line="480" w:lineRule="auto"/>
        <w:ind w:firstLine="480"/>
        <w:jc w:val="left"/>
        <w:rPr>
          <w:rFonts w:ascii="宋体" w:hAnsi="宋体" w:cs="仿宋_GB2312"/>
          <w:color w:val="auto"/>
          <w:kern w:val="0"/>
          <w:sz w:val="24"/>
          <w:szCs w:val="28"/>
          <w:highlight w:val="none"/>
          <w:u w:val="single"/>
        </w:rPr>
      </w:pPr>
      <w:r>
        <w:rPr>
          <w:rFonts w:hint="eastAsia" w:ascii="宋体" w:hAnsi="宋体" w:cs="仿宋_GB2312"/>
          <w:color w:val="auto"/>
          <w:kern w:val="0"/>
          <w:sz w:val="24"/>
          <w:szCs w:val="28"/>
          <w:highlight w:val="none"/>
        </w:rPr>
        <w:t>性别：</w:t>
      </w:r>
      <w:r>
        <w:rPr>
          <w:rFonts w:hint="eastAsia" w:ascii="宋体" w:hAnsi="宋体" w:cs="仿宋_GB2312"/>
          <w:color w:val="auto"/>
          <w:kern w:val="0"/>
          <w:sz w:val="24"/>
          <w:szCs w:val="28"/>
          <w:highlight w:val="none"/>
          <w:u w:val="single"/>
        </w:rPr>
        <w:t xml:space="preserve">                         ；</w:t>
      </w:r>
    </w:p>
    <w:p>
      <w:pPr>
        <w:autoSpaceDE w:val="0"/>
        <w:autoSpaceDN w:val="0"/>
        <w:adjustRightInd w:val="0"/>
        <w:spacing w:line="480" w:lineRule="auto"/>
        <w:ind w:firstLine="480"/>
        <w:jc w:val="left"/>
        <w:rPr>
          <w:rFonts w:ascii="宋体" w:hAnsi="宋体" w:cs="仿宋_GB2312"/>
          <w:color w:val="auto"/>
          <w:kern w:val="0"/>
          <w:sz w:val="24"/>
          <w:szCs w:val="28"/>
          <w:highlight w:val="none"/>
          <w:u w:val="single"/>
        </w:rPr>
      </w:pPr>
      <w:r>
        <w:rPr>
          <w:rFonts w:hint="eastAsia" w:ascii="宋体" w:hAnsi="宋体" w:cs="仿宋_GB2312"/>
          <w:color w:val="auto"/>
          <w:kern w:val="0"/>
          <w:sz w:val="24"/>
          <w:szCs w:val="28"/>
          <w:highlight w:val="none"/>
        </w:rPr>
        <w:t>年龄 ：</w:t>
      </w:r>
      <w:r>
        <w:rPr>
          <w:rFonts w:hint="eastAsia" w:ascii="宋体" w:hAnsi="宋体" w:cs="仿宋_GB2312"/>
          <w:color w:val="auto"/>
          <w:kern w:val="0"/>
          <w:sz w:val="24"/>
          <w:szCs w:val="28"/>
          <w:highlight w:val="none"/>
          <w:u w:val="single"/>
        </w:rPr>
        <w:t xml:space="preserve">                        ；</w:t>
      </w:r>
    </w:p>
    <w:p>
      <w:pPr>
        <w:autoSpaceDE w:val="0"/>
        <w:autoSpaceDN w:val="0"/>
        <w:adjustRightInd w:val="0"/>
        <w:spacing w:line="480" w:lineRule="auto"/>
        <w:ind w:firstLine="480"/>
        <w:jc w:val="left"/>
        <w:rPr>
          <w:rFonts w:ascii="宋体" w:hAnsi="宋体" w:cs="仿宋_GB2312"/>
          <w:color w:val="auto"/>
          <w:kern w:val="0"/>
          <w:sz w:val="24"/>
          <w:szCs w:val="28"/>
          <w:highlight w:val="none"/>
          <w:u w:val="single"/>
        </w:rPr>
      </w:pPr>
      <w:r>
        <w:rPr>
          <w:rFonts w:hint="eastAsia" w:ascii="宋体" w:hAnsi="宋体" w:cs="仿宋_GB2312"/>
          <w:color w:val="auto"/>
          <w:kern w:val="0"/>
          <w:sz w:val="24"/>
          <w:szCs w:val="28"/>
          <w:highlight w:val="none"/>
        </w:rPr>
        <w:t>职务：</w:t>
      </w:r>
      <w:r>
        <w:rPr>
          <w:rFonts w:hint="eastAsia" w:ascii="宋体" w:hAnsi="宋体" w:cs="仿宋_GB2312"/>
          <w:color w:val="auto"/>
          <w:kern w:val="0"/>
          <w:sz w:val="24"/>
          <w:szCs w:val="28"/>
          <w:highlight w:val="none"/>
          <w:u w:val="single"/>
        </w:rPr>
        <w:t xml:space="preserve">                         ；</w:t>
      </w:r>
    </w:p>
    <w:p>
      <w:pPr>
        <w:autoSpaceDE w:val="0"/>
        <w:autoSpaceDN w:val="0"/>
        <w:adjustRightInd w:val="0"/>
        <w:spacing w:line="480" w:lineRule="auto"/>
        <w:ind w:firstLine="480"/>
        <w:jc w:val="left"/>
        <w:rPr>
          <w:rFonts w:ascii="宋体" w:hAnsi="宋体" w:cs="仿宋_GB2312"/>
          <w:color w:val="auto"/>
          <w:kern w:val="0"/>
          <w:sz w:val="24"/>
          <w:szCs w:val="28"/>
          <w:highlight w:val="none"/>
          <w:u w:val="single"/>
        </w:rPr>
      </w:pPr>
      <w:r>
        <w:rPr>
          <w:rFonts w:hint="eastAsia" w:ascii="宋体" w:hAnsi="宋体" w:cs="仿宋_GB2312"/>
          <w:color w:val="auto"/>
          <w:kern w:val="0"/>
          <w:sz w:val="24"/>
          <w:szCs w:val="28"/>
          <w:highlight w:val="none"/>
        </w:rPr>
        <w:t>身份证号码：，系（投标人名称）的法定代表人。</w:t>
      </w:r>
    </w:p>
    <w:p>
      <w:pPr>
        <w:autoSpaceDE w:val="0"/>
        <w:autoSpaceDN w:val="0"/>
        <w:adjustRightInd w:val="0"/>
        <w:spacing w:line="480" w:lineRule="auto"/>
        <w:ind w:firstLine="480"/>
        <w:jc w:val="left"/>
        <w:rPr>
          <w:rFonts w:ascii="宋体" w:hAnsi="宋体" w:cs="仿宋_GB2312"/>
          <w:color w:val="auto"/>
          <w:kern w:val="0"/>
          <w:sz w:val="24"/>
          <w:szCs w:val="28"/>
          <w:highlight w:val="none"/>
        </w:rPr>
      </w:pPr>
      <w:r>
        <w:rPr>
          <w:rFonts w:hint="eastAsia" w:ascii="宋体" w:hAnsi="宋体" w:cs="仿宋_GB2312"/>
          <w:color w:val="auto"/>
          <w:kern w:val="0"/>
          <w:sz w:val="24"/>
          <w:szCs w:val="28"/>
          <w:highlight w:val="none"/>
        </w:rPr>
        <w:t>特此证明。</w:t>
      </w:r>
    </w:p>
    <w:p>
      <w:pPr>
        <w:autoSpaceDE w:val="0"/>
        <w:autoSpaceDN w:val="0"/>
        <w:adjustRightInd w:val="0"/>
        <w:spacing w:line="700" w:lineRule="exact"/>
        <w:ind w:firstLine="480"/>
        <w:jc w:val="left"/>
        <w:rPr>
          <w:rFonts w:ascii="宋体" w:hAnsi="宋体" w:cs="仿宋_GB2312"/>
          <w:color w:val="auto"/>
          <w:kern w:val="0"/>
          <w:sz w:val="24"/>
          <w:szCs w:val="28"/>
          <w:highlight w:val="none"/>
        </w:rPr>
      </w:pPr>
    </w:p>
    <w:p>
      <w:pPr>
        <w:autoSpaceDE w:val="0"/>
        <w:autoSpaceDN w:val="0"/>
        <w:adjustRightInd w:val="0"/>
        <w:spacing w:line="700" w:lineRule="exact"/>
        <w:ind w:firstLine="480"/>
        <w:jc w:val="left"/>
        <w:rPr>
          <w:rFonts w:ascii="宋体" w:hAnsi="宋体" w:cs="仿宋_GB2312"/>
          <w:color w:val="auto"/>
          <w:kern w:val="0"/>
          <w:sz w:val="24"/>
          <w:szCs w:val="28"/>
          <w:highlight w:val="none"/>
        </w:rPr>
      </w:pPr>
      <w:r>
        <w:rPr>
          <w:rFonts w:hint="eastAsia" w:ascii="宋体" w:hAnsi="宋体" w:cs="仿宋_GB2312"/>
          <w:color w:val="auto"/>
          <w:kern w:val="0"/>
          <w:sz w:val="24"/>
          <w:szCs w:val="28"/>
          <w:highlight w:val="none"/>
        </w:rPr>
        <w:t>附：法定代表人身份证扫描件</w:t>
      </w:r>
    </w:p>
    <w:p>
      <w:pPr>
        <w:spacing w:line="480" w:lineRule="exact"/>
        <w:textAlignment w:val="center"/>
        <w:rPr>
          <w:rFonts w:ascii="宋体" w:hAnsi="宋体" w:eastAsia="宋体" w:cs="宋体"/>
          <w:color w:val="auto"/>
          <w:sz w:val="24"/>
          <w:szCs w:val="24"/>
          <w:highlight w:val="none"/>
        </w:rPr>
      </w:pPr>
    </w:p>
    <w:p>
      <w:pPr>
        <w:wordWrap w:val="0"/>
        <w:spacing w:line="520" w:lineRule="exact"/>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 （</w:t>
      </w:r>
      <w:r>
        <w:rPr>
          <w:rFonts w:hint="eastAsia" w:ascii="宋体" w:hAnsi="宋体" w:cs="楷体_GB2312"/>
          <w:color w:val="auto"/>
          <w:sz w:val="24"/>
          <w:highlight w:val="none"/>
        </w:rPr>
        <w:t>盖单位章</w:t>
      </w:r>
      <w:r>
        <w:rPr>
          <w:rFonts w:hint="eastAsia" w:ascii="宋体" w:hAnsi="宋体" w:eastAsia="宋体" w:cs="宋体"/>
          <w:color w:val="auto"/>
          <w:sz w:val="24"/>
          <w:szCs w:val="24"/>
          <w:highlight w:val="none"/>
        </w:rPr>
        <w:t>）</w:t>
      </w:r>
    </w:p>
    <w:p>
      <w:pPr>
        <w:spacing w:line="480" w:lineRule="exact"/>
        <w:ind w:right="480" w:firstLine="5520" w:firstLineChars="2300"/>
        <w:textAlignment w:val="center"/>
        <w:rPr>
          <w:rFonts w:ascii="宋体" w:hAnsi="宋体" w:eastAsia="宋体" w:cs="宋体"/>
          <w:color w:val="auto"/>
          <w:sz w:val="28"/>
          <w:szCs w:val="28"/>
          <w:highlight w:val="none"/>
        </w:rPr>
      </w:pPr>
      <w:r>
        <w:rPr>
          <w:rFonts w:hint="eastAsia" w:ascii="宋体" w:hAnsi="宋体" w:eastAsia="宋体" w:cs="宋体"/>
          <w:color w:val="auto"/>
          <w:sz w:val="24"/>
          <w:szCs w:val="24"/>
          <w:highlight w:val="none"/>
        </w:rPr>
        <w:t>年   月   日</w:t>
      </w:r>
    </w:p>
    <w:p>
      <w:pPr>
        <w:spacing w:beforeLines="100" w:afterLines="50" w:line="480" w:lineRule="exact"/>
        <w:jc w:val="center"/>
        <w:textAlignment w:val="center"/>
        <w:outlineLvl w:val="1"/>
        <w:rPr>
          <w:rFonts w:ascii="宋体" w:hAnsi="宋体" w:eastAsia="宋体" w:cs="宋体"/>
          <w:color w:val="auto"/>
          <w:sz w:val="28"/>
          <w:szCs w:val="28"/>
          <w:highlight w:val="none"/>
        </w:rPr>
      </w:pPr>
      <w:r>
        <w:rPr>
          <w:rFonts w:ascii="宋体" w:hAnsi="宋体" w:eastAsia="宋体" w:cs="宋体"/>
          <w:b/>
          <w:bCs/>
          <w:color w:val="auto"/>
          <w:sz w:val="28"/>
          <w:szCs w:val="28"/>
          <w:highlight w:val="none"/>
        </w:rPr>
        <w:br w:type="page"/>
      </w:r>
      <w:bookmarkStart w:id="124" w:name="_Toc14392"/>
      <w:bookmarkStart w:id="125" w:name="_Toc30202"/>
      <w:bookmarkStart w:id="126" w:name="_Toc7629"/>
      <w:bookmarkStart w:id="127" w:name="_Toc31687"/>
      <w:r>
        <w:rPr>
          <w:rFonts w:hint="eastAsia" w:ascii="宋体" w:hAnsi="宋体" w:eastAsia="宋体" w:cs="宋体"/>
          <w:b/>
          <w:bCs/>
          <w:color w:val="auto"/>
          <w:sz w:val="28"/>
          <w:szCs w:val="28"/>
          <w:highlight w:val="none"/>
        </w:rPr>
        <w:t>三、授权委托书</w:t>
      </w:r>
      <w:bookmarkEnd w:id="124"/>
      <w:bookmarkEnd w:id="125"/>
      <w:bookmarkEnd w:id="126"/>
      <w:bookmarkEnd w:id="127"/>
    </w:p>
    <w:p>
      <w:pPr>
        <w:spacing w:line="480" w:lineRule="exact"/>
        <w:ind w:firstLine="720" w:firstLineChars="300"/>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（姓名）</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（供应商名称）</w:t>
      </w:r>
      <w:r>
        <w:rPr>
          <w:rFonts w:hint="eastAsia" w:ascii="宋体" w:hAnsi="宋体" w:eastAsia="宋体" w:cs="宋体"/>
          <w:color w:val="auto"/>
          <w:sz w:val="24"/>
          <w:szCs w:val="24"/>
          <w:highlight w:val="none"/>
        </w:rPr>
        <w:t>的法定代表人，现委托</w:t>
      </w:r>
      <w:r>
        <w:rPr>
          <w:rFonts w:hint="eastAsia" w:ascii="宋体" w:hAnsi="宋体" w:eastAsia="宋体" w:cs="宋体"/>
          <w:color w:val="auto"/>
          <w:sz w:val="24"/>
          <w:szCs w:val="24"/>
          <w:highlight w:val="none"/>
          <w:u w:val="single"/>
        </w:rPr>
        <w:t xml:space="preserve">                （姓名）</w:t>
      </w:r>
      <w:r>
        <w:rPr>
          <w:rFonts w:hint="eastAsia" w:ascii="宋体" w:hAnsi="宋体" w:eastAsia="宋体" w:cs="宋体"/>
          <w:color w:val="auto"/>
          <w:sz w:val="24"/>
          <w:szCs w:val="24"/>
          <w:highlight w:val="none"/>
        </w:rPr>
        <w:t>为我方代理人。代理人根据授权，以我方名义签署、澄清、说明、补正、递交、撤回、修改（项目名称）响应文件、签订合同和处理有关事宜，其法律后果由我方承担。</w:t>
      </w:r>
    </w:p>
    <w:p>
      <w:pPr>
        <w:spacing w:beforeLines="100" w:afterLines="100" w:line="480" w:lineRule="exact"/>
        <w:ind w:firstLine="480" w:firstLineChars="200"/>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w:t>
      </w:r>
    </w:p>
    <w:p>
      <w:pPr>
        <w:spacing w:afterLines="100" w:line="480" w:lineRule="exact"/>
        <w:ind w:firstLine="480" w:firstLineChars="200"/>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附：法定代表人身份证及委托代理人身份证原件扫描件</w:t>
      </w:r>
    </w:p>
    <w:p>
      <w:pPr>
        <w:spacing w:line="480" w:lineRule="exact"/>
        <w:textAlignment w:val="center"/>
        <w:rPr>
          <w:rFonts w:ascii="宋体" w:hAnsi="宋体" w:eastAsia="宋体" w:cs="宋体"/>
          <w:color w:val="auto"/>
          <w:sz w:val="24"/>
          <w:szCs w:val="24"/>
          <w:highlight w:val="none"/>
        </w:rPr>
      </w:pPr>
    </w:p>
    <w:p>
      <w:pPr>
        <w:spacing w:line="480" w:lineRule="exact"/>
        <w:ind w:firstLine="3840" w:firstLineChars="1600"/>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cs="楷体_GB2312"/>
          <w:color w:val="auto"/>
          <w:sz w:val="24"/>
          <w:highlight w:val="none"/>
        </w:rPr>
        <w:t>盖单位章</w:t>
      </w:r>
      <w:r>
        <w:rPr>
          <w:rFonts w:hint="eastAsia" w:ascii="宋体" w:hAnsi="宋体" w:eastAsia="宋体" w:cs="宋体"/>
          <w:color w:val="auto"/>
          <w:sz w:val="24"/>
          <w:szCs w:val="24"/>
          <w:highlight w:val="none"/>
        </w:rPr>
        <w:t>）</w:t>
      </w:r>
    </w:p>
    <w:p>
      <w:pPr>
        <w:spacing w:line="480" w:lineRule="exact"/>
        <w:ind w:firstLine="3840" w:firstLineChars="1600"/>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法定代表人：（电子签章）</w:t>
      </w:r>
    </w:p>
    <w:p>
      <w:pPr>
        <w:spacing w:line="480" w:lineRule="exact"/>
        <w:ind w:firstLine="3840" w:firstLineChars="1600"/>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p>
    <w:p>
      <w:pPr>
        <w:spacing w:line="480" w:lineRule="exact"/>
        <w:ind w:firstLine="3840" w:firstLineChars="1600"/>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委托代理人身份证号码：</w:t>
      </w:r>
    </w:p>
    <w:p>
      <w:pPr>
        <w:spacing w:line="480" w:lineRule="exact"/>
        <w:ind w:firstLine="3840" w:firstLineChars="1600"/>
        <w:textAlignment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rPr>
        <w:t>：</w:t>
      </w:r>
    </w:p>
    <w:p>
      <w:pPr>
        <w:spacing w:line="480" w:lineRule="exact"/>
        <w:ind w:firstLine="3840" w:firstLineChars="1600"/>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年月日</w:t>
      </w:r>
    </w:p>
    <w:p>
      <w:pPr>
        <w:spacing w:beforeLines="100" w:afterLines="50" w:line="480" w:lineRule="exact"/>
        <w:textAlignment w:val="center"/>
        <w:rPr>
          <w:rFonts w:ascii="宋体" w:hAnsi="宋体" w:eastAsia="宋体" w:cs="宋体"/>
          <w:b/>
          <w:bCs/>
          <w:color w:val="auto"/>
          <w:sz w:val="24"/>
          <w:szCs w:val="24"/>
          <w:highlight w:val="none"/>
        </w:rPr>
      </w:pPr>
    </w:p>
    <w:p>
      <w:pPr>
        <w:widowControl/>
        <w:spacing w:line="400" w:lineRule="exact"/>
        <w:jc w:val="left"/>
        <w:rPr>
          <w:rFonts w:ascii="宋体" w:hAnsi="宋体" w:eastAsia="宋体" w:cs="宋体"/>
          <w:b/>
          <w:bCs/>
          <w:color w:val="auto"/>
          <w:sz w:val="28"/>
          <w:szCs w:val="28"/>
          <w:highlight w:val="none"/>
        </w:rPr>
      </w:pPr>
      <w:bookmarkStart w:id="128" w:name="_Toc466566720"/>
      <w:bookmarkEnd w:id="128"/>
    </w:p>
    <w:p>
      <w:pPr>
        <w:widowControl/>
        <w:spacing w:line="400" w:lineRule="exact"/>
        <w:jc w:val="center"/>
        <w:outlineLvl w:val="1"/>
        <w:rPr>
          <w:rFonts w:ascii="宋体" w:hAnsi="宋体" w:eastAsia="宋体" w:cs="宋体"/>
          <w:b/>
          <w:color w:val="auto"/>
          <w:sz w:val="28"/>
          <w:szCs w:val="28"/>
          <w:highlight w:val="none"/>
        </w:rPr>
      </w:pPr>
      <w:r>
        <w:rPr>
          <w:rFonts w:hint="eastAsia" w:ascii="宋体" w:hAnsi="宋体" w:eastAsia="宋体" w:cs="宋体"/>
          <w:b/>
          <w:bCs/>
          <w:color w:val="auto"/>
          <w:sz w:val="28"/>
          <w:szCs w:val="28"/>
          <w:highlight w:val="none"/>
        </w:rPr>
        <w:br w:type="page"/>
      </w:r>
      <w:bookmarkStart w:id="129" w:name="_Toc7633"/>
      <w:bookmarkStart w:id="130" w:name="_Toc32717"/>
      <w:bookmarkStart w:id="131" w:name="_Toc6506"/>
      <w:bookmarkStart w:id="132" w:name="_Toc11405"/>
      <w:r>
        <w:rPr>
          <w:rFonts w:hint="eastAsia" w:ascii="宋体" w:hAnsi="宋体" w:eastAsia="宋体" w:cs="宋体"/>
          <w:b/>
          <w:bCs/>
          <w:color w:val="auto"/>
          <w:sz w:val="28"/>
          <w:szCs w:val="28"/>
          <w:highlight w:val="none"/>
        </w:rPr>
        <w:t>四、磋商承诺函</w:t>
      </w:r>
      <w:bookmarkEnd w:id="129"/>
      <w:bookmarkEnd w:id="130"/>
      <w:bookmarkEnd w:id="131"/>
      <w:bookmarkEnd w:id="132"/>
    </w:p>
    <w:p>
      <w:pPr>
        <w:widowControl/>
        <w:shd w:val="clear" w:color="auto" w:fill="FFFFFF"/>
        <w:spacing w:line="360" w:lineRule="auto"/>
        <w:rPr>
          <w:rFonts w:ascii="宋体" w:hAnsi="宋体" w:eastAsia="宋体" w:cs="宋体"/>
          <w:color w:val="auto"/>
          <w:spacing w:val="8"/>
          <w:kern w:val="0"/>
          <w:sz w:val="24"/>
          <w:szCs w:val="24"/>
          <w:highlight w:val="none"/>
          <w:u w:val="single"/>
        </w:rPr>
      </w:pPr>
      <w:r>
        <w:rPr>
          <w:rFonts w:hint="eastAsia" w:ascii="宋体" w:hAnsi="宋体" w:eastAsia="宋体" w:cs="宋体"/>
          <w:color w:val="auto"/>
          <w:kern w:val="0"/>
          <w:sz w:val="24"/>
          <w:szCs w:val="24"/>
          <w:highlight w:val="none"/>
        </w:rPr>
        <w:t>致（采购人）</w:t>
      </w:r>
      <w:r>
        <w:rPr>
          <w:rFonts w:hint="eastAsia" w:ascii="宋体" w:hAnsi="宋体" w:eastAsia="宋体" w:cs="宋体"/>
          <w:color w:val="auto"/>
          <w:spacing w:val="8"/>
          <w:kern w:val="0"/>
          <w:sz w:val="24"/>
          <w:szCs w:val="24"/>
          <w:highlight w:val="none"/>
        </w:rPr>
        <w:t>：</w:t>
      </w:r>
    </w:p>
    <w:p>
      <w:pPr>
        <w:widowControl/>
        <w:shd w:val="clear" w:color="auto" w:fill="FFFFFF"/>
        <w:spacing w:line="360" w:lineRule="auto"/>
        <w:ind w:firstLine="448" w:firstLineChars="175"/>
        <w:jc w:val="left"/>
        <w:rPr>
          <w:rFonts w:ascii="宋体" w:hAnsi="宋体" w:eastAsia="宋体" w:cs="宋体"/>
          <w:color w:val="auto"/>
          <w:spacing w:val="8"/>
          <w:kern w:val="0"/>
          <w:sz w:val="24"/>
          <w:szCs w:val="24"/>
          <w:highlight w:val="none"/>
        </w:rPr>
      </w:pPr>
      <w:r>
        <w:rPr>
          <w:rFonts w:hint="eastAsia" w:ascii="宋体" w:hAnsi="宋体" w:eastAsia="宋体" w:cs="宋体"/>
          <w:color w:val="auto"/>
          <w:spacing w:val="8"/>
          <w:kern w:val="0"/>
          <w:sz w:val="24"/>
          <w:szCs w:val="24"/>
          <w:highlight w:val="none"/>
        </w:rPr>
        <w:t>我公司作为本次采购项目的供应商，根据磋商文件要求，现郑重承诺如下：</w:t>
      </w:r>
    </w:p>
    <w:p>
      <w:pPr>
        <w:widowControl/>
        <w:shd w:val="clear" w:color="auto" w:fill="FFFFFF"/>
        <w:spacing w:line="360" w:lineRule="auto"/>
        <w:ind w:firstLine="448" w:firstLineChars="175"/>
        <w:jc w:val="left"/>
        <w:rPr>
          <w:rFonts w:ascii="宋体" w:hAnsi="宋体" w:eastAsia="宋体" w:cs="宋体"/>
          <w:color w:val="auto"/>
          <w:spacing w:val="8"/>
          <w:kern w:val="0"/>
          <w:sz w:val="24"/>
          <w:szCs w:val="24"/>
          <w:highlight w:val="none"/>
        </w:rPr>
      </w:pPr>
      <w:r>
        <w:rPr>
          <w:rFonts w:hint="eastAsia" w:ascii="宋体" w:hAnsi="宋体" w:eastAsia="宋体" w:cs="宋体"/>
          <w:color w:val="auto"/>
          <w:spacing w:val="8"/>
          <w:kern w:val="0"/>
          <w:sz w:val="24"/>
          <w:szCs w:val="24"/>
          <w:highlight w:val="none"/>
        </w:rPr>
        <w:t>一、具备《中华人民共和国政府采购法》第二十二条第一款和本项目规定的条件：</w:t>
      </w:r>
    </w:p>
    <w:p>
      <w:pPr>
        <w:widowControl/>
        <w:shd w:val="clear" w:color="auto" w:fill="FFFFFF"/>
        <w:spacing w:line="360" w:lineRule="auto"/>
        <w:ind w:firstLine="448" w:firstLineChars="175"/>
        <w:jc w:val="left"/>
        <w:rPr>
          <w:rFonts w:ascii="宋体" w:hAnsi="宋体" w:eastAsia="宋体" w:cs="宋体"/>
          <w:color w:val="auto"/>
          <w:spacing w:val="8"/>
          <w:kern w:val="0"/>
          <w:sz w:val="24"/>
          <w:szCs w:val="24"/>
          <w:highlight w:val="none"/>
        </w:rPr>
      </w:pPr>
      <w:r>
        <w:rPr>
          <w:rFonts w:hint="eastAsia" w:ascii="宋体" w:hAnsi="宋体" w:eastAsia="宋体" w:cs="宋体"/>
          <w:color w:val="auto"/>
          <w:spacing w:val="8"/>
          <w:kern w:val="0"/>
          <w:sz w:val="24"/>
          <w:szCs w:val="24"/>
          <w:highlight w:val="none"/>
        </w:rPr>
        <w:t>（一）具有独立承担民事责任的能力； 　　</w:t>
      </w:r>
    </w:p>
    <w:p>
      <w:pPr>
        <w:widowControl/>
        <w:shd w:val="clear" w:color="auto" w:fill="FFFFFF"/>
        <w:spacing w:line="360" w:lineRule="auto"/>
        <w:ind w:firstLine="448" w:firstLineChars="175"/>
        <w:jc w:val="left"/>
        <w:rPr>
          <w:rFonts w:ascii="宋体" w:hAnsi="宋体" w:eastAsia="宋体" w:cs="宋体"/>
          <w:color w:val="auto"/>
          <w:spacing w:val="8"/>
          <w:kern w:val="0"/>
          <w:sz w:val="24"/>
          <w:szCs w:val="24"/>
          <w:highlight w:val="none"/>
        </w:rPr>
      </w:pPr>
      <w:r>
        <w:rPr>
          <w:rFonts w:hint="eastAsia" w:ascii="宋体" w:hAnsi="宋体" w:eastAsia="宋体" w:cs="宋体"/>
          <w:color w:val="auto"/>
          <w:spacing w:val="8"/>
          <w:kern w:val="0"/>
          <w:sz w:val="24"/>
          <w:szCs w:val="24"/>
          <w:highlight w:val="none"/>
        </w:rPr>
        <w:t>（二）具有良好的商业信誉和健全的财务会计制度； 　</w:t>
      </w:r>
    </w:p>
    <w:p>
      <w:pPr>
        <w:widowControl/>
        <w:shd w:val="clear" w:color="auto" w:fill="FFFFFF"/>
        <w:spacing w:line="360" w:lineRule="auto"/>
        <w:ind w:firstLine="448" w:firstLineChars="175"/>
        <w:jc w:val="left"/>
        <w:rPr>
          <w:rFonts w:ascii="宋体" w:hAnsi="宋体" w:eastAsia="宋体" w:cs="宋体"/>
          <w:color w:val="auto"/>
          <w:spacing w:val="8"/>
          <w:kern w:val="0"/>
          <w:sz w:val="24"/>
          <w:szCs w:val="24"/>
          <w:highlight w:val="none"/>
        </w:rPr>
      </w:pPr>
      <w:r>
        <w:rPr>
          <w:rFonts w:hint="eastAsia" w:ascii="宋体" w:hAnsi="宋体" w:eastAsia="宋体" w:cs="宋体"/>
          <w:color w:val="auto"/>
          <w:spacing w:val="8"/>
          <w:kern w:val="0"/>
          <w:sz w:val="24"/>
          <w:szCs w:val="24"/>
          <w:highlight w:val="none"/>
        </w:rPr>
        <w:t>（三）具有履行合同所必需的设备和专业技术能力； 　　</w:t>
      </w:r>
    </w:p>
    <w:p>
      <w:pPr>
        <w:widowControl/>
        <w:shd w:val="clear" w:color="auto" w:fill="FFFFFF"/>
        <w:spacing w:line="360" w:lineRule="auto"/>
        <w:ind w:firstLine="448" w:firstLineChars="175"/>
        <w:jc w:val="left"/>
        <w:rPr>
          <w:rFonts w:ascii="宋体" w:hAnsi="宋体" w:eastAsia="宋体" w:cs="宋体"/>
          <w:color w:val="auto"/>
          <w:spacing w:val="8"/>
          <w:kern w:val="0"/>
          <w:sz w:val="24"/>
          <w:szCs w:val="24"/>
          <w:highlight w:val="none"/>
        </w:rPr>
      </w:pPr>
      <w:r>
        <w:rPr>
          <w:rFonts w:hint="eastAsia" w:ascii="宋体" w:hAnsi="宋体" w:eastAsia="宋体" w:cs="宋体"/>
          <w:color w:val="auto"/>
          <w:spacing w:val="8"/>
          <w:kern w:val="0"/>
          <w:sz w:val="24"/>
          <w:szCs w:val="24"/>
          <w:highlight w:val="none"/>
        </w:rPr>
        <w:t>（四）有依法缴纳税收和社会保障资金的良好记录； 　　</w:t>
      </w:r>
    </w:p>
    <w:p>
      <w:pPr>
        <w:widowControl/>
        <w:shd w:val="clear" w:color="auto" w:fill="FFFFFF"/>
        <w:spacing w:line="360" w:lineRule="auto"/>
        <w:ind w:firstLine="448" w:firstLineChars="175"/>
        <w:jc w:val="left"/>
        <w:rPr>
          <w:rFonts w:ascii="宋体" w:hAnsi="宋体" w:eastAsia="宋体" w:cs="宋体"/>
          <w:color w:val="auto"/>
          <w:spacing w:val="8"/>
          <w:kern w:val="0"/>
          <w:sz w:val="24"/>
          <w:szCs w:val="24"/>
          <w:highlight w:val="none"/>
        </w:rPr>
      </w:pPr>
      <w:r>
        <w:rPr>
          <w:rFonts w:hint="eastAsia" w:ascii="宋体" w:hAnsi="宋体" w:eastAsia="宋体" w:cs="宋体"/>
          <w:color w:val="auto"/>
          <w:spacing w:val="8"/>
          <w:kern w:val="0"/>
          <w:sz w:val="24"/>
          <w:szCs w:val="24"/>
          <w:highlight w:val="none"/>
        </w:rPr>
        <w:t>（五）参加政府采购活动前三年内，在经营活动中没有重大违法记录；</w:t>
      </w:r>
    </w:p>
    <w:p>
      <w:pPr>
        <w:widowControl/>
        <w:shd w:val="clear" w:color="auto" w:fill="FFFFFF"/>
        <w:spacing w:line="360" w:lineRule="auto"/>
        <w:ind w:firstLine="448" w:firstLineChars="175"/>
        <w:jc w:val="left"/>
        <w:rPr>
          <w:rFonts w:ascii="宋体" w:hAnsi="宋体" w:eastAsia="宋体" w:cs="宋体"/>
          <w:color w:val="auto"/>
          <w:spacing w:val="8"/>
          <w:kern w:val="0"/>
          <w:sz w:val="24"/>
          <w:szCs w:val="24"/>
          <w:highlight w:val="none"/>
        </w:rPr>
      </w:pPr>
      <w:r>
        <w:rPr>
          <w:rFonts w:hint="eastAsia" w:ascii="宋体" w:hAnsi="宋体" w:eastAsia="宋体" w:cs="宋体"/>
          <w:color w:val="auto"/>
          <w:spacing w:val="8"/>
          <w:kern w:val="0"/>
          <w:sz w:val="24"/>
          <w:szCs w:val="24"/>
          <w:highlight w:val="none"/>
        </w:rPr>
        <w:t>（六）法律、行政法规规定的其他条件；</w:t>
      </w:r>
    </w:p>
    <w:p>
      <w:pPr>
        <w:widowControl/>
        <w:shd w:val="clear" w:color="auto" w:fill="FFFFFF"/>
        <w:spacing w:line="360" w:lineRule="auto"/>
        <w:ind w:firstLine="448" w:firstLineChars="175"/>
        <w:jc w:val="left"/>
        <w:rPr>
          <w:rFonts w:ascii="宋体" w:hAnsi="宋体" w:eastAsia="宋体" w:cs="宋体"/>
          <w:color w:val="auto"/>
          <w:spacing w:val="8"/>
          <w:kern w:val="0"/>
          <w:sz w:val="24"/>
          <w:szCs w:val="24"/>
          <w:highlight w:val="none"/>
        </w:rPr>
      </w:pPr>
      <w:r>
        <w:rPr>
          <w:rFonts w:hint="eastAsia" w:ascii="宋体" w:hAnsi="宋体" w:eastAsia="宋体" w:cs="宋体"/>
          <w:color w:val="auto"/>
          <w:spacing w:val="8"/>
          <w:kern w:val="0"/>
          <w:sz w:val="24"/>
          <w:szCs w:val="24"/>
          <w:highlight w:val="none"/>
        </w:rPr>
        <w:t>（七）根据采购项目提出的特定条件。</w:t>
      </w:r>
    </w:p>
    <w:p>
      <w:pPr>
        <w:widowControl/>
        <w:shd w:val="clear" w:color="auto" w:fill="FFFFFF"/>
        <w:spacing w:line="360" w:lineRule="auto"/>
        <w:ind w:firstLine="448" w:firstLineChars="175"/>
        <w:jc w:val="left"/>
        <w:rPr>
          <w:rFonts w:ascii="宋体" w:hAnsi="宋体" w:eastAsia="宋体" w:cs="宋体"/>
          <w:color w:val="auto"/>
          <w:spacing w:val="8"/>
          <w:kern w:val="0"/>
          <w:sz w:val="24"/>
          <w:szCs w:val="24"/>
          <w:highlight w:val="none"/>
        </w:rPr>
      </w:pPr>
      <w:r>
        <w:rPr>
          <w:rFonts w:hint="eastAsia" w:ascii="宋体" w:hAnsi="宋体" w:eastAsia="宋体" w:cs="宋体"/>
          <w:color w:val="auto"/>
          <w:spacing w:val="8"/>
          <w:kern w:val="0"/>
          <w:sz w:val="24"/>
          <w:szCs w:val="24"/>
          <w:highlight w:val="none"/>
        </w:rPr>
        <w:t>二、完全接受和满足本项目磋商文件中规定的实质性要求，如对磋商文件有异议，已经在磋商截止时间届满前依法进行维权救济，不存在对磋商文件有异议的同时又参加磋商以求侥幸成交或者为实现其他非法目的的行为。</w:t>
      </w:r>
    </w:p>
    <w:p>
      <w:pPr>
        <w:widowControl/>
        <w:shd w:val="clear" w:color="auto" w:fill="FFFFFF"/>
        <w:spacing w:line="360" w:lineRule="auto"/>
        <w:ind w:firstLine="448" w:firstLineChars="175"/>
        <w:jc w:val="left"/>
        <w:rPr>
          <w:rFonts w:ascii="宋体" w:hAnsi="宋体" w:eastAsia="宋体" w:cs="宋体"/>
          <w:color w:val="auto"/>
          <w:spacing w:val="8"/>
          <w:kern w:val="0"/>
          <w:sz w:val="24"/>
          <w:szCs w:val="24"/>
          <w:highlight w:val="none"/>
        </w:rPr>
      </w:pPr>
      <w:r>
        <w:rPr>
          <w:rFonts w:hint="eastAsia" w:ascii="宋体" w:hAnsi="宋体" w:eastAsia="宋体" w:cs="宋体"/>
          <w:color w:val="auto"/>
          <w:spacing w:val="8"/>
          <w:kern w:val="0"/>
          <w:sz w:val="24"/>
          <w:szCs w:val="24"/>
          <w:highlight w:val="none"/>
        </w:rPr>
        <w:t>三、参加本次磋商采购活动，不存在与单位负责人为同一人或者存在直接控股、管理关系的其他供应商参与同一合同项下的政府采购活动的行为。    </w:t>
      </w:r>
    </w:p>
    <w:p>
      <w:pPr>
        <w:widowControl/>
        <w:shd w:val="clear" w:color="auto" w:fill="FFFFFF"/>
        <w:spacing w:line="360" w:lineRule="auto"/>
        <w:ind w:firstLine="448" w:firstLineChars="175"/>
        <w:jc w:val="left"/>
        <w:rPr>
          <w:rFonts w:ascii="宋体" w:hAnsi="宋体" w:eastAsia="宋体" w:cs="宋体"/>
          <w:color w:val="auto"/>
          <w:spacing w:val="8"/>
          <w:kern w:val="0"/>
          <w:sz w:val="24"/>
          <w:szCs w:val="24"/>
          <w:highlight w:val="none"/>
        </w:rPr>
      </w:pPr>
      <w:r>
        <w:rPr>
          <w:rFonts w:hint="eastAsia" w:ascii="宋体" w:hAnsi="宋体" w:eastAsia="宋体" w:cs="宋体"/>
          <w:color w:val="auto"/>
          <w:spacing w:val="8"/>
          <w:kern w:val="0"/>
          <w:sz w:val="24"/>
          <w:szCs w:val="24"/>
          <w:highlight w:val="none"/>
        </w:rPr>
        <w:t>四、参加本次磋商采购活动，不存在为采购项目提供整体设计、规范编制或者项目管理、监理、检测等服务的行为。</w:t>
      </w:r>
    </w:p>
    <w:p>
      <w:pPr>
        <w:widowControl/>
        <w:shd w:val="clear" w:color="auto" w:fill="FFFFFF"/>
        <w:spacing w:line="360" w:lineRule="auto"/>
        <w:ind w:firstLine="448" w:firstLineChars="175"/>
        <w:jc w:val="left"/>
        <w:rPr>
          <w:rFonts w:ascii="宋体" w:hAnsi="宋体" w:eastAsia="宋体" w:cs="宋体"/>
          <w:color w:val="auto"/>
          <w:spacing w:val="8"/>
          <w:kern w:val="0"/>
          <w:sz w:val="24"/>
          <w:szCs w:val="24"/>
          <w:highlight w:val="none"/>
        </w:rPr>
      </w:pPr>
      <w:r>
        <w:rPr>
          <w:rFonts w:hint="eastAsia" w:ascii="宋体" w:hAnsi="宋体" w:eastAsia="宋体" w:cs="宋体"/>
          <w:color w:val="auto"/>
          <w:spacing w:val="8"/>
          <w:kern w:val="0"/>
          <w:sz w:val="24"/>
          <w:szCs w:val="24"/>
          <w:highlight w:val="none"/>
        </w:rPr>
        <w:t>五、参加本次磋商采购活动，不存在和其他供应商在同一合同项下的采购项目中，同时委托同一个自然人、同一家庭的人员、同一单位的人员作为代理人的行为。</w:t>
      </w:r>
    </w:p>
    <w:p>
      <w:pPr>
        <w:widowControl/>
        <w:shd w:val="clear" w:color="auto" w:fill="FFFFFF"/>
        <w:spacing w:line="360" w:lineRule="auto"/>
        <w:ind w:firstLine="448" w:firstLineChars="175"/>
        <w:jc w:val="left"/>
        <w:rPr>
          <w:rFonts w:ascii="宋体" w:hAnsi="宋体" w:eastAsia="宋体" w:cs="宋体"/>
          <w:color w:val="auto"/>
          <w:spacing w:val="8"/>
          <w:kern w:val="0"/>
          <w:sz w:val="24"/>
          <w:szCs w:val="24"/>
          <w:highlight w:val="none"/>
        </w:rPr>
      </w:pPr>
      <w:r>
        <w:rPr>
          <w:rFonts w:hint="eastAsia" w:ascii="宋体" w:hAnsi="宋体" w:eastAsia="宋体" w:cs="宋体"/>
          <w:color w:val="auto"/>
          <w:spacing w:val="8"/>
          <w:kern w:val="0"/>
          <w:sz w:val="24"/>
          <w:szCs w:val="24"/>
          <w:highlight w:val="none"/>
        </w:rPr>
        <w:t>六、供应商参加本次政府采购活动要求在近三年内供应商和其法定代表人没有行贿犯罪行为。</w:t>
      </w:r>
    </w:p>
    <w:p>
      <w:pPr>
        <w:widowControl/>
        <w:shd w:val="clear" w:color="auto" w:fill="FFFFFF"/>
        <w:spacing w:line="360" w:lineRule="auto"/>
        <w:ind w:firstLine="448" w:firstLineChars="175"/>
        <w:jc w:val="left"/>
        <w:rPr>
          <w:rFonts w:ascii="宋体" w:hAnsi="宋体" w:eastAsia="宋体" w:cs="宋体"/>
          <w:color w:val="auto"/>
          <w:spacing w:val="8"/>
          <w:kern w:val="0"/>
          <w:sz w:val="24"/>
          <w:szCs w:val="24"/>
          <w:highlight w:val="none"/>
        </w:rPr>
      </w:pPr>
      <w:r>
        <w:rPr>
          <w:rFonts w:hint="eastAsia" w:ascii="宋体" w:hAnsi="宋体" w:eastAsia="宋体" w:cs="宋体"/>
          <w:color w:val="auto"/>
          <w:spacing w:val="8"/>
          <w:kern w:val="0"/>
          <w:sz w:val="24"/>
          <w:szCs w:val="24"/>
          <w:highlight w:val="none"/>
        </w:rPr>
        <w:t>七、参加本次磋商采购活动，不存在联合体磋商。</w:t>
      </w:r>
    </w:p>
    <w:p>
      <w:pPr>
        <w:widowControl/>
        <w:shd w:val="clear" w:color="auto" w:fill="FFFFFF"/>
        <w:spacing w:line="360" w:lineRule="auto"/>
        <w:ind w:firstLine="448" w:firstLineChars="175"/>
        <w:jc w:val="left"/>
        <w:rPr>
          <w:rFonts w:ascii="宋体" w:hAnsi="宋体" w:eastAsia="宋体" w:cs="宋体"/>
          <w:color w:val="auto"/>
          <w:spacing w:val="8"/>
          <w:kern w:val="0"/>
          <w:sz w:val="24"/>
          <w:szCs w:val="24"/>
          <w:highlight w:val="none"/>
        </w:rPr>
      </w:pPr>
      <w:r>
        <w:rPr>
          <w:rFonts w:hint="eastAsia" w:ascii="宋体" w:hAnsi="宋体" w:eastAsia="宋体" w:cs="宋体"/>
          <w:color w:val="auto"/>
          <w:spacing w:val="8"/>
          <w:kern w:val="0"/>
          <w:sz w:val="24"/>
          <w:szCs w:val="24"/>
          <w:highlight w:val="none"/>
        </w:rPr>
        <w:t>八、磋商响应文件中提供的任何材料和技术、服务、商务等响应条款，都是真实的、有效的、合法的。</w:t>
      </w:r>
    </w:p>
    <w:p>
      <w:pPr>
        <w:widowControl/>
        <w:shd w:val="clear" w:color="auto" w:fill="FFFFFF"/>
        <w:spacing w:line="360" w:lineRule="auto"/>
        <w:ind w:firstLine="448" w:firstLineChars="175"/>
        <w:rPr>
          <w:rFonts w:ascii="宋体" w:hAnsi="宋体" w:eastAsia="宋体" w:cs="宋体"/>
          <w:color w:val="auto"/>
          <w:spacing w:val="8"/>
          <w:kern w:val="0"/>
          <w:sz w:val="24"/>
          <w:szCs w:val="24"/>
          <w:highlight w:val="none"/>
        </w:rPr>
      </w:pPr>
      <w:r>
        <w:rPr>
          <w:rFonts w:hint="eastAsia" w:ascii="宋体" w:hAnsi="宋体" w:eastAsia="宋体" w:cs="宋体"/>
          <w:color w:val="auto"/>
          <w:spacing w:val="8"/>
          <w:kern w:val="0"/>
          <w:sz w:val="24"/>
          <w:szCs w:val="24"/>
          <w:highlight w:val="none"/>
        </w:rPr>
        <w:t>九、我公司如存在以下行为之一的，愿意接受相关部门的处理：</w:t>
      </w:r>
    </w:p>
    <w:p>
      <w:pPr>
        <w:widowControl/>
        <w:shd w:val="clear" w:color="auto" w:fill="FFFFFF"/>
        <w:spacing w:line="360" w:lineRule="auto"/>
        <w:ind w:firstLine="448" w:firstLineChars="175"/>
        <w:rPr>
          <w:rFonts w:ascii="宋体" w:hAnsi="宋体" w:eastAsia="宋体" w:cs="宋体"/>
          <w:color w:val="auto"/>
          <w:spacing w:val="8"/>
          <w:kern w:val="0"/>
          <w:sz w:val="24"/>
          <w:szCs w:val="24"/>
          <w:highlight w:val="none"/>
        </w:rPr>
      </w:pPr>
      <w:r>
        <w:rPr>
          <w:rFonts w:hint="eastAsia" w:ascii="宋体" w:hAnsi="宋体" w:eastAsia="宋体" w:cs="宋体"/>
          <w:color w:val="auto"/>
          <w:spacing w:val="8"/>
          <w:kern w:val="0"/>
          <w:sz w:val="24"/>
          <w:szCs w:val="24"/>
          <w:highlight w:val="none"/>
        </w:rPr>
        <w:t>（一）磋商有效期内撤销磋商响应文件的；</w:t>
      </w:r>
    </w:p>
    <w:p>
      <w:pPr>
        <w:widowControl/>
        <w:shd w:val="clear" w:color="auto" w:fill="FFFFFF"/>
        <w:spacing w:line="360" w:lineRule="auto"/>
        <w:ind w:firstLine="448" w:firstLineChars="175"/>
        <w:rPr>
          <w:rFonts w:ascii="宋体" w:hAnsi="宋体" w:eastAsia="宋体" w:cs="宋体"/>
          <w:color w:val="auto"/>
          <w:spacing w:val="8"/>
          <w:kern w:val="0"/>
          <w:sz w:val="24"/>
          <w:szCs w:val="24"/>
          <w:highlight w:val="none"/>
        </w:rPr>
      </w:pPr>
      <w:r>
        <w:rPr>
          <w:rFonts w:hint="eastAsia" w:ascii="宋体" w:hAnsi="宋体" w:eastAsia="宋体" w:cs="宋体"/>
          <w:color w:val="auto"/>
          <w:spacing w:val="8"/>
          <w:kern w:val="0"/>
          <w:sz w:val="24"/>
          <w:szCs w:val="24"/>
          <w:highlight w:val="none"/>
        </w:rPr>
        <w:t>（二）除因不可抗力之外，在采购人确定成交人前放弃成交候选资格的；</w:t>
      </w:r>
    </w:p>
    <w:p>
      <w:pPr>
        <w:widowControl/>
        <w:shd w:val="clear" w:color="auto" w:fill="FFFFFF"/>
        <w:spacing w:line="360" w:lineRule="auto"/>
        <w:ind w:firstLine="448" w:firstLineChars="175"/>
        <w:rPr>
          <w:rFonts w:ascii="宋体" w:hAnsi="宋体" w:eastAsia="宋体" w:cs="宋体"/>
          <w:color w:val="auto"/>
          <w:spacing w:val="8"/>
          <w:kern w:val="0"/>
          <w:sz w:val="24"/>
          <w:szCs w:val="24"/>
          <w:highlight w:val="none"/>
        </w:rPr>
      </w:pPr>
      <w:r>
        <w:rPr>
          <w:rFonts w:hint="eastAsia" w:ascii="宋体" w:hAnsi="宋体" w:eastAsia="宋体" w:cs="宋体"/>
          <w:color w:val="auto"/>
          <w:spacing w:val="8"/>
          <w:kern w:val="0"/>
          <w:sz w:val="24"/>
          <w:szCs w:val="24"/>
          <w:highlight w:val="none"/>
        </w:rPr>
        <w:t>（三）无正当理由，拒不按照磋商文件的规定与采购人签订合同的；</w:t>
      </w:r>
    </w:p>
    <w:p>
      <w:pPr>
        <w:widowControl/>
        <w:shd w:val="clear" w:color="auto" w:fill="FFFFFF"/>
        <w:spacing w:line="360" w:lineRule="auto"/>
        <w:ind w:firstLine="448" w:firstLineChars="175"/>
        <w:rPr>
          <w:rFonts w:ascii="宋体" w:hAnsi="宋体" w:eastAsia="宋体" w:cs="宋体"/>
          <w:color w:val="auto"/>
          <w:spacing w:val="8"/>
          <w:kern w:val="0"/>
          <w:sz w:val="24"/>
          <w:szCs w:val="24"/>
          <w:highlight w:val="none"/>
        </w:rPr>
      </w:pPr>
      <w:r>
        <w:rPr>
          <w:rFonts w:hint="eastAsia" w:ascii="宋体" w:hAnsi="宋体" w:eastAsia="宋体" w:cs="宋体"/>
          <w:color w:val="auto"/>
          <w:spacing w:val="8"/>
          <w:kern w:val="0"/>
          <w:sz w:val="24"/>
          <w:szCs w:val="24"/>
          <w:highlight w:val="none"/>
        </w:rPr>
        <w:t>（四）在磋商响应文件中提供虚假材料谋取成交；</w:t>
      </w:r>
    </w:p>
    <w:p>
      <w:pPr>
        <w:widowControl/>
        <w:shd w:val="clear" w:color="auto" w:fill="FFFFFF"/>
        <w:spacing w:line="360" w:lineRule="auto"/>
        <w:ind w:firstLine="448" w:firstLineChars="175"/>
        <w:rPr>
          <w:rFonts w:ascii="宋体" w:hAnsi="宋体" w:eastAsia="宋体" w:cs="宋体"/>
          <w:color w:val="auto"/>
          <w:spacing w:val="8"/>
          <w:kern w:val="0"/>
          <w:sz w:val="24"/>
          <w:szCs w:val="24"/>
          <w:highlight w:val="none"/>
        </w:rPr>
      </w:pPr>
      <w:r>
        <w:rPr>
          <w:rFonts w:hint="eastAsia" w:ascii="宋体" w:hAnsi="宋体" w:eastAsia="宋体" w:cs="宋体"/>
          <w:color w:val="auto"/>
          <w:spacing w:val="8"/>
          <w:kern w:val="0"/>
          <w:sz w:val="24"/>
          <w:szCs w:val="24"/>
          <w:highlight w:val="none"/>
        </w:rPr>
        <w:t>（五）与采购人、其他供应商或者采购代理机构恶意串通磋商的；</w:t>
      </w:r>
    </w:p>
    <w:p>
      <w:pPr>
        <w:widowControl/>
        <w:shd w:val="clear" w:color="auto" w:fill="FFFFFF"/>
        <w:spacing w:line="360" w:lineRule="auto"/>
        <w:ind w:firstLine="448" w:firstLineChars="175"/>
        <w:rPr>
          <w:rFonts w:ascii="宋体" w:hAnsi="宋体" w:eastAsia="宋体" w:cs="宋体"/>
          <w:color w:val="auto"/>
          <w:spacing w:val="8"/>
          <w:kern w:val="0"/>
          <w:sz w:val="24"/>
          <w:szCs w:val="24"/>
          <w:highlight w:val="none"/>
        </w:rPr>
      </w:pPr>
      <w:r>
        <w:rPr>
          <w:rFonts w:hint="eastAsia" w:ascii="宋体" w:hAnsi="宋体" w:eastAsia="宋体" w:cs="宋体"/>
          <w:color w:val="auto"/>
          <w:spacing w:val="8"/>
          <w:kern w:val="0"/>
          <w:sz w:val="24"/>
          <w:szCs w:val="24"/>
          <w:highlight w:val="none"/>
        </w:rPr>
        <w:t>（六）磋商有效期内，供应商在政府采购活动中有违法、违规、违纪行为的。</w:t>
      </w:r>
    </w:p>
    <w:p>
      <w:pPr>
        <w:widowControl/>
        <w:shd w:val="clear" w:color="auto" w:fill="FFFFFF"/>
        <w:spacing w:line="360" w:lineRule="auto"/>
        <w:ind w:firstLine="448" w:firstLineChars="175"/>
        <w:rPr>
          <w:rFonts w:ascii="宋体" w:hAnsi="宋体" w:eastAsia="宋体" w:cs="宋体"/>
          <w:color w:val="auto"/>
          <w:spacing w:val="8"/>
          <w:kern w:val="0"/>
          <w:sz w:val="24"/>
          <w:szCs w:val="24"/>
          <w:highlight w:val="none"/>
        </w:rPr>
      </w:pPr>
      <w:r>
        <w:rPr>
          <w:rFonts w:hint="eastAsia" w:ascii="宋体" w:hAnsi="宋体" w:eastAsia="宋体" w:cs="宋体"/>
          <w:color w:val="auto"/>
          <w:spacing w:val="8"/>
          <w:kern w:val="0"/>
          <w:sz w:val="24"/>
          <w:szCs w:val="24"/>
          <w:highlight w:val="none"/>
        </w:rPr>
        <w:t>由此产生的一切法律后果和责任由我公司承担。我公司声明放弃对此提出任何异议和追索的权利。</w:t>
      </w:r>
    </w:p>
    <w:p>
      <w:pPr>
        <w:widowControl/>
        <w:shd w:val="clear" w:color="auto" w:fill="FFFFFF"/>
        <w:spacing w:line="360" w:lineRule="auto"/>
        <w:ind w:firstLine="448" w:firstLineChars="175"/>
        <w:rPr>
          <w:rFonts w:ascii="宋体" w:hAnsi="宋体" w:eastAsia="宋体" w:cs="宋体"/>
          <w:color w:val="auto"/>
          <w:spacing w:val="8"/>
          <w:kern w:val="0"/>
          <w:sz w:val="24"/>
          <w:szCs w:val="24"/>
          <w:highlight w:val="none"/>
        </w:rPr>
      </w:pPr>
      <w:r>
        <w:rPr>
          <w:rFonts w:hint="eastAsia" w:ascii="宋体" w:hAnsi="宋体" w:eastAsia="宋体" w:cs="宋体"/>
          <w:color w:val="auto"/>
          <w:spacing w:val="8"/>
          <w:kern w:val="0"/>
          <w:sz w:val="24"/>
          <w:szCs w:val="24"/>
          <w:highlight w:val="none"/>
        </w:rPr>
        <w:t>本公司对上述承诺的内容事项真实性负责。如经查实上述承诺的内容事项存在虚假，我公司愿意接受以提供虚假材料谋取成交追究法律责任。</w:t>
      </w:r>
    </w:p>
    <w:p>
      <w:pPr>
        <w:spacing w:line="360" w:lineRule="auto"/>
        <w:ind w:firstLine="480" w:firstLineChars="200"/>
        <w:rPr>
          <w:rFonts w:ascii="宋体" w:hAnsi="宋体" w:eastAsia="宋体" w:cs="宋体"/>
          <w:color w:val="auto"/>
          <w:sz w:val="24"/>
          <w:szCs w:val="24"/>
          <w:highlight w:val="none"/>
        </w:rPr>
      </w:pPr>
    </w:p>
    <w:p>
      <w:pPr>
        <w:snapToGrid w:val="0"/>
        <w:spacing w:line="360" w:lineRule="auto"/>
        <w:rPr>
          <w:rFonts w:ascii="宋体" w:hAnsi="宋体" w:eastAsia="宋体" w:cs="宋体"/>
          <w:color w:val="auto"/>
          <w:kern w:val="0"/>
          <w:sz w:val="24"/>
          <w:szCs w:val="24"/>
          <w:highlight w:val="none"/>
        </w:rPr>
      </w:pPr>
    </w:p>
    <w:p>
      <w:pPr>
        <w:pStyle w:val="11"/>
        <w:ind w:firstLine="240"/>
        <w:rPr>
          <w:rFonts w:ascii="宋体" w:hAnsi="宋体" w:eastAsia="宋体" w:cs="宋体"/>
          <w:color w:val="auto"/>
          <w:kern w:val="0"/>
          <w:sz w:val="24"/>
          <w:szCs w:val="24"/>
          <w:highlight w:val="none"/>
        </w:rPr>
      </w:pPr>
    </w:p>
    <w:p>
      <w:pPr>
        <w:pStyle w:val="12"/>
        <w:rPr>
          <w:color w:val="auto"/>
          <w:highlight w:val="none"/>
        </w:rPr>
      </w:pPr>
    </w:p>
    <w:p>
      <w:pPr>
        <w:spacing w:line="48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cs="楷体_GB2312"/>
          <w:color w:val="auto"/>
          <w:sz w:val="24"/>
          <w:highlight w:val="none"/>
        </w:rPr>
        <w:t>盖单位章</w:t>
      </w:r>
      <w:r>
        <w:rPr>
          <w:rFonts w:hint="eastAsia" w:ascii="宋体" w:hAnsi="宋体" w:eastAsia="宋体" w:cs="宋体"/>
          <w:color w:val="auto"/>
          <w:sz w:val="24"/>
          <w:szCs w:val="24"/>
          <w:highlight w:val="none"/>
        </w:rPr>
        <w:t>）</w:t>
      </w:r>
    </w:p>
    <w:p>
      <w:pPr>
        <w:spacing w:line="48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法定代表人：（电子签章）</w:t>
      </w:r>
    </w:p>
    <w:p>
      <w:pPr>
        <w:spacing w:line="48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pPr>
        <w:spacing w:beforeLines="100" w:afterLines="50" w:line="480" w:lineRule="exact"/>
        <w:textAlignment w:val="center"/>
        <w:rPr>
          <w:rFonts w:ascii="宋体" w:hAnsi="宋体" w:eastAsia="宋体" w:cs="宋体"/>
          <w:b/>
          <w:bCs/>
          <w:color w:val="auto"/>
          <w:sz w:val="28"/>
          <w:szCs w:val="28"/>
          <w:highlight w:val="none"/>
        </w:rPr>
      </w:pPr>
    </w:p>
    <w:p>
      <w:pPr>
        <w:rPr>
          <w:rFonts w:ascii="宋体" w:hAnsi="宋体" w:eastAsia="宋体" w:cs="宋体"/>
          <w:b/>
          <w:bCs/>
          <w:color w:val="auto"/>
          <w:sz w:val="28"/>
          <w:szCs w:val="28"/>
          <w:highlight w:val="none"/>
        </w:rPr>
      </w:pPr>
      <w:bookmarkStart w:id="133" w:name="_Toc5084"/>
      <w:bookmarkStart w:id="134" w:name="_Toc2807"/>
      <w:bookmarkStart w:id="135" w:name="_Toc18966"/>
      <w:bookmarkStart w:id="136" w:name="_Toc20745"/>
      <w:r>
        <w:rPr>
          <w:rFonts w:hint="eastAsia" w:ascii="宋体" w:hAnsi="宋体" w:eastAsia="宋体" w:cs="宋体"/>
          <w:b/>
          <w:bCs/>
          <w:color w:val="auto"/>
          <w:sz w:val="28"/>
          <w:szCs w:val="28"/>
          <w:highlight w:val="none"/>
        </w:rPr>
        <w:br w:type="page"/>
      </w:r>
    </w:p>
    <w:p>
      <w:pPr>
        <w:spacing w:beforeLines="100" w:afterLines="50" w:line="480" w:lineRule="exact"/>
        <w:jc w:val="center"/>
        <w:textAlignment w:val="center"/>
        <w:outlineLvl w:val="1"/>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五、已标价工程量清单</w:t>
      </w:r>
      <w:bookmarkEnd w:id="133"/>
      <w:bookmarkEnd w:id="134"/>
      <w:bookmarkEnd w:id="135"/>
      <w:bookmarkEnd w:id="136"/>
    </w:p>
    <w:p>
      <w:pPr>
        <w:spacing w:beforeLines="100" w:afterLines="50" w:line="480" w:lineRule="exact"/>
        <w:textAlignment w:val="center"/>
        <w:rPr>
          <w:rFonts w:ascii="宋体" w:hAnsi="宋体" w:eastAsia="宋体" w:cs="宋体"/>
          <w:color w:val="auto"/>
          <w:sz w:val="28"/>
          <w:szCs w:val="28"/>
          <w:highlight w:val="none"/>
        </w:rPr>
      </w:pPr>
    </w:p>
    <w:p>
      <w:pPr>
        <w:spacing w:beforeLines="100" w:afterLines="50" w:line="480" w:lineRule="exact"/>
        <w:textAlignment w:val="center"/>
        <w:rPr>
          <w:rFonts w:ascii="宋体" w:hAnsi="宋体" w:eastAsia="宋体" w:cs="宋体"/>
          <w:color w:val="auto"/>
          <w:sz w:val="28"/>
          <w:szCs w:val="28"/>
          <w:highlight w:val="none"/>
        </w:rPr>
      </w:pPr>
    </w:p>
    <w:p>
      <w:pPr>
        <w:spacing w:beforeLines="100" w:afterLines="50" w:line="480" w:lineRule="exact"/>
        <w:textAlignment w:val="center"/>
        <w:rPr>
          <w:rFonts w:ascii="宋体" w:hAnsi="宋体" w:eastAsia="宋体" w:cs="宋体"/>
          <w:color w:val="auto"/>
          <w:sz w:val="28"/>
          <w:szCs w:val="28"/>
          <w:highlight w:val="none"/>
        </w:rPr>
      </w:pPr>
    </w:p>
    <w:p>
      <w:pPr>
        <w:spacing w:beforeLines="100" w:afterLines="50" w:line="480" w:lineRule="exact"/>
        <w:textAlignment w:val="center"/>
        <w:rPr>
          <w:rFonts w:ascii="宋体" w:hAnsi="宋体" w:eastAsia="宋体" w:cs="宋体"/>
          <w:color w:val="auto"/>
          <w:sz w:val="28"/>
          <w:szCs w:val="28"/>
          <w:highlight w:val="none"/>
        </w:rPr>
      </w:pPr>
    </w:p>
    <w:p>
      <w:pPr>
        <w:spacing w:beforeLines="100" w:afterLines="50" w:line="480" w:lineRule="exact"/>
        <w:textAlignment w:val="center"/>
        <w:rPr>
          <w:rFonts w:ascii="宋体" w:hAnsi="宋体" w:eastAsia="宋体" w:cs="宋体"/>
          <w:color w:val="auto"/>
          <w:sz w:val="28"/>
          <w:szCs w:val="28"/>
          <w:highlight w:val="none"/>
        </w:rPr>
      </w:pPr>
    </w:p>
    <w:p>
      <w:pPr>
        <w:spacing w:beforeLines="100" w:afterLines="50" w:line="480" w:lineRule="exact"/>
        <w:textAlignment w:val="center"/>
        <w:rPr>
          <w:rFonts w:ascii="宋体" w:hAnsi="宋体" w:eastAsia="宋体" w:cs="宋体"/>
          <w:color w:val="auto"/>
          <w:sz w:val="28"/>
          <w:szCs w:val="28"/>
          <w:highlight w:val="none"/>
        </w:rPr>
      </w:pPr>
    </w:p>
    <w:p>
      <w:pPr>
        <w:spacing w:beforeLines="100" w:afterLines="50" w:line="480" w:lineRule="exact"/>
        <w:textAlignment w:val="center"/>
        <w:rPr>
          <w:rFonts w:ascii="宋体" w:hAnsi="宋体" w:eastAsia="宋体" w:cs="宋体"/>
          <w:color w:val="auto"/>
          <w:sz w:val="28"/>
          <w:szCs w:val="28"/>
          <w:highlight w:val="none"/>
        </w:rPr>
      </w:pPr>
    </w:p>
    <w:p>
      <w:pPr>
        <w:spacing w:beforeLines="100" w:afterLines="50" w:line="480" w:lineRule="exact"/>
        <w:textAlignment w:val="center"/>
        <w:rPr>
          <w:rFonts w:ascii="宋体" w:hAnsi="宋体" w:eastAsia="宋体" w:cs="宋体"/>
          <w:color w:val="auto"/>
          <w:sz w:val="28"/>
          <w:szCs w:val="28"/>
          <w:highlight w:val="none"/>
        </w:rPr>
      </w:pPr>
    </w:p>
    <w:p>
      <w:pPr>
        <w:spacing w:beforeLines="100" w:afterLines="50" w:line="480" w:lineRule="exact"/>
        <w:textAlignment w:val="center"/>
        <w:rPr>
          <w:rFonts w:ascii="宋体" w:hAnsi="宋体" w:eastAsia="宋体" w:cs="宋体"/>
          <w:b/>
          <w:bCs/>
          <w:color w:val="auto"/>
          <w:sz w:val="28"/>
          <w:szCs w:val="28"/>
          <w:highlight w:val="none"/>
        </w:rPr>
      </w:pPr>
    </w:p>
    <w:p>
      <w:pPr>
        <w:spacing w:beforeLines="100" w:afterLines="50" w:line="480" w:lineRule="exact"/>
        <w:textAlignment w:val="center"/>
        <w:rPr>
          <w:rFonts w:ascii="宋体" w:hAnsi="宋体" w:eastAsia="宋体" w:cs="宋体"/>
          <w:b/>
          <w:bCs/>
          <w:color w:val="auto"/>
          <w:sz w:val="28"/>
          <w:szCs w:val="28"/>
          <w:highlight w:val="none"/>
        </w:rPr>
      </w:pPr>
    </w:p>
    <w:p>
      <w:pPr>
        <w:spacing w:beforeLines="100" w:afterLines="50" w:line="480" w:lineRule="exact"/>
        <w:textAlignment w:val="center"/>
        <w:rPr>
          <w:rFonts w:ascii="宋体" w:hAnsi="宋体" w:eastAsia="宋体" w:cs="宋体"/>
          <w:b/>
          <w:bCs/>
          <w:color w:val="auto"/>
          <w:sz w:val="28"/>
          <w:szCs w:val="28"/>
          <w:highlight w:val="none"/>
        </w:rPr>
      </w:pPr>
    </w:p>
    <w:p>
      <w:pPr>
        <w:spacing w:beforeLines="100" w:afterLines="50" w:line="480" w:lineRule="exact"/>
        <w:textAlignment w:val="center"/>
        <w:rPr>
          <w:rFonts w:ascii="宋体" w:hAnsi="宋体" w:eastAsia="宋体" w:cs="宋体"/>
          <w:b/>
          <w:bCs/>
          <w:color w:val="auto"/>
          <w:sz w:val="28"/>
          <w:szCs w:val="28"/>
          <w:highlight w:val="none"/>
        </w:rPr>
      </w:pPr>
    </w:p>
    <w:p>
      <w:pPr>
        <w:spacing w:beforeLines="100" w:afterLines="50" w:line="480" w:lineRule="exact"/>
        <w:textAlignment w:val="center"/>
        <w:rPr>
          <w:rFonts w:ascii="宋体" w:hAnsi="宋体" w:eastAsia="宋体" w:cs="宋体"/>
          <w:b/>
          <w:bCs/>
          <w:color w:val="auto"/>
          <w:sz w:val="28"/>
          <w:szCs w:val="28"/>
          <w:highlight w:val="none"/>
        </w:rPr>
      </w:pPr>
    </w:p>
    <w:p>
      <w:pPr>
        <w:spacing w:beforeLines="100" w:afterLines="50" w:line="480" w:lineRule="exact"/>
        <w:jc w:val="center"/>
        <w:textAlignment w:val="center"/>
        <w:outlineLvl w:val="1"/>
        <w:rPr>
          <w:rFonts w:ascii="宋体" w:hAnsi="宋体" w:eastAsia="宋体" w:cs="宋体"/>
          <w:b/>
          <w:bCs/>
          <w:color w:val="auto"/>
          <w:sz w:val="28"/>
          <w:szCs w:val="28"/>
          <w:highlight w:val="none"/>
        </w:rPr>
      </w:pPr>
      <w:bookmarkStart w:id="137" w:name="_Toc12493"/>
      <w:bookmarkStart w:id="138" w:name="_Toc1933"/>
      <w:bookmarkStart w:id="139" w:name="_Toc3097"/>
      <w:bookmarkStart w:id="140" w:name="_Toc30855"/>
      <w:r>
        <w:rPr>
          <w:rFonts w:hint="eastAsia" w:ascii="宋体" w:hAnsi="宋体" w:eastAsia="宋体" w:cs="宋体"/>
          <w:b/>
          <w:bCs/>
          <w:color w:val="auto"/>
          <w:sz w:val="28"/>
          <w:szCs w:val="28"/>
          <w:highlight w:val="none"/>
        </w:rPr>
        <w:br w:type="page"/>
      </w:r>
      <w:r>
        <w:rPr>
          <w:rFonts w:hint="eastAsia" w:ascii="宋体" w:hAnsi="宋体" w:eastAsia="宋体" w:cs="宋体"/>
          <w:b/>
          <w:bCs/>
          <w:color w:val="auto"/>
          <w:sz w:val="28"/>
          <w:szCs w:val="28"/>
          <w:highlight w:val="none"/>
        </w:rPr>
        <w:t>六、施工组织设计</w:t>
      </w:r>
      <w:bookmarkEnd w:id="137"/>
      <w:bookmarkEnd w:id="138"/>
      <w:bookmarkEnd w:id="139"/>
      <w:bookmarkEnd w:id="140"/>
    </w:p>
    <w:p>
      <w:pPr>
        <w:spacing w:line="420" w:lineRule="exact"/>
        <w:ind w:firstLine="560" w:firstLineChars="200"/>
        <w:rPr>
          <w:rFonts w:ascii="宋体" w:hAnsi="宋体" w:eastAsia="宋体" w:cs="Times New Roman"/>
          <w:color w:val="auto"/>
          <w:sz w:val="28"/>
          <w:szCs w:val="28"/>
          <w:highlight w:val="none"/>
        </w:rPr>
      </w:pPr>
      <w:r>
        <w:rPr>
          <w:rFonts w:hint="eastAsia" w:ascii="宋体" w:hAnsi="宋体" w:eastAsia="宋体" w:cs="宋体"/>
          <w:color w:val="auto"/>
          <w:sz w:val="28"/>
          <w:szCs w:val="28"/>
          <w:highlight w:val="none"/>
        </w:rPr>
        <w:t>供应商</w:t>
      </w:r>
      <w:r>
        <w:rPr>
          <w:rFonts w:hint="eastAsia" w:ascii="宋体" w:hAnsi="宋体" w:eastAsia="宋体" w:cs="Times New Roman"/>
          <w:color w:val="auto"/>
          <w:sz w:val="28"/>
          <w:szCs w:val="28"/>
          <w:highlight w:val="none"/>
        </w:rPr>
        <w:t>应根据竞争性磋商文件和对现场的勘察情况，参考本竞争性磋商文件评分标准编制本工程的施工组织设计。</w:t>
      </w:r>
    </w:p>
    <w:p>
      <w:pPr>
        <w:widowControl/>
        <w:jc w:val="left"/>
        <w:rPr>
          <w:rFonts w:ascii="宋体" w:hAnsi="宋体" w:eastAsia="宋体" w:cs="宋体"/>
          <w:b/>
          <w:bCs/>
          <w:color w:val="auto"/>
          <w:sz w:val="28"/>
          <w:szCs w:val="28"/>
          <w:highlight w:val="none"/>
        </w:rPr>
      </w:pPr>
      <w:bookmarkStart w:id="141" w:name="_Toc14989"/>
      <w:bookmarkStart w:id="142" w:name="_Toc13347"/>
      <w:bookmarkStart w:id="143" w:name="_Toc3987"/>
      <w:bookmarkStart w:id="144" w:name="_Toc6339"/>
      <w:r>
        <w:rPr>
          <w:rFonts w:ascii="宋体" w:hAnsi="宋体" w:eastAsia="宋体" w:cs="宋体"/>
          <w:b/>
          <w:bCs/>
          <w:color w:val="auto"/>
          <w:sz w:val="28"/>
          <w:szCs w:val="28"/>
          <w:highlight w:val="none"/>
        </w:rPr>
        <w:br w:type="page"/>
      </w:r>
    </w:p>
    <w:p>
      <w:pPr>
        <w:spacing w:beforeLines="50" w:afterLines="50" w:line="480" w:lineRule="exact"/>
        <w:jc w:val="center"/>
        <w:textAlignment w:val="center"/>
        <w:outlineLvl w:val="1"/>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七、项目管理机构</w:t>
      </w:r>
      <w:bookmarkEnd w:id="141"/>
      <w:bookmarkEnd w:id="142"/>
      <w:bookmarkEnd w:id="143"/>
      <w:bookmarkEnd w:id="144"/>
    </w:p>
    <w:p>
      <w:pPr>
        <w:spacing w:afterLines="100" w:line="480" w:lineRule="exact"/>
        <w:jc w:val="center"/>
        <w:textAlignment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（一）项目管理机构组成表</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275"/>
        <w:gridCol w:w="993"/>
        <w:gridCol w:w="992"/>
        <w:gridCol w:w="992"/>
        <w:gridCol w:w="1418"/>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restart"/>
            <w:tcBorders>
              <w:top w:val="single" w:color="auto" w:sz="4" w:space="0"/>
              <w:left w:val="single" w:color="auto" w:sz="4" w:space="0"/>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职务</w:t>
            </w:r>
          </w:p>
        </w:tc>
        <w:tc>
          <w:tcPr>
            <w:tcW w:w="709" w:type="dxa"/>
            <w:vMerge w:val="restart"/>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姓名</w:t>
            </w:r>
          </w:p>
        </w:tc>
        <w:tc>
          <w:tcPr>
            <w:tcW w:w="709" w:type="dxa"/>
            <w:vMerge w:val="restart"/>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职称</w:t>
            </w:r>
          </w:p>
        </w:tc>
        <w:tc>
          <w:tcPr>
            <w:tcW w:w="5670" w:type="dxa"/>
            <w:gridSpan w:val="5"/>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执业或职业资格证明</w:t>
            </w:r>
          </w:p>
        </w:tc>
        <w:tc>
          <w:tcPr>
            <w:tcW w:w="708" w:type="dxa"/>
            <w:vMerge w:val="restart"/>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sz w:val="28"/>
                <w:szCs w:val="28"/>
                <w:highlight w:val="none"/>
              </w:rPr>
            </w:pPr>
          </w:p>
        </w:tc>
        <w:tc>
          <w:tcPr>
            <w:tcW w:w="709"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auto"/>
                <w:sz w:val="28"/>
                <w:szCs w:val="28"/>
                <w:highlight w:val="none"/>
              </w:rPr>
            </w:pPr>
          </w:p>
        </w:tc>
        <w:tc>
          <w:tcPr>
            <w:tcW w:w="709"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auto"/>
                <w:sz w:val="28"/>
                <w:szCs w:val="28"/>
                <w:highlight w:val="none"/>
              </w:rPr>
            </w:pPr>
          </w:p>
        </w:tc>
        <w:tc>
          <w:tcPr>
            <w:tcW w:w="1275"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证书名称</w:t>
            </w:r>
          </w:p>
        </w:tc>
        <w:tc>
          <w:tcPr>
            <w:tcW w:w="993"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级别</w:t>
            </w:r>
          </w:p>
        </w:tc>
        <w:tc>
          <w:tcPr>
            <w:tcW w:w="992"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证号</w:t>
            </w:r>
          </w:p>
        </w:tc>
        <w:tc>
          <w:tcPr>
            <w:tcW w:w="992"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专业</w:t>
            </w:r>
          </w:p>
        </w:tc>
        <w:tc>
          <w:tcPr>
            <w:tcW w:w="1418"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养老保险</w:t>
            </w:r>
          </w:p>
        </w:tc>
        <w:tc>
          <w:tcPr>
            <w:tcW w:w="708"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1275"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993"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1418"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708"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1275"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993"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1418"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708"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1275"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993"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1418"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708"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1275"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993"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1418"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708"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1275"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993"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1418"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708"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1275"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993"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1418"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708"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1275"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993"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1418"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708"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1275"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993"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1418"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708"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1275"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993"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1418"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708"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1275"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993"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1418"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708"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1275"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993"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1418"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708"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1275"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993"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1418"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708"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1275"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993"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1418"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708"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1275"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993"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1418"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708"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1275"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993"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1418"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708"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1275"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993"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1418"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708"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1275"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993"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1418"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708"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1275"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993"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1418"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708"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709"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1275"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993"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992"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1418"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c>
          <w:tcPr>
            <w:tcW w:w="708"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ascii="宋体" w:hAnsi="宋体" w:eastAsia="宋体" w:cs="宋体"/>
                <w:color w:val="auto"/>
                <w:sz w:val="28"/>
                <w:szCs w:val="28"/>
                <w:highlight w:val="none"/>
              </w:rPr>
            </w:pPr>
          </w:p>
        </w:tc>
      </w:tr>
    </w:tbl>
    <w:p>
      <w:pPr>
        <w:spacing w:beforeLines="50" w:afterLines="100" w:line="400" w:lineRule="exact"/>
        <w:textAlignment w:val="center"/>
        <w:rPr>
          <w:rFonts w:ascii="宋体" w:hAnsi="宋体" w:eastAsia="宋体" w:cs="宋体"/>
          <w:color w:val="auto"/>
          <w:sz w:val="28"/>
          <w:szCs w:val="28"/>
          <w:highlight w:val="none"/>
        </w:rPr>
      </w:pPr>
    </w:p>
    <w:p>
      <w:pPr>
        <w:spacing w:beforeLines="50" w:afterLines="100" w:line="400" w:lineRule="exact"/>
        <w:jc w:val="center"/>
        <w:textAlignment w:val="center"/>
        <w:rPr>
          <w:rFonts w:ascii="宋体" w:hAnsi="宋体" w:eastAsia="宋体" w:cs="宋体"/>
          <w:color w:val="auto"/>
          <w:sz w:val="28"/>
          <w:szCs w:val="28"/>
          <w:highlight w:val="none"/>
        </w:rPr>
      </w:pPr>
    </w:p>
    <w:p>
      <w:pPr>
        <w:spacing w:beforeLines="50" w:afterLines="100" w:line="400" w:lineRule="exact"/>
        <w:jc w:val="center"/>
        <w:textAlignment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（二）主要人员简历表</w:t>
      </w:r>
    </w:p>
    <w:p>
      <w:pPr>
        <w:spacing w:beforeLines="50" w:afterLines="100" w:line="400" w:lineRule="exact"/>
        <w:ind w:firstLine="480" w:firstLineChars="200"/>
        <w:jc w:val="left"/>
        <w:textAlignment w:val="center"/>
        <w:rPr>
          <w:rFonts w:ascii="宋体" w:hAnsi="宋体" w:eastAsia="宋体" w:cs="宋体"/>
          <w:b/>
          <w:bCs/>
          <w:color w:val="auto"/>
          <w:sz w:val="24"/>
          <w:szCs w:val="24"/>
          <w:highlight w:val="none"/>
        </w:rPr>
      </w:pPr>
      <w:r>
        <w:rPr>
          <w:rFonts w:hint="eastAsia" w:ascii="宋体" w:hAnsi="宋体" w:eastAsia="宋体" w:cs="Times New Roman"/>
          <w:color w:val="auto"/>
          <w:sz w:val="24"/>
          <w:szCs w:val="24"/>
          <w:highlight w:val="none"/>
        </w:rPr>
        <w:t>“主要人员简历表”中的项目经理应附项目经理身份证、注册建造师证、安全生产考核合格证、养老保险缴纳证明、无在建承诺书等扫描件；其他主要人员应附身份证、执业证或上岗证书扫描件。</w:t>
      </w:r>
    </w:p>
    <w:tbl>
      <w:tblPr>
        <w:tblStyle w:val="13"/>
        <w:tblW w:w="87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061"/>
        <w:gridCol w:w="1162"/>
        <w:gridCol w:w="1307"/>
        <w:gridCol w:w="1889"/>
        <w:gridCol w:w="2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1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p>
        </w:tc>
        <w:tc>
          <w:tcPr>
            <w:tcW w:w="1061"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宋体" w:hAnsi="宋体" w:eastAsia="宋体" w:cs="宋体"/>
                <w:color w:val="auto"/>
                <w:sz w:val="24"/>
                <w:szCs w:val="24"/>
                <w:highlight w:val="none"/>
              </w:rPr>
            </w:pPr>
          </w:p>
        </w:tc>
        <w:tc>
          <w:tcPr>
            <w:tcW w:w="1162"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年  龄</w:t>
            </w:r>
          </w:p>
        </w:tc>
        <w:tc>
          <w:tcPr>
            <w:tcW w:w="1307"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宋体" w:hAnsi="宋体" w:eastAsia="宋体" w:cs="宋体"/>
                <w:color w:val="auto"/>
                <w:sz w:val="24"/>
                <w:szCs w:val="24"/>
                <w:highlight w:val="none"/>
              </w:rPr>
            </w:pPr>
          </w:p>
        </w:tc>
        <w:tc>
          <w:tcPr>
            <w:tcW w:w="1889"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tc>
        <w:tc>
          <w:tcPr>
            <w:tcW w:w="2181"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1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职  称</w:t>
            </w:r>
          </w:p>
        </w:tc>
        <w:tc>
          <w:tcPr>
            <w:tcW w:w="1061"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宋体" w:hAnsi="宋体" w:eastAsia="宋体" w:cs="宋体"/>
                <w:color w:val="auto"/>
                <w:sz w:val="24"/>
                <w:szCs w:val="24"/>
                <w:highlight w:val="none"/>
              </w:rPr>
            </w:pPr>
          </w:p>
        </w:tc>
        <w:tc>
          <w:tcPr>
            <w:tcW w:w="1162"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p>
        </w:tc>
        <w:tc>
          <w:tcPr>
            <w:tcW w:w="1307"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宋体" w:hAnsi="宋体" w:eastAsia="宋体" w:cs="宋体"/>
                <w:color w:val="auto"/>
                <w:sz w:val="24"/>
                <w:szCs w:val="24"/>
                <w:highlight w:val="none"/>
              </w:rPr>
            </w:pPr>
          </w:p>
        </w:tc>
        <w:tc>
          <w:tcPr>
            <w:tcW w:w="1889"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拟在本工程</w:t>
            </w:r>
          </w:p>
          <w:p>
            <w:pPr>
              <w:spacing w:line="400" w:lineRule="exact"/>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任职</w:t>
            </w:r>
          </w:p>
        </w:tc>
        <w:tc>
          <w:tcPr>
            <w:tcW w:w="2181"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毕业  学校</w:t>
            </w:r>
          </w:p>
        </w:tc>
        <w:tc>
          <w:tcPr>
            <w:tcW w:w="7600" w:type="dxa"/>
            <w:gridSpan w:val="5"/>
            <w:tcBorders>
              <w:top w:val="single" w:color="auto" w:sz="4" w:space="0"/>
              <w:left w:val="nil"/>
              <w:bottom w:val="single" w:color="auto" w:sz="4" w:space="0"/>
              <w:right w:val="single" w:color="auto" w:sz="4" w:space="0"/>
            </w:tcBorders>
            <w:vAlign w:val="center"/>
          </w:tcPr>
          <w:p>
            <w:pPr>
              <w:spacing w:line="400" w:lineRule="exact"/>
              <w:ind w:firstLine="960" w:firstLineChars="400"/>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719"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时  间</w:t>
            </w:r>
          </w:p>
        </w:tc>
        <w:tc>
          <w:tcPr>
            <w:tcW w:w="3530" w:type="dxa"/>
            <w:gridSpan w:val="3"/>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参加过的类似项目 </w:t>
            </w:r>
          </w:p>
        </w:tc>
        <w:tc>
          <w:tcPr>
            <w:tcW w:w="1889"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担任职务</w:t>
            </w:r>
          </w:p>
        </w:tc>
        <w:tc>
          <w:tcPr>
            <w:tcW w:w="2181"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发包人及联系</w:t>
            </w:r>
          </w:p>
          <w:p>
            <w:pPr>
              <w:spacing w:line="400" w:lineRule="exact"/>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ascii="宋体" w:hAnsi="宋体" w:eastAsia="宋体" w:cs="宋体"/>
                <w:color w:val="auto"/>
                <w:sz w:val="24"/>
                <w:szCs w:val="24"/>
                <w:highlight w:val="none"/>
              </w:rPr>
            </w:pPr>
          </w:p>
        </w:tc>
        <w:tc>
          <w:tcPr>
            <w:tcW w:w="3530" w:type="dxa"/>
            <w:gridSpan w:val="3"/>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宋体" w:hAnsi="宋体" w:eastAsia="宋体" w:cs="宋体"/>
                <w:color w:val="auto"/>
                <w:sz w:val="24"/>
                <w:szCs w:val="24"/>
                <w:highlight w:val="none"/>
              </w:rPr>
            </w:pPr>
          </w:p>
        </w:tc>
        <w:tc>
          <w:tcPr>
            <w:tcW w:w="1889"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宋体" w:hAnsi="宋体" w:eastAsia="宋体" w:cs="宋体"/>
                <w:color w:val="auto"/>
                <w:sz w:val="24"/>
                <w:szCs w:val="24"/>
                <w:highlight w:val="none"/>
              </w:rPr>
            </w:pPr>
          </w:p>
        </w:tc>
        <w:tc>
          <w:tcPr>
            <w:tcW w:w="2181"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ascii="宋体" w:hAnsi="宋体" w:eastAsia="宋体" w:cs="宋体"/>
                <w:color w:val="auto"/>
                <w:sz w:val="24"/>
                <w:szCs w:val="24"/>
                <w:highlight w:val="none"/>
              </w:rPr>
            </w:pPr>
          </w:p>
        </w:tc>
        <w:tc>
          <w:tcPr>
            <w:tcW w:w="3530" w:type="dxa"/>
            <w:gridSpan w:val="3"/>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宋体" w:hAnsi="宋体" w:eastAsia="宋体" w:cs="宋体"/>
                <w:color w:val="auto"/>
                <w:sz w:val="24"/>
                <w:szCs w:val="24"/>
                <w:highlight w:val="none"/>
              </w:rPr>
            </w:pPr>
          </w:p>
        </w:tc>
        <w:tc>
          <w:tcPr>
            <w:tcW w:w="1889"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宋体" w:hAnsi="宋体" w:eastAsia="宋体" w:cs="宋体"/>
                <w:color w:val="auto"/>
                <w:sz w:val="24"/>
                <w:szCs w:val="24"/>
                <w:highlight w:val="none"/>
              </w:rPr>
            </w:pPr>
          </w:p>
        </w:tc>
        <w:tc>
          <w:tcPr>
            <w:tcW w:w="2181"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ascii="宋体" w:hAnsi="宋体" w:eastAsia="宋体" w:cs="宋体"/>
                <w:color w:val="auto"/>
                <w:sz w:val="24"/>
                <w:szCs w:val="24"/>
                <w:highlight w:val="none"/>
              </w:rPr>
            </w:pPr>
          </w:p>
        </w:tc>
        <w:tc>
          <w:tcPr>
            <w:tcW w:w="3530" w:type="dxa"/>
            <w:gridSpan w:val="3"/>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宋体" w:hAnsi="宋体" w:eastAsia="宋体" w:cs="宋体"/>
                <w:color w:val="auto"/>
                <w:sz w:val="24"/>
                <w:szCs w:val="24"/>
                <w:highlight w:val="none"/>
              </w:rPr>
            </w:pPr>
          </w:p>
        </w:tc>
        <w:tc>
          <w:tcPr>
            <w:tcW w:w="1889"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宋体" w:hAnsi="宋体" w:eastAsia="宋体" w:cs="宋体"/>
                <w:color w:val="auto"/>
                <w:sz w:val="24"/>
                <w:szCs w:val="24"/>
                <w:highlight w:val="none"/>
              </w:rPr>
            </w:pPr>
          </w:p>
        </w:tc>
        <w:tc>
          <w:tcPr>
            <w:tcW w:w="2181"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ascii="宋体" w:hAnsi="宋体" w:eastAsia="宋体" w:cs="宋体"/>
                <w:color w:val="auto"/>
                <w:sz w:val="24"/>
                <w:szCs w:val="24"/>
                <w:highlight w:val="none"/>
              </w:rPr>
            </w:pPr>
          </w:p>
        </w:tc>
        <w:tc>
          <w:tcPr>
            <w:tcW w:w="3530" w:type="dxa"/>
            <w:gridSpan w:val="3"/>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宋体" w:hAnsi="宋体" w:eastAsia="宋体" w:cs="宋体"/>
                <w:color w:val="auto"/>
                <w:sz w:val="24"/>
                <w:szCs w:val="24"/>
                <w:highlight w:val="none"/>
              </w:rPr>
            </w:pPr>
          </w:p>
        </w:tc>
        <w:tc>
          <w:tcPr>
            <w:tcW w:w="1889"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宋体" w:hAnsi="宋体" w:eastAsia="宋体" w:cs="宋体"/>
                <w:color w:val="auto"/>
                <w:sz w:val="24"/>
                <w:szCs w:val="24"/>
                <w:highlight w:val="none"/>
              </w:rPr>
            </w:pPr>
          </w:p>
        </w:tc>
        <w:tc>
          <w:tcPr>
            <w:tcW w:w="2181"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ascii="宋体" w:hAnsi="宋体" w:eastAsia="宋体" w:cs="宋体"/>
                <w:color w:val="auto"/>
                <w:sz w:val="24"/>
                <w:szCs w:val="24"/>
                <w:highlight w:val="none"/>
              </w:rPr>
            </w:pPr>
          </w:p>
        </w:tc>
        <w:tc>
          <w:tcPr>
            <w:tcW w:w="3530" w:type="dxa"/>
            <w:gridSpan w:val="3"/>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宋体" w:hAnsi="宋体" w:eastAsia="宋体" w:cs="宋体"/>
                <w:color w:val="auto"/>
                <w:sz w:val="24"/>
                <w:szCs w:val="24"/>
                <w:highlight w:val="none"/>
              </w:rPr>
            </w:pPr>
          </w:p>
        </w:tc>
        <w:tc>
          <w:tcPr>
            <w:tcW w:w="1889"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宋体" w:hAnsi="宋体" w:eastAsia="宋体" w:cs="宋体"/>
                <w:color w:val="auto"/>
                <w:sz w:val="24"/>
                <w:szCs w:val="24"/>
                <w:highlight w:val="none"/>
              </w:rPr>
            </w:pPr>
          </w:p>
        </w:tc>
        <w:tc>
          <w:tcPr>
            <w:tcW w:w="2181"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ascii="宋体" w:hAnsi="宋体" w:eastAsia="宋体" w:cs="宋体"/>
                <w:color w:val="auto"/>
                <w:sz w:val="24"/>
                <w:szCs w:val="24"/>
                <w:highlight w:val="none"/>
              </w:rPr>
            </w:pPr>
          </w:p>
        </w:tc>
        <w:tc>
          <w:tcPr>
            <w:tcW w:w="3530" w:type="dxa"/>
            <w:gridSpan w:val="3"/>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宋体" w:hAnsi="宋体" w:eastAsia="宋体" w:cs="宋体"/>
                <w:color w:val="auto"/>
                <w:sz w:val="24"/>
                <w:szCs w:val="24"/>
                <w:highlight w:val="none"/>
              </w:rPr>
            </w:pPr>
          </w:p>
        </w:tc>
        <w:tc>
          <w:tcPr>
            <w:tcW w:w="1889"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宋体" w:hAnsi="宋体" w:eastAsia="宋体" w:cs="宋体"/>
                <w:color w:val="auto"/>
                <w:sz w:val="24"/>
                <w:szCs w:val="24"/>
                <w:highlight w:val="none"/>
              </w:rPr>
            </w:pPr>
          </w:p>
        </w:tc>
        <w:tc>
          <w:tcPr>
            <w:tcW w:w="2181"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ascii="宋体" w:hAnsi="宋体" w:eastAsia="宋体" w:cs="宋体"/>
                <w:color w:val="auto"/>
                <w:sz w:val="24"/>
                <w:szCs w:val="24"/>
                <w:highlight w:val="none"/>
              </w:rPr>
            </w:pPr>
          </w:p>
        </w:tc>
      </w:tr>
    </w:tbl>
    <w:p>
      <w:pPr>
        <w:spacing w:line="480" w:lineRule="exact"/>
        <w:textAlignment w:val="center"/>
        <w:rPr>
          <w:rFonts w:ascii="宋体" w:hAnsi="宋体" w:eastAsia="宋体" w:cs="宋体"/>
          <w:color w:val="auto"/>
          <w:sz w:val="28"/>
          <w:szCs w:val="28"/>
          <w:highlight w:val="none"/>
        </w:rPr>
      </w:pPr>
    </w:p>
    <w:p>
      <w:pPr>
        <w:spacing w:beforeLines="100" w:afterLines="100" w:line="480" w:lineRule="exact"/>
        <w:jc w:val="center"/>
        <w:textAlignment w:val="center"/>
        <w:rPr>
          <w:rFonts w:ascii="宋体" w:hAnsi="宋体" w:eastAsia="宋体" w:cs="宋体"/>
          <w:b/>
          <w:bCs/>
          <w:color w:val="auto"/>
          <w:sz w:val="28"/>
          <w:szCs w:val="28"/>
          <w:highlight w:val="none"/>
        </w:rPr>
      </w:pPr>
    </w:p>
    <w:p>
      <w:pPr>
        <w:widowControl/>
        <w:jc w:val="center"/>
        <w:rPr>
          <w:rFonts w:ascii="宋体" w:hAnsi="宋体" w:eastAsia="宋体" w:cs="宋体"/>
          <w:b/>
          <w:bCs/>
          <w:color w:val="auto"/>
          <w:sz w:val="28"/>
          <w:szCs w:val="28"/>
          <w:highlight w:val="none"/>
        </w:rPr>
      </w:pPr>
      <w:bookmarkStart w:id="145" w:name="_Toc17594"/>
      <w:bookmarkStart w:id="146" w:name="_Toc19060"/>
      <w:bookmarkStart w:id="147" w:name="_Toc14764"/>
      <w:bookmarkStart w:id="148" w:name="_Toc13861"/>
      <w:r>
        <w:rPr>
          <w:rFonts w:ascii="宋体" w:hAnsi="宋体" w:eastAsia="宋体" w:cs="宋体"/>
          <w:b/>
          <w:bCs/>
          <w:color w:val="auto"/>
          <w:sz w:val="28"/>
          <w:szCs w:val="28"/>
          <w:highlight w:val="none"/>
        </w:rPr>
        <w:br w:type="page"/>
      </w:r>
      <w:r>
        <w:rPr>
          <w:rFonts w:hint="eastAsia" w:ascii="宋体" w:hAnsi="宋体" w:eastAsia="宋体" w:cs="宋体"/>
          <w:b/>
          <w:bCs/>
          <w:color w:val="auto"/>
          <w:sz w:val="28"/>
          <w:szCs w:val="28"/>
          <w:highlight w:val="none"/>
        </w:rPr>
        <w:t>八、</w:t>
      </w:r>
      <w:bookmarkEnd w:id="145"/>
      <w:bookmarkEnd w:id="146"/>
      <w:bookmarkEnd w:id="147"/>
      <w:bookmarkEnd w:id="148"/>
      <w:r>
        <w:rPr>
          <w:rFonts w:hint="eastAsia" w:ascii="宋体" w:hAnsi="宋体" w:eastAsia="宋体" w:cs="宋体"/>
          <w:b/>
          <w:bCs/>
          <w:color w:val="auto"/>
          <w:sz w:val="28"/>
          <w:szCs w:val="28"/>
          <w:highlight w:val="none"/>
        </w:rPr>
        <w:t>供应商基本情况</w:t>
      </w:r>
    </w:p>
    <w:p>
      <w:pPr>
        <w:keepNext/>
        <w:keepLines/>
        <w:spacing w:before="280" w:after="290" w:line="420" w:lineRule="exact"/>
        <w:ind w:firstLine="562" w:firstLineChars="200"/>
        <w:jc w:val="center"/>
        <w:outlineLvl w:val="3"/>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（一）供应商基本情况表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2"/>
        <w:gridCol w:w="831"/>
        <w:gridCol w:w="850"/>
        <w:gridCol w:w="1471"/>
        <w:gridCol w:w="1923"/>
        <w:gridCol w:w="562"/>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p>
        </w:tc>
        <w:tc>
          <w:tcPr>
            <w:tcW w:w="7145" w:type="dxa"/>
            <w:gridSpan w:val="6"/>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注册地址</w:t>
            </w:r>
          </w:p>
        </w:tc>
        <w:tc>
          <w:tcPr>
            <w:tcW w:w="3152" w:type="dxa"/>
            <w:gridSpan w:val="3"/>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p>
        </w:tc>
        <w:tc>
          <w:tcPr>
            <w:tcW w:w="1923"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2070" w:type="dxa"/>
            <w:gridSpan w:val="2"/>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2" w:type="dxa"/>
            <w:vMerge w:val="restart"/>
            <w:tcBorders>
              <w:top w:val="nil"/>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p>
        </w:tc>
        <w:tc>
          <w:tcPr>
            <w:tcW w:w="831"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2321" w:type="dxa"/>
            <w:gridSpan w:val="2"/>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p>
        </w:tc>
        <w:tc>
          <w:tcPr>
            <w:tcW w:w="1923"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p>
        </w:tc>
        <w:tc>
          <w:tcPr>
            <w:tcW w:w="2070" w:type="dxa"/>
            <w:gridSpan w:val="2"/>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sz w:val="24"/>
                <w:szCs w:val="24"/>
                <w:highlight w:val="none"/>
              </w:rPr>
            </w:pPr>
          </w:p>
        </w:tc>
        <w:tc>
          <w:tcPr>
            <w:tcW w:w="831"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2321" w:type="dxa"/>
            <w:gridSpan w:val="2"/>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p>
        </w:tc>
        <w:tc>
          <w:tcPr>
            <w:tcW w:w="1923"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网  址</w:t>
            </w:r>
          </w:p>
        </w:tc>
        <w:tc>
          <w:tcPr>
            <w:tcW w:w="2070" w:type="dxa"/>
            <w:gridSpan w:val="2"/>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组织结构</w:t>
            </w:r>
          </w:p>
        </w:tc>
        <w:tc>
          <w:tcPr>
            <w:tcW w:w="7145" w:type="dxa"/>
            <w:gridSpan w:val="6"/>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831"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850"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p>
        </w:tc>
        <w:tc>
          <w:tcPr>
            <w:tcW w:w="1471"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技术职称</w:t>
            </w:r>
          </w:p>
        </w:tc>
        <w:tc>
          <w:tcPr>
            <w:tcW w:w="1923"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p>
        </w:tc>
        <w:tc>
          <w:tcPr>
            <w:tcW w:w="562"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1508"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技术负责人</w:t>
            </w:r>
          </w:p>
        </w:tc>
        <w:tc>
          <w:tcPr>
            <w:tcW w:w="831"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850"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p>
        </w:tc>
        <w:tc>
          <w:tcPr>
            <w:tcW w:w="1471"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技术职称</w:t>
            </w:r>
          </w:p>
        </w:tc>
        <w:tc>
          <w:tcPr>
            <w:tcW w:w="1923"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p>
        </w:tc>
        <w:tc>
          <w:tcPr>
            <w:tcW w:w="562"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1508"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p>
        </w:tc>
        <w:tc>
          <w:tcPr>
            <w:tcW w:w="1681" w:type="dxa"/>
            <w:gridSpan w:val="2"/>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p>
        </w:tc>
        <w:tc>
          <w:tcPr>
            <w:tcW w:w="5464" w:type="dxa"/>
            <w:gridSpan w:val="4"/>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企业资质</w:t>
            </w:r>
          </w:p>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等级</w:t>
            </w:r>
          </w:p>
        </w:tc>
        <w:tc>
          <w:tcPr>
            <w:tcW w:w="1681" w:type="dxa"/>
            <w:gridSpan w:val="2"/>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p>
        </w:tc>
        <w:tc>
          <w:tcPr>
            <w:tcW w:w="1471" w:type="dxa"/>
            <w:vMerge w:val="restart"/>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其中</w:t>
            </w:r>
          </w:p>
        </w:tc>
        <w:tc>
          <w:tcPr>
            <w:tcW w:w="1923"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项目经理</w:t>
            </w:r>
          </w:p>
        </w:tc>
        <w:tc>
          <w:tcPr>
            <w:tcW w:w="2070" w:type="dxa"/>
            <w:gridSpan w:val="2"/>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营业执照号</w:t>
            </w:r>
          </w:p>
        </w:tc>
        <w:tc>
          <w:tcPr>
            <w:tcW w:w="1681" w:type="dxa"/>
            <w:gridSpan w:val="2"/>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p>
        </w:tc>
        <w:tc>
          <w:tcPr>
            <w:tcW w:w="1471"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auto"/>
                <w:sz w:val="24"/>
                <w:szCs w:val="24"/>
                <w:highlight w:val="none"/>
              </w:rPr>
            </w:pPr>
          </w:p>
        </w:tc>
        <w:tc>
          <w:tcPr>
            <w:tcW w:w="1923"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高级职称人员</w:t>
            </w:r>
          </w:p>
        </w:tc>
        <w:tc>
          <w:tcPr>
            <w:tcW w:w="2070" w:type="dxa"/>
            <w:gridSpan w:val="2"/>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注册资金</w:t>
            </w:r>
          </w:p>
        </w:tc>
        <w:tc>
          <w:tcPr>
            <w:tcW w:w="1681" w:type="dxa"/>
            <w:gridSpan w:val="2"/>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p>
        </w:tc>
        <w:tc>
          <w:tcPr>
            <w:tcW w:w="1471"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auto"/>
                <w:sz w:val="24"/>
                <w:szCs w:val="24"/>
                <w:highlight w:val="none"/>
              </w:rPr>
            </w:pPr>
          </w:p>
        </w:tc>
        <w:tc>
          <w:tcPr>
            <w:tcW w:w="1923"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中级职称人员</w:t>
            </w:r>
          </w:p>
        </w:tc>
        <w:tc>
          <w:tcPr>
            <w:tcW w:w="2070" w:type="dxa"/>
            <w:gridSpan w:val="2"/>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1681" w:type="dxa"/>
            <w:gridSpan w:val="2"/>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p>
        </w:tc>
        <w:tc>
          <w:tcPr>
            <w:tcW w:w="1471"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auto"/>
                <w:sz w:val="24"/>
                <w:szCs w:val="24"/>
                <w:highlight w:val="none"/>
              </w:rPr>
            </w:pPr>
          </w:p>
        </w:tc>
        <w:tc>
          <w:tcPr>
            <w:tcW w:w="1923"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初级职称人员</w:t>
            </w:r>
          </w:p>
        </w:tc>
        <w:tc>
          <w:tcPr>
            <w:tcW w:w="2070" w:type="dxa"/>
            <w:gridSpan w:val="2"/>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c>
          <w:tcPr>
            <w:tcW w:w="1681" w:type="dxa"/>
            <w:gridSpan w:val="2"/>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p>
        </w:tc>
        <w:tc>
          <w:tcPr>
            <w:tcW w:w="1471"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auto"/>
                <w:sz w:val="24"/>
                <w:szCs w:val="24"/>
                <w:highlight w:val="none"/>
              </w:rPr>
            </w:pPr>
          </w:p>
        </w:tc>
        <w:tc>
          <w:tcPr>
            <w:tcW w:w="1923"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技  工</w:t>
            </w:r>
          </w:p>
        </w:tc>
        <w:tc>
          <w:tcPr>
            <w:tcW w:w="2070" w:type="dxa"/>
            <w:gridSpan w:val="2"/>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7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经营范围</w:t>
            </w:r>
          </w:p>
        </w:tc>
        <w:tc>
          <w:tcPr>
            <w:tcW w:w="7145" w:type="dxa"/>
            <w:gridSpan w:val="6"/>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7145" w:type="dxa"/>
            <w:gridSpan w:val="6"/>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p>
        </w:tc>
      </w:tr>
    </w:tbl>
    <w:p>
      <w:pPr>
        <w:spacing w:line="380" w:lineRule="exact"/>
        <w:rPr>
          <w:rFonts w:ascii="宋体" w:hAnsi="宋体" w:eastAsia="宋体" w:cs="宋体"/>
          <w:color w:val="auto"/>
          <w:sz w:val="28"/>
          <w:szCs w:val="28"/>
          <w:highlight w:val="none"/>
        </w:rPr>
      </w:pPr>
      <w:r>
        <w:rPr>
          <w:rFonts w:hint="eastAsia" w:ascii="宋体" w:hAnsi="宋体" w:eastAsia="宋体" w:cs="宋体"/>
          <w:color w:val="auto"/>
          <w:sz w:val="24"/>
          <w:szCs w:val="24"/>
          <w:highlight w:val="none"/>
        </w:rPr>
        <w:t>备注：本表后应附企业营业执照、资质证书、安全生产许可证等材料的扫描件。</w:t>
      </w:r>
    </w:p>
    <w:p>
      <w:pPr>
        <w:jc w:val="center"/>
        <w:rPr>
          <w:rFonts w:ascii="宋体" w:hAnsi="宋体" w:eastAsia="宋体" w:cs="宋体"/>
          <w:b/>
          <w:bCs/>
          <w:color w:val="auto"/>
          <w:sz w:val="28"/>
          <w:szCs w:val="28"/>
          <w:highlight w:val="none"/>
        </w:rPr>
      </w:pPr>
      <w:r>
        <w:rPr>
          <w:rFonts w:hint="eastAsia" w:ascii="宋体" w:hAnsi="宋体" w:eastAsia="宋体" w:cs="Times New Roman"/>
          <w:color w:val="auto"/>
          <w:sz w:val="28"/>
          <w:szCs w:val="28"/>
          <w:highlight w:val="none"/>
        </w:rPr>
        <w:br w:type="page"/>
      </w:r>
      <w:r>
        <w:rPr>
          <w:rFonts w:hint="eastAsia" w:ascii="宋体" w:hAnsi="宋体" w:eastAsia="宋体" w:cs="宋体"/>
          <w:b/>
          <w:bCs/>
          <w:color w:val="auto"/>
          <w:sz w:val="28"/>
          <w:szCs w:val="28"/>
          <w:highlight w:val="none"/>
        </w:rPr>
        <w:t>（二）近年完成的类似项目情况表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6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077"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项目所在地</w:t>
            </w:r>
          </w:p>
        </w:tc>
        <w:tc>
          <w:tcPr>
            <w:tcW w:w="6077"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发包人名称</w:t>
            </w:r>
          </w:p>
        </w:tc>
        <w:tc>
          <w:tcPr>
            <w:tcW w:w="6077"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发包人地址</w:t>
            </w:r>
          </w:p>
        </w:tc>
        <w:tc>
          <w:tcPr>
            <w:tcW w:w="6077"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发包人联系人及电话</w:t>
            </w:r>
          </w:p>
        </w:tc>
        <w:tc>
          <w:tcPr>
            <w:tcW w:w="6077"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合同价格</w:t>
            </w:r>
          </w:p>
        </w:tc>
        <w:tc>
          <w:tcPr>
            <w:tcW w:w="6077"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开工日期</w:t>
            </w:r>
          </w:p>
        </w:tc>
        <w:tc>
          <w:tcPr>
            <w:tcW w:w="6077"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竣工日期</w:t>
            </w:r>
          </w:p>
        </w:tc>
        <w:tc>
          <w:tcPr>
            <w:tcW w:w="6077"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承担的工作</w:t>
            </w:r>
          </w:p>
        </w:tc>
        <w:tc>
          <w:tcPr>
            <w:tcW w:w="6077"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工程质量</w:t>
            </w:r>
          </w:p>
        </w:tc>
        <w:tc>
          <w:tcPr>
            <w:tcW w:w="6077"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w:t>
            </w:r>
          </w:p>
        </w:tc>
        <w:tc>
          <w:tcPr>
            <w:tcW w:w="6077"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技术负责人</w:t>
            </w:r>
          </w:p>
        </w:tc>
        <w:tc>
          <w:tcPr>
            <w:tcW w:w="6077"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总监理工程师及电话</w:t>
            </w:r>
          </w:p>
        </w:tc>
        <w:tc>
          <w:tcPr>
            <w:tcW w:w="6077"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项目描述</w:t>
            </w:r>
          </w:p>
        </w:tc>
        <w:tc>
          <w:tcPr>
            <w:tcW w:w="6077"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6077"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p>
        </w:tc>
      </w:tr>
    </w:tbl>
    <w:p>
      <w:pPr>
        <w:spacing w:line="380" w:lineRule="exact"/>
        <w:ind w:left="720" w:hanging="720" w:hangingChars="3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备注：本表后附中标通知书及合同协议书的扫描件，具体年份要求见供应商须知前附表。每张表格只填写一个项目，并标明序号。</w:t>
      </w:r>
    </w:p>
    <w:p>
      <w:pPr>
        <w:keepNext/>
        <w:keepLines/>
        <w:spacing w:before="280" w:after="290" w:line="420" w:lineRule="exact"/>
        <w:jc w:val="center"/>
        <w:outlineLvl w:val="3"/>
        <w:rPr>
          <w:rFonts w:ascii="宋体" w:hAnsi="宋体" w:eastAsia="宋体" w:cs="宋体"/>
          <w:b/>
          <w:bCs/>
          <w:color w:val="auto"/>
          <w:sz w:val="28"/>
          <w:szCs w:val="28"/>
          <w:highlight w:val="none"/>
        </w:rPr>
      </w:pPr>
      <w:r>
        <w:rPr>
          <w:rFonts w:ascii="宋体" w:hAnsi="宋体" w:eastAsia="宋体" w:cs="宋体"/>
          <w:b/>
          <w:bCs/>
          <w:color w:val="auto"/>
          <w:sz w:val="28"/>
          <w:szCs w:val="28"/>
          <w:highlight w:val="none"/>
        </w:rPr>
        <w:br w:type="page"/>
      </w:r>
      <w:r>
        <w:rPr>
          <w:rFonts w:hint="eastAsia" w:ascii="宋体" w:hAnsi="宋体" w:eastAsia="宋体" w:cs="宋体"/>
          <w:b/>
          <w:bCs/>
          <w:color w:val="auto"/>
          <w:sz w:val="28"/>
          <w:szCs w:val="28"/>
          <w:highlight w:val="none"/>
        </w:rPr>
        <w:t>（三）正在施工的和新承接的项目情况表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095"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项目所在地</w:t>
            </w:r>
          </w:p>
        </w:tc>
        <w:tc>
          <w:tcPr>
            <w:tcW w:w="6095"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发包人名称</w:t>
            </w:r>
          </w:p>
        </w:tc>
        <w:tc>
          <w:tcPr>
            <w:tcW w:w="6095"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发包人地址</w:t>
            </w:r>
          </w:p>
        </w:tc>
        <w:tc>
          <w:tcPr>
            <w:tcW w:w="6095"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发包人电话</w:t>
            </w:r>
          </w:p>
        </w:tc>
        <w:tc>
          <w:tcPr>
            <w:tcW w:w="6095"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签约合同价</w:t>
            </w:r>
          </w:p>
        </w:tc>
        <w:tc>
          <w:tcPr>
            <w:tcW w:w="6095"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开工日期</w:t>
            </w:r>
          </w:p>
        </w:tc>
        <w:tc>
          <w:tcPr>
            <w:tcW w:w="6095"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计划竣工日期</w:t>
            </w:r>
          </w:p>
        </w:tc>
        <w:tc>
          <w:tcPr>
            <w:tcW w:w="6095"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承担的工作</w:t>
            </w:r>
          </w:p>
        </w:tc>
        <w:tc>
          <w:tcPr>
            <w:tcW w:w="6095"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工程质量</w:t>
            </w:r>
          </w:p>
        </w:tc>
        <w:tc>
          <w:tcPr>
            <w:tcW w:w="6095"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项目经理</w:t>
            </w:r>
          </w:p>
        </w:tc>
        <w:tc>
          <w:tcPr>
            <w:tcW w:w="6095"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技术负责人</w:t>
            </w:r>
          </w:p>
        </w:tc>
        <w:tc>
          <w:tcPr>
            <w:tcW w:w="6095"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总监理工程师及电话</w:t>
            </w:r>
          </w:p>
        </w:tc>
        <w:tc>
          <w:tcPr>
            <w:tcW w:w="6095"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项目描述</w:t>
            </w:r>
          </w:p>
        </w:tc>
        <w:tc>
          <w:tcPr>
            <w:tcW w:w="6095"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6095"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p>
        </w:tc>
      </w:tr>
    </w:tbl>
    <w:p>
      <w:pPr>
        <w:spacing w:line="380" w:lineRule="exact"/>
        <w:ind w:firstLine="480" w:firstLineChars="200"/>
        <w:rPr>
          <w:rFonts w:ascii="宋体" w:hAnsi="宋体" w:eastAsia="宋体" w:cs="宋体"/>
          <w:color w:val="auto"/>
          <w:sz w:val="28"/>
          <w:szCs w:val="28"/>
          <w:highlight w:val="none"/>
        </w:rPr>
      </w:pPr>
      <w:r>
        <w:rPr>
          <w:rFonts w:hint="eastAsia" w:ascii="宋体" w:hAnsi="宋体" w:eastAsia="宋体" w:cs="宋体"/>
          <w:color w:val="auto"/>
          <w:sz w:val="24"/>
          <w:szCs w:val="28"/>
          <w:highlight w:val="none"/>
        </w:rPr>
        <w:t>备注：每张表格只填写一个项目，并标明序号。</w:t>
      </w:r>
    </w:p>
    <w:p>
      <w:pPr>
        <w:rPr>
          <w:rFonts w:ascii="宋体" w:hAnsi="宋体" w:eastAsia="宋体" w:cs="Times New Roman"/>
          <w:color w:val="auto"/>
          <w:sz w:val="28"/>
          <w:szCs w:val="28"/>
          <w:highlight w:val="none"/>
        </w:rPr>
      </w:pPr>
    </w:p>
    <w:p>
      <w:pPr>
        <w:keepNext/>
        <w:keepLines/>
        <w:spacing w:before="280" w:after="290" w:line="420" w:lineRule="exact"/>
        <w:jc w:val="center"/>
        <w:outlineLvl w:val="3"/>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（四）其他资格审查资料</w:t>
      </w:r>
    </w:p>
    <w:p>
      <w:pPr>
        <w:spacing w:after="120"/>
        <w:rPr>
          <w:rFonts w:ascii="Times New Roman" w:hAnsi="Times New Roman" w:eastAsia="宋体" w:cs="Times New Roman"/>
          <w:color w:val="auto"/>
          <w:kern w:val="0"/>
          <w:sz w:val="28"/>
          <w:szCs w:val="28"/>
          <w:highlight w:val="none"/>
        </w:rPr>
      </w:pPr>
      <w:r>
        <w:rPr>
          <w:rFonts w:ascii="Times New Roman" w:hAnsi="Times New Roman" w:eastAsia="宋体" w:cs="Times New Roman"/>
          <w:color w:val="auto"/>
          <w:kern w:val="0"/>
          <w:sz w:val="28"/>
          <w:szCs w:val="28"/>
          <w:highlight w:val="none"/>
        </w:rPr>
        <w:br w:type="page"/>
      </w:r>
    </w:p>
    <w:p>
      <w:pPr>
        <w:spacing w:line="480" w:lineRule="exact"/>
        <w:jc w:val="center"/>
        <w:textAlignment w:val="center"/>
        <w:outlineLvl w:val="1"/>
        <w:rPr>
          <w:rFonts w:ascii="宋体" w:hAnsi="宋体" w:eastAsia="宋体" w:cs="Times New Roman"/>
          <w:color w:val="auto"/>
          <w:sz w:val="28"/>
          <w:szCs w:val="28"/>
          <w:highlight w:val="none"/>
        </w:rPr>
      </w:pPr>
      <w:r>
        <w:rPr>
          <w:rFonts w:hint="eastAsia" w:ascii="宋体" w:hAnsi="宋体" w:eastAsia="宋体" w:cs="宋体"/>
          <w:b/>
          <w:bCs/>
          <w:color w:val="auto"/>
          <w:sz w:val="28"/>
          <w:szCs w:val="28"/>
          <w:highlight w:val="none"/>
        </w:rPr>
        <w:t>九、其他资料</w:t>
      </w:r>
    </w:p>
    <w:p>
      <w:pPr>
        <w:ind w:firstLine="1400" w:firstLineChars="500"/>
        <w:rPr>
          <w:rFonts w:ascii="宋体" w:hAnsi="宋体" w:eastAsia="宋体" w:cs="Times New Roman"/>
          <w:bCs/>
          <w:color w:val="auto"/>
          <w:sz w:val="28"/>
          <w:szCs w:val="28"/>
          <w:highlight w:val="none"/>
        </w:rPr>
      </w:pPr>
      <w:bookmarkStart w:id="149" w:name="_Toc23813"/>
      <w:bookmarkStart w:id="150" w:name="_Toc3760"/>
      <w:bookmarkStart w:id="151" w:name="_Toc2121"/>
      <w:r>
        <w:rPr>
          <w:rFonts w:hint="eastAsia" w:ascii="宋体" w:hAnsi="宋体" w:eastAsia="宋体" w:cs="宋体"/>
          <w:color w:val="auto"/>
          <w:sz w:val="28"/>
          <w:szCs w:val="28"/>
          <w:highlight w:val="none"/>
        </w:rPr>
        <w:t>供应商</w:t>
      </w:r>
      <w:r>
        <w:rPr>
          <w:rFonts w:hint="eastAsia" w:ascii="宋体" w:hAnsi="宋体" w:eastAsia="宋体" w:cs="Times New Roman"/>
          <w:bCs/>
          <w:color w:val="auto"/>
          <w:sz w:val="28"/>
          <w:szCs w:val="28"/>
          <w:highlight w:val="none"/>
        </w:rPr>
        <w:t>认为有利于磋商的其他证明资料附后。</w:t>
      </w:r>
      <w:bookmarkEnd w:id="149"/>
      <w:bookmarkEnd w:id="150"/>
      <w:bookmarkEnd w:id="151"/>
    </w:p>
    <w:p>
      <w:pPr>
        <w:spacing w:line="480" w:lineRule="exact"/>
        <w:ind w:firstLine="140" w:firstLineChars="50"/>
        <w:jc w:val="center"/>
        <w:textAlignment w:val="center"/>
        <w:rPr>
          <w:rFonts w:ascii="宋体" w:hAnsi="宋体" w:eastAsia="宋体" w:cs="宋体"/>
          <w:color w:val="auto"/>
          <w:sz w:val="28"/>
          <w:szCs w:val="28"/>
          <w:highlight w:val="none"/>
        </w:rPr>
      </w:pPr>
    </w:p>
    <w:p>
      <w:pPr>
        <w:widowControl/>
        <w:jc w:val="left"/>
        <w:rPr>
          <w:rFonts w:ascii="宋体" w:hAnsi="宋体" w:eastAsia="宋体" w:cs="宋体"/>
          <w:color w:val="auto"/>
          <w:sz w:val="28"/>
          <w:szCs w:val="28"/>
          <w:highlight w:val="none"/>
        </w:rPr>
      </w:pPr>
    </w:p>
    <w:p>
      <w:pPr>
        <w:spacing w:after="120"/>
        <w:rPr>
          <w:rFonts w:ascii="Times New Roman" w:hAnsi="Times New Roman" w:eastAsia="宋体" w:cs="Times New Roman"/>
          <w:color w:val="auto"/>
          <w:kern w:val="0"/>
          <w:sz w:val="28"/>
          <w:szCs w:val="28"/>
          <w:highlight w:val="none"/>
        </w:rPr>
      </w:pPr>
    </w:p>
    <w:p>
      <w:pPr>
        <w:rPr>
          <w:rFonts w:ascii="Times New Roman" w:hAnsi="Times New Roman" w:eastAsia="宋体" w:cs="Times New Roman"/>
          <w:color w:val="auto"/>
          <w:sz w:val="28"/>
          <w:szCs w:val="28"/>
          <w:highlight w:val="none"/>
        </w:rPr>
      </w:pPr>
    </w:p>
    <w:p>
      <w:pPr>
        <w:spacing w:after="120"/>
        <w:rPr>
          <w:rFonts w:ascii="Times New Roman" w:hAnsi="Times New Roman" w:eastAsia="宋体" w:cs="Times New Roman"/>
          <w:color w:val="auto"/>
          <w:kern w:val="0"/>
          <w:sz w:val="28"/>
          <w:szCs w:val="28"/>
          <w:highlight w:val="none"/>
        </w:rPr>
      </w:pPr>
    </w:p>
    <w:p>
      <w:pPr>
        <w:rPr>
          <w:rFonts w:ascii="Times New Roman" w:hAnsi="Times New Roman" w:eastAsia="宋体" w:cs="Times New Roman"/>
          <w:color w:val="auto"/>
          <w:sz w:val="28"/>
          <w:szCs w:val="28"/>
          <w:highlight w:val="none"/>
        </w:rPr>
      </w:pPr>
    </w:p>
    <w:p>
      <w:pPr>
        <w:spacing w:after="120"/>
        <w:rPr>
          <w:rFonts w:ascii="Times New Roman" w:hAnsi="Times New Roman" w:eastAsia="宋体" w:cs="Times New Roman"/>
          <w:color w:val="auto"/>
          <w:kern w:val="0"/>
          <w:sz w:val="28"/>
          <w:szCs w:val="28"/>
          <w:highlight w:val="none"/>
        </w:rPr>
      </w:pPr>
    </w:p>
    <w:p>
      <w:pPr>
        <w:rPr>
          <w:rFonts w:ascii="Times New Roman" w:hAnsi="Times New Roman" w:eastAsia="宋体" w:cs="Times New Roman"/>
          <w:color w:val="auto"/>
          <w:sz w:val="28"/>
          <w:szCs w:val="28"/>
          <w:highlight w:val="none"/>
        </w:rPr>
      </w:pPr>
    </w:p>
    <w:p>
      <w:pPr>
        <w:spacing w:after="120"/>
        <w:rPr>
          <w:rFonts w:ascii="Times New Roman" w:hAnsi="Times New Roman" w:eastAsia="宋体" w:cs="Times New Roman"/>
          <w:color w:val="auto"/>
          <w:kern w:val="0"/>
          <w:sz w:val="28"/>
          <w:szCs w:val="28"/>
          <w:highlight w:val="none"/>
        </w:rPr>
      </w:pPr>
    </w:p>
    <w:p>
      <w:pPr>
        <w:rPr>
          <w:rFonts w:ascii="Times New Roman" w:hAnsi="Times New Roman" w:eastAsia="宋体" w:cs="Times New Roman"/>
          <w:color w:val="auto"/>
          <w:sz w:val="28"/>
          <w:szCs w:val="28"/>
          <w:highlight w:val="none"/>
        </w:rPr>
      </w:pPr>
    </w:p>
    <w:p>
      <w:pPr>
        <w:spacing w:after="120"/>
        <w:rPr>
          <w:rFonts w:ascii="Times New Roman" w:hAnsi="Times New Roman" w:eastAsia="宋体" w:cs="Times New Roman"/>
          <w:color w:val="auto"/>
          <w:kern w:val="0"/>
          <w:sz w:val="28"/>
          <w:szCs w:val="28"/>
          <w:highlight w:val="none"/>
        </w:rPr>
      </w:pPr>
    </w:p>
    <w:p>
      <w:pPr>
        <w:rPr>
          <w:rFonts w:ascii="Times New Roman" w:hAnsi="Times New Roman" w:eastAsia="宋体" w:cs="Times New Roman"/>
          <w:color w:val="auto"/>
          <w:sz w:val="28"/>
          <w:szCs w:val="28"/>
          <w:highlight w:val="none"/>
        </w:rPr>
      </w:pPr>
    </w:p>
    <w:p>
      <w:pPr>
        <w:spacing w:after="120"/>
        <w:rPr>
          <w:rFonts w:ascii="Times New Roman" w:hAnsi="Times New Roman" w:eastAsia="宋体" w:cs="Times New Roman"/>
          <w:color w:val="auto"/>
          <w:kern w:val="0"/>
          <w:sz w:val="28"/>
          <w:szCs w:val="28"/>
          <w:highlight w:val="none"/>
        </w:rPr>
      </w:pPr>
    </w:p>
    <w:p>
      <w:pPr>
        <w:rPr>
          <w:rFonts w:ascii="Times New Roman" w:hAnsi="Times New Roman" w:eastAsia="宋体" w:cs="Times New Roman"/>
          <w:color w:val="auto"/>
          <w:sz w:val="28"/>
          <w:szCs w:val="28"/>
          <w:highlight w:val="none"/>
        </w:rPr>
      </w:pPr>
    </w:p>
    <w:p>
      <w:pPr>
        <w:spacing w:after="120"/>
        <w:rPr>
          <w:rFonts w:ascii="Times New Roman" w:hAnsi="Times New Roman" w:eastAsia="宋体" w:cs="Times New Roman"/>
          <w:color w:val="auto"/>
          <w:kern w:val="0"/>
          <w:sz w:val="28"/>
          <w:szCs w:val="28"/>
          <w:highlight w:val="none"/>
        </w:rPr>
      </w:pPr>
    </w:p>
    <w:p>
      <w:pPr>
        <w:rPr>
          <w:rFonts w:ascii="Times New Roman" w:hAnsi="Times New Roman" w:eastAsia="宋体" w:cs="Times New Roman"/>
          <w:color w:val="auto"/>
          <w:sz w:val="28"/>
          <w:szCs w:val="28"/>
          <w:highlight w:val="none"/>
        </w:rPr>
      </w:pPr>
    </w:p>
    <w:p>
      <w:pPr>
        <w:spacing w:after="120"/>
        <w:rPr>
          <w:rFonts w:ascii="Times New Roman" w:hAnsi="Times New Roman" w:eastAsia="宋体" w:cs="Times New Roman"/>
          <w:color w:val="auto"/>
          <w:kern w:val="0"/>
          <w:sz w:val="28"/>
          <w:szCs w:val="28"/>
          <w:highlight w:val="none"/>
        </w:rPr>
      </w:pPr>
    </w:p>
    <w:p>
      <w:pPr>
        <w:rPr>
          <w:rFonts w:ascii="Times New Roman" w:hAnsi="Times New Roman" w:eastAsia="宋体" w:cs="Times New Roman"/>
          <w:color w:val="auto"/>
          <w:sz w:val="28"/>
          <w:szCs w:val="28"/>
          <w:highlight w:val="none"/>
        </w:rPr>
      </w:pPr>
    </w:p>
    <w:p>
      <w:pPr>
        <w:spacing w:after="120"/>
        <w:rPr>
          <w:rFonts w:ascii="Times New Roman" w:hAnsi="Times New Roman" w:eastAsia="宋体" w:cs="Times New Roman"/>
          <w:color w:val="auto"/>
          <w:kern w:val="0"/>
          <w:sz w:val="28"/>
          <w:szCs w:val="28"/>
          <w:highlight w:val="none"/>
        </w:rPr>
      </w:pPr>
    </w:p>
    <w:p>
      <w:pPr>
        <w:spacing w:line="360" w:lineRule="auto"/>
        <w:jc w:val="left"/>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附件1：格式</w:t>
      </w:r>
    </w:p>
    <w:p>
      <w:pPr>
        <w:spacing w:line="560" w:lineRule="exact"/>
        <w:jc w:val="center"/>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中小企业声明函</w:t>
      </w:r>
    </w:p>
    <w:p>
      <w:pPr>
        <w:spacing w:beforeLines="100" w:line="360" w:lineRule="auto"/>
        <w:ind w:firstLine="638" w:firstLineChars="266"/>
        <w:jc w:val="left"/>
        <w:rPr>
          <w:rFonts w:ascii="宋体" w:hAnsi="宋体" w:cs="宋体"/>
          <w:color w:val="auto"/>
          <w:sz w:val="24"/>
          <w:szCs w:val="20"/>
          <w:highlight w:val="none"/>
        </w:rPr>
      </w:pPr>
      <w:r>
        <w:rPr>
          <w:rFonts w:hint="eastAsia" w:ascii="宋体" w:hAnsi="宋体" w:cs="宋体"/>
          <w:color w:val="auto"/>
          <w:sz w:val="24"/>
          <w:szCs w:val="20"/>
          <w:highlight w:val="none"/>
        </w:rPr>
        <w:t>本公司（联合体）郑重声明，根据《政府采购促进中小企业发展管理办法》（财库﹝2020﹞46 号）的规定，本公司参加</w:t>
      </w:r>
      <w:r>
        <w:rPr>
          <w:rFonts w:hint="eastAsia" w:ascii="宋体" w:hAnsi="宋体" w:cs="宋体"/>
          <w:color w:val="auto"/>
          <w:sz w:val="24"/>
          <w:szCs w:val="20"/>
          <w:highlight w:val="none"/>
          <w:u w:val="single"/>
        </w:rPr>
        <w:t>（单位名称）</w:t>
      </w:r>
      <w:r>
        <w:rPr>
          <w:rFonts w:hint="eastAsia" w:ascii="宋体" w:hAnsi="宋体" w:cs="宋体"/>
          <w:color w:val="auto"/>
          <w:sz w:val="24"/>
          <w:szCs w:val="20"/>
          <w:highlight w:val="none"/>
        </w:rPr>
        <w:t>的</w:t>
      </w:r>
      <w:r>
        <w:rPr>
          <w:rFonts w:hint="eastAsia" w:ascii="宋体" w:hAnsi="宋体" w:cs="宋体"/>
          <w:color w:val="auto"/>
          <w:sz w:val="24"/>
          <w:szCs w:val="20"/>
          <w:highlight w:val="none"/>
          <w:u w:val="single"/>
        </w:rPr>
        <w:t>（项目名称）</w:t>
      </w:r>
      <w:r>
        <w:rPr>
          <w:rFonts w:hint="eastAsia" w:ascii="宋体" w:hAnsi="宋体" w:cs="宋体"/>
          <w:color w:val="auto"/>
          <w:sz w:val="24"/>
          <w:szCs w:val="20"/>
          <w:highlight w:val="none"/>
        </w:rPr>
        <w:t>采购活动，工程的施工单位全部为符合政策要求的中小企业（或者：服务全部由符合政策要求的中小企业承接）。相关企业的具体情况如下：</w:t>
      </w:r>
    </w:p>
    <w:p>
      <w:pPr>
        <w:spacing w:line="360" w:lineRule="auto"/>
        <w:ind w:firstLine="638" w:firstLineChars="266"/>
        <w:jc w:val="left"/>
        <w:rPr>
          <w:rFonts w:ascii="宋体" w:hAnsi="宋体" w:cs="宋体"/>
          <w:color w:val="auto"/>
          <w:sz w:val="24"/>
          <w:szCs w:val="20"/>
          <w:highlight w:val="none"/>
        </w:rPr>
      </w:pPr>
      <w:r>
        <w:rPr>
          <w:rFonts w:hint="eastAsia" w:ascii="宋体" w:hAnsi="宋体" w:cs="宋体"/>
          <w:color w:val="auto"/>
          <w:sz w:val="24"/>
          <w:szCs w:val="20"/>
          <w:highlight w:val="none"/>
        </w:rPr>
        <w:t xml:space="preserve">1. </w:t>
      </w:r>
      <w:r>
        <w:rPr>
          <w:rFonts w:hint="eastAsia" w:ascii="宋体" w:hAnsi="宋体" w:cs="宋体"/>
          <w:color w:val="auto"/>
          <w:sz w:val="24"/>
          <w:szCs w:val="20"/>
          <w:highlight w:val="none"/>
          <w:u w:val="single"/>
        </w:rPr>
        <w:t xml:space="preserve">（标的名称） </w:t>
      </w:r>
      <w:r>
        <w:rPr>
          <w:rFonts w:hint="eastAsia" w:ascii="宋体" w:hAnsi="宋体" w:cs="宋体"/>
          <w:color w:val="auto"/>
          <w:sz w:val="24"/>
          <w:szCs w:val="20"/>
          <w:highlight w:val="none"/>
        </w:rPr>
        <w:t>，属于</w:t>
      </w:r>
      <w:r>
        <w:rPr>
          <w:rFonts w:hint="eastAsia" w:ascii="宋体" w:hAnsi="宋体" w:cs="宋体"/>
          <w:color w:val="auto"/>
          <w:sz w:val="24"/>
          <w:szCs w:val="20"/>
          <w:highlight w:val="none"/>
          <w:u w:val="single"/>
        </w:rPr>
        <w:t>（采购文件中明确的所属行业）</w:t>
      </w:r>
      <w:r>
        <w:rPr>
          <w:rFonts w:hint="eastAsia" w:ascii="宋体" w:hAnsi="宋体" w:cs="宋体"/>
          <w:color w:val="auto"/>
          <w:sz w:val="24"/>
          <w:szCs w:val="20"/>
          <w:highlight w:val="none"/>
        </w:rPr>
        <w:t>；承建（承接）企业为</w:t>
      </w:r>
      <w:r>
        <w:rPr>
          <w:rFonts w:hint="eastAsia" w:ascii="宋体" w:hAnsi="宋体" w:cs="宋体"/>
          <w:color w:val="auto"/>
          <w:sz w:val="24"/>
          <w:szCs w:val="20"/>
          <w:highlight w:val="none"/>
          <w:u w:val="single"/>
        </w:rPr>
        <w:t>（企业名称）</w:t>
      </w:r>
      <w:r>
        <w:rPr>
          <w:rFonts w:hint="eastAsia" w:ascii="宋体" w:hAnsi="宋体" w:cs="宋体"/>
          <w:color w:val="auto"/>
          <w:sz w:val="24"/>
          <w:szCs w:val="20"/>
          <w:highlight w:val="none"/>
        </w:rPr>
        <w:t>，从业人员人，营业收入为万元，资产总额为万元1，属于（中型企业/小型企业/微型企业）；</w:t>
      </w:r>
    </w:p>
    <w:p>
      <w:pPr>
        <w:spacing w:line="360" w:lineRule="auto"/>
        <w:ind w:firstLine="638" w:firstLineChars="266"/>
        <w:jc w:val="left"/>
        <w:rPr>
          <w:rFonts w:ascii="宋体" w:hAnsi="宋体" w:cs="宋体"/>
          <w:color w:val="auto"/>
          <w:sz w:val="24"/>
          <w:szCs w:val="20"/>
          <w:highlight w:val="none"/>
        </w:rPr>
      </w:pPr>
      <w:r>
        <w:rPr>
          <w:rFonts w:hint="eastAsia" w:ascii="宋体" w:hAnsi="宋体" w:cs="宋体"/>
          <w:color w:val="auto"/>
          <w:sz w:val="24"/>
          <w:szCs w:val="20"/>
          <w:highlight w:val="none"/>
        </w:rPr>
        <w:t xml:space="preserve">2. </w:t>
      </w:r>
      <w:r>
        <w:rPr>
          <w:rFonts w:hint="eastAsia" w:ascii="宋体" w:hAnsi="宋体" w:cs="宋体"/>
          <w:color w:val="auto"/>
          <w:sz w:val="24"/>
          <w:szCs w:val="20"/>
          <w:highlight w:val="none"/>
          <w:u w:val="single"/>
        </w:rPr>
        <w:t xml:space="preserve">（标的名称） </w:t>
      </w:r>
      <w:r>
        <w:rPr>
          <w:rFonts w:hint="eastAsia" w:ascii="宋体" w:hAnsi="宋体" w:cs="宋体"/>
          <w:color w:val="auto"/>
          <w:sz w:val="24"/>
          <w:szCs w:val="20"/>
          <w:highlight w:val="none"/>
        </w:rPr>
        <w:t>，属于</w:t>
      </w:r>
      <w:r>
        <w:rPr>
          <w:rFonts w:hint="eastAsia" w:ascii="宋体" w:hAnsi="宋体" w:cs="宋体"/>
          <w:color w:val="auto"/>
          <w:sz w:val="24"/>
          <w:szCs w:val="20"/>
          <w:highlight w:val="none"/>
          <w:u w:val="single"/>
        </w:rPr>
        <w:t>（采购文件中明确的所属行业）</w:t>
      </w:r>
      <w:r>
        <w:rPr>
          <w:rFonts w:hint="eastAsia" w:ascii="宋体" w:hAnsi="宋体" w:cs="宋体"/>
          <w:color w:val="auto"/>
          <w:sz w:val="24"/>
          <w:szCs w:val="20"/>
          <w:highlight w:val="none"/>
        </w:rPr>
        <w:t>；承建（承接）企业为</w:t>
      </w:r>
      <w:r>
        <w:rPr>
          <w:rFonts w:hint="eastAsia" w:ascii="宋体" w:hAnsi="宋体" w:cs="宋体"/>
          <w:color w:val="auto"/>
          <w:sz w:val="24"/>
          <w:szCs w:val="20"/>
          <w:highlight w:val="none"/>
          <w:u w:val="single"/>
        </w:rPr>
        <w:t>（企业名称）</w:t>
      </w:r>
      <w:r>
        <w:rPr>
          <w:rFonts w:hint="eastAsia" w:ascii="宋体" w:hAnsi="宋体" w:cs="宋体"/>
          <w:color w:val="auto"/>
          <w:sz w:val="24"/>
          <w:szCs w:val="20"/>
          <w:highlight w:val="none"/>
        </w:rPr>
        <w:t>，从业人员人，营业收入为万元，资产总额为万元，属于</w:t>
      </w:r>
      <w:r>
        <w:rPr>
          <w:rFonts w:hint="eastAsia" w:ascii="宋体" w:hAnsi="宋体" w:cs="宋体"/>
          <w:color w:val="auto"/>
          <w:sz w:val="24"/>
          <w:szCs w:val="20"/>
          <w:highlight w:val="none"/>
          <w:u w:val="single"/>
        </w:rPr>
        <w:t>（中型企业/小型企业/微型企业）</w:t>
      </w:r>
      <w:r>
        <w:rPr>
          <w:rFonts w:hint="eastAsia" w:ascii="宋体" w:hAnsi="宋体" w:cs="宋体"/>
          <w:color w:val="auto"/>
          <w:sz w:val="24"/>
          <w:szCs w:val="20"/>
          <w:highlight w:val="none"/>
        </w:rPr>
        <w:t>；</w:t>
      </w:r>
    </w:p>
    <w:p>
      <w:pPr>
        <w:spacing w:line="360" w:lineRule="auto"/>
        <w:ind w:firstLine="638" w:firstLineChars="266"/>
        <w:jc w:val="left"/>
        <w:rPr>
          <w:rFonts w:ascii="宋体" w:hAnsi="宋体" w:cs="宋体"/>
          <w:color w:val="auto"/>
          <w:sz w:val="24"/>
          <w:szCs w:val="20"/>
          <w:highlight w:val="none"/>
        </w:rPr>
      </w:pPr>
      <w:r>
        <w:rPr>
          <w:rFonts w:hint="eastAsia" w:ascii="宋体" w:hAnsi="宋体" w:cs="宋体"/>
          <w:color w:val="auto"/>
          <w:sz w:val="24"/>
          <w:szCs w:val="20"/>
          <w:highlight w:val="none"/>
        </w:rPr>
        <w:t>……</w:t>
      </w:r>
    </w:p>
    <w:p>
      <w:pPr>
        <w:spacing w:line="360" w:lineRule="auto"/>
        <w:ind w:firstLine="638" w:firstLineChars="266"/>
        <w:jc w:val="left"/>
        <w:rPr>
          <w:rFonts w:ascii="宋体" w:hAnsi="宋体" w:cs="宋体"/>
          <w:color w:val="auto"/>
          <w:sz w:val="24"/>
          <w:szCs w:val="20"/>
          <w:highlight w:val="none"/>
        </w:rPr>
      </w:pPr>
      <w:r>
        <w:rPr>
          <w:rFonts w:hint="eastAsia" w:ascii="宋体" w:hAnsi="宋体" w:cs="宋体"/>
          <w:color w:val="auto"/>
          <w:sz w:val="24"/>
          <w:szCs w:val="20"/>
          <w:highlight w:val="none"/>
        </w:rPr>
        <w:t>以上企业，不属于大企业的分支机构，不存在控股股东为大企业的情形，也不存在与大企业的负责人为同一人的情形。</w:t>
      </w:r>
    </w:p>
    <w:p>
      <w:pPr>
        <w:spacing w:line="360" w:lineRule="auto"/>
        <w:ind w:firstLine="638" w:firstLineChars="266"/>
        <w:jc w:val="left"/>
        <w:rPr>
          <w:rFonts w:ascii="宋体" w:hAnsi="宋体" w:cs="宋体"/>
          <w:color w:val="auto"/>
          <w:sz w:val="24"/>
          <w:szCs w:val="20"/>
          <w:highlight w:val="none"/>
        </w:rPr>
      </w:pPr>
      <w:r>
        <w:rPr>
          <w:rFonts w:hint="eastAsia" w:ascii="宋体" w:hAnsi="宋体" w:cs="宋体"/>
          <w:color w:val="auto"/>
          <w:sz w:val="24"/>
          <w:szCs w:val="20"/>
          <w:highlight w:val="none"/>
        </w:rPr>
        <w:t>本企业对上述声明内容的真实性负责。如有虚假，将依法承担相应责任。</w:t>
      </w:r>
    </w:p>
    <w:p>
      <w:pPr>
        <w:spacing w:line="360" w:lineRule="auto"/>
        <w:ind w:firstLine="638" w:firstLineChars="266"/>
        <w:jc w:val="left"/>
        <w:rPr>
          <w:rFonts w:ascii="宋体" w:hAnsi="宋体" w:cs="宋体"/>
          <w:color w:val="auto"/>
          <w:sz w:val="24"/>
          <w:szCs w:val="20"/>
          <w:highlight w:val="none"/>
        </w:rPr>
      </w:pPr>
    </w:p>
    <w:p>
      <w:pPr>
        <w:spacing w:line="360" w:lineRule="auto"/>
        <w:ind w:firstLine="638" w:firstLineChars="266"/>
        <w:jc w:val="left"/>
        <w:rPr>
          <w:rFonts w:ascii="宋体" w:hAnsi="宋体" w:cs="宋体"/>
          <w:color w:val="auto"/>
          <w:sz w:val="24"/>
          <w:szCs w:val="20"/>
          <w:highlight w:val="none"/>
        </w:rPr>
      </w:pPr>
      <w:r>
        <w:rPr>
          <w:rFonts w:hint="eastAsia" w:ascii="宋体" w:hAnsi="宋体" w:cs="宋体"/>
          <w:color w:val="auto"/>
          <w:sz w:val="24"/>
          <w:szCs w:val="20"/>
          <w:highlight w:val="none"/>
        </w:rPr>
        <w:t>企业名称（</w:t>
      </w:r>
      <w:r>
        <w:rPr>
          <w:rFonts w:hint="eastAsia" w:ascii="宋体" w:hAnsi="宋体" w:cs="楷体_GB2312"/>
          <w:color w:val="auto"/>
          <w:sz w:val="24"/>
          <w:highlight w:val="none"/>
        </w:rPr>
        <w:t>盖章</w:t>
      </w:r>
      <w:r>
        <w:rPr>
          <w:rFonts w:hint="eastAsia" w:ascii="宋体" w:hAnsi="宋体" w:cs="宋体"/>
          <w:color w:val="auto"/>
          <w:sz w:val="24"/>
          <w:szCs w:val="20"/>
          <w:highlight w:val="none"/>
        </w:rPr>
        <w:t>）：</w:t>
      </w:r>
    </w:p>
    <w:p>
      <w:pPr>
        <w:spacing w:line="360" w:lineRule="auto"/>
        <w:ind w:firstLine="638" w:firstLineChars="266"/>
        <w:jc w:val="left"/>
        <w:rPr>
          <w:rFonts w:ascii="宋体" w:hAnsi="宋体" w:cs="宋体"/>
          <w:color w:val="auto"/>
          <w:sz w:val="24"/>
          <w:szCs w:val="20"/>
          <w:highlight w:val="none"/>
        </w:rPr>
      </w:pPr>
      <w:r>
        <w:rPr>
          <w:rFonts w:hint="eastAsia" w:ascii="宋体" w:hAnsi="宋体" w:cs="宋体"/>
          <w:color w:val="auto"/>
          <w:sz w:val="24"/>
          <w:szCs w:val="20"/>
          <w:highlight w:val="none"/>
        </w:rPr>
        <w:t>日期：</w:t>
      </w:r>
    </w:p>
    <w:p>
      <w:pPr>
        <w:pStyle w:val="11"/>
        <w:ind w:left="63" w:right="63" w:firstLine="240"/>
        <w:rPr>
          <w:rFonts w:hAnsi="宋体" w:cs="宋体"/>
          <w:color w:val="auto"/>
          <w:sz w:val="24"/>
          <w:highlight w:val="none"/>
        </w:rPr>
      </w:pPr>
    </w:p>
    <w:p>
      <w:pPr>
        <w:pStyle w:val="12"/>
        <w:rPr>
          <w:rFonts w:ascii="宋体" w:hAnsi="宋体"/>
          <w:color w:val="auto"/>
          <w:highlight w:val="none"/>
        </w:rPr>
      </w:pPr>
    </w:p>
    <w:p>
      <w:pPr>
        <w:spacing w:line="360" w:lineRule="auto"/>
        <w:ind w:firstLine="641" w:firstLineChars="266"/>
        <w:jc w:val="left"/>
        <w:rPr>
          <w:rFonts w:ascii="宋体" w:hAnsi="宋体" w:cs="宋体"/>
          <w:b/>
          <w:bCs/>
          <w:color w:val="auto"/>
          <w:sz w:val="24"/>
          <w:szCs w:val="20"/>
          <w:highlight w:val="none"/>
        </w:rPr>
      </w:pPr>
      <w:r>
        <w:rPr>
          <w:rFonts w:hint="eastAsia" w:ascii="宋体" w:hAnsi="宋体" w:cs="宋体"/>
          <w:b/>
          <w:bCs/>
          <w:color w:val="auto"/>
          <w:sz w:val="24"/>
          <w:szCs w:val="20"/>
          <w:highlight w:val="none"/>
        </w:rPr>
        <w:t>注：1、从业人员、营业收入、资产总额填报上一年度数据，无上一年度数据的新成立企业可不填报。</w:t>
      </w:r>
    </w:p>
    <w:p>
      <w:pPr>
        <w:numPr>
          <w:ilvl w:val="0"/>
          <w:numId w:val="1"/>
        </w:numPr>
        <w:spacing w:line="360" w:lineRule="auto"/>
        <w:ind w:firstLine="641" w:firstLineChars="266"/>
        <w:jc w:val="left"/>
        <w:rPr>
          <w:rFonts w:ascii="宋体" w:hAnsi="宋体" w:cs="宋体"/>
          <w:b/>
          <w:bCs/>
          <w:color w:val="auto"/>
          <w:sz w:val="24"/>
          <w:szCs w:val="20"/>
          <w:highlight w:val="none"/>
        </w:rPr>
      </w:pPr>
      <w:r>
        <w:rPr>
          <w:rFonts w:hint="eastAsia" w:ascii="宋体" w:hAnsi="宋体" w:cs="宋体"/>
          <w:b/>
          <w:bCs/>
          <w:color w:val="auto"/>
          <w:sz w:val="24"/>
          <w:szCs w:val="20"/>
          <w:highlight w:val="none"/>
        </w:rPr>
        <w:t>中小企业划分标准见工业和信息化部国家统计局国家发展和改革委员财政部《关于印发中小企业划型标准规定的通知》（工信部联企业【2011】300号）。</w:t>
      </w:r>
    </w:p>
    <w:p>
      <w:pPr>
        <w:spacing w:line="360" w:lineRule="auto"/>
        <w:jc w:val="left"/>
        <w:rPr>
          <w:rFonts w:ascii="宋体" w:hAnsi="宋体" w:cs="宋体"/>
          <w:b/>
          <w:bCs/>
          <w:color w:val="auto"/>
          <w:sz w:val="24"/>
          <w:szCs w:val="20"/>
          <w:highlight w:val="none"/>
        </w:rPr>
      </w:pPr>
    </w:p>
    <w:p>
      <w:pPr>
        <w:spacing w:line="360" w:lineRule="auto"/>
        <w:jc w:val="left"/>
        <w:rPr>
          <w:rFonts w:ascii="宋体" w:hAnsi="宋体" w:cs="宋体"/>
          <w:b/>
          <w:bCs/>
          <w:color w:val="auto"/>
          <w:sz w:val="24"/>
          <w:szCs w:val="20"/>
          <w:highlight w:val="none"/>
        </w:rPr>
      </w:pPr>
    </w:p>
    <w:p>
      <w:pPr>
        <w:rPr>
          <w:rFonts w:ascii="宋体" w:hAnsi="宋体" w:cs="宋体"/>
          <w:b/>
          <w:color w:val="auto"/>
          <w:sz w:val="30"/>
          <w:szCs w:val="30"/>
          <w:highlight w:val="none"/>
        </w:rPr>
      </w:pPr>
      <w:r>
        <w:rPr>
          <w:rFonts w:hint="eastAsia" w:ascii="宋体" w:hAnsi="宋体" w:cs="宋体"/>
          <w:b/>
          <w:color w:val="auto"/>
          <w:sz w:val="30"/>
          <w:szCs w:val="30"/>
          <w:highlight w:val="none"/>
        </w:rPr>
        <w:t>附件2：</w:t>
      </w:r>
      <w:bookmarkStart w:id="152" w:name="OLE_LINK14"/>
      <w:bookmarkStart w:id="153" w:name="OLE_LINK13"/>
      <w:r>
        <w:rPr>
          <w:rFonts w:hint="eastAsia" w:ascii="宋体" w:hAnsi="宋体" w:cs="宋体"/>
          <w:b/>
          <w:color w:val="auto"/>
          <w:sz w:val="30"/>
          <w:szCs w:val="30"/>
          <w:highlight w:val="none"/>
        </w:rPr>
        <w:t>监狱企业证明文件（非监狱企业可不附此表）</w:t>
      </w:r>
    </w:p>
    <w:p>
      <w:pPr>
        <w:jc w:val="center"/>
        <w:rPr>
          <w:rFonts w:ascii="宋体" w:hAnsi="宋体" w:cs="宋体"/>
          <w:color w:val="auto"/>
          <w:sz w:val="30"/>
          <w:szCs w:val="30"/>
          <w:highlight w:val="none"/>
        </w:rPr>
      </w:pPr>
    </w:p>
    <w:p>
      <w:pPr>
        <w:jc w:val="center"/>
        <w:rPr>
          <w:rFonts w:ascii="宋体" w:hAnsi="宋体" w:cs="宋体"/>
          <w:color w:val="auto"/>
          <w:sz w:val="30"/>
          <w:szCs w:val="30"/>
          <w:highlight w:val="none"/>
        </w:rPr>
      </w:pPr>
    </w:p>
    <w:p>
      <w:pPr>
        <w:jc w:val="center"/>
        <w:rPr>
          <w:rFonts w:ascii="宋体" w:hAnsi="宋体" w:cs="宋体"/>
          <w:color w:val="auto"/>
          <w:sz w:val="30"/>
          <w:szCs w:val="30"/>
          <w:highlight w:val="none"/>
        </w:rPr>
      </w:pPr>
    </w:p>
    <w:p>
      <w:pPr>
        <w:jc w:val="center"/>
        <w:rPr>
          <w:rFonts w:ascii="宋体" w:hAnsi="宋体" w:cs="宋体"/>
          <w:color w:val="auto"/>
          <w:sz w:val="30"/>
          <w:szCs w:val="30"/>
          <w:highlight w:val="none"/>
        </w:rPr>
      </w:pPr>
      <w:r>
        <w:rPr>
          <w:rFonts w:hint="eastAsia" w:ascii="宋体" w:hAnsi="宋体" w:cs="宋体"/>
          <w:color w:val="auto"/>
          <w:sz w:val="30"/>
          <w:szCs w:val="30"/>
          <w:highlight w:val="none"/>
        </w:rPr>
        <w:t>监狱企业证明文件（参考格式）</w:t>
      </w:r>
    </w:p>
    <w:p>
      <w:pPr>
        <w:rPr>
          <w:rFonts w:ascii="宋体" w:hAnsi="宋体" w:cs="宋体"/>
          <w:color w:val="auto"/>
          <w:sz w:val="30"/>
          <w:szCs w:val="30"/>
          <w:highlight w:val="none"/>
        </w:rPr>
      </w:pPr>
    </w:p>
    <w:p>
      <w:pPr>
        <w:ind w:firstLine="423" w:firstLineChars="168"/>
        <w:rPr>
          <w:rFonts w:ascii="宋体" w:hAnsi="宋体"/>
          <w:color w:val="auto"/>
          <w:spacing w:val="6"/>
          <w:sz w:val="24"/>
          <w:szCs w:val="24"/>
          <w:highlight w:val="none"/>
        </w:rPr>
      </w:pPr>
    </w:p>
    <w:p>
      <w:pPr>
        <w:ind w:firstLine="423" w:firstLineChars="168"/>
        <w:rPr>
          <w:rFonts w:ascii="宋体" w:hAnsi="宋体"/>
          <w:color w:val="auto"/>
          <w:spacing w:val="6"/>
          <w:sz w:val="24"/>
          <w:szCs w:val="24"/>
          <w:highlight w:val="none"/>
        </w:rPr>
      </w:pPr>
      <w:r>
        <w:rPr>
          <w:rFonts w:hint="eastAsia" w:ascii="宋体" w:hAnsi="宋体"/>
          <w:color w:val="auto"/>
          <w:spacing w:val="6"/>
          <w:sz w:val="24"/>
          <w:szCs w:val="24"/>
          <w:highlight w:val="none"/>
        </w:rPr>
        <w:t>省级以上监狱管理局、戒毒管理局（含新疆生产建设兵团）出具的属于监狱企业的证明文件。</w:t>
      </w:r>
    </w:p>
    <w:p>
      <w:pPr>
        <w:widowControl/>
        <w:jc w:val="left"/>
        <w:rPr>
          <w:rFonts w:ascii="宋体" w:hAnsi="宋体"/>
          <w:b/>
          <w:color w:val="auto"/>
          <w:spacing w:val="6"/>
          <w:sz w:val="28"/>
          <w:szCs w:val="28"/>
          <w:highlight w:val="none"/>
        </w:rPr>
      </w:pPr>
      <w:r>
        <w:rPr>
          <w:rFonts w:ascii="宋体" w:hAnsi="宋体"/>
          <w:b/>
          <w:color w:val="auto"/>
          <w:spacing w:val="6"/>
          <w:sz w:val="28"/>
          <w:szCs w:val="28"/>
          <w:highlight w:val="none"/>
        </w:rPr>
        <w:br w:type="page"/>
      </w:r>
    </w:p>
    <w:p>
      <w:pPr>
        <w:spacing w:line="588" w:lineRule="exact"/>
        <w:rPr>
          <w:rFonts w:ascii="宋体" w:hAnsi="宋体"/>
          <w:b/>
          <w:color w:val="auto"/>
          <w:spacing w:val="6"/>
          <w:sz w:val="28"/>
          <w:szCs w:val="28"/>
          <w:highlight w:val="none"/>
        </w:rPr>
      </w:pPr>
      <w:r>
        <w:rPr>
          <w:rFonts w:hint="eastAsia" w:ascii="宋体" w:hAnsi="宋体"/>
          <w:b/>
          <w:color w:val="auto"/>
          <w:spacing w:val="6"/>
          <w:sz w:val="28"/>
          <w:szCs w:val="28"/>
          <w:highlight w:val="none"/>
        </w:rPr>
        <w:t>附件3：残疾人福利性单位声明函（非残疾人福利性单位可不附此表）</w:t>
      </w:r>
    </w:p>
    <w:p>
      <w:pPr>
        <w:spacing w:line="588" w:lineRule="exact"/>
        <w:jc w:val="center"/>
        <w:rPr>
          <w:rFonts w:ascii="宋体" w:hAnsi="宋体"/>
          <w:b/>
          <w:color w:val="auto"/>
          <w:spacing w:val="6"/>
          <w:sz w:val="32"/>
          <w:szCs w:val="32"/>
          <w:highlight w:val="none"/>
        </w:rPr>
      </w:pPr>
    </w:p>
    <w:p>
      <w:pPr>
        <w:spacing w:line="588" w:lineRule="exact"/>
        <w:jc w:val="center"/>
        <w:rPr>
          <w:rFonts w:ascii="宋体" w:hAnsi="宋体"/>
          <w:b/>
          <w:color w:val="auto"/>
          <w:spacing w:val="6"/>
          <w:sz w:val="32"/>
          <w:szCs w:val="32"/>
          <w:highlight w:val="none"/>
        </w:rPr>
      </w:pPr>
    </w:p>
    <w:p>
      <w:pPr>
        <w:spacing w:line="588" w:lineRule="exact"/>
        <w:jc w:val="center"/>
        <w:rPr>
          <w:rFonts w:ascii="宋体" w:hAnsi="宋体"/>
          <w:b/>
          <w:color w:val="auto"/>
          <w:spacing w:val="6"/>
          <w:sz w:val="32"/>
          <w:szCs w:val="32"/>
          <w:highlight w:val="none"/>
        </w:rPr>
      </w:pPr>
      <w:r>
        <w:rPr>
          <w:rFonts w:hint="eastAsia" w:ascii="宋体" w:hAnsi="宋体"/>
          <w:b/>
          <w:color w:val="auto"/>
          <w:spacing w:val="6"/>
          <w:sz w:val="32"/>
          <w:szCs w:val="32"/>
          <w:highlight w:val="none"/>
        </w:rPr>
        <w:t>残疾人福利性单位声明函</w:t>
      </w:r>
    </w:p>
    <w:bookmarkEnd w:id="152"/>
    <w:bookmarkEnd w:id="153"/>
    <w:p>
      <w:pPr>
        <w:spacing w:line="588" w:lineRule="exact"/>
        <w:rPr>
          <w:rFonts w:ascii="宋体" w:hAnsi="宋体"/>
          <w:b/>
          <w:color w:val="auto"/>
          <w:spacing w:val="6"/>
          <w:sz w:val="30"/>
          <w:szCs w:val="30"/>
          <w:highlight w:val="none"/>
        </w:rPr>
      </w:pPr>
    </w:p>
    <w:p>
      <w:pPr>
        <w:spacing w:line="588" w:lineRule="exact"/>
        <w:ind w:firstLine="504" w:firstLineChars="200"/>
        <w:rPr>
          <w:rFonts w:ascii="宋体" w:hAnsi="宋体"/>
          <w:color w:val="auto"/>
          <w:spacing w:val="6"/>
          <w:sz w:val="24"/>
          <w:szCs w:val="24"/>
          <w:highlight w:val="none"/>
        </w:rPr>
      </w:pPr>
      <w:r>
        <w:rPr>
          <w:rFonts w:hint="eastAsia" w:ascii="宋体" w:hAnsi="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color w:val="auto"/>
          <w:sz w:val="24"/>
          <w:szCs w:val="24"/>
          <w:highlight w:val="none"/>
        </w:rPr>
        <w:t>〔2017〕 141</w:t>
      </w:r>
      <w:r>
        <w:rPr>
          <w:rFonts w:hint="eastAsia" w:ascii="宋体" w:hAnsi="宋体"/>
          <w:color w:val="auto"/>
          <w:spacing w:val="6"/>
          <w:sz w:val="24"/>
          <w:szCs w:val="24"/>
          <w:highlight w:val="none"/>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ascii="宋体" w:hAnsi="宋体"/>
          <w:color w:val="auto"/>
          <w:spacing w:val="6"/>
          <w:sz w:val="24"/>
          <w:szCs w:val="24"/>
          <w:highlight w:val="none"/>
        </w:rPr>
      </w:pPr>
      <w:r>
        <w:rPr>
          <w:rFonts w:hint="eastAsia" w:ascii="宋体" w:hAnsi="宋体"/>
          <w:color w:val="auto"/>
          <w:spacing w:val="6"/>
          <w:sz w:val="24"/>
          <w:szCs w:val="24"/>
          <w:highlight w:val="none"/>
        </w:rPr>
        <w:t>本单位对上述声明的真实性负责。如有虚假，将依法承担相应责任。</w:t>
      </w:r>
    </w:p>
    <w:p>
      <w:pPr>
        <w:spacing w:line="588" w:lineRule="exact"/>
        <w:ind w:firstLine="504" w:firstLineChars="200"/>
        <w:rPr>
          <w:rFonts w:ascii="宋体" w:hAnsi="宋体"/>
          <w:color w:val="auto"/>
          <w:spacing w:val="6"/>
          <w:sz w:val="24"/>
          <w:szCs w:val="24"/>
          <w:highlight w:val="none"/>
        </w:rPr>
      </w:pPr>
    </w:p>
    <w:p>
      <w:pPr>
        <w:spacing w:line="588" w:lineRule="exact"/>
        <w:ind w:firstLine="504" w:firstLineChars="200"/>
        <w:rPr>
          <w:rFonts w:ascii="宋体" w:hAnsi="宋体"/>
          <w:color w:val="auto"/>
          <w:spacing w:val="6"/>
          <w:sz w:val="24"/>
          <w:szCs w:val="24"/>
          <w:highlight w:val="none"/>
        </w:rPr>
      </w:pPr>
    </w:p>
    <w:p>
      <w:pPr>
        <w:tabs>
          <w:tab w:val="left" w:pos="4860"/>
        </w:tabs>
        <w:spacing w:line="588" w:lineRule="exact"/>
        <w:ind w:right="1560" w:firstLine="504" w:firstLineChars="200"/>
        <w:jc w:val="center"/>
        <w:rPr>
          <w:rFonts w:ascii="宋体" w:hAnsi="宋体"/>
          <w:color w:val="auto"/>
          <w:spacing w:val="6"/>
          <w:sz w:val="24"/>
          <w:szCs w:val="24"/>
          <w:highlight w:val="none"/>
        </w:rPr>
      </w:pPr>
      <w:r>
        <w:rPr>
          <w:rFonts w:hint="eastAsia" w:ascii="宋体" w:hAnsi="宋体"/>
          <w:color w:val="auto"/>
          <w:spacing w:val="6"/>
          <w:sz w:val="24"/>
          <w:szCs w:val="24"/>
          <w:highlight w:val="none"/>
        </w:rPr>
        <w:t xml:space="preserve">               单位名称（盖章）：</w:t>
      </w:r>
    </w:p>
    <w:p>
      <w:pPr>
        <w:tabs>
          <w:tab w:val="left" w:pos="4860"/>
        </w:tabs>
        <w:spacing w:line="588" w:lineRule="exact"/>
        <w:ind w:right="1560" w:firstLine="504" w:firstLineChars="200"/>
        <w:jc w:val="center"/>
        <w:rPr>
          <w:rFonts w:ascii="宋体" w:hAnsi="宋体"/>
          <w:color w:val="auto"/>
          <w:spacing w:val="6"/>
          <w:sz w:val="24"/>
          <w:szCs w:val="24"/>
          <w:highlight w:val="none"/>
        </w:rPr>
      </w:pPr>
      <w:r>
        <w:rPr>
          <w:rFonts w:hint="eastAsia" w:ascii="宋体" w:hAnsi="宋体"/>
          <w:color w:val="auto"/>
          <w:spacing w:val="6"/>
          <w:sz w:val="24"/>
          <w:szCs w:val="24"/>
          <w:highlight w:val="none"/>
        </w:rPr>
        <w:t xml:space="preserve">       日  期：</w:t>
      </w:r>
    </w:p>
    <w:p>
      <w:pPr>
        <w:adjustRightInd w:val="0"/>
        <w:snapToGrid w:val="0"/>
        <w:spacing w:line="360" w:lineRule="auto"/>
        <w:jc w:val="left"/>
        <w:rPr>
          <w:rFonts w:asciiTheme="minorEastAsia" w:hAnsiTheme="minorEastAsia"/>
          <w:color w:val="auto"/>
          <w:sz w:val="24"/>
          <w:highlight w:val="none"/>
        </w:rPr>
      </w:pPr>
    </w:p>
    <w:p>
      <w:pPr>
        <w:adjustRightInd w:val="0"/>
        <w:snapToGrid w:val="0"/>
        <w:spacing w:line="360" w:lineRule="auto"/>
        <w:jc w:val="left"/>
        <w:rPr>
          <w:rFonts w:asciiTheme="minorEastAsia" w:hAnsiTheme="minorEastAsia"/>
          <w:color w:val="auto"/>
          <w:sz w:val="24"/>
          <w:highlight w:val="none"/>
        </w:rPr>
      </w:pPr>
    </w:p>
    <w:p>
      <w:pPr>
        <w:spacing w:line="360" w:lineRule="auto"/>
        <w:jc w:val="left"/>
        <w:rPr>
          <w:rFonts w:ascii="宋体" w:hAnsi="宋体" w:cs="宋体"/>
          <w:b/>
          <w:bCs/>
          <w:color w:val="auto"/>
          <w:sz w:val="24"/>
          <w:szCs w:val="20"/>
          <w:highlight w:val="none"/>
        </w:rPr>
      </w:pPr>
    </w:p>
    <w:p>
      <w:pPr>
        <w:rPr>
          <w:color w:val="auto"/>
          <w:highlight w:val="none"/>
        </w:rPr>
      </w:pPr>
    </w:p>
    <w:p>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0000000000000000000"/>
    <w:charset w:val="86"/>
    <w:family w:val="auto"/>
    <w:pitch w:val="default"/>
    <w:sig w:usb0="00000000" w:usb1="00000000"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 w:name="monospace">
    <w:altName w:val="Segoe Print"/>
    <w:panose1 w:val="00000000000000000000"/>
    <w:charset w:val="00"/>
    <w:family w:val="auto"/>
    <w:pitch w:val="default"/>
    <w:sig w:usb0="00000000" w:usb1="00000000" w:usb2="00000000" w:usb3="00000000" w:csb0="00000000" w:csb1="00000000"/>
  </w:font>
  <w:font w:name="华文宋体">
    <w:altName w:val="宋体"/>
    <w:panose1 w:val="02010600040101010101"/>
    <w:charset w:val="86"/>
    <w:family w:val="auto"/>
    <w:pitch w:val="default"/>
    <w:sig w:usb0="00000000" w:usb1="00000000" w:usb2="00000010" w:usb3="00000000" w:csb0="000400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9" w:usb3="00000000" w:csb0="000001FF"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0"/>
        <w:szCs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joinstyle="miter"/>
          <v:imagedata o:title=""/>
          <o:lock v:ext="edit"/>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F792C9"/>
    <w:multiLevelType w:val="singleLevel"/>
    <w:tmpl w:val="85F792C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kML15lMPG+1Hc+SlsOyqZNGZRvA=" w:salt="wYFt1WSVnnBFm8AwBs84rA=="/>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MwNWNmZTllMTQ2YjMwYjEwNTBhYzVlNTJjODYzNjMifQ=="/>
  </w:docVars>
  <w:rsids>
    <w:rsidRoot w:val="039B3039"/>
    <w:rsid w:val="00002B04"/>
    <w:rsid w:val="00026B25"/>
    <w:rsid w:val="00040E1B"/>
    <w:rsid w:val="00071198"/>
    <w:rsid w:val="0008053E"/>
    <w:rsid w:val="00085A01"/>
    <w:rsid w:val="00096CD0"/>
    <w:rsid w:val="00101C9C"/>
    <w:rsid w:val="00181A1B"/>
    <w:rsid w:val="001C085B"/>
    <w:rsid w:val="002334D4"/>
    <w:rsid w:val="002A136D"/>
    <w:rsid w:val="002B6C8C"/>
    <w:rsid w:val="002C23D3"/>
    <w:rsid w:val="002E7063"/>
    <w:rsid w:val="003058B0"/>
    <w:rsid w:val="00327898"/>
    <w:rsid w:val="003D4904"/>
    <w:rsid w:val="003E499A"/>
    <w:rsid w:val="003F19A9"/>
    <w:rsid w:val="003F2DA7"/>
    <w:rsid w:val="00404077"/>
    <w:rsid w:val="004C383E"/>
    <w:rsid w:val="005017D1"/>
    <w:rsid w:val="00511180"/>
    <w:rsid w:val="00547CC3"/>
    <w:rsid w:val="005627E4"/>
    <w:rsid w:val="00587E7C"/>
    <w:rsid w:val="005D451F"/>
    <w:rsid w:val="006411E5"/>
    <w:rsid w:val="0066477E"/>
    <w:rsid w:val="007832D7"/>
    <w:rsid w:val="0078799F"/>
    <w:rsid w:val="007E27B5"/>
    <w:rsid w:val="007F573C"/>
    <w:rsid w:val="008339D7"/>
    <w:rsid w:val="00883F15"/>
    <w:rsid w:val="00895E0E"/>
    <w:rsid w:val="008A4490"/>
    <w:rsid w:val="008E6494"/>
    <w:rsid w:val="008F2054"/>
    <w:rsid w:val="00913AE4"/>
    <w:rsid w:val="00936DE3"/>
    <w:rsid w:val="009756D3"/>
    <w:rsid w:val="00A104FB"/>
    <w:rsid w:val="00AC7674"/>
    <w:rsid w:val="00B04C78"/>
    <w:rsid w:val="00B107EC"/>
    <w:rsid w:val="00B4532C"/>
    <w:rsid w:val="00B60104"/>
    <w:rsid w:val="00B95513"/>
    <w:rsid w:val="00BA2B0A"/>
    <w:rsid w:val="00BC5A45"/>
    <w:rsid w:val="00CE1E44"/>
    <w:rsid w:val="00CE30AC"/>
    <w:rsid w:val="00D04E03"/>
    <w:rsid w:val="00D05C73"/>
    <w:rsid w:val="00D55C6A"/>
    <w:rsid w:val="00D75F0F"/>
    <w:rsid w:val="00DB1FCF"/>
    <w:rsid w:val="00DB4E7B"/>
    <w:rsid w:val="00DB75D9"/>
    <w:rsid w:val="00EA4F70"/>
    <w:rsid w:val="00EE2048"/>
    <w:rsid w:val="00F14691"/>
    <w:rsid w:val="00FE1F3F"/>
    <w:rsid w:val="039B3039"/>
    <w:rsid w:val="04DD1F52"/>
    <w:rsid w:val="05D17E8C"/>
    <w:rsid w:val="061656FB"/>
    <w:rsid w:val="08B23D04"/>
    <w:rsid w:val="0B664CB3"/>
    <w:rsid w:val="0BBA3089"/>
    <w:rsid w:val="10063DF0"/>
    <w:rsid w:val="11CD17F7"/>
    <w:rsid w:val="12A4291D"/>
    <w:rsid w:val="15B01805"/>
    <w:rsid w:val="16E8721E"/>
    <w:rsid w:val="17DB3813"/>
    <w:rsid w:val="19A52923"/>
    <w:rsid w:val="209C1C28"/>
    <w:rsid w:val="2A521B19"/>
    <w:rsid w:val="2E426494"/>
    <w:rsid w:val="2EFC17EB"/>
    <w:rsid w:val="314927C9"/>
    <w:rsid w:val="32646E1A"/>
    <w:rsid w:val="33C77EB1"/>
    <w:rsid w:val="34C12E11"/>
    <w:rsid w:val="36455432"/>
    <w:rsid w:val="374534D2"/>
    <w:rsid w:val="380C02E1"/>
    <w:rsid w:val="38171D6C"/>
    <w:rsid w:val="3B9404BE"/>
    <w:rsid w:val="3C964E88"/>
    <w:rsid w:val="3CB5787B"/>
    <w:rsid w:val="3DA55BD4"/>
    <w:rsid w:val="3F260727"/>
    <w:rsid w:val="40056EC3"/>
    <w:rsid w:val="40921455"/>
    <w:rsid w:val="417954FF"/>
    <w:rsid w:val="43285881"/>
    <w:rsid w:val="434D6371"/>
    <w:rsid w:val="47C66DCA"/>
    <w:rsid w:val="4B9537C2"/>
    <w:rsid w:val="4BB1049F"/>
    <w:rsid w:val="57F97214"/>
    <w:rsid w:val="588062F3"/>
    <w:rsid w:val="5F45174C"/>
    <w:rsid w:val="60B81F74"/>
    <w:rsid w:val="62BA7D07"/>
    <w:rsid w:val="64067E8D"/>
    <w:rsid w:val="65DF32A3"/>
    <w:rsid w:val="68D11D94"/>
    <w:rsid w:val="69B55A36"/>
    <w:rsid w:val="6C66443E"/>
    <w:rsid w:val="6F9E571D"/>
    <w:rsid w:val="73EE3494"/>
    <w:rsid w:val="75500389"/>
    <w:rsid w:val="7F9D6B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b/>
      <w:bCs/>
      <w:kern w:val="0"/>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99"/>
    <w:pPr>
      <w:spacing w:line="360" w:lineRule="auto"/>
    </w:pPr>
    <w:rPr>
      <w:rFonts w:ascii="宋体"/>
      <w:sz w:val="24"/>
    </w:rPr>
  </w:style>
  <w:style w:type="paragraph" w:styleId="4">
    <w:name w:val="Body Text 2"/>
    <w:basedOn w:val="1"/>
    <w:next w:val="3"/>
    <w:qFormat/>
    <w:uiPriority w:val="99"/>
    <w:pPr>
      <w:spacing w:after="120" w:line="480" w:lineRule="auto"/>
    </w:pPr>
    <w:rPr>
      <w:szCs w:val="24"/>
    </w:rPr>
  </w:style>
  <w:style w:type="paragraph" w:styleId="5">
    <w:name w:val="Body Text Indent"/>
    <w:basedOn w:val="1"/>
    <w:next w:val="6"/>
    <w:qFormat/>
    <w:uiPriority w:val="99"/>
    <w:pPr>
      <w:spacing w:after="120"/>
      <w:ind w:left="420" w:leftChars="200"/>
    </w:pPr>
  </w:style>
  <w:style w:type="paragraph" w:customStyle="1" w:styleId="6">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7">
    <w:name w:val="Balloon Text"/>
    <w:basedOn w:val="1"/>
    <w:link w:val="34"/>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envelope return"/>
    <w:basedOn w:val="1"/>
    <w:unhideWhenUsed/>
    <w:qFormat/>
    <w:uiPriority w:val="99"/>
    <w:pPr>
      <w:snapToGrid w:val="0"/>
    </w:pPr>
    <w:rPr>
      <w:rFonts w:ascii="等线 Light" w:hAnsi="等线 Light" w:eastAsia="等线 Light" w:cs="Times New Roman"/>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First Indent"/>
    <w:basedOn w:val="3"/>
    <w:next w:val="12"/>
    <w:unhideWhenUsed/>
    <w:qFormat/>
    <w:uiPriority w:val="0"/>
    <w:pPr>
      <w:spacing w:after="120" w:line="240" w:lineRule="auto"/>
      <w:ind w:firstLine="420" w:firstLineChars="100"/>
    </w:pPr>
    <w:rPr>
      <w:rFonts w:ascii="Times New Roman"/>
      <w:sz w:val="20"/>
    </w:rPr>
  </w:style>
  <w:style w:type="paragraph" w:styleId="12">
    <w:name w:val="Body Text First Indent 2"/>
    <w:basedOn w:val="5"/>
    <w:next w:val="1"/>
    <w:qFormat/>
    <w:uiPriority w:val="0"/>
    <w:pPr>
      <w:spacing w:before="100" w:beforeAutospacing="1" w:line="360" w:lineRule="auto"/>
      <w:ind w:firstLine="420"/>
    </w:pPr>
    <w:rPr>
      <w:rFonts w:eastAsia="Arial Unicode MS"/>
      <w:color w:val="000000"/>
      <w:kern w:val="0"/>
      <w:sz w:val="20"/>
      <w:szCs w:val="20"/>
    </w:rPr>
  </w:style>
  <w:style w:type="character" w:styleId="15">
    <w:name w:val="Strong"/>
    <w:basedOn w:val="14"/>
    <w:qFormat/>
    <w:uiPriority w:val="0"/>
    <w:rPr>
      <w:b/>
      <w:bCs/>
    </w:rPr>
  </w:style>
  <w:style w:type="character" w:styleId="16">
    <w:name w:val="FollowedHyperlink"/>
    <w:basedOn w:val="14"/>
    <w:qFormat/>
    <w:uiPriority w:val="0"/>
    <w:rPr>
      <w:color w:val="800080"/>
      <w:u w:val="none"/>
    </w:rPr>
  </w:style>
  <w:style w:type="character" w:styleId="17">
    <w:name w:val="Emphasis"/>
    <w:basedOn w:val="14"/>
    <w:qFormat/>
    <w:uiPriority w:val="0"/>
    <w:rPr>
      <w:b/>
      <w:bCs/>
    </w:rPr>
  </w:style>
  <w:style w:type="character" w:styleId="18">
    <w:name w:val="HTML Definition"/>
    <w:basedOn w:val="14"/>
    <w:qFormat/>
    <w:uiPriority w:val="0"/>
  </w:style>
  <w:style w:type="character" w:styleId="19">
    <w:name w:val="HTML Typewriter"/>
    <w:basedOn w:val="14"/>
    <w:qFormat/>
    <w:uiPriority w:val="0"/>
    <w:rPr>
      <w:rFonts w:hint="default" w:ascii="monospace" w:hAnsi="monospace" w:eastAsia="monospace" w:cs="monospace"/>
      <w:sz w:val="20"/>
    </w:rPr>
  </w:style>
  <w:style w:type="character" w:styleId="20">
    <w:name w:val="HTML Acronym"/>
    <w:basedOn w:val="14"/>
    <w:qFormat/>
    <w:uiPriority w:val="0"/>
  </w:style>
  <w:style w:type="character" w:styleId="21">
    <w:name w:val="HTML Variable"/>
    <w:basedOn w:val="14"/>
    <w:qFormat/>
    <w:uiPriority w:val="0"/>
  </w:style>
  <w:style w:type="character" w:styleId="22">
    <w:name w:val="Hyperlink"/>
    <w:basedOn w:val="14"/>
    <w:qFormat/>
    <w:uiPriority w:val="0"/>
    <w:rPr>
      <w:color w:val="0000FF"/>
      <w:u w:val="none"/>
    </w:rPr>
  </w:style>
  <w:style w:type="character" w:styleId="23">
    <w:name w:val="HTML Code"/>
    <w:basedOn w:val="14"/>
    <w:qFormat/>
    <w:uiPriority w:val="0"/>
    <w:rPr>
      <w:rFonts w:ascii="monospace" w:hAnsi="monospace" w:eastAsia="monospace" w:cs="monospace"/>
      <w:sz w:val="20"/>
    </w:rPr>
  </w:style>
  <w:style w:type="character" w:styleId="24">
    <w:name w:val="HTML Cite"/>
    <w:basedOn w:val="14"/>
    <w:qFormat/>
    <w:uiPriority w:val="0"/>
  </w:style>
  <w:style w:type="character" w:styleId="25">
    <w:name w:val="HTML Keyboard"/>
    <w:basedOn w:val="14"/>
    <w:qFormat/>
    <w:uiPriority w:val="0"/>
    <w:rPr>
      <w:rFonts w:hint="default" w:ascii="monospace" w:hAnsi="monospace" w:eastAsia="monospace" w:cs="monospace"/>
      <w:sz w:val="20"/>
    </w:rPr>
  </w:style>
  <w:style w:type="character" w:styleId="26">
    <w:name w:val="HTML Sample"/>
    <w:basedOn w:val="14"/>
    <w:qFormat/>
    <w:uiPriority w:val="0"/>
    <w:rPr>
      <w:rFonts w:hint="default" w:ascii="monospace" w:hAnsi="monospace" w:eastAsia="monospace" w:cs="monospace"/>
    </w:rPr>
  </w:style>
  <w:style w:type="paragraph" w:customStyle="1" w:styleId="27">
    <w:name w:val="WPSOffice手动目录 1"/>
    <w:qFormat/>
    <w:uiPriority w:val="0"/>
    <w:rPr>
      <w:rFonts w:asciiTheme="minorHAnsi" w:hAnsiTheme="minorHAnsi" w:eastAsiaTheme="minorEastAsia" w:cstheme="minorBidi"/>
      <w:lang w:val="en-US" w:eastAsia="zh-CN" w:bidi="ar-SA"/>
    </w:rPr>
  </w:style>
  <w:style w:type="character" w:customStyle="1" w:styleId="28">
    <w:name w:val="hover1"/>
    <w:basedOn w:val="14"/>
    <w:qFormat/>
    <w:uiPriority w:val="0"/>
    <w:rPr>
      <w:color w:val="2590EB"/>
    </w:rPr>
  </w:style>
  <w:style w:type="character" w:customStyle="1" w:styleId="29">
    <w:name w:val="hover2"/>
    <w:basedOn w:val="14"/>
    <w:qFormat/>
    <w:uiPriority w:val="0"/>
    <w:rPr>
      <w:color w:val="2590EB"/>
    </w:rPr>
  </w:style>
  <w:style w:type="character" w:customStyle="1" w:styleId="30">
    <w:name w:val="hover3"/>
    <w:basedOn w:val="14"/>
    <w:qFormat/>
    <w:uiPriority w:val="0"/>
  </w:style>
  <w:style w:type="character" w:customStyle="1" w:styleId="31">
    <w:name w:val="mini-outputtext1"/>
    <w:basedOn w:val="14"/>
    <w:qFormat/>
    <w:uiPriority w:val="0"/>
  </w:style>
  <w:style w:type="paragraph" w:customStyle="1" w:styleId="32">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33">
    <w:name w:val="hover"/>
    <w:basedOn w:val="14"/>
    <w:qFormat/>
    <w:uiPriority w:val="0"/>
    <w:rPr>
      <w:color w:val="2590EB"/>
    </w:rPr>
  </w:style>
  <w:style w:type="character" w:customStyle="1" w:styleId="34">
    <w:name w:val="批注框文本 Char"/>
    <w:basedOn w:val="14"/>
    <w:link w:val="7"/>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55</Pages>
  <Words>21738</Words>
  <Characters>4199</Characters>
  <Lines>34</Lines>
  <Paragraphs>51</Paragraphs>
  <TotalTime>9</TotalTime>
  <ScaleCrop>false</ScaleCrop>
  <LinksUpToDate>false</LinksUpToDate>
  <CharactersWithSpaces>25886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2023-07-06T14:42:00Z</dcterms:created>
  <dc:creator>文档存本地丢失不负责</dc:creator>
  <cp:lastModifiedBy>Dannies</cp:lastModifiedBy>
  <cp:lastPrinted>2025-12-19T00:41:00Z</cp:lastPrinted>
  <dcterms:modified xsi:type="dcterms:W3CDTF">2025-12-23T09:53:37Z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B6A7E8FCE00641B28883B148E209EE14_11</vt:lpwstr>
  </property>
</Properties>
</file>