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tLeast"/>
        <w:jc w:val="center"/>
        <w:textAlignment w:val="auto"/>
        <w:outlineLvl w:val="0"/>
        <w:rPr>
          <w:rFonts w:hint="eastAsia" w:ascii="宋体" w:hAnsi="宋体" w:eastAsia="宋体" w:cs="宋体"/>
          <w:b/>
          <w:bCs/>
          <w:color w:val="auto"/>
          <w:sz w:val="48"/>
          <w:szCs w:val="48"/>
          <w:highlight w:val="none"/>
          <w:lang w:val="en-US" w:eastAsia="zh-CN"/>
        </w:rPr>
      </w:pPr>
      <w:bookmarkStart w:id="0" w:name="_Toc20916"/>
      <w:bookmarkStart w:id="1" w:name="_Toc21609"/>
      <w:bookmarkStart w:id="246" w:name="_GoBack"/>
      <w:bookmarkEnd w:id="246"/>
      <w:r>
        <w:rPr>
          <w:rFonts w:hint="eastAsia" w:ascii="宋体" w:hAnsi="宋体" w:eastAsia="宋体" w:cs="宋体"/>
          <w:b/>
          <w:bCs/>
          <w:color w:val="auto"/>
          <w:sz w:val="40"/>
          <w:szCs w:val="40"/>
          <w:highlight w:val="none"/>
          <w:lang w:val="en-US" w:eastAsia="zh-CN"/>
        </w:rPr>
        <w:t>三门峡市湖滨区人力资源和社会保障局就业创业平台技术服务项目</w:t>
      </w:r>
      <w:bookmarkEnd w:id="0"/>
    </w:p>
    <w:p>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tLeast"/>
        <w:jc w:val="both"/>
        <w:textAlignment w:val="auto"/>
        <w:outlineLvl w:val="9"/>
        <w:rPr>
          <w:rFonts w:hint="eastAsia" w:ascii="宋体" w:hAnsi="宋体" w:eastAsia="宋体" w:cs="宋体"/>
          <w:b/>
          <w:bCs/>
          <w:color w:val="auto"/>
          <w:sz w:val="52"/>
          <w:szCs w:val="52"/>
          <w:highlight w:val="none"/>
          <w:lang w:val="en-US" w:eastAsia="zh-CN"/>
        </w:rPr>
      </w:pPr>
    </w:p>
    <w:p>
      <w:pPr>
        <w:spacing w:line="240" w:lineRule="atLeast"/>
        <w:jc w:val="center"/>
        <w:outlineLvl w:val="0"/>
        <w:rPr>
          <w:rFonts w:ascii="宋体" w:hAnsi="宋体" w:eastAsia="宋体"/>
          <w:b/>
          <w:bCs/>
          <w:color w:val="auto"/>
          <w:sz w:val="72"/>
          <w:szCs w:val="72"/>
          <w:highlight w:val="none"/>
        </w:rPr>
      </w:pPr>
      <w:bookmarkStart w:id="2" w:name="_Toc16375"/>
      <w:r>
        <w:rPr>
          <w:rFonts w:hint="eastAsia" w:ascii="宋体" w:hAnsi="宋体" w:eastAsia="宋体" w:cs="宋体"/>
          <w:b/>
          <w:bCs/>
          <w:color w:val="auto"/>
          <w:sz w:val="72"/>
          <w:szCs w:val="72"/>
          <w:highlight w:val="none"/>
        </w:rPr>
        <w:t>竞争性磋商文件</w:t>
      </w:r>
      <w:bookmarkEnd w:id="1"/>
      <w:bookmarkEnd w:id="2"/>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left"/>
        <w:rPr>
          <w:rFonts w:hint="eastAsia" w:ascii="宋体" w:hAnsi="宋体" w:eastAsia="宋体" w:cs="Times New Roman"/>
          <w:b/>
          <w:color w:val="auto"/>
          <w:kern w:val="0"/>
          <w:sz w:val="36"/>
          <w:szCs w:val="36"/>
          <w:highlight w:val="none"/>
          <w:lang w:val="en-US" w:eastAsia="zh-CN" w:bidi="ar-SA"/>
        </w:rPr>
      </w:pPr>
      <w:r>
        <w:rPr>
          <w:rFonts w:hint="eastAsia" w:ascii="宋体" w:hAnsi="宋体" w:eastAsia="宋体" w:cs="宋体"/>
          <w:color w:val="auto"/>
          <w:kern w:val="0"/>
          <w:sz w:val="28"/>
          <w:szCs w:val="28"/>
          <w:highlight w:val="none"/>
        </w:rPr>
        <w:t xml:space="preserve">    </w:t>
      </w:r>
      <w:r>
        <w:rPr>
          <w:rFonts w:hint="eastAsia" w:ascii="宋体" w:hAnsi="宋体" w:eastAsia="宋体" w:cs="Times New Roman"/>
          <w:b/>
          <w:color w:val="auto"/>
          <w:kern w:val="0"/>
          <w:sz w:val="36"/>
          <w:szCs w:val="36"/>
          <w:highlight w:val="none"/>
          <w:lang w:val="en-US" w:eastAsia="zh-CN" w:bidi="ar-SA"/>
        </w:rPr>
        <w:tab/>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rPr>
          <w:rFonts w:hint="eastAsia" w:ascii="微软雅黑" w:hAnsi="微软雅黑" w:eastAsia="微软雅黑" w:cs="微软雅黑"/>
          <w:color w:val="3D4B64"/>
          <w:kern w:val="0"/>
          <w:sz w:val="21"/>
          <w:szCs w:val="21"/>
          <w:shd w:val="clear" w:fill="FFFFFF"/>
          <w:lang w:val="en-US" w:eastAsia="zh-CN" w:bidi="ar"/>
        </w:rPr>
      </w:pPr>
      <w:r>
        <w:rPr>
          <w:rFonts w:hint="eastAsia" w:ascii="微软雅黑" w:hAnsi="微软雅黑" w:eastAsia="微软雅黑" w:cs="微软雅黑"/>
          <w:color w:val="3D4B64"/>
          <w:kern w:val="0"/>
          <w:sz w:val="21"/>
          <w:szCs w:val="21"/>
          <w:shd w:val="clear" w:fill="FFFFFF"/>
          <w:lang w:val="en-US" w:eastAsia="zh-CN" w:bidi="ar"/>
        </w:rPr>
        <w:t>项目编号：湖滨竟磋采购-2025-26     SGZ[2025]475-ZC312</w:t>
      </w:r>
    </w:p>
    <w:p>
      <w:pPr>
        <w:spacing w:line="240" w:lineRule="atLeast"/>
        <w:ind w:firstLine="2409" w:firstLineChars="1000"/>
        <w:jc w:val="center"/>
        <w:rPr>
          <w:rFonts w:hint="default" w:ascii="宋体" w:hAnsi="宋体" w:eastAsia="宋体" w:cs="Times New Roman"/>
          <w:b/>
          <w:color w:val="auto"/>
          <w:kern w:val="0"/>
          <w:sz w:val="24"/>
          <w:szCs w:val="24"/>
          <w:highlight w:val="none"/>
          <w:lang w:val="en-US" w:eastAsia="zh-CN" w:bidi="ar-SA"/>
          <w14:textFill>
            <w14:gradFill>
              <w14:gsLst>
                <w14:gs w14:pos="0">
                  <w14:srgbClr w14:val="FE4444"/>
                </w14:gs>
                <w14:gs w14:pos="100000">
                  <w14:srgbClr w14:val="832B2B"/>
                </w14:gs>
              </w14:gsLst>
              <w14:lin w14:scaled="0"/>
            </w14:gradFill>
          </w14:textFill>
        </w:rPr>
      </w:pPr>
    </w:p>
    <w:p>
      <w:pPr>
        <w:spacing w:line="240" w:lineRule="atLeast"/>
        <w:ind w:firstLine="2570" w:firstLineChars="800"/>
        <w:jc w:val="both"/>
        <w:rPr>
          <w:rFonts w:hint="default" w:ascii="宋体" w:hAnsi="宋体" w:eastAsia="宋体" w:cs="Times New Roman"/>
          <w:b/>
          <w:color w:val="auto"/>
          <w:kern w:val="0"/>
          <w:sz w:val="32"/>
          <w:szCs w:val="32"/>
          <w:highlight w:val="none"/>
          <w:lang w:val="en-US" w:eastAsia="zh-CN" w:bidi="ar-SA"/>
        </w:rPr>
      </w:pPr>
    </w:p>
    <w:p>
      <w:pPr>
        <w:rPr>
          <w:rFonts w:ascii="宋体" w:hAnsi="宋体" w:eastAsia="宋体"/>
          <w:i/>
          <w:iCs/>
          <w:color w:val="auto"/>
          <w:sz w:val="28"/>
          <w:szCs w:val="28"/>
          <w:highlight w:val="none"/>
        </w:rPr>
      </w:pPr>
      <w:r>
        <w:rPr>
          <w:rFonts w:hint="eastAsia" w:ascii="宋体" w:hAnsi="宋体" w:eastAsia="宋体"/>
          <w:i/>
          <w:iCs/>
          <w:color w:val="auto"/>
          <w:sz w:val="28"/>
          <w:szCs w:val="28"/>
          <w:highlight w:val="none"/>
          <w:lang w:eastAsia="zh-CN"/>
        </w:rPr>
        <w:drawing>
          <wp:anchor distT="0" distB="0" distL="114300" distR="114300" simplePos="0" relativeHeight="251660288" behindDoc="1" locked="0" layoutInCell="1" allowOverlap="1">
            <wp:simplePos x="0" y="0"/>
            <wp:positionH relativeFrom="column">
              <wp:posOffset>1257935</wp:posOffset>
            </wp:positionH>
            <wp:positionV relativeFrom="paragraph">
              <wp:posOffset>144145</wp:posOffset>
            </wp:positionV>
            <wp:extent cx="3381375" cy="2352675"/>
            <wp:effectExtent l="0" t="0" r="9525" b="9525"/>
            <wp:wrapNone/>
            <wp:docPr id="4" name="图片 4" descr="1755157171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55157171554"/>
                    <pic:cNvPicPr>
                      <a:picLocks noChangeAspect="1"/>
                    </pic:cNvPicPr>
                  </pic:nvPicPr>
                  <pic:blipFill>
                    <a:blip r:embed="rId10"/>
                    <a:stretch>
                      <a:fillRect/>
                    </a:stretch>
                  </pic:blipFill>
                  <pic:spPr>
                    <a:xfrm>
                      <a:off x="0" y="0"/>
                      <a:ext cx="3381375" cy="2352675"/>
                    </a:xfrm>
                    <a:prstGeom prst="rect">
                      <a:avLst/>
                    </a:prstGeom>
                  </pic:spPr>
                </pic:pic>
              </a:graphicData>
            </a:graphic>
          </wp:anchor>
        </w:drawing>
      </w:r>
    </w:p>
    <w:p>
      <w:pPr>
        <w:pStyle w:val="3"/>
        <w:jc w:val="center"/>
        <w:outlineLvl w:val="9"/>
        <w:rPr>
          <w:rFonts w:hint="eastAsia" w:ascii="宋体" w:hAnsi="宋体" w:eastAsia="宋体"/>
          <w:i/>
          <w:iCs/>
          <w:color w:val="auto"/>
          <w:sz w:val="28"/>
          <w:szCs w:val="28"/>
          <w:highlight w:val="none"/>
          <w:lang w:eastAsia="zh-CN"/>
        </w:rPr>
      </w:pPr>
    </w:p>
    <w:p>
      <w:pPr>
        <w:pStyle w:val="7"/>
        <w:rPr>
          <w:rFonts w:hint="eastAsia"/>
          <w:color w:val="auto"/>
          <w:highlight w:val="none"/>
          <w:lang w:val="en-US" w:eastAsia="zh-CN"/>
        </w:rPr>
      </w:pPr>
    </w:p>
    <w:p>
      <w:pPr>
        <w:pStyle w:val="6"/>
        <w:keepNext w:val="0"/>
        <w:keepLines w:val="0"/>
        <w:pageBreakBefore w:val="0"/>
        <w:widowControl w:val="0"/>
        <w:kinsoku/>
        <w:wordWrap w:val="0"/>
        <w:overflowPunct/>
        <w:topLinePunct w:val="0"/>
        <w:autoSpaceDE/>
        <w:autoSpaceDN/>
        <w:bidi w:val="0"/>
        <w:adjustRightInd/>
        <w:snapToGrid/>
        <w:spacing w:line="760" w:lineRule="exact"/>
        <w:jc w:val="center"/>
        <w:textAlignment w:val="auto"/>
        <w:outlineLvl w:val="9"/>
        <w:rPr>
          <w:rFonts w:hint="eastAsia" w:ascii="宋体" w:hAnsi="宋体"/>
          <w:b/>
          <w:color w:val="auto"/>
          <w:spacing w:val="-6"/>
          <w:sz w:val="36"/>
          <w:szCs w:val="36"/>
          <w:highlight w:val="none"/>
          <w:lang w:val="en-US" w:eastAsia="zh-CN"/>
        </w:rPr>
      </w:pPr>
    </w:p>
    <w:p>
      <w:pPr>
        <w:pStyle w:val="6"/>
        <w:keepNext w:val="0"/>
        <w:keepLines w:val="0"/>
        <w:pageBreakBefore w:val="0"/>
        <w:widowControl w:val="0"/>
        <w:kinsoku/>
        <w:wordWrap w:val="0"/>
        <w:overflowPunct/>
        <w:topLinePunct w:val="0"/>
        <w:autoSpaceDE/>
        <w:autoSpaceDN/>
        <w:bidi w:val="0"/>
        <w:adjustRightInd/>
        <w:snapToGrid/>
        <w:spacing w:line="760" w:lineRule="exact"/>
        <w:jc w:val="center"/>
        <w:textAlignment w:val="auto"/>
        <w:outlineLvl w:val="9"/>
        <w:rPr>
          <w:rFonts w:hint="eastAsia" w:ascii="宋体" w:hAnsi="宋体"/>
          <w:b/>
          <w:color w:val="auto"/>
          <w:spacing w:val="-6"/>
          <w:sz w:val="36"/>
          <w:szCs w:val="36"/>
          <w:highlight w:val="none"/>
          <w:lang w:val="en-US" w:eastAsia="zh-CN"/>
        </w:rPr>
      </w:pPr>
    </w:p>
    <w:p>
      <w:pPr>
        <w:pStyle w:val="6"/>
        <w:keepNext w:val="0"/>
        <w:keepLines w:val="0"/>
        <w:pageBreakBefore w:val="0"/>
        <w:widowControl w:val="0"/>
        <w:kinsoku/>
        <w:wordWrap w:val="0"/>
        <w:overflowPunct/>
        <w:topLinePunct w:val="0"/>
        <w:autoSpaceDE/>
        <w:autoSpaceDN/>
        <w:bidi w:val="0"/>
        <w:adjustRightInd/>
        <w:snapToGrid/>
        <w:spacing w:line="760" w:lineRule="exact"/>
        <w:jc w:val="center"/>
        <w:textAlignment w:val="auto"/>
        <w:outlineLvl w:val="9"/>
        <w:rPr>
          <w:rFonts w:hint="eastAsia" w:ascii="宋体" w:hAnsi="宋体"/>
          <w:b/>
          <w:color w:val="auto"/>
          <w:spacing w:val="-6"/>
          <w:sz w:val="36"/>
          <w:szCs w:val="36"/>
          <w:highlight w:val="none"/>
          <w:lang w:val="en-US" w:eastAsia="zh-CN"/>
        </w:rPr>
      </w:pPr>
    </w:p>
    <w:p>
      <w:pPr>
        <w:pStyle w:val="6"/>
        <w:keepNext w:val="0"/>
        <w:keepLines w:val="0"/>
        <w:pageBreakBefore w:val="0"/>
        <w:widowControl w:val="0"/>
        <w:kinsoku/>
        <w:wordWrap w:val="0"/>
        <w:overflowPunct/>
        <w:topLinePunct w:val="0"/>
        <w:autoSpaceDE/>
        <w:autoSpaceDN/>
        <w:bidi w:val="0"/>
        <w:adjustRightInd/>
        <w:snapToGrid/>
        <w:spacing w:line="760" w:lineRule="exact"/>
        <w:jc w:val="center"/>
        <w:textAlignment w:val="auto"/>
        <w:outlineLvl w:val="9"/>
        <w:rPr>
          <w:rFonts w:hint="eastAsia" w:ascii="宋体" w:hAnsi="宋体"/>
          <w:b/>
          <w:color w:val="auto"/>
          <w:spacing w:val="-6"/>
          <w:sz w:val="36"/>
          <w:szCs w:val="36"/>
          <w:highlight w:val="none"/>
          <w:lang w:val="en-US" w:eastAsia="zh-CN"/>
        </w:rPr>
      </w:pPr>
    </w:p>
    <w:p>
      <w:pPr>
        <w:pStyle w:val="6"/>
        <w:keepNext w:val="0"/>
        <w:keepLines w:val="0"/>
        <w:pageBreakBefore w:val="0"/>
        <w:widowControl w:val="0"/>
        <w:kinsoku/>
        <w:wordWrap w:val="0"/>
        <w:overflowPunct/>
        <w:topLinePunct w:val="0"/>
        <w:autoSpaceDE/>
        <w:autoSpaceDN/>
        <w:bidi w:val="0"/>
        <w:adjustRightInd/>
        <w:snapToGrid/>
        <w:spacing w:line="760" w:lineRule="exact"/>
        <w:jc w:val="center"/>
        <w:textAlignment w:val="auto"/>
        <w:outlineLvl w:val="0"/>
        <w:rPr>
          <w:rFonts w:hint="eastAsia" w:ascii="宋体" w:hAnsi="宋体"/>
          <w:b/>
          <w:color w:val="auto"/>
          <w:sz w:val="36"/>
          <w:szCs w:val="36"/>
          <w:highlight w:val="none"/>
          <w:lang w:eastAsia="zh-CN"/>
        </w:rPr>
      </w:pPr>
      <w:bookmarkStart w:id="3" w:name="_Toc15978"/>
      <w:r>
        <w:rPr>
          <w:rFonts w:hint="eastAsia" w:ascii="宋体" w:hAnsi="宋体"/>
          <w:b/>
          <w:color w:val="auto"/>
          <w:spacing w:val="-6"/>
          <w:sz w:val="36"/>
          <w:szCs w:val="36"/>
          <w:highlight w:val="none"/>
          <w:lang w:val="en-US" w:eastAsia="zh-CN"/>
        </w:rPr>
        <w:t>采购</w:t>
      </w:r>
      <w:r>
        <w:rPr>
          <w:rFonts w:hint="eastAsia" w:ascii="宋体" w:hAnsi="宋体"/>
          <w:b/>
          <w:color w:val="auto"/>
          <w:spacing w:val="-6"/>
          <w:sz w:val="36"/>
          <w:szCs w:val="36"/>
          <w:highlight w:val="none"/>
        </w:rPr>
        <w:t>人</w:t>
      </w:r>
      <w:r>
        <w:rPr>
          <w:rFonts w:hint="eastAsia" w:ascii="宋体" w:hAnsi="宋体"/>
          <w:b/>
          <w:color w:val="auto"/>
          <w:sz w:val="36"/>
          <w:szCs w:val="36"/>
          <w:highlight w:val="none"/>
        </w:rPr>
        <w:t>：</w:t>
      </w:r>
      <w:bookmarkStart w:id="4" w:name="_Toc13009"/>
      <w:r>
        <w:rPr>
          <w:rFonts w:hint="eastAsia" w:ascii="宋体" w:hAnsi="宋体"/>
          <w:b/>
          <w:color w:val="auto"/>
          <w:sz w:val="36"/>
          <w:szCs w:val="36"/>
          <w:highlight w:val="none"/>
          <w:lang w:val="en-US" w:eastAsia="zh-CN"/>
        </w:rPr>
        <w:t>三门峡市湖滨区人力资源和社会保障局</w:t>
      </w:r>
      <w:bookmarkEnd w:id="3"/>
    </w:p>
    <w:p>
      <w:pPr>
        <w:pStyle w:val="6"/>
        <w:keepNext w:val="0"/>
        <w:keepLines w:val="0"/>
        <w:pageBreakBefore w:val="0"/>
        <w:widowControl w:val="0"/>
        <w:kinsoku/>
        <w:wordWrap w:val="0"/>
        <w:overflowPunct/>
        <w:topLinePunct w:val="0"/>
        <w:autoSpaceDE/>
        <w:autoSpaceDN/>
        <w:bidi w:val="0"/>
        <w:adjustRightInd/>
        <w:snapToGrid/>
        <w:spacing w:line="760" w:lineRule="exact"/>
        <w:jc w:val="center"/>
        <w:textAlignment w:val="auto"/>
        <w:outlineLvl w:val="0"/>
        <w:rPr>
          <w:rFonts w:hint="eastAsia" w:ascii="宋体" w:hAnsi="宋体"/>
          <w:b/>
          <w:color w:val="auto"/>
          <w:sz w:val="36"/>
          <w:szCs w:val="36"/>
          <w:highlight w:val="none"/>
          <w:lang w:eastAsia="zh-CN"/>
        </w:rPr>
      </w:pPr>
      <w:bookmarkStart w:id="5" w:name="_Toc22406"/>
      <w:r>
        <w:rPr>
          <w:rFonts w:hint="eastAsia" w:ascii="宋体" w:hAnsi="宋体"/>
          <w:b/>
          <w:color w:val="auto"/>
          <w:sz w:val="36"/>
          <w:szCs w:val="36"/>
          <w:highlight w:val="none"/>
        </w:rPr>
        <w:t>代理机构：</w:t>
      </w:r>
      <w:bookmarkEnd w:id="4"/>
      <w:r>
        <w:rPr>
          <w:rFonts w:hint="eastAsia" w:ascii="宋体" w:hAnsi="宋体"/>
          <w:b/>
          <w:color w:val="auto"/>
          <w:sz w:val="36"/>
          <w:szCs w:val="36"/>
          <w:highlight w:val="none"/>
        </w:rPr>
        <w:t>佰诺项目管理有限公司</w:t>
      </w:r>
      <w:bookmarkEnd w:id="5"/>
    </w:p>
    <w:p>
      <w:pPr>
        <w:keepNext w:val="0"/>
        <w:keepLines w:val="0"/>
        <w:pageBreakBefore w:val="0"/>
        <w:widowControl w:val="0"/>
        <w:kinsoku/>
        <w:wordWrap w:val="0"/>
        <w:overflowPunct/>
        <w:topLinePunct w:val="0"/>
        <w:autoSpaceDE/>
        <w:autoSpaceDN/>
        <w:bidi w:val="0"/>
        <w:adjustRightInd/>
        <w:snapToGrid/>
        <w:spacing w:line="760" w:lineRule="exact"/>
        <w:jc w:val="center"/>
        <w:textAlignment w:val="auto"/>
        <w:outlineLvl w:val="0"/>
        <w:rPr>
          <w:rFonts w:hint="eastAsia" w:ascii="宋体" w:hAnsi="宋体" w:eastAsia="宋体"/>
          <w:color w:val="auto"/>
          <w:sz w:val="30"/>
          <w:szCs w:val="30"/>
          <w:highlight w:val="none"/>
        </w:rPr>
      </w:pPr>
      <w:bookmarkStart w:id="6" w:name="_Toc15939"/>
      <w:r>
        <w:rPr>
          <w:rFonts w:hint="eastAsia" w:ascii="宋体" w:hAnsi="宋体"/>
          <w:b/>
          <w:color w:val="auto"/>
          <w:sz w:val="36"/>
          <w:szCs w:val="36"/>
          <w:highlight w:val="none"/>
        </w:rPr>
        <w:t>二</w:t>
      </w:r>
      <w:r>
        <w:rPr>
          <w:rFonts w:hint="eastAsia" w:ascii="宋体" w:hAnsi="宋体"/>
          <w:b/>
          <w:color w:val="auto"/>
          <w:sz w:val="36"/>
          <w:szCs w:val="36"/>
          <w:highlight w:val="none"/>
          <w:lang w:val="en-US" w:eastAsia="zh-CN"/>
        </w:rPr>
        <w:t>〇</w:t>
      </w:r>
      <w:r>
        <w:rPr>
          <w:rFonts w:hint="eastAsia" w:ascii="宋体" w:hAnsi="宋体"/>
          <w:b/>
          <w:color w:val="auto"/>
          <w:sz w:val="36"/>
          <w:szCs w:val="36"/>
          <w:highlight w:val="none"/>
        </w:rPr>
        <w:t>二</w:t>
      </w:r>
      <w:r>
        <w:rPr>
          <w:rFonts w:hint="eastAsia" w:ascii="宋体" w:hAnsi="宋体"/>
          <w:b/>
          <w:color w:val="auto"/>
          <w:sz w:val="36"/>
          <w:szCs w:val="36"/>
          <w:highlight w:val="none"/>
          <w:lang w:val="en-US" w:eastAsia="zh-CN"/>
        </w:rPr>
        <w:t>五</w:t>
      </w:r>
      <w:r>
        <w:rPr>
          <w:rFonts w:hint="eastAsia" w:ascii="宋体" w:hAnsi="宋体"/>
          <w:b/>
          <w:color w:val="auto"/>
          <w:sz w:val="36"/>
          <w:szCs w:val="36"/>
          <w:highlight w:val="none"/>
        </w:rPr>
        <w:t>年</w:t>
      </w:r>
      <w:r>
        <w:rPr>
          <w:rFonts w:hint="eastAsia" w:ascii="宋体" w:hAnsi="宋体"/>
          <w:b/>
          <w:color w:val="auto"/>
          <w:sz w:val="36"/>
          <w:szCs w:val="36"/>
          <w:highlight w:val="none"/>
          <w:lang w:val="en-US" w:eastAsia="zh-CN"/>
        </w:rPr>
        <w:t>十月</w:t>
      </w:r>
      <w:bookmarkStart w:id="7" w:name="_Toc6878"/>
      <w:bookmarkStart w:id="8" w:name="_Toc31121"/>
      <w:r>
        <w:rPr>
          <w:rFonts w:hint="eastAsia" w:ascii="宋体" w:hAnsi="宋体" w:eastAsia="宋体"/>
          <w:color w:val="auto"/>
          <w:sz w:val="30"/>
          <w:szCs w:val="30"/>
          <w:highlight w:val="none"/>
        </w:rPr>
        <w:br w:type="page"/>
      </w:r>
      <w:bookmarkEnd w:id="6"/>
    </w:p>
    <w:sdt>
      <w:sdtPr>
        <w:rPr>
          <w:rFonts w:ascii="宋体" w:hAnsi="宋体" w:eastAsia="宋体" w:cs="Times New Roman"/>
          <w:kern w:val="2"/>
          <w:sz w:val="21"/>
          <w:szCs w:val="24"/>
          <w:lang w:val="en-US" w:eastAsia="zh-CN" w:bidi="ar-SA"/>
        </w:rPr>
        <w:id w:val="147462893"/>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b/>
              <w:bCs/>
              <w:sz w:val="28"/>
              <w:szCs w:val="36"/>
            </w:rPr>
          </w:pPr>
          <w:r>
            <w:rPr>
              <w:rFonts w:ascii="宋体" w:hAnsi="宋体" w:eastAsia="宋体"/>
              <w:b/>
              <w:bCs/>
              <w:sz w:val="28"/>
              <w:szCs w:val="36"/>
            </w:rPr>
            <w:t>目录</w:t>
          </w:r>
        </w:p>
        <w:p>
          <w:pPr>
            <w:pStyle w:val="37"/>
            <w:tabs>
              <w:tab w:val="right" w:leader="dot" w:pos="9750"/>
            </w:tabs>
          </w:pPr>
          <w:r>
            <w:fldChar w:fldCharType="begin"/>
          </w:r>
          <w:r>
            <w:instrText xml:space="preserve">TOC \o "1-1" \h \u </w:instrText>
          </w:r>
          <w:r>
            <w:fldChar w:fldCharType="separate"/>
          </w:r>
        </w:p>
        <w:p>
          <w:pPr>
            <w:pStyle w:val="37"/>
            <w:tabs>
              <w:tab w:val="right" w:leader="dot" w:pos="975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_Toc25996 </w:instrText>
          </w:r>
          <w:r>
            <w:rPr>
              <w:rFonts w:hint="eastAsia" w:ascii="宋体" w:hAnsi="宋体" w:eastAsia="宋体" w:cs="宋体"/>
              <w:sz w:val="24"/>
              <w:szCs w:val="24"/>
            </w:rPr>
            <w:fldChar w:fldCharType="separate"/>
          </w:r>
          <w:r>
            <w:rPr>
              <w:rFonts w:hint="eastAsia" w:ascii="宋体" w:hAnsi="宋体" w:eastAsia="宋体" w:cs="宋体"/>
              <w:sz w:val="24"/>
              <w:szCs w:val="24"/>
              <w:highlight w:val="none"/>
            </w:rPr>
            <w:t>第一章 竞争性磋商公告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_Toc25996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7"/>
            <w:tabs>
              <w:tab w:val="right" w:leader="dot" w:pos="975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_Toc18472 </w:instrText>
          </w:r>
          <w:r>
            <w:rPr>
              <w:rFonts w:hint="eastAsia" w:ascii="宋体" w:hAnsi="宋体" w:eastAsia="宋体" w:cs="宋体"/>
              <w:sz w:val="24"/>
              <w:szCs w:val="24"/>
            </w:rPr>
            <w:fldChar w:fldCharType="separate"/>
          </w:r>
          <w:r>
            <w:rPr>
              <w:rFonts w:hint="eastAsia" w:ascii="宋体" w:hAnsi="宋体" w:eastAsia="宋体" w:cs="宋体"/>
              <w:sz w:val="24"/>
              <w:szCs w:val="24"/>
            </w:rPr>
            <w:t xml:space="preserve">第二章 </w:t>
          </w:r>
          <w:r>
            <w:rPr>
              <w:rFonts w:hint="eastAsia" w:ascii="宋体" w:hAnsi="宋体" w:eastAsia="宋体" w:cs="宋体"/>
              <w:sz w:val="24"/>
              <w:szCs w:val="24"/>
              <w:lang w:val="en-US" w:eastAsia="zh-CN"/>
            </w:rPr>
            <w:t>供应商</w:t>
          </w:r>
          <w:r>
            <w:rPr>
              <w:rFonts w:hint="eastAsia" w:ascii="宋体" w:hAnsi="宋体" w:eastAsia="宋体" w:cs="宋体"/>
              <w:sz w:val="24"/>
              <w:szCs w:val="24"/>
            </w:rPr>
            <w:t>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_Toc18472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7"/>
            <w:tabs>
              <w:tab w:val="right" w:leader="dot" w:pos="975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_Toc4022 </w:instrText>
          </w:r>
          <w:r>
            <w:rPr>
              <w:rFonts w:hint="eastAsia" w:ascii="宋体" w:hAnsi="宋体" w:eastAsia="宋体" w:cs="宋体"/>
              <w:sz w:val="24"/>
              <w:szCs w:val="24"/>
            </w:rPr>
            <w:fldChar w:fldCharType="separate"/>
          </w:r>
          <w:r>
            <w:rPr>
              <w:rFonts w:hint="eastAsia" w:ascii="宋体" w:hAnsi="宋体" w:eastAsia="宋体" w:cs="宋体"/>
              <w:bCs/>
              <w:sz w:val="24"/>
              <w:szCs w:val="24"/>
              <w:highlight w:val="none"/>
            </w:rPr>
            <w:t>第三章 评</w:t>
          </w:r>
          <w:r>
            <w:rPr>
              <w:rFonts w:hint="eastAsia" w:ascii="宋体" w:hAnsi="宋体" w:eastAsia="宋体" w:cs="宋体"/>
              <w:bCs/>
              <w:sz w:val="24"/>
              <w:szCs w:val="24"/>
              <w:highlight w:val="none"/>
              <w:lang w:val="en-US" w:eastAsia="zh-CN"/>
            </w:rPr>
            <w:t>审标准</w:t>
          </w:r>
          <w:r>
            <w:rPr>
              <w:rFonts w:hint="eastAsia" w:ascii="宋体" w:hAnsi="宋体" w:eastAsia="宋体" w:cs="宋体"/>
              <w:bCs/>
              <w:sz w:val="24"/>
              <w:szCs w:val="24"/>
              <w:highlight w:val="none"/>
            </w:rPr>
            <w:t xml:space="preserve"> （综合评分法）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_Toc4022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7"/>
            <w:tabs>
              <w:tab w:val="right" w:leader="dot" w:pos="975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_Toc25270 </w:instrText>
          </w:r>
          <w:r>
            <w:rPr>
              <w:rFonts w:hint="eastAsia" w:ascii="宋体" w:hAnsi="宋体" w:eastAsia="宋体" w:cs="宋体"/>
              <w:sz w:val="24"/>
              <w:szCs w:val="24"/>
            </w:rPr>
            <w:fldChar w:fldCharType="separate"/>
          </w:r>
          <w:r>
            <w:rPr>
              <w:rFonts w:hint="eastAsia" w:ascii="宋体" w:hAnsi="宋体" w:eastAsia="宋体" w:cs="宋体"/>
              <w:bCs/>
              <w:sz w:val="24"/>
              <w:szCs w:val="24"/>
            </w:rPr>
            <w:t xml:space="preserve">第五章 </w:t>
          </w:r>
          <w:r>
            <w:rPr>
              <w:rFonts w:hint="eastAsia" w:ascii="宋体" w:hAnsi="宋体" w:eastAsia="宋体" w:cs="宋体"/>
              <w:bCs/>
              <w:sz w:val="24"/>
              <w:szCs w:val="24"/>
              <w:lang w:eastAsia="zh-CN"/>
            </w:rPr>
            <w:t>服务内容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_Toc25270 \h </w:instrText>
          </w:r>
          <w:r>
            <w:rPr>
              <w:rFonts w:hint="eastAsia" w:ascii="宋体" w:hAnsi="宋体" w:eastAsia="宋体" w:cs="宋体"/>
              <w:sz w:val="24"/>
              <w:szCs w:val="24"/>
            </w:rPr>
            <w:fldChar w:fldCharType="separate"/>
          </w:r>
          <w:r>
            <w:rPr>
              <w:rFonts w:hint="eastAsia" w:ascii="宋体" w:hAnsi="宋体" w:eastAsia="宋体" w:cs="宋体"/>
              <w:sz w:val="24"/>
              <w:szCs w:val="24"/>
            </w:rPr>
            <w:t>36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7"/>
            <w:tabs>
              <w:tab w:val="right" w:leader="dot" w:pos="9750"/>
            </w:tabs>
            <w:spacing w:line="360" w:lineRule="auto"/>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_Toc23655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 xml:space="preserve">第六章 </w:t>
          </w:r>
          <w:r>
            <w:rPr>
              <w:rFonts w:hint="eastAsia" w:ascii="宋体" w:hAnsi="宋体" w:eastAsia="宋体" w:cs="宋体"/>
              <w:bCs/>
              <w:sz w:val="24"/>
              <w:szCs w:val="24"/>
            </w:rPr>
            <w:t>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_Toc23655 \h </w:instrText>
          </w:r>
          <w:r>
            <w:rPr>
              <w:rFonts w:hint="eastAsia" w:ascii="宋体" w:hAnsi="宋体" w:eastAsia="宋体" w:cs="宋体"/>
              <w:sz w:val="24"/>
              <w:szCs w:val="24"/>
            </w:rPr>
            <w:fldChar w:fldCharType="separate"/>
          </w:r>
          <w:r>
            <w:rPr>
              <w:rFonts w:hint="eastAsia" w:ascii="宋体" w:hAnsi="宋体" w:eastAsia="宋体" w:cs="宋体"/>
              <w:sz w:val="24"/>
              <w:szCs w:val="24"/>
            </w:rPr>
            <w:t>37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r>
            <w:fldChar w:fldCharType="end"/>
          </w:r>
        </w:p>
      </w:sdtContent>
    </w:sdt>
    <w:p/>
    <w:p>
      <w:pPr>
        <w:pStyle w:val="2"/>
        <w:pageBreakBefore w:val="0"/>
        <w:widowControl w:val="0"/>
        <w:numPr>
          <w:ilvl w:val="0"/>
          <w:numId w:val="1"/>
        </w:numPr>
        <w:kinsoku/>
        <w:wordWrap/>
        <w:overflowPunct/>
        <w:topLinePunct w:val="0"/>
        <w:autoSpaceDE/>
        <w:autoSpaceDN/>
        <w:bidi w:val="0"/>
        <w:adjustRightInd/>
        <w:snapToGrid/>
        <w:spacing w:line="560" w:lineRule="exact"/>
        <w:jc w:val="center"/>
        <w:textAlignment w:val="auto"/>
        <w:outlineLvl w:val="0"/>
        <w:rPr>
          <w:rFonts w:hint="eastAsia" w:ascii="宋体" w:hAnsi="宋体" w:eastAsia="宋体"/>
          <w:color w:val="auto"/>
          <w:sz w:val="30"/>
          <w:szCs w:val="30"/>
          <w:highlight w:val="none"/>
        </w:rPr>
        <w:sectPr>
          <w:headerReference r:id="rId3" w:type="default"/>
          <w:footerReference r:id="rId4" w:type="default"/>
          <w:pgSz w:w="11910" w:h="16840"/>
          <w:pgMar w:top="1440" w:right="1080" w:bottom="1440" w:left="1080" w:header="0" w:footer="909" w:gutter="0"/>
          <w:cols w:space="720" w:num="1"/>
          <w:docGrid w:linePitch="299" w:charSpace="0"/>
        </w:sectPr>
      </w:pPr>
      <w:bookmarkStart w:id="9" w:name="_Toc25996"/>
    </w:p>
    <w:p>
      <w:pPr>
        <w:pStyle w:val="2"/>
        <w:pageBreakBefore w:val="0"/>
        <w:widowControl w:val="0"/>
        <w:numPr>
          <w:ilvl w:val="0"/>
          <w:numId w:val="1"/>
        </w:numPr>
        <w:kinsoku/>
        <w:wordWrap/>
        <w:overflowPunct/>
        <w:topLinePunct w:val="0"/>
        <w:autoSpaceDE/>
        <w:autoSpaceDN/>
        <w:bidi w:val="0"/>
        <w:adjustRightInd/>
        <w:snapToGrid/>
        <w:spacing w:line="560" w:lineRule="exact"/>
        <w:jc w:val="center"/>
        <w:textAlignment w:val="auto"/>
        <w:outlineLvl w:val="0"/>
        <w:rPr>
          <w:rFonts w:hint="eastAsia" w:ascii="宋体" w:hAnsi="宋体" w:eastAsia="宋体"/>
          <w:color w:val="auto"/>
          <w:sz w:val="30"/>
          <w:szCs w:val="30"/>
          <w:highlight w:val="none"/>
        </w:rPr>
      </w:pPr>
      <w:r>
        <w:rPr>
          <w:rFonts w:hint="eastAsia" w:ascii="宋体" w:hAnsi="宋体" w:eastAsia="宋体"/>
          <w:color w:val="auto"/>
          <w:sz w:val="30"/>
          <w:szCs w:val="30"/>
          <w:highlight w:val="none"/>
        </w:rPr>
        <w:t>竞争性磋商公告</w:t>
      </w:r>
      <w:bookmarkEnd w:id="7"/>
      <w:bookmarkEnd w:id="8"/>
      <w:bookmarkEnd w:id="9"/>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项目概况</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highlight w:val="none"/>
        </w:rPr>
      </w:pPr>
      <w:bookmarkStart w:id="10" w:name="OLE_LINK4"/>
      <w:bookmarkStart w:id="11" w:name="_Toc6653"/>
      <w:bookmarkStart w:id="12" w:name="_Toc17694"/>
      <w:r>
        <w:rPr>
          <w:rFonts w:hint="eastAsia" w:ascii="宋体" w:hAnsi="宋体" w:eastAsia="宋体" w:cs="宋体"/>
          <w:color w:val="auto"/>
          <w:kern w:val="0"/>
          <w:sz w:val="24"/>
          <w:szCs w:val="24"/>
          <w:highlight w:val="none"/>
          <w:lang w:val="en-US" w:eastAsia="zh-CN"/>
        </w:rPr>
        <w:t>三门峡市湖滨区人力资源和社会保障局就业创业平台技术服务项目的潜在供应商应在三门峡市公共资源交易中心网获取竞争性磋商文件，并于 2025年</w:t>
      </w:r>
      <w:r>
        <w:rPr>
          <w:rFonts w:hint="eastAsia" w:ascii="宋体" w:hAnsi="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lang w:val="en-US" w:eastAsia="zh-CN"/>
        </w:rPr>
        <w:t>月</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val="en-US" w:eastAsia="zh-CN"/>
        </w:rPr>
        <w:t>日</w:t>
      </w:r>
      <w:r>
        <w:rPr>
          <w:rFonts w:hint="eastAsia" w:ascii="宋体" w:hAnsi="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lang w:val="en-US" w:eastAsia="zh-CN"/>
        </w:rPr>
        <w:t>时</w:t>
      </w:r>
      <w:r>
        <w:rPr>
          <w:rFonts w:hint="eastAsia" w:ascii="宋体" w:hAnsi="宋体" w:cs="宋体"/>
          <w:color w:val="auto"/>
          <w:kern w:val="0"/>
          <w:sz w:val="24"/>
          <w:szCs w:val="24"/>
          <w:highlight w:val="none"/>
          <w:lang w:val="en-US" w:eastAsia="zh-CN"/>
        </w:rPr>
        <w:t>40</w:t>
      </w:r>
      <w:r>
        <w:rPr>
          <w:rFonts w:hint="eastAsia" w:ascii="宋体" w:hAnsi="宋体" w:eastAsia="宋体" w:cs="宋体"/>
          <w:color w:val="auto"/>
          <w:kern w:val="0"/>
          <w:sz w:val="24"/>
          <w:szCs w:val="24"/>
          <w:highlight w:val="none"/>
          <w:lang w:val="en-US" w:eastAsia="zh-CN"/>
        </w:rPr>
        <w:t>分（北京时间）前递交响应文件。</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一、</w:t>
      </w:r>
      <w:r>
        <w:rPr>
          <w:rFonts w:hint="eastAsia" w:ascii="宋体" w:hAnsi="宋体" w:eastAsia="宋体" w:cs="宋体"/>
          <w:color w:val="auto"/>
          <w:kern w:val="0"/>
          <w:sz w:val="24"/>
          <w:szCs w:val="24"/>
          <w:highlight w:val="none"/>
          <w:lang w:val="en-US" w:eastAsia="zh-CN"/>
        </w:rPr>
        <w:t>项目基本情况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项目编号：</w:t>
      </w:r>
      <w:bookmarkStart w:id="13" w:name="OLE_LINK5"/>
      <w:bookmarkStart w:id="14" w:name="OLE_LINK6"/>
      <w:r>
        <w:rPr>
          <w:rFonts w:hint="eastAsia" w:ascii="宋体" w:hAnsi="宋体" w:eastAsia="宋体" w:cs="宋体"/>
          <w:color w:val="auto"/>
          <w:kern w:val="0"/>
          <w:sz w:val="24"/>
          <w:szCs w:val="24"/>
          <w:highlight w:val="none"/>
          <w:lang w:val="en-US" w:eastAsia="zh-CN"/>
        </w:rPr>
        <w:t>湖滨竟磋采购-2025-26</w:t>
      </w:r>
      <w:bookmarkEnd w:id="13"/>
      <w:r>
        <w:rPr>
          <w:rFonts w:hint="eastAsia" w:ascii="宋体" w:hAnsi="宋体" w:eastAsia="宋体" w:cs="宋体"/>
          <w:color w:val="auto"/>
          <w:kern w:val="0"/>
          <w:sz w:val="24"/>
          <w:szCs w:val="24"/>
          <w:highlight w:val="none"/>
          <w:lang w:val="en-US" w:eastAsia="zh-CN"/>
        </w:rPr>
        <w:t xml:space="preserve">   SGZ[2025]475-ZC312</w:t>
      </w:r>
    </w:p>
    <w:bookmarkEnd w:id="14"/>
    <w:p>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kern w:val="0"/>
          <w:sz w:val="24"/>
          <w:szCs w:val="24"/>
          <w:highlight w:val="none"/>
          <w:lang w:val="en-US" w:eastAsia="zh-CN"/>
        </w:rPr>
        <w:t>三门峡市湖滨区人力资源和社会保障局就业创业平台技术服务项目</w:t>
      </w:r>
    </w:p>
    <w:p>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.采购方式：竞争性磋商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4</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eastAsia="zh-CN"/>
        </w:rPr>
        <w:t>预算金额：¥</w:t>
      </w:r>
      <w:r>
        <w:rPr>
          <w:rFonts w:hint="eastAsia" w:ascii="宋体" w:hAnsi="宋体" w:eastAsia="宋体" w:cs="宋体"/>
          <w:color w:val="auto"/>
          <w:kern w:val="0"/>
          <w:sz w:val="24"/>
          <w:szCs w:val="24"/>
          <w:highlight w:val="none"/>
          <w:lang w:val="en-US" w:eastAsia="zh-CN"/>
        </w:rPr>
        <w:t>619410.00</w:t>
      </w:r>
      <w:r>
        <w:rPr>
          <w:rFonts w:hint="eastAsia" w:ascii="宋体" w:hAnsi="宋体" w:eastAsia="宋体" w:cs="宋体"/>
          <w:color w:val="auto"/>
          <w:kern w:val="0"/>
          <w:sz w:val="24"/>
          <w:szCs w:val="24"/>
          <w:highlight w:val="none"/>
          <w:lang w:eastAsia="zh-CN"/>
        </w:rPr>
        <w:t>元</w:t>
      </w:r>
    </w:p>
    <w:p>
      <w:pPr>
        <w:spacing w:before="155" w:line="218" w:lineRule="auto"/>
        <w:ind w:left="496"/>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最高限价：</w:t>
      </w:r>
      <w:r>
        <w:rPr>
          <w:rFonts w:hint="eastAsia" w:ascii="仿宋" w:hAnsi="仿宋" w:eastAsia="仿宋" w:cs="仿宋"/>
          <w:spacing w:val="-1"/>
          <w:sz w:val="24"/>
          <w:szCs w:val="24"/>
          <w:lang w:val="en-US" w:eastAsia="zh-CN"/>
        </w:rPr>
        <w:t>619410.00元</w:t>
      </w:r>
    </w:p>
    <w:tbl>
      <w:tblPr>
        <w:tblStyle w:val="43"/>
        <w:tblW w:w="970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2059"/>
        <w:gridCol w:w="2776"/>
        <w:gridCol w:w="2148"/>
        <w:gridCol w:w="20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7" w:hRule="atLeast"/>
        </w:trPr>
        <w:tc>
          <w:tcPr>
            <w:tcW w:w="70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序号</w:t>
            </w:r>
          </w:p>
        </w:tc>
        <w:tc>
          <w:tcPr>
            <w:tcW w:w="2059"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包号</w:t>
            </w:r>
          </w:p>
        </w:tc>
        <w:tc>
          <w:tcPr>
            <w:tcW w:w="2776"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包名称</w:t>
            </w:r>
          </w:p>
        </w:tc>
        <w:tc>
          <w:tcPr>
            <w:tcW w:w="2148"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包预算（元）</w:t>
            </w:r>
          </w:p>
        </w:tc>
        <w:tc>
          <w:tcPr>
            <w:tcW w:w="201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包最高限价（</w:t>
            </w:r>
            <w:r>
              <w:rPr>
                <w:rFonts w:hint="eastAsia" w:ascii="宋体" w:hAnsi="宋体" w:eastAsia="宋体" w:cs="宋体"/>
                <w:color w:val="auto"/>
                <w:kern w:val="0"/>
                <w:sz w:val="24"/>
                <w:szCs w:val="24"/>
                <w:highlight w:val="none"/>
                <w:lang w:val="en-US" w:eastAsia="zh-CN"/>
              </w:rPr>
              <w:t>元</w:t>
            </w:r>
            <w:r>
              <w:rPr>
                <w:rFonts w:hint="eastAsia" w:ascii="宋体" w:hAnsi="宋体" w:eastAsia="宋体" w:cs="宋体"/>
                <w:color w:val="auto"/>
                <w:kern w:val="0"/>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70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p>
        </w:tc>
        <w:tc>
          <w:tcPr>
            <w:tcW w:w="2059"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center"/>
              <w:textAlignment w:val="auto"/>
              <w:rPr>
                <w:rFonts w:hint="default" w:ascii="宋体" w:hAnsi="宋体" w:eastAsia="宋体" w:cs="宋体"/>
                <w:color w:val="auto"/>
                <w:kern w:val="0"/>
                <w:sz w:val="24"/>
                <w:szCs w:val="24"/>
                <w:highlight w:val="none"/>
                <w:lang w:val="en-US" w:eastAsia="zh-CN"/>
              </w:rPr>
            </w:pPr>
          </w:p>
        </w:tc>
        <w:tc>
          <w:tcPr>
            <w:tcW w:w="277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三门峡市湖滨区人力资源和社会保障局就业创业平台技术服务项目</w:t>
            </w:r>
          </w:p>
        </w:tc>
        <w:tc>
          <w:tcPr>
            <w:tcW w:w="2148"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619410.00</w:t>
            </w:r>
          </w:p>
        </w:tc>
        <w:tc>
          <w:tcPr>
            <w:tcW w:w="2015"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619410.00</w:t>
            </w:r>
          </w:p>
        </w:tc>
      </w:tr>
    </w:tbl>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eastAsia="zh-CN"/>
        </w:rPr>
        <w:t>采购需求（包括但不限于标的的名称、数量、简要技术需求或服务要求等）</w:t>
      </w:r>
    </w:p>
    <w:p>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5.1.采购内容</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本项目为三门峡市湖滨区人力资源和社会保障局就业创业平台技术服务项目；主要内容</w:t>
      </w:r>
      <w:r>
        <w:rPr>
          <w:rFonts w:hint="eastAsia" w:ascii="宋体" w:hAnsi="宋体" w:eastAsia="宋体" w:cs="宋体"/>
          <w:color w:val="auto"/>
          <w:sz w:val="24"/>
          <w:szCs w:val="24"/>
          <w:highlight w:val="none"/>
          <w:lang w:val="en-US" w:eastAsia="zh-CN"/>
        </w:rPr>
        <w:t>为</w:t>
      </w:r>
      <w:r>
        <w:rPr>
          <w:rFonts w:hint="eastAsia" w:ascii="宋体" w:hAnsi="宋体" w:eastAsia="宋体" w:cs="宋体"/>
          <w:color w:val="auto"/>
          <w:sz w:val="24"/>
          <w:szCs w:val="24"/>
          <w:highlight w:val="none"/>
        </w:rPr>
        <w:t>相关软件开发技术及维护等服务。</w:t>
      </w:r>
      <w:r>
        <w:rPr>
          <w:rFonts w:hint="eastAsia" w:ascii="宋体" w:hAnsi="宋体" w:eastAsia="宋体" w:cs="宋体"/>
          <w:color w:val="auto"/>
          <w:kern w:val="0"/>
          <w:sz w:val="24"/>
          <w:szCs w:val="24"/>
          <w:highlight w:val="none"/>
          <w:lang w:val="en-US" w:eastAsia="zh-CN"/>
        </w:rPr>
        <w:t>详见采购清单</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5.2资金来源：财政资金，已落实。</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5.3服务期限：自合同签订之日起30日历天服务至成果验收通过</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bidi="ar-SA"/>
        </w:rPr>
        <w:t>5.4</w:t>
      </w:r>
      <w:r>
        <w:rPr>
          <w:rFonts w:hint="eastAsia" w:ascii="宋体" w:hAnsi="宋体" w:eastAsia="宋体" w:cs="宋体"/>
          <w:color w:val="auto"/>
          <w:kern w:val="0"/>
          <w:sz w:val="24"/>
          <w:szCs w:val="24"/>
          <w:highlight w:val="none"/>
          <w:lang w:val="en-US" w:eastAsia="zh-CN"/>
        </w:rPr>
        <w:t>服务</w:t>
      </w:r>
      <w:r>
        <w:rPr>
          <w:rFonts w:hint="eastAsia" w:ascii="宋体" w:hAnsi="宋体" w:eastAsia="宋体" w:cs="宋体"/>
          <w:color w:val="auto"/>
          <w:kern w:val="0"/>
          <w:sz w:val="24"/>
          <w:szCs w:val="24"/>
          <w:highlight w:val="none"/>
        </w:rPr>
        <w:t>要求：</w:t>
      </w:r>
      <w:r>
        <w:rPr>
          <w:rFonts w:hint="eastAsia" w:ascii="宋体" w:hAnsi="宋体" w:eastAsia="宋体" w:cs="宋体"/>
          <w:color w:val="auto"/>
          <w:kern w:val="0"/>
          <w:sz w:val="24"/>
          <w:szCs w:val="24"/>
          <w:highlight w:val="none"/>
          <w:lang w:eastAsia="zh-CN"/>
        </w:rPr>
        <w:t>符合国家及行业相关规范和标准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5.5</w:t>
      </w:r>
      <w:r>
        <w:rPr>
          <w:rFonts w:hint="eastAsia" w:ascii="宋体" w:hAnsi="宋体" w:eastAsia="宋体" w:cs="宋体"/>
          <w:color w:val="auto"/>
          <w:kern w:val="0"/>
          <w:sz w:val="24"/>
          <w:szCs w:val="24"/>
          <w:highlight w:val="none"/>
        </w:rPr>
        <w:t>项目地点：</w:t>
      </w:r>
      <w:r>
        <w:rPr>
          <w:rFonts w:hint="eastAsia" w:ascii="宋体" w:hAnsi="宋体" w:eastAsia="宋体" w:cs="宋体"/>
          <w:color w:val="auto"/>
          <w:kern w:val="0"/>
          <w:sz w:val="24"/>
          <w:szCs w:val="24"/>
          <w:highlight w:val="none"/>
          <w:lang w:val="en-US" w:eastAsia="zh-CN"/>
        </w:rPr>
        <w:t>采购人指定地点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合同履行期限：按合同约定执行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7、磋商</w:t>
      </w:r>
      <w:r>
        <w:rPr>
          <w:rFonts w:hint="eastAsia" w:ascii="宋体" w:hAnsi="宋体" w:eastAsia="宋体" w:cs="宋体"/>
          <w:color w:val="auto"/>
          <w:kern w:val="0"/>
          <w:sz w:val="24"/>
          <w:szCs w:val="24"/>
          <w:highlight w:val="none"/>
        </w:rPr>
        <w:t>范围：</w:t>
      </w:r>
      <w:r>
        <w:rPr>
          <w:rFonts w:hint="eastAsia" w:ascii="宋体" w:hAnsi="宋体" w:eastAsia="宋体" w:cs="宋体"/>
          <w:color w:val="auto"/>
          <w:kern w:val="0"/>
          <w:sz w:val="24"/>
          <w:szCs w:val="24"/>
          <w:highlight w:val="none"/>
          <w:lang w:eastAsia="zh-CN"/>
        </w:rPr>
        <w:t>磋商文件及答疑、澄清文件、</w:t>
      </w:r>
      <w:r>
        <w:rPr>
          <w:rFonts w:hint="eastAsia" w:ascii="宋体" w:hAnsi="宋体" w:eastAsia="宋体" w:cs="宋体"/>
          <w:color w:val="auto"/>
          <w:kern w:val="0"/>
          <w:sz w:val="24"/>
          <w:szCs w:val="24"/>
          <w:highlight w:val="none"/>
          <w:lang w:val="en-US" w:eastAsia="zh-CN"/>
        </w:rPr>
        <w:t>采购清单内</w:t>
      </w:r>
      <w:r>
        <w:rPr>
          <w:rFonts w:hint="eastAsia" w:ascii="宋体" w:hAnsi="宋体" w:eastAsia="宋体" w:cs="宋体"/>
          <w:color w:val="auto"/>
          <w:kern w:val="0"/>
          <w:sz w:val="24"/>
          <w:szCs w:val="24"/>
          <w:highlight w:val="none"/>
          <w:lang w:eastAsia="zh-CN"/>
        </w:rPr>
        <w:t>的所有内容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8.是否接受进口产品：否</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9.本项目执行促进中小型企业发展政策（监狱企业、残疾人福利性企业视同小微企业）、优先采购节能环保产品等政府采购政策</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二、供应商资格要求</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1.满足《中华人民共和国政府采购法》第二十一、第二十二条规定；（自行承诺，格式自拟）</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.本项目的特定资格要求</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.1供应商具有有效的营业执照；</w:t>
      </w:r>
    </w:p>
    <w:p>
      <w:pPr>
        <w:keepNext w:val="0"/>
        <w:keepLines w:val="0"/>
        <w:pageBreakBefore w:val="0"/>
        <w:widowControl w:val="0"/>
        <w:kinsoku/>
        <w:wordWrap w:val="0"/>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特别说明：根据《〈政府采购法实施条例〉释义》，银行、保险、石油石化、电力、电信等有行业特殊情况的，取得营业执照的分支机构可以分公司名义参与投标，但同一上级公司的两个分支机构不得同时参加投标，投标文件中涉及的“法定代表人”在前述特殊行业中即对应为“分支机构负责人”。以分公司或分支机构参与投标，须提供总公司的资格授权文件，总公司的资格、资质、人员证书、业绩等都作为本次投标的有效证明文件；</w:t>
      </w:r>
    </w:p>
    <w:p>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.2具备履行合同所需要的设备和专业技术能力；（自行承诺，格式自拟）</w:t>
      </w:r>
    </w:p>
    <w:p>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lang w:eastAsia="zh-CN"/>
        </w:rPr>
      </w:pPr>
      <w:bookmarkStart w:id="15" w:name="OLE_LINK2"/>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具有良好的商业信誉和健全的财务会计制度</w:t>
      </w:r>
      <w:r>
        <w:rPr>
          <w:rFonts w:hint="eastAsia" w:ascii="宋体" w:hAnsi="宋体" w:eastAsia="宋体" w:cs="宋体"/>
          <w:color w:val="auto"/>
          <w:sz w:val="24"/>
          <w:szCs w:val="24"/>
          <w:highlight w:val="none"/>
          <w:lang w:val="en-US" w:eastAsia="zh-CN"/>
        </w:rPr>
        <w:t>；</w:t>
      </w:r>
      <w:bookmarkEnd w:id="15"/>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提供承诺书，格式自拟</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供应商具有依法缴纳税收和社会保障资金的良好记录；（</w:t>
      </w:r>
      <w:r>
        <w:rPr>
          <w:rFonts w:hint="eastAsia" w:ascii="宋体" w:hAnsi="宋体" w:eastAsia="宋体" w:cs="宋体"/>
          <w:color w:val="auto"/>
          <w:sz w:val="24"/>
          <w:szCs w:val="24"/>
          <w:highlight w:val="none"/>
          <w:lang w:val="en-US" w:eastAsia="zh-CN"/>
        </w:rPr>
        <w:t>需提供税收证明和社保证明材料</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供应商须出具本企业无商业贿赂和不正当竞争行为承诺书；</w:t>
      </w:r>
    </w:p>
    <w:p>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.6无行贿犯罪记录，提供《中国裁判文书网》查询结果网页截图或企业自行承诺的无行贿犯罪承诺书，查询&lt;承诺&gt;对象为“企业”（查询时间自公告发布之日起，查询结果清晰可见）；</w:t>
      </w:r>
    </w:p>
    <w:p>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根据《关于在政府采购活动中查询及使用信用记录有关问题的通知》(财库[2016]125 号)和豫财购【2016】15 号的规定，对列入失信被执行人、重大税收违法失信主体、政府采购严重违法失信行为记录名单的供应商，拒绝参与本项目采购活动；（查询渠道：“信用中国”网站（www.creditchina.gov.cn）、中国政府采购网（www.ccgp.gov.cn）（提供“信用中国”和“中国政府采购网”网站的查询信息截图，查询时间须在本项目自发布公告之日起至项目开标之日范围内）；</w:t>
      </w:r>
    </w:p>
    <w:p>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本项目不接受联合体</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提供承诺书，格式自拟</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本项目实行资格后审，</w:t>
      </w:r>
      <w:r>
        <w:rPr>
          <w:rFonts w:hint="eastAsia" w:ascii="宋体" w:hAnsi="宋体" w:eastAsia="宋体" w:cs="宋体"/>
          <w:color w:val="auto"/>
          <w:sz w:val="24"/>
          <w:szCs w:val="24"/>
          <w:highlight w:val="none"/>
          <w:lang w:val="en-US" w:eastAsia="zh-CN"/>
        </w:rPr>
        <w:t>资格审查的具体要求见磋商文件。</w:t>
      </w:r>
    </w:p>
    <w:p>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注：被列入失信被执行人及重大税收违法失信主体的企业做无效标处理。采购人或采购代理机构有权对供应商信用记录进行甄别和复查。</w:t>
      </w:r>
    </w:p>
    <w:bookmarkEnd w:id="10"/>
    <w:p>
      <w:pPr>
        <w:keepNext w:val="0"/>
        <w:keepLines w:val="0"/>
        <w:pageBreakBefore w:val="0"/>
        <w:widowControl w:val="0"/>
        <w:kinsoku/>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三、获取采购文件</w:t>
      </w:r>
    </w:p>
    <w:p>
      <w:pPr>
        <w:keepNext w:val="0"/>
        <w:keepLines w:val="0"/>
        <w:pageBreakBefore w:val="0"/>
        <w:widowControl w:val="0"/>
        <w:kinsoku/>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.时间：2025年</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lang w:val="en-US" w:eastAsia="zh-CN"/>
        </w:rPr>
        <w:t>日至2025年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日</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时</w:t>
      </w:r>
      <w:r>
        <w:rPr>
          <w:rFonts w:hint="eastAsia" w:ascii="宋体" w:hAnsi="宋体" w:cs="宋体"/>
          <w:color w:val="auto"/>
          <w:sz w:val="24"/>
          <w:szCs w:val="24"/>
          <w:highlight w:val="none"/>
          <w:lang w:val="en-US" w:eastAsia="zh-CN"/>
        </w:rPr>
        <w:t>40</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rPr>
        <w:t>（北京时间）</w:t>
      </w:r>
      <w:r>
        <w:rPr>
          <w:rFonts w:hint="eastAsia" w:ascii="宋体" w:hAnsi="宋体" w:eastAsia="宋体" w:cs="宋体"/>
          <w:color w:val="auto"/>
          <w:sz w:val="24"/>
          <w:szCs w:val="24"/>
          <w:highlight w:val="none"/>
          <w:lang w:val="en-US" w:eastAsia="zh-CN"/>
        </w:rPr>
        <w:t>。</w:t>
      </w:r>
    </w:p>
    <w:p>
      <w:pPr>
        <w:keepNext w:val="0"/>
        <w:keepLines w:val="0"/>
        <w:pageBreakBefore w:val="0"/>
        <w:widowControl w:val="0"/>
        <w:kinsoku/>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2.地点：三门峡市公共资源交易中心网</w:t>
      </w:r>
      <w:r>
        <w:rPr>
          <w:rFonts w:hint="eastAsia" w:ascii="宋体" w:hAnsi="宋体" w:eastAsia="宋体" w:cs="宋体"/>
          <w:color w:val="auto"/>
          <w:sz w:val="24"/>
          <w:szCs w:val="24"/>
          <w:highlight w:val="none"/>
          <w:lang w:eastAsia="zh-CN"/>
        </w:rPr>
        <w:t>。</w:t>
      </w:r>
    </w:p>
    <w:p>
      <w:pPr>
        <w:keepNext w:val="0"/>
        <w:keepLines w:val="0"/>
        <w:pageBreakBefore w:val="0"/>
        <w:widowControl w:val="0"/>
        <w:kinsoku/>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3.方式：供应商凭 CA 数字证书通过三门峡市公共资源交易中心网（ 网址：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"http://gzjy.smx.gov.cn/"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http://gzjy.smx.gov.cn/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），点击交易平台选择“交易主体登录”，登陆系统后，点击 采购业务-业务管理-竞争性磋商文件领取菜单-点击领取按钮-领取.smxzf 格式的电子竞 争性磋商文件。</w:t>
      </w:r>
    </w:p>
    <w:p>
      <w:pPr>
        <w:keepNext w:val="0"/>
        <w:keepLines w:val="0"/>
        <w:pageBreakBefore w:val="0"/>
        <w:widowControl w:val="0"/>
        <w:kinsoku/>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办理 CA 证书链接：</w:t>
      </w:r>
    </w:p>
    <w:p>
      <w:pPr>
        <w:keepNext w:val="0"/>
        <w:keepLines w:val="0"/>
        <w:pageBreakBefore w:val="0"/>
        <w:widowControl w:val="0"/>
        <w:kinsoku/>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"http://gzjy.smx.gov.cn/fwzn/004003/20201019/a8fae6a0-baed-499b-bb50-8ecc8828a2ca.html"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http://gzjy.smx.gov.cn/fwzn/004003/20201019/a8fae6a0-baed-499b-bb50-8ecc8828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"http://gzjy.smx.gov.cn/fwzn/004003/20201019/a8fae6a0-baed-499b-bb50-8ecc8828a2ca.html"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a2ca.html</w:t>
      </w:r>
      <w:r>
        <w:rPr>
          <w:rFonts w:hint="eastAsia" w:ascii="宋体" w:hAnsi="宋体" w:eastAsia="宋体" w:cs="宋体"/>
          <w:color w:val="auto"/>
          <w:sz w:val="24"/>
          <w:szCs w:val="24"/>
          <w:highlight w:val="none"/>
        </w:rPr>
        <w:fldChar w:fldCharType="end"/>
      </w:r>
    </w:p>
    <w:p>
      <w:pPr>
        <w:keepNext w:val="0"/>
        <w:keepLines w:val="0"/>
        <w:pageBreakBefore w:val="0"/>
        <w:widowControl w:val="0"/>
        <w:kinsoku/>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4.售价：0 元</w:t>
      </w:r>
    </w:p>
    <w:p>
      <w:pPr>
        <w:keepNext w:val="0"/>
        <w:keepLines w:val="0"/>
        <w:pageBreakBefore w:val="0"/>
        <w:widowControl w:val="0"/>
        <w:kinsoku/>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四、响应文件提交</w:t>
      </w:r>
    </w:p>
    <w:p>
      <w:pPr>
        <w:keepNext w:val="0"/>
        <w:keepLines w:val="0"/>
        <w:pageBreakBefore w:val="0"/>
        <w:widowControl w:val="0"/>
        <w:kinsoku/>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1.截止时间：</w:t>
      </w:r>
      <w:r>
        <w:rPr>
          <w:rFonts w:hint="eastAsia" w:ascii="宋体" w:hAnsi="宋体" w:eastAsia="宋体" w:cs="宋体"/>
          <w:color w:val="auto"/>
          <w:sz w:val="24"/>
          <w:szCs w:val="24"/>
          <w:highlight w:val="none"/>
          <w:lang w:val="en-US" w:eastAsia="zh-CN"/>
        </w:rPr>
        <w:t>2025年11月6日9时40分</w:t>
      </w:r>
      <w:r>
        <w:rPr>
          <w:rFonts w:hint="eastAsia" w:ascii="宋体" w:hAnsi="宋体" w:eastAsia="宋体" w:cs="宋体"/>
          <w:color w:val="auto"/>
          <w:sz w:val="24"/>
          <w:szCs w:val="24"/>
          <w:highlight w:val="none"/>
        </w:rPr>
        <w:t>（北京时间）</w:t>
      </w:r>
    </w:p>
    <w:p>
      <w:pPr>
        <w:keepNext w:val="0"/>
        <w:keepLines w:val="0"/>
        <w:pageBreakBefore w:val="0"/>
        <w:widowControl w:val="0"/>
        <w:kinsoku/>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2.地点：加密电子响应文件须在磋商截止时间前通过三门峡市公共资源交易中心电子交易平台加密上传。</w:t>
      </w:r>
    </w:p>
    <w:p>
      <w:pPr>
        <w:keepNext w:val="0"/>
        <w:keepLines w:val="0"/>
        <w:pageBreakBefore w:val="0"/>
        <w:widowControl w:val="0"/>
        <w:kinsoku/>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五、响应文件开启</w:t>
      </w:r>
    </w:p>
    <w:p>
      <w:pPr>
        <w:keepNext w:val="0"/>
        <w:keepLines w:val="0"/>
        <w:pageBreakBefore w:val="0"/>
        <w:widowControl w:val="0"/>
        <w:kinsoku/>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w:t>
      </w:r>
      <w:r>
        <w:rPr>
          <w:rFonts w:hint="eastAsia" w:ascii="宋体" w:hAnsi="宋体" w:eastAsia="宋体" w:cs="宋体"/>
          <w:color w:val="auto"/>
          <w:sz w:val="24"/>
          <w:szCs w:val="24"/>
          <w:highlight w:val="none"/>
          <w:lang w:val="en-US" w:eastAsia="zh-CN"/>
        </w:rPr>
        <w:t>2025年11月6日9时40分</w:t>
      </w:r>
      <w:r>
        <w:rPr>
          <w:rFonts w:hint="eastAsia" w:ascii="宋体" w:hAnsi="宋体" w:eastAsia="宋体" w:cs="宋体"/>
          <w:color w:val="auto"/>
          <w:sz w:val="24"/>
          <w:szCs w:val="24"/>
          <w:highlight w:val="none"/>
        </w:rPr>
        <w:t>（北京时间）</w:t>
      </w:r>
    </w:p>
    <w:p>
      <w:pPr>
        <w:keepNext w:val="0"/>
        <w:keepLines w:val="0"/>
        <w:pageBreakBefore w:val="0"/>
        <w:widowControl w:val="0"/>
        <w:kinsoku/>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2.地点：三门峡市公共资源交易中心</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楼开标区</w:t>
      </w:r>
    </w:p>
    <w:p>
      <w:pPr>
        <w:keepNext w:val="0"/>
        <w:keepLines w:val="0"/>
        <w:pageBreakBefore w:val="0"/>
        <w:widowControl w:val="0"/>
        <w:kinsoku/>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六、发布公告的媒介及公告期限</w:t>
      </w:r>
    </w:p>
    <w:p>
      <w:pPr>
        <w:keepNext w:val="0"/>
        <w:keepLines w:val="0"/>
        <w:pageBreakBefore w:val="0"/>
        <w:widowControl w:val="0"/>
        <w:kinsoku/>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本次公告在《河南省政府采购网》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三门峡市公共资源交易中心网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中国采购与招标网</w:t>
      </w:r>
      <w:r>
        <w:rPr>
          <w:rFonts w:hint="eastAsia" w:ascii="宋体" w:hAnsi="宋体" w:eastAsia="宋体" w:cs="宋体"/>
          <w:color w:val="auto"/>
          <w:sz w:val="24"/>
          <w:szCs w:val="24"/>
          <w:highlight w:val="none"/>
        </w:rPr>
        <w:t>》上发布。公告期限为</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个工作日。</w:t>
      </w:r>
    </w:p>
    <w:p>
      <w:pPr>
        <w:keepNext w:val="0"/>
        <w:keepLines w:val="0"/>
        <w:pageBreakBefore w:val="0"/>
        <w:widowControl w:val="0"/>
        <w:kinsoku/>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七、其他补充事宜</w:t>
      </w:r>
    </w:p>
    <w:p>
      <w:pPr>
        <w:keepNext w:val="0"/>
        <w:keepLines w:val="0"/>
        <w:pageBreakBefore w:val="0"/>
        <w:widowControl w:val="0"/>
        <w:kinsoku/>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1.本项目为不见面开标项目，开标当日，供应商无需到开标现场参加开标会议，供应商应当在投标截止时间前，登陆不见面开标大厅选择登陆三门峡市公共资源电子招投标系统进行登陆（网址为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"http://120.194.249.36:10094/BidOpening/bidopeninghallaction/hall/login"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http://120.194.249.36:10094/BidOpening/bidopeninghallaction/hall/login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）,在线 准时参加开标活动并进行响应文件解密等。每位供应商的解密时间为开标时间起 30 分钟内完成。因供应商原因未能解密、解密失败或解密超时的将被拒绝。</w:t>
      </w:r>
    </w:p>
    <w:p>
      <w:pPr>
        <w:keepNext w:val="0"/>
        <w:keepLines w:val="0"/>
        <w:pageBreakBefore w:val="0"/>
        <w:widowControl w:val="0"/>
        <w:kinsoku/>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2.本项目实行资格后审，审查内容以响应文件为准，其上传资料真实性由供应商自行承担， 同时，供应商请完善主体库。</w:t>
      </w:r>
    </w:p>
    <w:p>
      <w:pPr>
        <w:keepNext w:val="0"/>
        <w:keepLines w:val="0"/>
        <w:pageBreakBefore w:val="0"/>
        <w:widowControl w:val="0"/>
        <w:kinsoku/>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3.评审打分部分按照 100 分制原则进行，涉及到资格审查、企业业绩等计分部分时， 以供应商自行上传到响应文件中的各类相应内容为准。</w:t>
      </w:r>
    </w:p>
    <w:p>
      <w:pPr>
        <w:keepNext w:val="0"/>
        <w:keepLines w:val="0"/>
        <w:pageBreakBefore w:val="0"/>
        <w:widowControl w:val="0"/>
        <w:kinsoku/>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4.在竞争性磋商文件中要求供应商按照响应文件格式进行响应文件编制， 在响应文件编制时，应明确将供应商企业基本情况、业绩情况编入响应文件中， 便于进行资格审查及评标打分。</w:t>
      </w:r>
    </w:p>
    <w:p>
      <w:pPr>
        <w:keepNext w:val="0"/>
        <w:keepLines w:val="0"/>
        <w:pageBreakBefore w:val="0"/>
        <w:widowControl w:val="0"/>
        <w:kinsoku/>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5.本项目为电子化、无纸化交易项目，开标时不再接受任何纸质资料，为保证您能 投标成功，请需仔细阅读竞争性磋商文件和三门峡市公共资源交易中心官网业务办理指 南。</w:t>
      </w:r>
    </w:p>
    <w:p>
      <w:pPr>
        <w:keepNext w:val="0"/>
        <w:keepLines w:val="0"/>
        <w:pageBreakBefore w:val="0"/>
        <w:widowControl w:val="0"/>
        <w:kinsoku/>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6.根据《河南省财政厅关于优化政府采购营商环境有关问题的通知》（豫财购【2019】 4 号）第6条的规定，磋商保证金不再收取。</w:t>
      </w:r>
    </w:p>
    <w:p>
      <w:pPr>
        <w:keepNext w:val="0"/>
        <w:keepLines w:val="0"/>
        <w:pageBreakBefore w:val="0"/>
        <w:widowControl w:val="0"/>
        <w:kinsoku/>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7.我单位（采购人）严格按三财购【2021】9 号文要求的时限发布成交结果公告， 发出成交通知书，签订采购合同，上传采购合同。</w:t>
      </w:r>
    </w:p>
    <w:p>
      <w:pPr>
        <w:keepNext w:val="0"/>
        <w:keepLines w:val="0"/>
        <w:pageBreakBefore w:val="0"/>
        <w:widowControl w:val="0"/>
        <w:kinsoku/>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八、发布公告的媒介</w:t>
      </w:r>
    </w:p>
    <w:p>
      <w:pPr>
        <w:keepNext w:val="0"/>
        <w:keepLines w:val="0"/>
        <w:pageBreakBefore w:val="0"/>
        <w:widowControl w:val="0"/>
        <w:kinsoku/>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本次磋商公告同时在</w:t>
      </w:r>
      <w:r>
        <w:rPr>
          <w:rFonts w:hint="eastAsia" w:ascii="宋体" w:hAnsi="宋体" w:eastAsia="宋体" w:cs="宋体"/>
          <w:caps w:val="0"/>
          <w:color w:val="auto"/>
          <w:spacing w:val="0"/>
          <w:sz w:val="24"/>
          <w:szCs w:val="24"/>
          <w:highlight w:val="none"/>
        </w:rPr>
        <w:t>《河南省政府采购网》、《</w:t>
      </w:r>
      <w:r>
        <w:rPr>
          <w:rFonts w:hint="eastAsia" w:ascii="宋体" w:hAnsi="宋体" w:eastAsia="宋体" w:cs="宋体"/>
          <w:caps w:val="0"/>
          <w:color w:val="auto"/>
          <w:spacing w:val="0"/>
          <w:sz w:val="24"/>
          <w:szCs w:val="24"/>
          <w:highlight w:val="none"/>
          <w:lang w:eastAsia="zh-CN"/>
        </w:rPr>
        <w:t>中国采购与招标网</w:t>
      </w:r>
      <w:r>
        <w:rPr>
          <w:rFonts w:hint="eastAsia" w:ascii="宋体" w:hAnsi="宋体" w:eastAsia="宋体" w:cs="宋体"/>
          <w:caps w:val="0"/>
          <w:color w:val="auto"/>
          <w:spacing w:val="0"/>
          <w:sz w:val="24"/>
          <w:szCs w:val="24"/>
          <w:highlight w:val="none"/>
        </w:rPr>
        <w:t>》、《三门峡市公共资源交易中心网》</w:t>
      </w:r>
      <w:r>
        <w:rPr>
          <w:rFonts w:hint="eastAsia" w:ascii="宋体" w:hAnsi="宋体" w:eastAsia="宋体" w:cs="宋体"/>
          <w:color w:val="auto"/>
          <w:sz w:val="24"/>
          <w:szCs w:val="24"/>
          <w:highlight w:val="none"/>
          <w:lang w:val="en-US" w:eastAsia="zh-CN"/>
        </w:rPr>
        <w:t>上发布。</w:t>
      </w:r>
    </w:p>
    <w:p>
      <w:pPr>
        <w:keepNext w:val="0"/>
        <w:keepLines w:val="0"/>
        <w:pageBreakBefore w:val="0"/>
        <w:widowControl w:val="0"/>
        <w:kinsoku/>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九、联系方式</w:t>
      </w:r>
    </w:p>
    <w:p>
      <w:pPr>
        <w:keepNext w:val="0"/>
        <w:keepLines w:val="0"/>
        <w:pageBreakBefore w:val="0"/>
        <w:widowControl w:val="0"/>
        <w:kinsoku/>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1、监督单位</w:t>
      </w:r>
    </w:p>
    <w:p>
      <w:pPr>
        <w:keepNext w:val="0"/>
        <w:keepLines w:val="0"/>
        <w:pageBreakBefore w:val="0"/>
        <w:widowControl w:val="0"/>
        <w:kinsoku/>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监督单位：湖滨区政府采购办公室</w:t>
      </w:r>
    </w:p>
    <w:p>
      <w:pPr>
        <w:keepNext w:val="0"/>
        <w:keepLines w:val="0"/>
        <w:pageBreakBefore w:val="0"/>
        <w:widowControl w:val="0"/>
        <w:kinsoku/>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联系人：陈玉娟</w:t>
      </w:r>
    </w:p>
    <w:p>
      <w:pPr>
        <w:keepNext w:val="0"/>
        <w:keepLines w:val="0"/>
        <w:pageBreakBefore w:val="0"/>
        <w:widowControl w:val="0"/>
        <w:kinsoku/>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电话：15519810606</w:t>
      </w:r>
    </w:p>
    <w:p>
      <w:pPr>
        <w:keepNext w:val="0"/>
        <w:keepLines w:val="0"/>
        <w:pageBreakBefore w:val="0"/>
        <w:widowControl w:val="0"/>
        <w:kinsoku/>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监督单位：驻区委组织部纪检监察组</w:t>
      </w:r>
    </w:p>
    <w:p>
      <w:pPr>
        <w:keepNext w:val="0"/>
        <w:keepLines w:val="0"/>
        <w:pageBreakBefore w:val="0"/>
        <w:widowControl w:val="0"/>
        <w:kinsoku/>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联系人：王蓓</w:t>
      </w:r>
    </w:p>
    <w:p>
      <w:pPr>
        <w:keepNext w:val="0"/>
        <w:keepLines w:val="0"/>
        <w:pageBreakBefore w:val="0"/>
        <w:widowControl w:val="0"/>
        <w:kinsoku/>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电话：18639809189   </w:t>
      </w:r>
    </w:p>
    <w:p>
      <w:pPr>
        <w:keepNext w:val="0"/>
        <w:keepLines w:val="0"/>
        <w:pageBreakBefore w:val="0"/>
        <w:widowControl w:val="0"/>
        <w:kinsoku/>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2、采购人：</w:t>
      </w:r>
      <w:bookmarkStart w:id="16" w:name="OLE_LINK3"/>
      <w:bookmarkStart w:id="17" w:name="OLE_LINK1"/>
      <w:r>
        <w:rPr>
          <w:rFonts w:hint="eastAsia" w:ascii="宋体" w:hAnsi="宋体" w:eastAsia="宋体" w:cs="宋体"/>
          <w:color w:val="auto"/>
          <w:sz w:val="24"/>
          <w:szCs w:val="24"/>
          <w:highlight w:val="none"/>
          <w:lang w:val="en-US" w:eastAsia="zh-CN"/>
        </w:rPr>
        <w:t>三门峡市湖滨区人力资源和社会保障局</w:t>
      </w:r>
      <w:bookmarkEnd w:id="16"/>
    </w:p>
    <w:bookmarkEnd w:id="17"/>
    <w:p>
      <w:pPr>
        <w:keepNext w:val="0"/>
        <w:keepLines w:val="0"/>
        <w:pageBreakBefore w:val="0"/>
        <w:widowControl w:val="0"/>
        <w:kinsoku/>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联系人：周鹏举</w:t>
      </w:r>
    </w:p>
    <w:p>
      <w:pPr>
        <w:keepNext w:val="0"/>
        <w:keepLines w:val="0"/>
        <w:pageBreakBefore w:val="0"/>
        <w:widowControl w:val="0"/>
        <w:kinsoku/>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电话：15519810606</w:t>
      </w:r>
    </w:p>
    <w:p>
      <w:pPr>
        <w:keepNext w:val="0"/>
        <w:keepLines w:val="0"/>
        <w:pageBreakBefore w:val="0"/>
        <w:widowControl w:val="0"/>
        <w:kinsoku/>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3、代理机构</w:t>
      </w:r>
    </w:p>
    <w:p>
      <w:pPr>
        <w:keepNext w:val="0"/>
        <w:keepLines w:val="0"/>
        <w:pageBreakBefore w:val="0"/>
        <w:widowControl w:val="0"/>
        <w:kinsoku/>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代理机构：佰诺项目管理有限公司</w:t>
      </w:r>
    </w:p>
    <w:p>
      <w:pPr>
        <w:keepNext w:val="0"/>
        <w:keepLines w:val="0"/>
        <w:pageBreakBefore w:val="0"/>
        <w:widowControl w:val="0"/>
        <w:kinsoku/>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联系人：梁泽锋  </w:t>
      </w:r>
    </w:p>
    <w:p>
      <w:pPr>
        <w:keepNext w:val="0"/>
        <w:keepLines w:val="0"/>
        <w:pageBreakBefore w:val="0"/>
        <w:widowControl w:val="0"/>
        <w:kinsoku/>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电话：18103821763</w:t>
      </w:r>
    </w:p>
    <w:p>
      <w:pPr>
        <w:keepNext w:val="0"/>
        <w:keepLines w:val="0"/>
        <w:pageBreakBefore w:val="0"/>
        <w:widowControl w:val="0"/>
        <w:kinsoku/>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地址：河南自贸试验区郑州片区（郑东）金水东路80号绿地新都会2号楼B座18层1804</w:t>
      </w:r>
    </w:p>
    <w:p>
      <w:pPr>
        <w:keepNext w:val="0"/>
        <w:keepLines w:val="0"/>
        <w:pageBreakBefore w:val="0"/>
        <w:kinsoku/>
        <w:overflowPunct/>
        <w:topLinePunct w:val="0"/>
        <w:autoSpaceDE/>
        <w:autoSpaceDN/>
        <w:bidi w:val="0"/>
        <w:adjustRightInd/>
        <w:snapToGrid/>
        <w:spacing w:line="360" w:lineRule="auto"/>
        <w:ind w:firstLine="600" w:firstLineChars="200"/>
        <w:textAlignment w:val="auto"/>
        <w:rPr>
          <w:rFonts w:hint="eastAsia" w:ascii="宋体" w:hAnsi="宋体" w:eastAsia="宋体"/>
          <w:color w:val="auto"/>
          <w:sz w:val="30"/>
          <w:szCs w:val="30"/>
          <w:highlight w:val="none"/>
        </w:rPr>
      </w:pPr>
      <w:r>
        <w:rPr>
          <w:rFonts w:hint="eastAsia" w:ascii="宋体" w:hAnsi="宋体" w:eastAsia="宋体"/>
          <w:color w:val="auto"/>
          <w:sz w:val="30"/>
          <w:szCs w:val="30"/>
          <w:highlight w:val="none"/>
        </w:rPr>
        <w:br w:type="page"/>
      </w:r>
    </w:p>
    <w:p>
      <w:pPr>
        <w:pStyle w:val="2"/>
        <w:jc w:val="center"/>
        <w:outlineLvl w:val="0"/>
        <w:rPr>
          <w:rFonts w:ascii="宋体" w:hAnsi="宋体" w:eastAsia="宋体"/>
          <w:color w:val="auto"/>
          <w:sz w:val="30"/>
          <w:szCs w:val="30"/>
        </w:rPr>
      </w:pPr>
      <w:bookmarkStart w:id="18" w:name="_Toc18472"/>
      <w:r>
        <w:rPr>
          <w:rFonts w:hint="eastAsia" w:ascii="宋体" w:hAnsi="宋体" w:eastAsia="宋体"/>
          <w:color w:val="auto"/>
          <w:sz w:val="30"/>
          <w:szCs w:val="30"/>
        </w:rPr>
        <w:t xml:space="preserve">第二章 </w:t>
      </w:r>
      <w:r>
        <w:rPr>
          <w:rFonts w:hint="eastAsia" w:ascii="宋体" w:hAnsi="宋体" w:eastAsia="宋体"/>
          <w:color w:val="auto"/>
          <w:sz w:val="30"/>
          <w:szCs w:val="30"/>
          <w:lang w:val="en-US" w:eastAsia="zh-CN"/>
        </w:rPr>
        <w:t>供应商</w:t>
      </w:r>
      <w:r>
        <w:rPr>
          <w:rFonts w:hint="eastAsia" w:ascii="宋体" w:hAnsi="宋体" w:eastAsia="宋体"/>
          <w:color w:val="auto"/>
          <w:sz w:val="30"/>
          <w:szCs w:val="30"/>
        </w:rPr>
        <w:t>须知</w:t>
      </w:r>
      <w:bookmarkEnd w:id="11"/>
      <w:bookmarkEnd w:id="12"/>
      <w:bookmarkEnd w:id="18"/>
    </w:p>
    <w:p>
      <w:pPr>
        <w:spacing w:line="360" w:lineRule="auto"/>
        <w:jc w:val="center"/>
        <w:outlineLvl w:val="0"/>
        <w:rPr>
          <w:rFonts w:ascii="宋体" w:hAnsi="宋体" w:eastAsia="宋体"/>
          <w:b/>
          <w:bCs/>
          <w:color w:val="auto"/>
          <w:sz w:val="28"/>
          <w:szCs w:val="28"/>
        </w:rPr>
      </w:pPr>
      <w:bookmarkStart w:id="19" w:name="_Toc29183"/>
      <w:bookmarkStart w:id="20" w:name="_Toc150"/>
      <w:bookmarkStart w:id="21" w:name="_Toc5665"/>
      <w:r>
        <w:rPr>
          <w:rFonts w:hint="eastAsia" w:ascii="宋体" w:hAnsi="宋体"/>
          <w:b/>
          <w:bCs/>
          <w:color w:val="auto"/>
          <w:sz w:val="28"/>
          <w:szCs w:val="28"/>
          <w:lang w:val="en-US" w:eastAsia="zh-CN"/>
        </w:rPr>
        <w:t>供应商</w:t>
      </w:r>
      <w:r>
        <w:rPr>
          <w:rFonts w:hint="eastAsia" w:ascii="宋体" w:hAnsi="宋体" w:eastAsia="宋体"/>
          <w:b/>
          <w:bCs/>
          <w:color w:val="auto"/>
          <w:sz w:val="28"/>
          <w:szCs w:val="28"/>
        </w:rPr>
        <w:t>须知前附表</w:t>
      </w:r>
      <w:bookmarkEnd w:id="19"/>
      <w:bookmarkEnd w:id="20"/>
      <w:bookmarkEnd w:id="21"/>
    </w:p>
    <w:tbl>
      <w:tblPr>
        <w:tblStyle w:val="20"/>
        <w:tblW w:w="9549" w:type="dxa"/>
        <w:jc w:val="center"/>
        <w:tblLayout w:type="fixed"/>
        <w:tblCellMar>
          <w:top w:w="0" w:type="dxa"/>
          <w:left w:w="108" w:type="dxa"/>
          <w:bottom w:w="0" w:type="dxa"/>
          <w:right w:w="108" w:type="dxa"/>
        </w:tblCellMar>
      </w:tblPr>
      <w:tblGrid>
        <w:gridCol w:w="938"/>
        <w:gridCol w:w="2436"/>
        <w:gridCol w:w="6175"/>
      </w:tblGrid>
      <w:tr>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条款号</w:t>
            </w:r>
          </w:p>
        </w:tc>
        <w:tc>
          <w:tcPr>
            <w:tcW w:w="2436"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条款名称</w:t>
            </w:r>
          </w:p>
        </w:tc>
        <w:tc>
          <w:tcPr>
            <w:tcW w:w="6175"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编列内容</w:t>
            </w:r>
          </w:p>
        </w:tc>
      </w:tr>
      <w:tr>
        <w:tblPrEx>
          <w:tblCellMar>
            <w:top w:w="0" w:type="dxa"/>
            <w:left w:w="108" w:type="dxa"/>
            <w:bottom w:w="0" w:type="dxa"/>
            <w:right w:w="108" w:type="dxa"/>
          </w:tblCellMar>
        </w:tblPrEx>
        <w:trPr>
          <w:trHeight w:val="3855"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2436"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监督单位和采购人</w:t>
            </w:r>
          </w:p>
        </w:tc>
        <w:tc>
          <w:tcPr>
            <w:tcW w:w="6175" w:type="dxa"/>
            <w:tcBorders>
              <w:top w:val="single" w:color="auto" w:sz="4" w:space="0"/>
              <w:left w:val="nil"/>
              <w:bottom w:val="single" w:color="auto" w:sz="4" w:space="0"/>
              <w:right w:val="single" w:color="auto" w:sz="4" w:space="0"/>
            </w:tcBorders>
            <w:noWrap w:val="0"/>
            <w:vAlign w:val="center"/>
          </w:tcPr>
          <w:p>
            <w:pPr>
              <w:spacing w:line="36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1、监督单位</w:t>
            </w:r>
          </w:p>
          <w:p>
            <w:pPr>
              <w:spacing w:line="36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监督单位：湖滨区政府采购办公室</w:t>
            </w:r>
          </w:p>
          <w:p>
            <w:pPr>
              <w:spacing w:line="36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联系人：陈玉娟</w:t>
            </w:r>
          </w:p>
          <w:p>
            <w:pPr>
              <w:spacing w:line="36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电话：15519810606</w:t>
            </w:r>
          </w:p>
          <w:p>
            <w:pPr>
              <w:spacing w:line="36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监督单位：驻区委组织部纪检监察组</w:t>
            </w:r>
          </w:p>
          <w:p>
            <w:pPr>
              <w:spacing w:line="36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联系人：王蓓</w:t>
            </w:r>
          </w:p>
          <w:p>
            <w:pPr>
              <w:spacing w:line="36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电话：18639809189   </w:t>
            </w:r>
          </w:p>
          <w:p>
            <w:pPr>
              <w:spacing w:line="36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2、采购人：三门峡市湖滨区人力资源和社会保障局</w:t>
            </w:r>
          </w:p>
          <w:p>
            <w:pPr>
              <w:spacing w:line="36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联系人：周鹏举</w:t>
            </w:r>
          </w:p>
          <w:p>
            <w:pPr>
              <w:spacing w:line="36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电话：15519810606</w:t>
            </w:r>
          </w:p>
          <w:p>
            <w:pPr>
              <w:spacing w:line="36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地址：</w:t>
            </w:r>
            <w:r>
              <w:rPr>
                <w:rFonts w:hint="eastAsia" w:ascii="宋体" w:hAnsi="宋体" w:eastAsia="宋体" w:cs="宋体"/>
                <w:color w:val="auto"/>
                <w:sz w:val="24"/>
                <w:highlight w:val="none"/>
                <w:lang w:eastAsia="zh-CN"/>
              </w:rPr>
              <w:t>三门峡市黄河东路16号</w:t>
            </w:r>
          </w:p>
        </w:tc>
      </w:tr>
      <w:tr>
        <w:tblPrEx>
          <w:tblCellMar>
            <w:top w:w="0" w:type="dxa"/>
            <w:left w:w="108" w:type="dxa"/>
            <w:bottom w:w="0" w:type="dxa"/>
            <w:right w:w="108" w:type="dxa"/>
          </w:tblCellMar>
        </w:tblPrEx>
        <w:trPr>
          <w:trHeight w:val="1742"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2</w:t>
            </w:r>
          </w:p>
        </w:tc>
        <w:tc>
          <w:tcPr>
            <w:tcW w:w="2436"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采购代理机构</w:t>
            </w:r>
          </w:p>
        </w:tc>
        <w:tc>
          <w:tcPr>
            <w:tcW w:w="6175" w:type="dxa"/>
            <w:tcBorders>
              <w:top w:val="single" w:color="auto" w:sz="4" w:space="0"/>
              <w:left w:val="nil"/>
              <w:bottom w:val="single" w:color="auto" w:sz="4" w:space="0"/>
              <w:right w:val="single" w:color="auto" w:sz="4" w:space="0"/>
            </w:tcBorders>
            <w:noWrap w:val="0"/>
            <w:vAlign w:val="center"/>
          </w:tcPr>
          <w:p>
            <w:pPr>
              <w:spacing w:line="36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代理机构：佰诺项目管理有限公司</w:t>
            </w:r>
          </w:p>
          <w:p>
            <w:pPr>
              <w:spacing w:line="36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联系人：梁泽锋 </w:t>
            </w:r>
          </w:p>
          <w:p>
            <w:pPr>
              <w:spacing w:line="360" w:lineRule="exact"/>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电话：18103821763</w:t>
            </w:r>
          </w:p>
          <w:p>
            <w:pPr>
              <w:spacing w:line="36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地址：河南自贸试验区郑州片区（郑东）金水东路80号绿地新都会2号楼B座18层1804</w:t>
            </w:r>
          </w:p>
        </w:tc>
      </w:tr>
      <w:tr>
        <w:tblPrEx>
          <w:tblCellMar>
            <w:top w:w="0" w:type="dxa"/>
            <w:left w:w="108" w:type="dxa"/>
            <w:bottom w:w="0" w:type="dxa"/>
            <w:right w:w="108" w:type="dxa"/>
          </w:tblCellMar>
        </w:tblPrEx>
        <w:trPr>
          <w:trHeight w:val="511"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3</w:t>
            </w:r>
          </w:p>
        </w:tc>
        <w:tc>
          <w:tcPr>
            <w:tcW w:w="2436"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6175" w:type="dxa"/>
            <w:tcBorders>
              <w:top w:val="single" w:color="auto" w:sz="4" w:space="0"/>
              <w:left w:val="nil"/>
              <w:bottom w:val="single" w:color="auto" w:sz="4" w:space="0"/>
              <w:right w:val="single" w:color="auto" w:sz="4" w:space="0"/>
            </w:tcBorders>
            <w:noWrap w:val="0"/>
            <w:vAlign w:val="center"/>
          </w:tcPr>
          <w:p>
            <w:pPr>
              <w:spacing w:line="36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三门峡市湖滨区人力资源和社会保障局就业创业平台技术服务项目</w:t>
            </w:r>
          </w:p>
        </w:tc>
      </w:tr>
      <w:tr>
        <w:tblPrEx>
          <w:tblCellMar>
            <w:top w:w="0" w:type="dxa"/>
            <w:left w:w="108" w:type="dxa"/>
            <w:bottom w:w="0" w:type="dxa"/>
            <w:right w:w="108" w:type="dxa"/>
          </w:tblCellMar>
        </w:tblPrEx>
        <w:trPr>
          <w:trHeight w:val="332"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p>
        </w:tc>
        <w:tc>
          <w:tcPr>
            <w:tcW w:w="2436"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项目编号</w:t>
            </w:r>
          </w:p>
        </w:tc>
        <w:tc>
          <w:tcPr>
            <w:tcW w:w="6175"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湖滨竟磋采购-2025-26   SGZ[2025]475-ZC312</w:t>
            </w:r>
          </w:p>
        </w:tc>
      </w:tr>
      <w:tr>
        <w:tblPrEx>
          <w:tblCellMar>
            <w:top w:w="0" w:type="dxa"/>
            <w:left w:w="108" w:type="dxa"/>
            <w:bottom w:w="0" w:type="dxa"/>
            <w:right w:w="108" w:type="dxa"/>
          </w:tblCellMar>
        </w:tblPrEx>
        <w:trPr>
          <w:trHeight w:val="332"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w:t>
            </w:r>
          </w:p>
        </w:tc>
        <w:tc>
          <w:tcPr>
            <w:tcW w:w="2436"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项目地点</w:t>
            </w:r>
          </w:p>
        </w:tc>
        <w:tc>
          <w:tcPr>
            <w:tcW w:w="6175"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采购人指定地点</w:t>
            </w:r>
          </w:p>
        </w:tc>
      </w:tr>
      <w:tr>
        <w:tblPrEx>
          <w:tblCellMar>
            <w:top w:w="0" w:type="dxa"/>
            <w:left w:w="108" w:type="dxa"/>
            <w:bottom w:w="0" w:type="dxa"/>
            <w:right w:w="108" w:type="dxa"/>
          </w:tblCellMar>
        </w:tblPrEx>
        <w:trPr>
          <w:trHeight w:val="90"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w:t>
            </w:r>
          </w:p>
        </w:tc>
        <w:tc>
          <w:tcPr>
            <w:tcW w:w="2436"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采购内容</w:t>
            </w:r>
          </w:p>
        </w:tc>
        <w:tc>
          <w:tcPr>
            <w:tcW w:w="6175"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本项目为三门峡市湖滨区人力资源和社会保障局就业创业平台技术服务项目；主要内容为相关软件开发技术及维护等服务。</w:t>
            </w:r>
          </w:p>
        </w:tc>
      </w:tr>
      <w:tr>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7</w:t>
            </w:r>
          </w:p>
        </w:tc>
        <w:tc>
          <w:tcPr>
            <w:tcW w:w="2436"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资金来源及落实情况</w:t>
            </w:r>
          </w:p>
        </w:tc>
        <w:tc>
          <w:tcPr>
            <w:tcW w:w="6175" w:type="dxa"/>
            <w:tcBorders>
              <w:top w:val="single" w:color="auto" w:sz="4" w:space="0"/>
              <w:left w:val="nil"/>
              <w:bottom w:val="single" w:color="auto" w:sz="4" w:space="0"/>
              <w:right w:val="single" w:color="auto" w:sz="4" w:space="0"/>
            </w:tcBorders>
            <w:noWrap w:val="0"/>
            <w:vAlign w:val="center"/>
          </w:tcPr>
          <w:p>
            <w:pPr>
              <w:spacing w:line="360" w:lineRule="exact"/>
              <w:jc w:val="left"/>
              <w:rPr>
                <w:rFonts w:ascii="宋体" w:hAnsi="宋体" w:eastAsia="宋体" w:cs="宋体"/>
                <w:color w:val="auto"/>
                <w:sz w:val="24"/>
                <w:highlight w:val="none"/>
              </w:rPr>
            </w:pPr>
            <w:r>
              <w:rPr>
                <w:rFonts w:hint="eastAsia" w:ascii="宋体" w:hAnsi="宋体" w:eastAsia="宋体"/>
                <w:color w:val="auto"/>
                <w:sz w:val="24"/>
                <w:highlight w:val="none"/>
                <w:shd w:val="clear" w:color="auto" w:fill="FFFFFF"/>
                <w:lang w:val="en-US" w:eastAsia="zh-CN"/>
              </w:rPr>
              <w:t>财政</w:t>
            </w:r>
            <w:r>
              <w:rPr>
                <w:rFonts w:hint="eastAsia" w:ascii="宋体" w:hAnsi="宋体" w:eastAsia="宋体" w:cs="宋体"/>
                <w:color w:val="auto"/>
                <w:kern w:val="0"/>
                <w:sz w:val="24"/>
                <w:szCs w:val="24"/>
                <w:highlight w:val="none"/>
              </w:rPr>
              <w:t>资金，已落实</w:t>
            </w:r>
          </w:p>
        </w:tc>
      </w:tr>
      <w:tr>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8</w:t>
            </w:r>
          </w:p>
        </w:tc>
        <w:tc>
          <w:tcPr>
            <w:tcW w:w="2436"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磋商范围</w:t>
            </w:r>
          </w:p>
        </w:tc>
        <w:tc>
          <w:tcPr>
            <w:tcW w:w="6175" w:type="dxa"/>
            <w:tcBorders>
              <w:top w:val="single" w:color="auto" w:sz="4" w:space="0"/>
              <w:left w:val="nil"/>
              <w:bottom w:val="single" w:color="auto" w:sz="4" w:space="0"/>
              <w:right w:val="single" w:color="auto" w:sz="4" w:space="0"/>
            </w:tcBorders>
            <w:noWrap w:val="0"/>
            <w:vAlign w:val="center"/>
          </w:tcPr>
          <w:p>
            <w:pPr>
              <w:spacing w:line="36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磋商文件及答疑、澄清文件、</w:t>
            </w:r>
            <w:r>
              <w:rPr>
                <w:rFonts w:hint="eastAsia" w:ascii="宋体" w:hAnsi="宋体" w:eastAsia="宋体" w:cs="宋体"/>
                <w:color w:val="auto"/>
                <w:sz w:val="24"/>
                <w:highlight w:val="none"/>
                <w:lang w:val="en-US" w:eastAsia="zh-CN"/>
              </w:rPr>
              <w:t>采购清单内</w:t>
            </w:r>
            <w:r>
              <w:rPr>
                <w:rFonts w:hint="eastAsia" w:ascii="宋体" w:hAnsi="宋体" w:eastAsia="宋体" w:cs="宋体"/>
                <w:color w:val="auto"/>
                <w:sz w:val="24"/>
                <w:highlight w:val="none"/>
                <w:lang w:eastAsia="zh-CN"/>
              </w:rPr>
              <w:t>的所有内容</w:t>
            </w:r>
          </w:p>
        </w:tc>
      </w:tr>
      <w:tr>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9</w:t>
            </w:r>
          </w:p>
        </w:tc>
        <w:tc>
          <w:tcPr>
            <w:tcW w:w="2436"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服务期限</w:t>
            </w:r>
          </w:p>
        </w:tc>
        <w:tc>
          <w:tcPr>
            <w:tcW w:w="6175" w:type="dxa"/>
            <w:tcBorders>
              <w:top w:val="single" w:color="auto" w:sz="4" w:space="0"/>
              <w:left w:val="nil"/>
              <w:bottom w:val="single" w:color="auto" w:sz="4" w:space="0"/>
              <w:right w:val="single" w:color="auto" w:sz="4" w:space="0"/>
            </w:tcBorders>
            <w:noWrap w:val="0"/>
            <w:vAlign w:val="center"/>
          </w:tcPr>
          <w:p>
            <w:pPr>
              <w:spacing w:line="360" w:lineRule="exact"/>
              <w:jc w:val="left"/>
              <w:rPr>
                <w:rFonts w:hint="default" w:ascii="宋体" w:hAnsi="宋体" w:eastAsia="宋体" w:cs="宋体"/>
                <w:color w:val="auto"/>
                <w:sz w:val="24"/>
                <w:highlight w:val="none"/>
                <w:lang w:val="en-US" w:eastAsia="zh-CN"/>
              </w:rPr>
            </w:pPr>
            <w:r>
              <w:rPr>
                <w:rFonts w:hint="eastAsia" w:ascii="宋体" w:hAnsi="宋体" w:eastAsia="宋体" w:cs="宋体"/>
                <w:color w:val="auto"/>
                <w:kern w:val="0"/>
                <w:sz w:val="24"/>
                <w:szCs w:val="24"/>
                <w:highlight w:val="none"/>
                <w:lang w:val="en-US" w:eastAsia="zh-CN"/>
              </w:rPr>
              <w:t>自合同签订之日起30日历天</w:t>
            </w:r>
            <w:r>
              <w:rPr>
                <w:rFonts w:hint="default" w:ascii="宋体" w:hAnsi="宋体" w:eastAsia="宋体" w:cs="宋体"/>
                <w:color w:val="auto"/>
                <w:sz w:val="24"/>
                <w:highlight w:val="none"/>
                <w:lang w:val="en-US" w:eastAsia="zh-CN"/>
              </w:rPr>
              <w:t>服务至成果验收通过</w:t>
            </w:r>
          </w:p>
        </w:tc>
      </w:tr>
      <w:tr>
        <w:tblPrEx>
          <w:tblCellMar>
            <w:top w:w="0" w:type="dxa"/>
            <w:left w:w="108" w:type="dxa"/>
            <w:bottom w:w="0" w:type="dxa"/>
            <w:right w:w="108" w:type="dxa"/>
          </w:tblCellMar>
        </w:tblPrEx>
        <w:trPr>
          <w:trHeight w:val="90"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10</w:t>
            </w:r>
          </w:p>
        </w:tc>
        <w:tc>
          <w:tcPr>
            <w:tcW w:w="2436"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auto"/>
                <w:sz w:val="24"/>
                <w:highlight w:val="none"/>
                <w:lang w:eastAsia="zh-CN"/>
              </w:rPr>
            </w:pPr>
            <w:r>
              <w:rPr>
                <w:rFonts w:hint="eastAsia" w:ascii="宋体" w:hAnsi="宋体" w:cs="宋体"/>
                <w:color w:val="auto"/>
                <w:sz w:val="24"/>
                <w:highlight w:val="none"/>
                <w:lang w:val="en-US" w:eastAsia="zh-CN"/>
              </w:rPr>
              <w:t>服务</w:t>
            </w:r>
            <w:r>
              <w:rPr>
                <w:rFonts w:hint="eastAsia" w:ascii="宋体" w:hAnsi="宋体" w:eastAsia="宋体" w:cs="宋体"/>
                <w:color w:val="auto"/>
                <w:sz w:val="24"/>
                <w:highlight w:val="none"/>
                <w:lang w:eastAsia="zh-CN"/>
              </w:rPr>
              <w:t>要求</w:t>
            </w:r>
          </w:p>
        </w:tc>
        <w:tc>
          <w:tcPr>
            <w:tcW w:w="6175" w:type="dxa"/>
            <w:tcBorders>
              <w:top w:val="single" w:color="auto" w:sz="4" w:space="0"/>
              <w:left w:val="nil"/>
              <w:bottom w:val="single" w:color="auto" w:sz="4" w:space="0"/>
              <w:right w:val="single" w:color="auto" w:sz="4" w:space="0"/>
            </w:tcBorders>
            <w:noWrap w:val="0"/>
            <w:vAlign w:val="center"/>
          </w:tcPr>
          <w:p>
            <w:pPr>
              <w:spacing w:line="360" w:lineRule="exact"/>
              <w:jc w:val="left"/>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符合国家及行业相关规范和标准</w:t>
            </w:r>
          </w:p>
        </w:tc>
      </w:tr>
      <w:tr>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11</w:t>
            </w:r>
          </w:p>
        </w:tc>
        <w:tc>
          <w:tcPr>
            <w:tcW w:w="2436"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合同履行期限</w:t>
            </w:r>
          </w:p>
        </w:tc>
        <w:tc>
          <w:tcPr>
            <w:tcW w:w="6175"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按合同约定执行</w:t>
            </w:r>
          </w:p>
        </w:tc>
      </w:tr>
      <w:tr>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p>
        </w:tc>
        <w:tc>
          <w:tcPr>
            <w:tcW w:w="2436"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auto"/>
                <w:sz w:val="24"/>
                <w:highlight w:val="none"/>
              </w:rPr>
            </w:pPr>
            <w:r>
              <w:rPr>
                <w:rFonts w:hint="eastAsia" w:ascii="宋体" w:hAnsi="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资格要求</w:t>
            </w:r>
          </w:p>
        </w:tc>
        <w:tc>
          <w:tcPr>
            <w:tcW w:w="6175" w:type="dxa"/>
            <w:tcBorders>
              <w:top w:val="single" w:color="auto" w:sz="4" w:space="0"/>
              <w:left w:val="nil"/>
              <w:bottom w:val="single" w:color="auto" w:sz="4" w:space="0"/>
              <w:right w:val="single" w:color="auto" w:sz="4" w:space="0"/>
            </w:tcBorders>
            <w:noWrap w:val="0"/>
            <w:vAlign w:val="center"/>
          </w:tcPr>
          <w:p>
            <w:pPr>
              <w:spacing w:line="36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详见竞争性磋商公告</w:t>
            </w:r>
          </w:p>
        </w:tc>
      </w:tr>
      <w:tr>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p>
        </w:tc>
        <w:tc>
          <w:tcPr>
            <w:tcW w:w="2436"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踏勘现场</w:t>
            </w:r>
          </w:p>
        </w:tc>
        <w:tc>
          <w:tcPr>
            <w:tcW w:w="6175"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t>■不组织</w:t>
            </w:r>
          </w:p>
        </w:tc>
      </w:tr>
      <w:tr>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4</w:t>
            </w:r>
          </w:p>
        </w:tc>
        <w:tc>
          <w:tcPr>
            <w:tcW w:w="2436"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auto"/>
                <w:sz w:val="24"/>
                <w:highlight w:val="none"/>
              </w:rPr>
            </w:pPr>
            <w:r>
              <w:rPr>
                <w:rFonts w:hint="eastAsia" w:ascii="宋体" w:hAnsi="宋体" w:cs="宋体"/>
                <w:color w:val="auto"/>
                <w:kern w:val="0"/>
                <w:sz w:val="24"/>
                <w:szCs w:val="24"/>
                <w:highlight w:val="none"/>
                <w:lang w:val="en-US" w:eastAsia="zh-CN"/>
              </w:rPr>
              <w:t>供应商</w:t>
            </w:r>
            <w:r>
              <w:rPr>
                <w:rFonts w:hint="eastAsia" w:ascii="宋体" w:hAnsi="宋体" w:eastAsia="宋体" w:cs="宋体"/>
                <w:color w:val="auto"/>
                <w:sz w:val="24"/>
                <w:highlight w:val="none"/>
              </w:rPr>
              <w:t>提出问题的截止时间</w:t>
            </w:r>
          </w:p>
        </w:tc>
        <w:tc>
          <w:tcPr>
            <w:tcW w:w="6175"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eastAsia="宋体" w:cs="宋体"/>
                <w:color w:val="auto"/>
                <w:sz w:val="24"/>
                <w:highlight w:val="none"/>
              </w:rPr>
            </w:pPr>
            <w:bookmarkStart w:id="22" w:name="OLE_LINK47"/>
            <w:bookmarkStart w:id="23" w:name="OLE_LINK49"/>
            <w:bookmarkStart w:id="24" w:name="OLE_LINK48"/>
            <w:r>
              <w:rPr>
                <w:rFonts w:hint="eastAsia" w:ascii="宋体" w:hAnsi="宋体" w:eastAsia="宋体" w:cs="宋体"/>
                <w:color w:val="auto"/>
                <w:sz w:val="24"/>
                <w:highlight w:val="none"/>
              </w:rPr>
              <w:t>在磋商截止时间前5日</w:t>
            </w:r>
            <w:bookmarkEnd w:id="22"/>
            <w:bookmarkEnd w:id="23"/>
            <w:bookmarkEnd w:id="24"/>
          </w:p>
        </w:tc>
      </w:tr>
      <w:tr>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5</w:t>
            </w:r>
          </w:p>
        </w:tc>
        <w:tc>
          <w:tcPr>
            <w:tcW w:w="2436"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采购人书面澄清的时间</w:t>
            </w:r>
          </w:p>
        </w:tc>
        <w:tc>
          <w:tcPr>
            <w:tcW w:w="6175"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t>在磋商截止时间前5日</w:t>
            </w:r>
          </w:p>
        </w:tc>
      </w:tr>
      <w:tr>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6</w:t>
            </w:r>
          </w:p>
        </w:tc>
        <w:tc>
          <w:tcPr>
            <w:tcW w:w="2436"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分包</w:t>
            </w:r>
          </w:p>
        </w:tc>
        <w:tc>
          <w:tcPr>
            <w:tcW w:w="6175"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t>■不允许</w:t>
            </w:r>
          </w:p>
        </w:tc>
      </w:tr>
      <w:tr>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7</w:t>
            </w:r>
          </w:p>
        </w:tc>
        <w:tc>
          <w:tcPr>
            <w:tcW w:w="2436"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偏离</w:t>
            </w:r>
          </w:p>
        </w:tc>
        <w:tc>
          <w:tcPr>
            <w:tcW w:w="6175"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t>■不允许</w:t>
            </w:r>
          </w:p>
        </w:tc>
      </w:tr>
      <w:tr>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240" w:firstLineChars="1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8</w:t>
            </w:r>
          </w:p>
        </w:tc>
        <w:tc>
          <w:tcPr>
            <w:tcW w:w="2436"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响应文件递交截止时间</w:t>
            </w:r>
          </w:p>
        </w:tc>
        <w:tc>
          <w:tcPr>
            <w:tcW w:w="6175"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宋体" w:hAnsi="宋体" w:eastAsia="宋体" w:cs="宋体"/>
                <w:color w:val="FF0000"/>
                <w:sz w:val="24"/>
                <w:highlight w:val="none"/>
              </w:rPr>
            </w:pPr>
            <w:r>
              <w:rPr>
                <w:rFonts w:hint="eastAsia" w:ascii="宋体" w:hAnsi="宋体" w:eastAsia="宋体" w:cs="宋体"/>
                <w:color w:val="auto"/>
                <w:sz w:val="24"/>
                <w:szCs w:val="24"/>
                <w:highlight w:val="none"/>
                <w:lang w:val="en-US" w:eastAsia="zh-CN"/>
              </w:rPr>
              <w:t>2025年11月6日9时40分</w:t>
            </w:r>
          </w:p>
        </w:tc>
      </w:tr>
      <w:tr>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9</w:t>
            </w:r>
          </w:p>
        </w:tc>
        <w:tc>
          <w:tcPr>
            <w:tcW w:w="2436"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供应商确认收到磋商文件的澄清时间</w:t>
            </w:r>
          </w:p>
        </w:tc>
        <w:tc>
          <w:tcPr>
            <w:tcW w:w="6175"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t>收到澄清后24小时内（已发出时间为准）</w:t>
            </w:r>
          </w:p>
        </w:tc>
      </w:tr>
      <w:tr>
        <w:tblPrEx>
          <w:tblCellMar>
            <w:top w:w="0" w:type="dxa"/>
            <w:left w:w="108" w:type="dxa"/>
            <w:bottom w:w="0" w:type="dxa"/>
            <w:right w:w="108" w:type="dxa"/>
          </w:tblCellMar>
        </w:tblPrEx>
        <w:trPr>
          <w:trHeight w:val="962"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20</w:t>
            </w:r>
          </w:p>
        </w:tc>
        <w:tc>
          <w:tcPr>
            <w:tcW w:w="2436"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auto"/>
                <w:sz w:val="24"/>
                <w:highlight w:val="none"/>
              </w:rPr>
            </w:pPr>
            <w:r>
              <w:rPr>
                <w:rFonts w:hint="eastAsia" w:ascii="宋体" w:hAnsi="宋体" w:cs="宋体"/>
                <w:color w:val="auto"/>
                <w:kern w:val="0"/>
                <w:sz w:val="24"/>
                <w:szCs w:val="24"/>
                <w:highlight w:val="none"/>
                <w:lang w:val="en-US" w:eastAsia="zh-CN"/>
              </w:rPr>
              <w:t>供应商</w:t>
            </w:r>
            <w:r>
              <w:rPr>
                <w:rFonts w:hint="eastAsia" w:ascii="宋体" w:hAnsi="宋体" w:eastAsia="宋体" w:cs="宋体"/>
                <w:color w:val="auto"/>
                <w:sz w:val="24"/>
                <w:highlight w:val="none"/>
              </w:rPr>
              <w:t>确认收到磋商文件的修改时间</w:t>
            </w:r>
          </w:p>
        </w:tc>
        <w:tc>
          <w:tcPr>
            <w:tcW w:w="6175"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t>收到澄清后24小时内（已发出时间为准）</w:t>
            </w:r>
          </w:p>
        </w:tc>
      </w:tr>
      <w:tr>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21</w:t>
            </w:r>
          </w:p>
        </w:tc>
        <w:tc>
          <w:tcPr>
            <w:tcW w:w="2436"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磋商有效期</w:t>
            </w:r>
          </w:p>
        </w:tc>
        <w:tc>
          <w:tcPr>
            <w:tcW w:w="6175"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eastAsia="宋体" w:cs="宋体"/>
                <w:color w:val="auto"/>
                <w:sz w:val="24"/>
                <w:highlight w:val="none"/>
              </w:rPr>
            </w:pPr>
            <w:r>
              <w:rPr>
                <w:rFonts w:hint="eastAsia" w:ascii="宋体" w:hAnsi="宋体" w:cs="宋体"/>
                <w:color w:val="auto"/>
                <w:sz w:val="24"/>
                <w:highlight w:val="none"/>
                <w:lang w:val="en-US" w:eastAsia="zh-CN"/>
              </w:rPr>
              <w:t>自</w:t>
            </w:r>
            <w:r>
              <w:rPr>
                <w:rFonts w:hint="eastAsia" w:ascii="宋体" w:hAnsi="宋体" w:eastAsia="宋体" w:cs="宋体"/>
                <w:color w:val="auto"/>
                <w:sz w:val="24"/>
                <w:highlight w:val="none"/>
              </w:rPr>
              <w:t>磋商截止之日起60日历天</w:t>
            </w:r>
          </w:p>
        </w:tc>
      </w:tr>
      <w:tr>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2</w:t>
            </w:r>
          </w:p>
        </w:tc>
        <w:tc>
          <w:tcPr>
            <w:tcW w:w="2436"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磋商文件售价</w:t>
            </w:r>
          </w:p>
        </w:tc>
        <w:tc>
          <w:tcPr>
            <w:tcW w:w="6175" w:type="dxa"/>
            <w:tcBorders>
              <w:top w:val="single" w:color="auto" w:sz="4" w:space="0"/>
              <w:left w:val="nil"/>
              <w:bottom w:val="single" w:color="auto" w:sz="4" w:space="0"/>
              <w:right w:val="single" w:color="auto" w:sz="4" w:space="0"/>
            </w:tcBorders>
            <w:noWrap w:val="0"/>
            <w:vAlign w:val="center"/>
          </w:tcPr>
          <w:p>
            <w:pPr>
              <w:spacing w:line="360" w:lineRule="exact"/>
              <w:rPr>
                <w:rFonts w:hint="default" w:ascii="宋体" w:hAnsi="宋体" w:eastAsia="宋体" w:cs="宋体"/>
                <w:color w:val="auto"/>
                <w:sz w:val="24"/>
                <w:highlight w:val="none"/>
                <w:lang w:val="en-US"/>
              </w:rPr>
            </w:pPr>
            <w:r>
              <w:rPr>
                <w:rFonts w:hint="eastAsia" w:ascii="宋体" w:hAnsi="宋体" w:cs="宋体"/>
                <w:color w:val="auto"/>
                <w:sz w:val="24"/>
                <w:highlight w:val="none"/>
                <w:lang w:val="en-US" w:eastAsia="zh-CN"/>
              </w:rPr>
              <w:t>0元</w:t>
            </w:r>
          </w:p>
        </w:tc>
      </w:tr>
      <w:tr>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jc w:val="center"/>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23</w:t>
            </w:r>
          </w:p>
        </w:tc>
        <w:tc>
          <w:tcPr>
            <w:tcW w:w="2436"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eastAsia="宋体" w:cs="宋体"/>
                <w:b w:val="0"/>
                <w:bCs w:val="0"/>
                <w:color w:val="auto"/>
                <w:sz w:val="24"/>
                <w:highlight w:val="none"/>
              </w:rPr>
            </w:pPr>
            <w:r>
              <w:rPr>
                <w:rFonts w:hint="eastAsia" w:ascii="宋体" w:hAnsi="宋体" w:eastAsia="宋体" w:cs="宋体"/>
                <w:caps w:val="0"/>
                <w:color w:val="auto"/>
                <w:spacing w:val="0"/>
                <w:sz w:val="24"/>
                <w:szCs w:val="24"/>
                <w:highlight w:val="none"/>
              </w:rPr>
              <w:t>近年完成的类似项目的年份要求</w:t>
            </w:r>
          </w:p>
        </w:tc>
        <w:tc>
          <w:tcPr>
            <w:tcW w:w="6175"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ascii="宋体" w:hAnsi="宋体" w:eastAsia="宋体" w:cs="宋体"/>
                <w:b w:val="0"/>
                <w:bCs w:val="0"/>
                <w:color w:val="auto"/>
                <w:sz w:val="24"/>
                <w:highlight w:val="none"/>
              </w:rPr>
            </w:pPr>
            <w:r>
              <w:rPr>
                <w:rFonts w:hint="eastAsia" w:ascii="宋体" w:hAnsi="宋体" w:cs="宋体"/>
                <w:caps w:val="0"/>
                <w:color w:val="auto"/>
                <w:spacing w:val="0"/>
                <w:kern w:val="44"/>
                <w:sz w:val="24"/>
                <w:szCs w:val="24"/>
                <w:highlight w:val="none"/>
              </w:rPr>
              <w:t>202</w:t>
            </w:r>
            <w:r>
              <w:rPr>
                <w:rFonts w:hint="eastAsia" w:ascii="宋体" w:hAnsi="宋体" w:cs="宋体"/>
                <w:caps w:val="0"/>
                <w:color w:val="auto"/>
                <w:spacing w:val="0"/>
                <w:kern w:val="44"/>
                <w:sz w:val="24"/>
                <w:szCs w:val="24"/>
                <w:highlight w:val="none"/>
                <w:lang w:val="en-US" w:eastAsia="zh-CN"/>
              </w:rPr>
              <w:t>2</w:t>
            </w:r>
            <w:r>
              <w:rPr>
                <w:rFonts w:hint="eastAsia" w:ascii="宋体" w:hAnsi="宋体" w:cs="宋体"/>
                <w:caps w:val="0"/>
                <w:color w:val="auto"/>
                <w:spacing w:val="0"/>
                <w:kern w:val="44"/>
                <w:sz w:val="24"/>
                <w:szCs w:val="24"/>
                <w:highlight w:val="none"/>
              </w:rPr>
              <w:t>年1月1日以来</w:t>
            </w:r>
          </w:p>
        </w:tc>
      </w:tr>
      <w:tr>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jc w:val="center"/>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24</w:t>
            </w:r>
          </w:p>
        </w:tc>
        <w:tc>
          <w:tcPr>
            <w:tcW w:w="2436"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eastAsia="宋体" w:cs="宋体"/>
                <w:b w:val="0"/>
                <w:bCs w:val="0"/>
                <w:color w:val="auto"/>
                <w:sz w:val="24"/>
                <w:highlight w:val="none"/>
              </w:rPr>
            </w:pPr>
            <w:r>
              <w:rPr>
                <w:rFonts w:hint="eastAsia" w:ascii="宋体" w:hAnsi="宋体" w:eastAsia="宋体" w:cs="宋体"/>
                <w:caps w:val="0"/>
                <w:color w:val="auto"/>
                <w:spacing w:val="0"/>
                <w:sz w:val="24"/>
                <w:szCs w:val="24"/>
                <w:highlight w:val="none"/>
              </w:rPr>
              <w:t>近年发生的诉讼及仲裁情况的年份要求</w:t>
            </w:r>
          </w:p>
        </w:tc>
        <w:tc>
          <w:tcPr>
            <w:tcW w:w="6175"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ascii="宋体" w:hAnsi="宋体" w:eastAsia="宋体" w:cs="宋体"/>
                <w:b w:val="0"/>
                <w:bCs w:val="0"/>
                <w:color w:val="auto"/>
                <w:sz w:val="24"/>
                <w:highlight w:val="none"/>
              </w:rPr>
            </w:pPr>
            <w:r>
              <w:rPr>
                <w:rFonts w:hint="eastAsia" w:ascii="宋体" w:hAnsi="宋体" w:cs="宋体"/>
                <w:caps w:val="0"/>
                <w:color w:val="auto"/>
                <w:spacing w:val="0"/>
                <w:kern w:val="44"/>
                <w:sz w:val="24"/>
                <w:szCs w:val="24"/>
                <w:highlight w:val="none"/>
              </w:rPr>
              <w:t>202</w:t>
            </w:r>
            <w:r>
              <w:rPr>
                <w:rFonts w:hint="eastAsia" w:ascii="宋体" w:hAnsi="宋体" w:cs="宋体"/>
                <w:caps w:val="0"/>
                <w:color w:val="auto"/>
                <w:spacing w:val="0"/>
                <w:kern w:val="44"/>
                <w:sz w:val="24"/>
                <w:szCs w:val="24"/>
                <w:highlight w:val="none"/>
                <w:lang w:val="en-US" w:eastAsia="zh-CN"/>
              </w:rPr>
              <w:t>2</w:t>
            </w:r>
            <w:r>
              <w:rPr>
                <w:rFonts w:hint="eastAsia" w:ascii="宋体" w:hAnsi="宋体" w:cs="宋体"/>
                <w:caps w:val="0"/>
                <w:color w:val="auto"/>
                <w:spacing w:val="0"/>
                <w:kern w:val="44"/>
                <w:sz w:val="24"/>
                <w:szCs w:val="24"/>
                <w:highlight w:val="none"/>
              </w:rPr>
              <w:t>年1月1日以来</w:t>
            </w:r>
          </w:p>
        </w:tc>
      </w:tr>
      <w:tr>
        <w:tblPrEx>
          <w:tblCellMar>
            <w:top w:w="0" w:type="dxa"/>
            <w:left w:w="108" w:type="dxa"/>
            <w:bottom w:w="0" w:type="dxa"/>
            <w:right w:w="108" w:type="dxa"/>
          </w:tblCellMar>
        </w:tblPrEx>
        <w:trPr>
          <w:trHeight w:val="490"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25</w:t>
            </w:r>
          </w:p>
        </w:tc>
        <w:tc>
          <w:tcPr>
            <w:tcW w:w="2436"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是否允许递交备选投标方案</w:t>
            </w:r>
          </w:p>
        </w:tc>
        <w:tc>
          <w:tcPr>
            <w:tcW w:w="6175"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t>■不允许</w:t>
            </w:r>
          </w:p>
        </w:tc>
      </w:tr>
      <w:tr>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26</w:t>
            </w:r>
          </w:p>
        </w:tc>
        <w:tc>
          <w:tcPr>
            <w:tcW w:w="2436"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磋商时间和地点</w:t>
            </w:r>
          </w:p>
        </w:tc>
        <w:tc>
          <w:tcPr>
            <w:tcW w:w="6175"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磋商时间：</w:t>
            </w:r>
            <w:r>
              <w:rPr>
                <w:rFonts w:hint="eastAsia" w:ascii="宋体" w:hAnsi="宋体" w:eastAsia="宋体" w:cs="宋体"/>
                <w:color w:val="auto"/>
                <w:sz w:val="24"/>
                <w:highlight w:val="none"/>
                <w:lang w:val="en-US" w:eastAsia="zh-CN"/>
              </w:rPr>
              <w:t>2025年11月6日9时40分</w:t>
            </w:r>
          </w:p>
          <w:p>
            <w:pPr>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磋商地点：</w:t>
            </w:r>
            <w:r>
              <w:rPr>
                <w:rFonts w:hint="eastAsia" w:ascii="宋体" w:hAnsi="宋体" w:eastAsia="宋体" w:cs="宋体"/>
                <w:color w:val="auto"/>
                <w:sz w:val="24"/>
                <w:highlight w:val="none"/>
                <w:lang w:val="en-US" w:eastAsia="zh-CN"/>
              </w:rPr>
              <w:t>三门峡市</w:t>
            </w:r>
            <w:r>
              <w:rPr>
                <w:rFonts w:hint="eastAsia" w:ascii="宋体" w:hAnsi="宋体" w:eastAsia="宋体" w:cs="宋体"/>
                <w:color w:val="auto"/>
                <w:sz w:val="24"/>
                <w:highlight w:val="none"/>
              </w:rPr>
              <w:t>公共资源交易中心</w:t>
            </w: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开标室</w:t>
            </w:r>
            <w:r>
              <w:rPr>
                <w:rFonts w:hint="eastAsia" w:ascii="宋体" w:hAnsi="宋体" w:eastAsia="宋体" w:cs="宋体"/>
                <w:color w:val="auto"/>
                <w:sz w:val="24"/>
                <w:highlight w:val="none"/>
                <w:lang w:val="en-US" w:eastAsia="zh-CN"/>
              </w:rPr>
              <w:t>五</w:t>
            </w:r>
            <w:r>
              <w:rPr>
                <w:rFonts w:hint="eastAsia" w:ascii="宋体" w:hAnsi="宋体" w:eastAsia="宋体" w:cs="宋体"/>
                <w:color w:val="auto"/>
                <w:sz w:val="24"/>
                <w:highlight w:val="none"/>
              </w:rPr>
              <w:t>评标室</w:t>
            </w:r>
          </w:p>
        </w:tc>
      </w:tr>
      <w:tr>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7</w:t>
            </w:r>
          </w:p>
        </w:tc>
        <w:tc>
          <w:tcPr>
            <w:tcW w:w="2436"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磋商小组</w:t>
            </w:r>
          </w:p>
        </w:tc>
        <w:tc>
          <w:tcPr>
            <w:tcW w:w="6175"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t>磋商小组构成：3人，采购人代表1人，其余2名技术、经济等方面的专家从相关专家库中随机抽取。</w:t>
            </w:r>
          </w:p>
        </w:tc>
      </w:tr>
      <w:tr>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8</w:t>
            </w:r>
          </w:p>
        </w:tc>
        <w:tc>
          <w:tcPr>
            <w:tcW w:w="2436"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是否授权磋商小组确定成交</w:t>
            </w:r>
            <w:r>
              <w:rPr>
                <w:rFonts w:hint="eastAsia" w:ascii="宋体" w:hAnsi="宋体" w:eastAsia="宋体" w:cs="宋体"/>
                <w:color w:val="auto"/>
                <w:kern w:val="0"/>
                <w:sz w:val="24"/>
                <w:szCs w:val="24"/>
                <w:highlight w:val="none"/>
                <w:lang w:val="en-US" w:eastAsia="zh-CN"/>
              </w:rPr>
              <w:t>人</w:t>
            </w:r>
          </w:p>
        </w:tc>
        <w:tc>
          <w:tcPr>
            <w:tcW w:w="6175"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t>■否，推荐成交候选人数：3名</w:t>
            </w:r>
          </w:p>
        </w:tc>
      </w:tr>
      <w:tr>
        <w:tblPrEx>
          <w:tblCellMar>
            <w:top w:w="0" w:type="dxa"/>
            <w:left w:w="108" w:type="dxa"/>
            <w:bottom w:w="0" w:type="dxa"/>
            <w:right w:w="108" w:type="dxa"/>
          </w:tblCellMar>
        </w:tblPrEx>
        <w:trPr>
          <w:trHeight w:val="481"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9</w:t>
            </w:r>
          </w:p>
        </w:tc>
        <w:tc>
          <w:tcPr>
            <w:tcW w:w="2436"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履约保证金</w:t>
            </w:r>
          </w:p>
        </w:tc>
        <w:tc>
          <w:tcPr>
            <w:tcW w:w="6175"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t>无</w:t>
            </w:r>
          </w:p>
        </w:tc>
      </w:tr>
      <w:tr>
        <w:tblPrEx>
          <w:tblCellMar>
            <w:top w:w="0" w:type="dxa"/>
            <w:left w:w="108" w:type="dxa"/>
            <w:bottom w:w="0" w:type="dxa"/>
            <w:right w:w="108" w:type="dxa"/>
          </w:tblCellMar>
        </w:tblPrEx>
        <w:trPr>
          <w:trHeight w:val="431"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0</w:t>
            </w:r>
          </w:p>
        </w:tc>
        <w:tc>
          <w:tcPr>
            <w:tcW w:w="2436"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最高限价</w:t>
            </w:r>
          </w:p>
        </w:tc>
        <w:tc>
          <w:tcPr>
            <w:tcW w:w="6175"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619410.00</w:t>
            </w:r>
            <w:r>
              <w:rPr>
                <w:rFonts w:hint="eastAsia" w:ascii="宋体" w:hAnsi="宋体" w:eastAsia="宋体" w:cs="宋体"/>
                <w:color w:val="auto"/>
                <w:sz w:val="24"/>
                <w:highlight w:val="none"/>
                <w:lang w:eastAsia="zh-CN"/>
              </w:rPr>
              <w:t>元</w:t>
            </w:r>
            <w:r>
              <w:rPr>
                <w:rFonts w:hint="eastAsia" w:ascii="宋体" w:hAnsi="宋体" w:eastAsia="宋体" w:cs="宋体"/>
                <w:color w:val="auto"/>
                <w:sz w:val="24"/>
                <w:highlight w:val="none"/>
              </w:rPr>
              <w:t>；</w:t>
            </w:r>
            <w:r>
              <w:rPr>
                <w:rFonts w:hint="eastAsia" w:ascii="宋体" w:hAnsi="宋体" w:cs="宋体"/>
                <w:color w:val="auto"/>
                <w:kern w:val="0"/>
                <w:sz w:val="24"/>
                <w:szCs w:val="24"/>
                <w:highlight w:val="none"/>
                <w:lang w:val="en-US" w:eastAsia="zh-CN"/>
              </w:rPr>
              <w:t>供应商</w:t>
            </w:r>
            <w:r>
              <w:rPr>
                <w:rFonts w:hint="eastAsia" w:ascii="宋体" w:hAnsi="宋体" w:eastAsia="宋体" w:cs="宋体"/>
                <w:color w:val="auto"/>
                <w:sz w:val="24"/>
                <w:highlight w:val="none"/>
              </w:rPr>
              <w:t>报价超过</w:t>
            </w:r>
            <w:r>
              <w:rPr>
                <w:rFonts w:hint="eastAsia" w:ascii="宋体" w:hAnsi="宋体" w:cs="宋体"/>
                <w:color w:val="auto"/>
                <w:sz w:val="24"/>
                <w:highlight w:val="none"/>
                <w:lang w:val="en-US" w:eastAsia="zh-CN"/>
              </w:rPr>
              <w:t>最高限价</w:t>
            </w:r>
            <w:r>
              <w:rPr>
                <w:rFonts w:hint="eastAsia" w:ascii="宋体" w:hAnsi="宋体" w:eastAsia="宋体" w:cs="宋体"/>
                <w:color w:val="auto"/>
                <w:sz w:val="24"/>
                <w:highlight w:val="none"/>
              </w:rPr>
              <w:t>的，其磋商将被视为无效。</w:t>
            </w:r>
          </w:p>
        </w:tc>
      </w:tr>
      <w:tr>
        <w:tblPrEx>
          <w:tblCellMar>
            <w:top w:w="0" w:type="dxa"/>
            <w:left w:w="108" w:type="dxa"/>
            <w:bottom w:w="0" w:type="dxa"/>
            <w:right w:w="108" w:type="dxa"/>
          </w:tblCellMar>
        </w:tblPrEx>
        <w:trPr>
          <w:trHeight w:val="150"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1</w:t>
            </w:r>
          </w:p>
        </w:tc>
        <w:tc>
          <w:tcPr>
            <w:tcW w:w="2436" w:type="dxa"/>
            <w:tcBorders>
              <w:top w:val="single" w:color="auto" w:sz="4" w:space="0"/>
              <w:left w:val="nil"/>
              <w:bottom w:val="single" w:color="auto" w:sz="4" w:space="0"/>
              <w:right w:val="single" w:color="auto" w:sz="4" w:space="0"/>
            </w:tcBorders>
            <w:noWrap w:val="0"/>
            <w:vAlign w:val="center"/>
          </w:tcPr>
          <w:p>
            <w:pPr>
              <w:adjustRightInd w:val="0"/>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磋商保证金</w:t>
            </w:r>
          </w:p>
        </w:tc>
        <w:tc>
          <w:tcPr>
            <w:tcW w:w="6175" w:type="dxa"/>
            <w:tcBorders>
              <w:top w:val="single" w:color="auto" w:sz="4" w:space="0"/>
              <w:left w:val="nil"/>
              <w:bottom w:val="single" w:color="auto" w:sz="4" w:space="0"/>
              <w:right w:val="single" w:color="auto" w:sz="4" w:space="0"/>
            </w:tcBorders>
            <w:noWrap w:val="0"/>
            <w:vAlign w:val="center"/>
          </w:tcPr>
          <w:p>
            <w:pPr>
              <w:widowControl/>
              <w:spacing w:line="400" w:lineRule="exact"/>
              <w:rPr>
                <w:rFonts w:hint="eastAsia" w:ascii="宋体" w:hAnsi="宋体" w:eastAsia="宋体" w:cs="宋体"/>
                <w:color w:val="auto"/>
                <w:spacing w:val="6"/>
                <w:sz w:val="24"/>
                <w:highlight w:val="none"/>
                <w:lang w:eastAsia="zh-CN"/>
              </w:rPr>
            </w:pPr>
            <w:r>
              <w:rPr>
                <w:rFonts w:hint="eastAsia" w:ascii="宋体" w:hAnsi="宋体" w:eastAsia="宋体" w:cs="宋体"/>
                <w:color w:val="auto"/>
                <w:spacing w:val="6"/>
                <w:sz w:val="24"/>
                <w:highlight w:val="none"/>
                <w:lang w:eastAsia="zh-CN"/>
              </w:rPr>
              <w:t>根据《河南省财政厅关于优化政府采购营商环境有关问题的通知》（豫财购【2019】 4 号）第6条的规定，磋商保证金不再收取。</w:t>
            </w:r>
          </w:p>
        </w:tc>
      </w:tr>
      <w:tr>
        <w:tblPrEx>
          <w:tblCellMar>
            <w:top w:w="0" w:type="dxa"/>
            <w:left w:w="108" w:type="dxa"/>
            <w:bottom w:w="0" w:type="dxa"/>
            <w:right w:w="108" w:type="dxa"/>
          </w:tblCellMar>
        </w:tblPrEx>
        <w:trPr>
          <w:trHeight w:val="150"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2</w:t>
            </w:r>
          </w:p>
        </w:tc>
        <w:tc>
          <w:tcPr>
            <w:tcW w:w="2436"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签字和盖章要求</w:t>
            </w:r>
          </w:p>
        </w:tc>
        <w:tc>
          <w:tcPr>
            <w:tcW w:w="6175" w:type="dxa"/>
            <w:tcBorders>
              <w:top w:val="single" w:color="auto" w:sz="4" w:space="0"/>
              <w:left w:val="nil"/>
              <w:bottom w:val="single" w:color="auto" w:sz="4" w:space="0"/>
              <w:right w:val="single" w:color="auto" w:sz="4" w:space="0"/>
            </w:tcBorders>
            <w:noWrap w:val="0"/>
            <w:vAlign w:val="center"/>
          </w:tcPr>
          <w:p>
            <w:pPr>
              <w:wordWrap w:val="0"/>
              <w:spacing w:line="40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1、本项目为电子化、无纸化交易项目，</w:t>
            </w:r>
            <w:r>
              <w:rPr>
                <w:rFonts w:hint="eastAsia" w:ascii="宋体" w:hAnsi="宋体" w:cs="宋体"/>
                <w:color w:val="auto"/>
                <w:sz w:val="24"/>
                <w:highlight w:val="none"/>
                <w:lang w:val="en-US" w:eastAsia="zh-CN"/>
              </w:rPr>
              <w:t>响应</w:t>
            </w:r>
            <w:r>
              <w:rPr>
                <w:rFonts w:hint="eastAsia" w:ascii="宋体" w:hAnsi="宋体" w:eastAsia="宋体" w:cs="宋体"/>
                <w:color w:val="auto"/>
                <w:sz w:val="24"/>
                <w:highlight w:val="none"/>
              </w:rPr>
              <w:t>文件是</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通过中心投标文件制作系统制作，并经过电子签章和加密后生成的电子化投标文件，未对电子化文件进行签章的视为无效投标。</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投标时，将不再接受任何纸质文件资料。</w:t>
            </w:r>
          </w:p>
          <w:p>
            <w:pPr>
              <w:wordWrap w:val="0"/>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2、要求法定代表人或授权委托人电子签章的，</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在进行电子化投标文件签章时，以签盖法定代表人签章为准。</w:t>
            </w:r>
          </w:p>
          <w:p>
            <w:pPr>
              <w:wordWrap w:val="0"/>
              <w:spacing w:line="40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3、电子化投标文件工具请点击</w:t>
            </w:r>
            <w:r>
              <w:rPr>
                <w:rFonts w:hint="eastAsia" w:ascii="宋体" w:hAnsi="宋体" w:eastAsia="宋体" w:cs="宋体"/>
                <w:color w:val="auto"/>
                <w:sz w:val="24"/>
                <w:highlight w:val="none"/>
                <w:lang w:eastAsia="zh-CN"/>
              </w:rPr>
              <w:t>https://download.bqpoint.com/download/downloaddetail.html?SourceFrom=Ztb&amp;ZtbSoftXiaQuCode=1506&amp;ZtbSoftType=tballinclusive</w:t>
            </w:r>
            <w:r>
              <w:rPr>
                <w:rFonts w:hint="eastAsia" w:ascii="宋体" w:hAnsi="宋体" w:eastAsia="宋体" w:cs="宋体"/>
                <w:color w:val="auto"/>
                <w:sz w:val="24"/>
                <w:highlight w:val="none"/>
              </w:rPr>
              <w:t>进行下载。</w:t>
            </w:r>
          </w:p>
        </w:tc>
      </w:tr>
      <w:tr>
        <w:tblPrEx>
          <w:tblCellMar>
            <w:top w:w="0" w:type="dxa"/>
            <w:left w:w="108" w:type="dxa"/>
            <w:bottom w:w="0" w:type="dxa"/>
            <w:right w:w="108" w:type="dxa"/>
          </w:tblCellMar>
        </w:tblPrEx>
        <w:trPr>
          <w:trHeight w:val="150"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3</w:t>
            </w:r>
          </w:p>
        </w:tc>
        <w:tc>
          <w:tcPr>
            <w:tcW w:w="2436" w:type="dxa"/>
            <w:tcBorders>
              <w:top w:val="single" w:color="auto" w:sz="4" w:space="0"/>
              <w:left w:val="nil"/>
              <w:bottom w:val="single" w:color="auto" w:sz="4" w:space="0"/>
              <w:right w:val="single" w:color="auto" w:sz="4" w:space="0"/>
            </w:tcBorders>
            <w:noWrap w:val="0"/>
            <w:vAlign w:val="center"/>
          </w:tcPr>
          <w:p>
            <w:pPr>
              <w:adjustRightInd w:val="0"/>
              <w:spacing w:line="400" w:lineRule="exact"/>
              <w:jc w:val="center"/>
              <w:rPr>
                <w:rFonts w:ascii="宋体" w:hAnsi="宋体" w:eastAsia="宋体" w:cs="宋体"/>
                <w:color w:val="auto"/>
                <w:spacing w:val="6"/>
                <w:sz w:val="24"/>
                <w:highlight w:val="none"/>
              </w:rPr>
            </w:pPr>
            <w:r>
              <w:rPr>
                <w:rFonts w:hint="eastAsia" w:ascii="宋体" w:hAnsi="宋体" w:eastAsia="宋体" w:cs="宋体"/>
                <w:color w:val="auto"/>
                <w:spacing w:val="6"/>
                <w:sz w:val="24"/>
                <w:highlight w:val="none"/>
              </w:rPr>
              <w:t>响应文件上传</w:t>
            </w:r>
          </w:p>
        </w:tc>
        <w:tc>
          <w:tcPr>
            <w:tcW w:w="6175"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eastAsia="宋体" w:cs="宋体"/>
                <w:color w:val="auto"/>
                <w:spacing w:val="6"/>
                <w:sz w:val="24"/>
                <w:highlight w:val="none"/>
              </w:rPr>
            </w:pPr>
            <w:r>
              <w:rPr>
                <w:rFonts w:hint="eastAsia" w:ascii="宋体" w:hAnsi="宋体" w:eastAsia="宋体" w:cs="宋体"/>
                <w:color w:val="auto"/>
                <w:spacing w:val="6"/>
                <w:sz w:val="24"/>
                <w:highlight w:val="none"/>
              </w:rPr>
              <w:t>用CA在电子平台上传电子响应文件</w:t>
            </w:r>
          </w:p>
        </w:tc>
      </w:tr>
      <w:tr>
        <w:tblPrEx>
          <w:tblCellMar>
            <w:top w:w="0" w:type="dxa"/>
            <w:left w:w="108" w:type="dxa"/>
            <w:bottom w:w="0" w:type="dxa"/>
            <w:right w:w="108" w:type="dxa"/>
          </w:tblCellMar>
        </w:tblPrEx>
        <w:trPr>
          <w:trHeight w:val="150"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4</w:t>
            </w:r>
          </w:p>
        </w:tc>
        <w:tc>
          <w:tcPr>
            <w:tcW w:w="2436"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招标代理服务费</w:t>
            </w:r>
          </w:p>
        </w:tc>
        <w:tc>
          <w:tcPr>
            <w:tcW w:w="6175"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t>招标代理服务收费参照豫招协[2023]002号河南省招标投标协会关于印发《河南省招标代理服务收费指导意见》规定的收费标准收取中标服务费。招标代理服务收费按差额定率累进法计算。</w:t>
            </w:r>
            <w:r>
              <w:rPr>
                <w:rFonts w:hint="eastAsia" w:cs="宋体" w:asciiTheme="minorEastAsia" w:hAnsiTheme="minorEastAsia" w:eastAsiaTheme="minorEastAsia"/>
                <w:color w:val="auto"/>
                <w:sz w:val="24"/>
                <w:szCs w:val="24"/>
                <w:highlight w:val="none"/>
                <w:lang w:val="en-US" w:eastAsia="zh-CN"/>
              </w:rPr>
              <w:t>该</w:t>
            </w:r>
            <w:r>
              <w:rPr>
                <w:rFonts w:hint="eastAsia" w:cs="宋体" w:asciiTheme="minorEastAsia" w:hAnsiTheme="minorEastAsia" w:eastAsiaTheme="minorEastAsia"/>
                <w:color w:val="auto"/>
                <w:sz w:val="24"/>
                <w:szCs w:val="24"/>
                <w:highlight w:val="none"/>
                <w:lang w:eastAsia="zh-CN"/>
              </w:rPr>
              <w:t>代理服务费由成交人领取成交通知书时向代理机构</w:t>
            </w:r>
            <w:r>
              <w:rPr>
                <w:rFonts w:hint="eastAsia" w:cs="宋体" w:asciiTheme="minorEastAsia" w:hAnsiTheme="minorEastAsia" w:eastAsiaTheme="minorEastAsia"/>
                <w:color w:val="auto"/>
                <w:sz w:val="24"/>
                <w:szCs w:val="24"/>
                <w:highlight w:val="none"/>
                <w:lang w:val="en-US" w:eastAsia="zh-CN"/>
              </w:rPr>
              <w:t>支付</w:t>
            </w:r>
            <w:r>
              <w:rPr>
                <w:rFonts w:hint="eastAsia" w:cs="宋体" w:asciiTheme="minorEastAsia" w:hAnsiTheme="minorEastAsia" w:eastAsiaTheme="minorEastAsia"/>
                <w:color w:val="auto"/>
                <w:sz w:val="24"/>
                <w:szCs w:val="24"/>
                <w:highlight w:val="none"/>
              </w:rPr>
              <w:t>。</w:t>
            </w:r>
          </w:p>
        </w:tc>
      </w:tr>
      <w:tr>
        <w:tblPrEx>
          <w:tblCellMar>
            <w:top w:w="0" w:type="dxa"/>
            <w:left w:w="108" w:type="dxa"/>
            <w:bottom w:w="0" w:type="dxa"/>
            <w:right w:w="108" w:type="dxa"/>
          </w:tblCellMar>
        </w:tblPrEx>
        <w:trPr>
          <w:trHeight w:val="973"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5</w:t>
            </w:r>
          </w:p>
        </w:tc>
        <w:tc>
          <w:tcPr>
            <w:tcW w:w="2436"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合同的签订时间</w:t>
            </w:r>
          </w:p>
        </w:tc>
        <w:tc>
          <w:tcPr>
            <w:tcW w:w="6175" w:type="dxa"/>
            <w:tcBorders>
              <w:top w:val="single" w:color="auto" w:sz="4" w:space="0"/>
              <w:left w:val="nil"/>
              <w:bottom w:val="single" w:color="auto" w:sz="4" w:space="0"/>
              <w:right w:val="single" w:color="auto" w:sz="4" w:space="0"/>
            </w:tcBorders>
            <w:noWrap w:val="0"/>
            <w:vAlign w:val="center"/>
          </w:tcPr>
          <w:p>
            <w:pPr>
              <w:spacing w:line="360" w:lineRule="exact"/>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lang w:val="en-US" w:eastAsia="zh-CN"/>
              </w:rPr>
              <w:t>采购人</w:t>
            </w:r>
            <w:r>
              <w:rPr>
                <w:rFonts w:hint="eastAsia" w:cs="宋体" w:asciiTheme="minorEastAsia" w:hAnsiTheme="minorEastAsia" w:eastAsiaTheme="minorEastAsia"/>
                <w:color w:val="auto"/>
                <w:sz w:val="24"/>
                <w:szCs w:val="24"/>
                <w:highlight w:val="none"/>
                <w:lang w:eastAsia="zh-CN"/>
              </w:rPr>
              <w:t>和成交人应自成交通知书发出之日起</w:t>
            </w:r>
            <w:r>
              <w:rPr>
                <w:rFonts w:hint="eastAsia" w:cs="宋体" w:asciiTheme="minorEastAsia" w:hAnsiTheme="minorEastAsia" w:eastAsiaTheme="minorEastAsia"/>
                <w:color w:val="auto"/>
                <w:sz w:val="24"/>
                <w:szCs w:val="24"/>
                <w:highlight w:val="none"/>
                <w:lang w:val="en-US" w:eastAsia="zh-CN"/>
              </w:rPr>
              <w:t>2</w:t>
            </w:r>
            <w:r>
              <w:rPr>
                <w:rFonts w:hint="eastAsia" w:cs="宋体" w:asciiTheme="minorEastAsia" w:hAnsiTheme="minorEastAsia" w:eastAsiaTheme="minorEastAsia"/>
                <w:color w:val="auto"/>
                <w:sz w:val="24"/>
                <w:szCs w:val="24"/>
                <w:highlight w:val="none"/>
                <w:lang w:eastAsia="zh-CN"/>
              </w:rPr>
              <w:t xml:space="preserve">个工作日内签订合同。                                                                                                                                                                                                                                                                                                                                                                                                                                                                                                                                                                             </w:t>
            </w:r>
          </w:p>
        </w:tc>
      </w:tr>
      <w:tr>
        <w:tblPrEx>
          <w:tblCellMar>
            <w:top w:w="0" w:type="dxa"/>
            <w:left w:w="108" w:type="dxa"/>
            <w:bottom w:w="0" w:type="dxa"/>
            <w:right w:w="108" w:type="dxa"/>
          </w:tblCellMar>
        </w:tblPrEx>
        <w:trPr>
          <w:trHeight w:val="2208"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6</w:t>
            </w:r>
          </w:p>
        </w:tc>
        <w:tc>
          <w:tcPr>
            <w:tcW w:w="2436"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采购标的所属行业</w:t>
            </w:r>
          </w:p>
        </w:tc>
        <w:tc>
          <w:tcPr>
            <w:tcW w:w="6175" w:type="dxa"/>
            <w:tcBorders>
              <w:top w:val="single" w:color="auto" w:sz="4" w:space="0"/>
              <w:left w:val="nil"/>
              <w:bottom w:val="single" w:color="auto" w:sz="4" w:space="0"/>
              <w:right w:val="single" w:color="auto" w:sz="4" w:space="0"/>
            </w:tcBorders>
            <w:noWrap w:val="0"/>
            <w:vAlign w:val="center"/>
          </w:tcPr>
          <w:p>
            <w:pPr>
              <w:spacing w:line="360" w:lineRule="exact"/>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lang w:eastAsia="zh-CN"/>
              </w:rPr>
              <w:t>本项目为</w:t>
            </w:r>
            <w:r>
              <w:rPr>
                <w:rFonts w:hint="eastAsia" w:cs="宋体" w:asciiTheme="minorEastAsia" w:hAnsiTheme="minorEastAsia" w:eastAsiaTheme="minorEastAsia"/>
                <w:color w:val="auto"/>
                <w:sz w:val="24"/>
                <w:szCs w:val="24"/>
                <w:highlight w:val="none"/>
                <w:lang w:val="en-US" w:eastAsia="zh-CN"/>
              </w:rPr>
              <w:t>服务</w:t>
            </w:r>
            <w:r>
              <w:rPr>
                <w:rFonts w:hint="eastAsia" w:cs="宋体" w:asciiTheme="minorEastAsia" w:hAnsiTheme="minorEastAsia" w:eastAsiaTheme="minorEastAsia"/>
                <w:color w:val="auto"/>
                <w:sz w:val="24"/>
                <w:szCs w:val="24"/>
                <w:highlight w:val="none"/>
                <w:lang w:eastAsia="zh-CN"/>
              </w:rPr>
              <w:t>类采购项目</w:t>
            </w:r>
          </w:p>
          <w:p>
            <w:pPr>
              <w:spacing w:line="360" w:lineRule="exact"/>
              <w:rPr>
                <w:rFonts w:hint="default" w:cs="宋体" w:asciiTheme="minorEastAsia" w:hAnsiTheme="minorEastAsia" w:eastAsiaTheme="minorEastAsia"/>
                <w:color w:val="auto"/>
                <w:sz w:val="24"/>
                <w:szCs w:val="24"/>
                <w:highlight w:val="none"/>
                <w:lang w:val="en-US" w:eastAsia="zh-CN"/>
              </w:rPr>
            </w:pPr>
            <w:r>
              <w:rPr>
                <w:rFonts w:hint="eastAsia" w:cs="宋体" w:asciiTheme="minorEastAsia" w:hAnsiTheme="minorEastAsia" w:eastAsiaTheme="minorEastAsia"/>
                <w:color w:val="auto"/>
                <w:sz w:val="24"/>
                <w:szCs w:val="24"/>
                <w:highlight w:val="none"/>
                <w:lang w:eastAsia="zh-CN"/>
              </w:rPr>
              <w:t>采购标的所属行业：软件和信息技术服务业</w:t>
            </w:r>
          </w:p>
          <w:p>
            <w:pPr>
              <w:spacing w:line="360" w:lineRule="exact"/>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lang w:eastAsia="zh-CN"/>
              </w:rPr>
              <w:t>划定标准为：《工业和信息化部、国家统计局、国家发展和改革委员会、财政部关于印发&lt;中小企业划型标准规定的通知&gt;（工信部联企业〔2011〕300号）规定的划分标准为依据。</w:t>
            </w:r>
          </w:p>
        </w:tc>
      </w:tr>
      <w:tr>
        <w:tblPrEx>
          <w:tblCellMar>
            <w:top w:w="0" w:type="dxa"/>
            <w:left w:w="108" w:type="dxa"/>
            <w:bottom w:w="0" w:type="dxa"/>
            <w:right w:w="108" w:type="dxa"/>
          </w:tblCellMar>
        </w:tblPrEx>
        <w:trPr>
          <w:trHeight w:val="1266"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7</w:t>
            </w:r>
          </w:p>
        </w:tc>
        <w:tc>
          <w:tcPr>
            <w:tcW w:w="2436"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宋体" w:hAnsi="宋体" w:eastAsia="宋体" w:cs="宋体"/>
                <w:color w:val="auto"/>
                <w:spacing w:val="6"/>
                <w:sz w:val="24"/>
                <w:highlight w:val="none"/>
              </w:rPr>
            </w:pPr>
            <w:r>
              <w:rPr>
                <w:rFonts w:hint="eastAsia" w:ascii="宋体" w:hAnsi="宋体" w:eastAsia="宋体" w:cs="宋体"/>
                <w:color w:val="auto"/>
                <w:sz w:val="24"/>
                <w:highlight w:val="none"/>
              </w:rPr>
              <w:t>竞争性磋商文件的解释</w:t>
            </w:r>
          </w:p>
        </w:tc>
        <w:tc>
          <w:tcPr>
            <w:tcW w:w="6175" w:type="dxa"/>
            <w:tcBorders>
              <w:top w:val="single" w:color="auto" w:sz="4" w:space="0"/>
              <w:left w:val="nil"/>
              <w:bottom w:val="single" w:color="auto" w:sz="4" w:space="0"/>
              <w:right w:val="single" w:color="auto" w:sz="4" w:space="0"/>
            </w:tcBorders>
            <w:noWrap w:val="0"/>
            <w:vAlign w:val="center"/>
          </w:tcPr>
          <w:p>
            <w:pPr>
              <w:spacing w:line="400" w:lineRule="exact"/>
              <w:ind w:right="-153" w:rightChars="-73"/>
              <w:jc w:val="left"/>
              <w:rPr>
                <w:rFonts w:ascii="宋体" w:hAnsi="宋体" w:eastAsia="宋体" w:cs="宋体"/>
                <w:color w:val="auto"/>
                <w:spacing w:val="6"/>
                <w:sz w:val="24"/>
                <w:highlight w:val="none"/>
              </w:rPr>
            </w:pPr>
            <w:r>
              <w:rPr>
                <w:rFonts w:hint="eastAsia" w:ascii="宋体" w:hAnsi="宋体" w:eastAsia="宋体" w:cs="宋体"/>
                <w:color w:val="auto"/>
                <w:sz w:val="24"/>
                <w:highlight w:val="none"/>
              </w:rPr>
              <w:t>在符合相关法律法规的前题下，竞争性磋商文件的解释权归采购人所有。本竞争性磋商文件中其他部分内容与</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须知前附表不一致的，以</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须知前附表为准。</w:t>
            </w:r>
          </w:p>
        </w:tc>
      </w:tr>
      <w:tr>
        <w:tblPrEx>
          <w:tblCellMar>
            <w:top w:w="0" w:type="dxa"/>
            <w:left w:w="108" w:type="dxa"/>
            <w:bottom w:w="0" w:type="dxa"/>
            <w:right w:w="108" w:type="dxa"/>
          </w:tblCellMar>
        </w:tblPrEx>
        <w:trPr>
          <w:trHeight w:val="627"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38</w:t>
            </w:r>
          </w:p>
        </w:tc>
        <w:tc>
          <w:tcPr>
            <w:tcW w:w="2436" w:type="dxa"/>
            <w:tcBorders>
              <w:top w:val="single" w:color="auto" w:sz="4" w:space="0"/>
              <w:left w:val="nil"/>
              <w:bottom w:val="single" w:color="auto" w:sz="4" w:space="0"/>
              <w:right w:val="single" w:color="auto" w:sz="4" w:space="0"/>
            </w:tcBorders>
            <w:noWrap w:val="0"/>
            <w:vAlign w:val="center"/>
          </w:tcPr>
          <w:p>
            <w:pPr>
              <w:widowControl/>
              <w:spacing w:line="400" w:lineRule="exact"/>
              <w:ind w:firstLine="240" w:firstLineChars="100"/>
              <w:jc w:val="center"/>
              <w:rPr>
                <w:rFonts w:ascii="宋体" w:hAnsi="宋体" w:eastAsia="宋体" w:cs="宋体"/>
                <w:color w:val="auto"/>
                <w:spacing w:val="6"/>
                <w:sz w:val="24"/>
                <w:highlight w:val="none"/>
              </w:rPr>
            </w:pPr>
            <w:r>
              <w:rPr>
                <w:rFonts w:hint="eastAsia" w:ascii="宋体" w:hAnsi="宋体" w:eastAsia="宋体" w:cs="宋体"/>
                <w:color w:val="auto"/>
                <w:sz w:val="24"/>
                <w:highlight w:val="none"/>
              </w:rPr>
              <w:t>结果公告</w:t>
            </w:r>
          </w:p>
        </w:tc>
        <w:tc>
          <w:tcPr>
            <w:tcW w:w="6175"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hint="eastAsia" w:eastAsia="宋体" w:asciiTheme="minorEastAsia" w:hAnsiTheme="minorEastAsia"/>
                <w:color w:val="auto"/>
                <w:sz w:val="24"/>
                <w:szCs w:val="24"/>
                <w:highlight w:val="none"/>
                <w:lang w:val="en-US" w:eastAsia="zh-CN"/>
              </w:rPr>
            </w:pPr>
            <w:r>
              <w:rPr>
                <w:rFonts w:hint="eastAsia" w:ascii="宋体" w:hAnsi="宋体" w:eastAsia="宋体" w:cs="宋体"/>
                <w:color w:val="auto"/>
                <w:sz w:val="24"/>
                <w:szCs w:val="24"/>
                <w:highlight w:val="none"/>
              </w:rPr>
              <w:t>在</w:t>
            </w:r>
            <w:r>
              <w:rPr>
                <w:rFonts w:hint="eastAsia" w:ascii="宋体" w:hAnsi="宋体" w:cs="宋体"/>
                <w:color w:val="auto"/>
                <w:sz w:val="24"/>
                <w:szCs w:val="24"/>
                <w:highlight w:val="none"/>
                <w:lang w:val="en-US" w:eastAsia="zh-CN"/>
              </w:rPr>
              <w:t>竞争性磋商公告</w:t>
            </w:r>
            <w:r>
              <w:rPr>
                <w:rFonts w:hint="eastAsia" w:ascii="宋体" w:hAnsi="宋体" w:eastAsia="宋体" w:cs="宋体"/>
                <w:color w:val="auto"/>
                <w:sz w:val="24"/>
                <w:szCs w:val="24"/>
                <w:highlight w:val="none"/>
              </w:rPr>
              <w:t>发布的同一媒介上</w:t>
            </w:r>
            <w:r>
              <w:rPr>
                <w:rFonts w:hint="eastAsia" w:ascii="宋体" w:hAnsi="宋体" w:eastAsia="宋体" w:cs="宋体"/>
                <w:color w:val="auto"/>
                <w:sz w:val="24"/>
                <w:szCs w:val="24"/>
                <w:highlight w:val="none"/>
                <w:lang w:val="en-US" w:eastAsia="zh-CN"/>
              </w:rPr>
              <w:t>发布</w:t>
            </w:r>
          </w:p>
        </w:tc>
      </w:tr>
      <w:tr>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39</w:t>
            </w:r>
          </w:p>
        </w:tc>
        <w:tc>
          <w:tcPr>
            <w:tcW w:w="2436" w:type="dxa"/>
            <w:tcBorders>
              <w:top w:val="single" w:color="auto" w:sz="4" w:space="0"/>
              <w:left w:val="nil"/>
              <w:bottom w:val="single" w:color="auto" w:sz="4" w:space="0"/>
              <w:right w:val="single" w:color="auto" w:sz="4" w:space="0"/>
            </w:tcBorders>
            <w:noWrap w:val="0"/>
            <w:vAlign w:val="center"/>
          </w:tcPr>
          <w:p>
            <w:pPr>
              <w:widowControl/>
              <w:spacing w:line="400" w:lineRule="exact"/>
              <w:ind w:firstLine="240" w:firstLineChars="100"/>
              <w:jc w:val="center"/>
              <w:rPr>
                <w:rFonts w:ascii="宋体" w:hAnsi="宋体" w:eastAsia="宋体" w:cs="宋体"/>
                <w:color w:val="auto"/>
                <w:spacing w:val="6"/>
                <w:sz w:val="24"/>
                <w:highlight w:val="none"/>
              </w:rPr>
            </w:pPr>
            <w:r>
              <w:rPr>
                <w:rFonts w:hint="eastAsia" w:ascii="宋体" w:hAnsi="宋体" w:eastAsia="宋体" w:cs="宋体"/>
                <w:color w:val="auto"/>
                <w:sz w:val="24"/>
                <w:highlight w:val="none"/>
              </w:rPr>
              <w:t>知识产权</w:t>
            </w:r>
          </w:p>
        </w:tc>
        <w:tc>
          <w:tcPr>
            <w:tcW w:w="6175"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宋体" w:hAnsi="宋体" w:eastAsia="宋体" w:cs="宋体"/>
                <w:color w:val="auto"/>
                <w:spacing w:val="6"/>
                <w:sz w:val="24"/>
                <w:highlight w:val="none"/>
              </w:rPr>
            </w:pPr>
            <w:r>
              <w:rPr>
                <w:rFonts w:hint="eastAsia" w:ascii="宋体" w:hAnsi="宋体" w:eastAsia="宋体" w:cs="宋体"/>
                <w:color w:val="auto"/>
                <w:sz w:val="24"/>
                <w:highlight w:val="none"/>
              </w:rPr>
              <w:t>构成本竞争性磋商文件各个组成部分的文件，未经采购人书面同意，</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不得擅自复印和用于非本招标项目所需的其他目的。采购人全部或者部分使用未中标人响应文件中的技术成果或技术方案时，需征得其书面同意，并不得擅自复印或提供给第三人。</w:t>
            </w:r>
          </w:p>
        </w:tc>
      </w:tr>
      <w:tr>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4</w:t>
            </w:r>
            <w:r>
              <w:rPr>
                <w:rFonts w:hint="eastAsia" w:ascii="宋体" w:hAnsi="宋体" w:cs="宋体"/>
                <w:color w:val="auto"/>
                <w:sz w:val="24"/>
                <w:highlight w:val="none"/>
                <w:lang w:val="en-US" w:eastAsia="zh-CN"/>
              </w:rPr>
              <w:t>0</w:t>
            </w:r>
          </w:p>
        </w:tc>
        <w:tc>
          <w:tcPr>
            <w:tcW w:w="2436"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color w:val="auto"/>
                <w:spacing w:val="6"/>
                <w:sz w:val="24"/>
                <w:highlight w:val="none"/>
              </w:rPr>
            </w:pPr>
            <w:r>
              <w:rPr>
                <w:rFonts w:hint="eastAsia" w:ascii="宋体" w:hAnsi="宋体" w:eastAsia="宋体" w:cs="宋体"/>
                <w:color w:val="auto"/>
                <w:sz w:val="24"/>
                <w:highlight w:val="none"/>
              </w:rPr>
              <w:t>重新招标的其他情形</w:t>
            </w:r>
          </w:p>
        </w:tc>
        <w:tc>
          <w:tcPr>
            <w:tcW w:w="6175"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宋体" w:hAnsi="宋体" w:eastAsia="宋体" w:cs="宋体"/>
                <w:color w:val="auto"/>
                <w:spacing w:val="6"/>
                <w:sz w:val="24"/>
                <w:highlight w:val="none"/>
              </w:rPr>
            </w:pPr>
            <w:r>
              <w:rPr>
                <w:rFonts w:hint="eastAsia" w:ascii="宋体" w:hAnsi="宋体" w:eastAsia="宋体" w:cs="宋体"/>
                <w:color w:val="auto"/>
                <w:sz w:val="24"/>
                <w:highlight w:val="none"/>
              </w:rPr>
              <w:t>除</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须知正文规定的情形外，除非已经产生中标候选人，在磋商有效期内同意延长磋商有效期的</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少于三个的，采购人应当依法重新招标。</w:t>
            </w:r>
          </w:p>
        </w:tc>
      </w:tr>
      <w:tr>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4</w:t>
            </w:r>
            <w:r>
              <w:rPr>
                <w:rFonts w:hint="eastAsia" w:ascii="宋体" w:hAnsi="宋体" w:cs="宋体"/>
                <w:color w:val="auto"/>
                <w:sz w:val="24"/>
                <w:highlight w:val="none"/>
                <w:lang w:val="en-US" w:eastAsia="zh-CN"/>
              </w:rPr>
              <w:t>1</w:t>
            </w:r>
          </w:p>
        </w:tc>
        <w:tc>
          <w:tcPr>
            <w:tcW w:w="2436" w:type="dxa"/>
            <w:tcBorders>
              <w:top w:val="single" w:color="auto" w:sz="4" w:space="0"/>
              <w:left w:val="nil"/>
              <w:bottom w:val="single" w:color="auto" w:sz="4" w:space="0"/>
              <w:right w:val="single" w:color="auto" w:sz="4" w:space="0"/>
            </w:tcBorders>
            <w:noWrap w:val="0"/>
            <w:vAlign w:val="center"/>
          </w:tcPr>
          <w:p>
            <w:pPr>
              <w:widowControl/>
              <w:spacing w:line="400" w:lineRule="exact"/>
              <w:ind w:firstLine="240" w:firstLineChars="100"/>
              <w:jc w:val="center"/>
              <w:rPr>
                <w:rFonts w:ascii="宋体" w:hAnsi="宋体" w:eastAsia="宋体" w:cs="宋体"/>
                <w:color w:val="auto"/>
                <w:spacing w:val="6"/>
                <w:sz w:val="24"/>
                <w:highlight w:val="none"/>
              </w:rPr>
            </w:pPr>
            <w:r>
              <w:rPr>
                <w:rFonts w:hint="eastAsia" w:ascii="宋体" w:hAnsi="宋体" w:eastAsia="宋体" w:cs="宋体"/>
                <w:color w:val="auto"/>
                <w:sz w:val="24"/>
                <w:highlight w:val="none"/>
              </w:rPr>
              <w:t>同义词语</w:t>
            </w:r>
          </w:p>
        </w:tc>
        <w:tc>
          <w:tcPr>
            <w:tcW w:w="6175"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宋体" w:hAnsi="宋体" w:eastAsia="宋体" w:cs="宋体"/>
                <w:color w:val="auto"/>
                <w:spacing w:val="6"/>
                <w:sz w:val="24"/>
                <w:highlight w:val="none"/>
              </w:rPr>
            </w:pPr>
            <w:r>
              <w:rPr>
                <w:rFonts w:hint="eastAsia" w:ascii="宋体" w:hAnsi="宋体" w:eastAsia="宋体" w:cs="宋体"/>
                <w:color w:val="auto"/>
                <w:sz w:val="24"/>
                <w:highlight w:val="none"/>
              </w:rPr>
              <w:t>构成竞争性磋商文件组成部分的“通用合同条款”、“专用合同条款”、“技术标准和要求”和“工程量清单”等章节中出现的措辞“发包人”和“承包人”，在招标磋商阶段应当分别按“采购人”和“</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”进行理解。</w:t>
            </w:r>
          </w:p>
        </w:tc>
      </w:tr>
      <w:tr>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4</w:t>
            </w:r>
            <w:r>
              <w:rPr>
                <w:rFonts w:hint="eastAsia" w:ascii="宋体" w:hAnsi="宋体" w:cs="宋体"/>
                <w:color w:val="auto"/>
                <w:sz w:val="24"/>
                <w:highlight w:val="none"/>
                <w:lang w:val="en-US" w:eastAsia="zh-CN"/>
              </w:rPr>
              <w:t>2</w:t>
            </w:r>
          </w:p>
        </w:tc>
        <w:tc>
          <w:tcPr>
            <w:tcW w:w="2436" w:type="dxa"/>
            <w:tcBorders>
              <w:top w:val="single" w:color="auto" w:sz="4" w:space="0"/>
              <w:left w:val="nil"/>
              <w:bottom w:val="single" w:color="auto" w:sz="4" w:space="0"/>
              <w:right w:val="single" w:color="auto" w:sz="4" w:space="0"/>
            </w:tcBorders>
            <w:noWrap w:val="0"/>
            <w:vAlign w:val="center"/>
          </w:tcPr>
          <w:p>
            <w:pPr>
              <w:widowControl/>
              <w:spacing w:line="400" w:lineRule="exact"/>
              <w:ind w:firstLine="240" w:firstLineChars="100"/>
              <w:jc w:val="center"/>
              <w:rPr>
                <w:rFonts w:ascii="宋体" w:hAnsi="宋体" w:eastAsia="宋体" w:cs="宋体"/>
                <w:color w:val="auto"/>
                <w:spacing w:val="6"/>
                <w:sz w:val="24"/>
                <w:highlight w:val="none"/>
              </w:rPr>
            </w:pPr>
            <w:r>
              <w:rPr>
                <w:rFonts w:hint="eastAsia" w:ascii="宋体" w:hAnsi="宋体" w:eastAsia="宋体" w:cs="宋体"/>
                <w:color w:val="auto"/>
                <w:sz w:val="24"/>
                <w:highlight w:val="none"/>
              </w:rPr>
              <w:t>监  督</w:t>
            </w:r>
          </w:p>
        </w:tc>
        <w:tc>
          <w:tcPr>
            <w:tcW w:w="6175"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宋体" w:hAnsi="宋体" w:eastAsia="宋体" w:cs="宋体"/>
                <w:color w:val="auto"/>
                <w:spacing w:val="6"/>
                <w:sz w:val="24"/>
                <w:highlight w:val="none"/>
              </w:rPr>
            </w:pPr>
            <w:r>
              <w:rPr>
                <w:rFonts w:hint="eastAsia" w:ascii="宋体" w:hAnsi="宋体" w:eastAsia="宋体" w:cs="宋体"/>
                <w:color w:val="auto"/>
                <w:sz w:val="24"/>
                <w:highlight w:val="none"/>
              </w:rPr>
              <w:t>本项目的招标磋商活动及其相关当事人应当接受有管辖权的招标投标行政监督部门依法实施的监督。</w:t>
            </w:r>
          </w:p>
        </w:tc>
      </w:tr>
      <w:tr>
        <w:tblPrEx>
          <w:tblCellMar>
            <w:top w:w="0" w:type="dxa"/>
            <w:left w:w="108" w:type="dxa"/>
            <w:bottom w:w="0" w:type="dxa"/>
            <w:right w:w="108" w:type="dxa"/>
          </w:tblCellMar>
        </w:tblPrEx>
        <w:trPr>
          <w:trHeight w:val="454"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4</w:t>
            </w:r>
            <w:r>
              <w:rPr>
                <w:rFonts w:hint="eastAsia" w:ascii="宋体" w:hAnsi="宋体" w:cs="宋体"/>
                <w:color w:val="auto"/>
                <w:sz w:val="24"/>
                <w:highlight w:val="none"/>
                <w:lang w:val="en-US" w:eastAsia="zh-CN"/>
              </w:rPr>
              <w:t>3</w:t>
            </w:r>
          </w:p>
        </w:tc>
        <w:tc>
          <w:tcPr>
            <w:tcW w:w="2436"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投标须知</w:t>
            </w:r>
          </w:p>
        </w:tc>
        <w:tc>
          <w:tcPr>
            <w:tcW w:w="61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本项目为电子化、无纸化交易项目，</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文件是</w:t>
            </w:r>
            <w:r>
              <w:rPr>
                <w:rFonts w:hint="eastAsia" w:ascii="宋体" w:hAnsi="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通过中心投标文件制作系统制作，并经过电子签章和加密后生成的电子版</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w:t>
            </w:r>
            <w:r>
              <w:rPr>
                <w:rFonts w:hint="eastAsia" w:ascii="宋体" w:hAnsi="宋体" w:cs="宋体"/>
                <w:color w:val="auto"/>
                <w:kern w:val="2"/>
                <w:sz w:val="24"/>
                <w:szCs w:val="24"/>
                <w:highlight w:val="none"/>
                <w:lang w:eastAsia="zh-CN"/>
              </w:rPr>
              <w:t>开</w:t>
            </w:r>
            <w:r>
              <w:rPr>
                <w:rFonts w:hint="eastAsia" w:ascii="宋体" w:hAnsi="宋体" w:eastAsia="宋体" w:cs="宋体"/>
                <w:color w:val="auto"/>
                <w:kern w:val="2"/>
                <w:sz w:val="24"/>
                <w:szCs w:val="24"/>
                <w:highlight w:val="none"/>
              </w:rPr>
              <w:t>标时，将不再接受任何纸质文件资料。</w:t>
            </w:r>
          </w:p>
          <w:p>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电子化</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文件具体制作教材请</w:t>
            </w:r>
            <w:r>
              <w:rPr>
                <w:rFonts w:hint="eastAsia" w:ascii="宋体" w:hAnsi="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通过CA证书登录三门峡市公共资源电子交易系统在“组件下载”中查看。</w:t>
            </w:r>
          </w:p>
          <w:p>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温馨提示：本项目为电子化、无纸化交易项目，开标时不接受任何纸质资料，为保证您能</w:t>
            </w:r>
            <w:r>
              <w:rPr>
                <w:rFonts w:hint="eastAsia" w:ascii="宋体" w:hAnsi="宋体" w:cs="宋体"/>
                <w:color w:val="auto"/>
                <w:kern w:val="2"/>
                <w:sz w:val="24"/>
                <w:szCs w:val="24"/>
                <w:highlight w:val="none"/>
                <w:lang w:eastAsia="zh-CN"/>
              </w:rPr>
              <w:t>开</w:t>
            </w:r>
            <w:r>
              <w:rPr>
                <w:rFonts w:hint="eastAsia" w:ascii="宋体" w:hAnsi="宋体" w:eastAsia="宋体" w:cs="宋体"/>
                <w:color w:val="auto"/>
                <w:kern w:val="2"/>
                <w:sz w:val="24"/>
                <w:szCs w:val="24"/>
                <w:highlight w:val="none"/>
              </w:rPr>
              <w:t>标成功，请需仔细阅读以下条款。</w:t>
            </w:r>
          </w:p>
          <w:p>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一、电子化投标</w:t>
            </w:r>
          </w:p>
          <w:p>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（一）电子化</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文件的签章</w:t>
            </w:r>
          </w:p>
          <w:p>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r>
              <w:rPr>
                <w:rFonts w:hint="eastAsia" w:ascii="宋体" w:hAnsi="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在生成电子化</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文件后，应对电子化</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文件进行签章，未进行签章的视为无效</w:t>
            </w:r>
            <w:r>
              <w:rPr>
                <w:rFonts w:hint="eastAsia" w:ascii="宋体" w:hAnsi="宋体" w:cs="宋体"/>
                <w:color w:val="auto"/>
                <w:kern w:val="2"/>
                <w:sz w:val="24"/>
                <w:szCs w:val="24"/>
                <w:highlight w:val="none"/>
                <w:lang w:eastAsia="zh-CN"/>
              </w:rPr>
              <w:t>文件</w:t>
            </w:r>
            <w:r>
              <w:rPr>
                <w:rFonts w:hint="eastAsia" w:ascii="宋体" w:hAnsi="宋体" w:eastAsia="宋体" w:cs="宋体"/>
                <w:color w:val="auto"/>
                <w:kern w:val="2"/>
                <w:sz w:val="24"/>
                <w:szCs w:val="24"/>
                <w:highlight w:val="none"/>
              </w:rPr>
              <w:t>。</w:t>
            </w:r>
          </w:p>
          <w:p>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w:t>
            </w:r>
            <w:r>
              <w:rPr>
                <w:rFonts w:hint="eastAsia" w:ascii="宋体" w:hAnsi="宋体" w:cs="宋体"/>
                <w:color w:val="auto"/>
                <w:kern w:val="2"/>
                <w:sz w:val="24"/>
                <w:szCs w:val="24"/>
                <w:highlight w:val="none"/>
                <w:lang w:eastAsia="zh-CN"/>
              </w:rPr>
              <w:t>磋商</w:t>
            </w:r>
            <w:r>
              <w:rPr>
                <w:rFonts w:hint="eastAsia" w:ascii="宋体" w:hAnsi="宋体" w:eastAsia="宋体" w:cs="宋体"/>
                <w:color w:val="auto"/>
                <w:kern w:val="2"/>
                <w:sz w:val="24"/>
                <w:szCs w:val="24"/>
                <w:highlight w:val="none"/>
              </w:rPr>
              <w:t>文件中要求法定代表人或授权委托人签字或盖章的，</w:t>
            </w:r>
            <w:r>
              <w:rPr>
                <w:rFonts w:hint="eastAsia" w:ascii="宋体" w:hAnsi="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在进行电子化响应文件</w:t>
            </w:r>
            <w:r>
              <w:rPr>
                <w:rFonts w:hint="eastAsia" w:ascii="宋体" w:hAnsi="宋体" w:eastAsia="宋体" w:cs="宋体"/>
                <w:color w:val="auto"/>
                <w:kern w:val="2"/>
                <w:sz w:val="24"/>
                <w:szCs w:val="24"/>
                <w:highlight w:val="none"/>
                <w:lang w:eastAsia="zh-CN"/>
              </w:rPr>
              <w:t>需逐页</w:t>
            </w:r>
            <w:r>
              <w:rPr>
                <w:rFonts w:hint="eastAsia" w:ascii="宋体" w:hAnsi="宋体" w:eastAsia="宋体" w:cs="宋体"/>
                <w:color w:val="auto"/>
                <w:kern w:val="2"/>
                <w:sz w:val="24"/>
                <w:szCs w:val="24"/>
                <w:highlight w:val="none"/>
              </w:rPr>
              <w:t>签章</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签章时以签盖法定代表人签章为准。电子化响应文件具体制作教材请</w:t>
            </w:r>
            <w:r>
              <w:rPr>
                <w:rFonts w:hint="eastAsia" w:ascii="宋体" w:hAnsi="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通过CA证书登录三门峡市公共资源电子化交易系统在右上角“组建下载”中查看。</w:t>
            </w:r>
          </w:p>
          <w:p>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（二）电子化</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文件的格式及上传</w:t>
            </w:r>
          </w:p>
          <w:p>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r>
              <w:rPr>
                <w:rFonts w:hint="eastAsia" w:ascii="宋体" w:hAnsi="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所上传的电子化</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文件，应是通过中心</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文件制作系统制作的，经过签章和加密后生成的电子版</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文件。上传</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文件格式后缀为SMXTF，上传完后，建议验证CA锁是否正常。</w:t>
            </w:r>
          </w:p>
          <w:p>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注：</w:t>
            </w:r>
            <w:r>
              <w:rPr>
                <w:rFonts w:hint="eastAsia" w:ascii="宋体" w:hAnsi="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投报多个标段的，每个标段均要生成独立的电子</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w:t>
            </w:r>
          </w:p>
          <w:p>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2、电子化</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文件应在</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截止时间前成功上传至三门峡市公共资源电子化交易系统。至</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截止时间止，仍未上传成功的电子化</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文件将不予接收。</w:t>
            </w:r>
          </w:p>
          <w:p>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注 ：如按照电子化</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操作教材制作完成的电子化</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文件无法上传的，</w:t>
            </w:r>
            <w:r>
              <w:rPr>
                <w:rFonts w:hint="eastAsia" w:ascii="宋体" w:hAnsi="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应在</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 xml:space="preserve">截止时间前尽早的联系中心技术人员，以便有充分的时间进行处理。 </w:t>
            </w:r>
            <w:r>
              <w:rPr>
                <w:rFonts w:hint="eastAsia" w:ascii="宋体" w:hAnsi="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应充分考虑到处理技术问题和上传数据等工作所需的时间问题，</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文件未在</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截止时间前成功上传的，其</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文件不予接收。</w:t>
            </w:r>
          </w:p>
          <w:p>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技术联系电话：</w:t>
            </w:r>
            <w:r>
              <w:rPr>
                <w:rFonts w:hint="eastAsia" w:ascii="宋体" w:hAnsi="宋体" w:eastAsia="宋体" w:cs="宋体"/>
                <w:color w:val="auto"/>
                <w:kern w:val="2"/>
                <w:sz w:val="24"/>
                <w:szCs w:val="24"/>
                <w:highlight w:val="none"/>
                <w:lang w:val="en-US" w:eastAsia="zh-CN"/>
              </w:rPr>
              <w:t>400-998-0000</w:t>
            </w:r>
          </w:p>
          <w:p>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w:t>
            </w:r>
            <w:r>
              <w:rPr>
                <w:rFonts w:hint="eastAsia" w:ascii="宋体" w:hAnsi="宋体" w:cs="宋体"/>
                <w:color w:val="auto"/>
                <w:kern w:val="2"/>
                <w:sz w:val="24"/>
                <w:szCs w:val="24"/>
                <w:highlight w:val="none"/>
                <w:lang w:val="en-US" w:eastAsia="zh-CN"/>
              </w:rPr>
              <w:t>三</w:t>
            </w:r>
            <w:r>
              <w:rPr>
                <w:rFonts w:hint="eastAsia" w:ascii="宋体" w:hAnsi="宋体" w:eastAsia="宋体" w:cs="宋体"/>
                <w:color w:val="auto"/>
                <w:kern w:val="2"/>
                <w:sz w:val="24"/>
                <w:szCs w:val="24"/>
                <w:highlight w:val="none"/>
              </w:rPr>
              <w:t>）电子化项目开标、解密、唱标、评标</w:t>
            </w:r>
          </w:p>
          <w:p>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1、本项目采用电子化、无纸化进行招标，开标当日，</w:t>
            </w:r>
            <w:r>
              <w:rPr>
                <w:rFonts w:hint="eastAsia" w:ascii="宋体" w:hAnsi="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无需到开标现场参加开标会议。</w:t>
            </w:r>
          </w:p>
          <w:p>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w:t>
            </w:r>
            <w:r>
              <w:rPr>
                <w:rFonts w:hint="eastAsia" w:ascii="宋体" w:hAnsi="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应当在</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截止时间前，登陆不见面开标大厅选择登陆三门峡市公共资源电子招</w:t>
            </w:r>
            <w:r>
              <w:rPr>
                <w:rFonts w:hint="eastAsia" w:ascii="宋体" w:hAnsi="宋体" w:cs="宋体"/>
                <w:color w:val="auto"/>
                <w:kern w:val="2"/>
                <w:sz w:val="24"/>
                <w:szCs w:val="24"/>
                <w:highlight w:val="none"/>
                <w:lang w:eastAsia="zh-CN"/>
              </w:rPr>
              <w:t>投标</w:t>
            </w:r>
            <w:r>
              <w:rPr>
                <w:rFonts w:hint="eastAsia" w:ascii="宋体" w:hAnsi="宋体" w:eastAsia="宋体" w:cs="宋体"/>
                <w:color w:val="auto"/>
                <w:kern w:val="2"/>
                <w:sz w:val="24"/>
                <w:szCs w:val="24"/>
                <w:highlight w:val="none"/>
              </w:rPr>
              <w:t>系统进行登陆http://120.194.249.36:10094/BidOpening/bidopeninghallaction/hall/login）,在线准时参加开标活动并进行</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文件解密等。每位</w:t>
            </w:r>
            <w:r>
              <w:rPr>
                <w:rFonts w:hint="eastAsia" w:ascii="宋体" w:hAnsi="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的解密时间为开标时间起30分钟内完成。未按时解密的其</w:t>
            </w:r>
            <w:r>
              <w:rPr>
                <w:rFonts w:hint="eastAsia" w:ascii="宋体" w:hAnsi="宋体" w:cs="宋体"/>
                <w:color w:val="auto"/>
                <w:kern w:val="2"/>
                <w:sz w:val="24"/>
                <w:szCs w:val="24"/>
                <w:highlight w:val="none"/>
                <w:lang w:eastAsia="zh-CN"/>
              </w:rPr>
              <w:t>响应文件</w:t>
            </w:r>
            <w:r>
              <w:rPr>
                <w:rFonts w:hint="eastAsia" w:ascii="宋体" w:hAnsi="宋体" w:eastAsia="宋体" w:cs="宋体"/>
                <w:color w:val="auto"/>
                <w:kern w:val="2"/>
                <w:sz w:val="24"/>
                <w:szCs w:val="24"/>
                <w:highlight w:val="none"/>
              </w:rPr>
              <w:t>将被否决。因</w:t>
            </w:r>
            <w:r>
              <w:rPr>
                <w:rFonts w:hint="eastAsia" w:ascii="宋体" w:hAnsi="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原因未能解密、解密失败或解密超时的将被拒绝。</w:t>
            </w:r>
          </w:p>
          <w:p>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3、电子化</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文件解密异常的处理</w:t>
            </w:r>
          </w:p>
          <w:p>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如出现</w:t>
            </w:r>
            <w:r>
              <w:rPr>
                <w:rFonts w:hint="eastAsia" w:ascii="宋体" w:hAnsi="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的电子</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文件无法解密的情况，</w:t>
            </w:r>
            <w:r>
              <w:rPr>
                <w:rFonts w:hint="eastAsia" w:ascii="宋体" w:hAnsi="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应及时致电中介服务机构说明。</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文件解密异常，按以下步骤进行处理：</w:t>
            </w:r>
          </w:p>
          <w:p>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（1）首先由技术人员进行问题排查。</w:t>
            </w:r>
          </w:p>
          <w:p>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（2）经技术人员排查后，是</w:t>
            </w:r>
            <w:r>
              <w:rPr>
                <w:rFonts w:hint="eastAsia" w:ascii="宋体" w:hAnsi="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文件自身问题导致</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文件无法解密的，该</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文件将不予接收、解密和唱标。开标会议继续进行。</w:t>
            </w:r>
          </w:p>
          <w:p>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（3）经技术人员排查后，如果是电子化交易系统问题造成</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文件无法解密的，将由技术人员对问题进行处理。如短时间内问题无法解决的，将由中介服务机构向监督部门申请，经监督部门同意后，暂停开标会议，待问题解决后继续开标。</w:t>
            </w:r>
          </w:p>
          <w:p>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4、待所有</w:t>
            </w:r>
            <w:r>
              <w:rPr>
                <w:rFonts w:hint="eastAsia" w:ascii="宋体" w:hAnsi="宋体" w:cs="宋体"/>
                <w:color w:val="auto"/>
                <w:kern w:val="2"/>
                <w:sz w:val="24"/>
                <w:szCs w:val="24"/>
                <w:highlight w:val="none"/>
                <w:lang w:eastAsia="zh-CN"/>
              </w:rPr>
              <w:t>供应商响应</w:t>
            </w:r>
            <w:r>
              <w:rPr>
                <w:rFonts w:hint="eastAsia" w:ascii="宋体" w:hAnsi="宋体" w:eastAsia="宋体" w:cs="宋体"/>
                <w:color w:val="auto"/>
                <w:kern w:val="2"/>
                <w:sz w:val="24"/>
                <w:szCs w:val="24"/>
                <w:highlight w:val="none"/>
              </w:rPr>
              <w:t>文件解密完成后，由中介服务机构操作，对所有已解密</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文件进行唱标。</w:t>
            </w:r>
          </w:p>
          <w:p>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应保证在开标期间电话、电脑、网络能够正常工作，</w:t>
            </w:r>
            <w:r>
              <w:rPr>
                <w:rFonts w:hint="eastAsia" w:ascii="宋体" w:hAnsi="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因停电、电脑病毒、网络堵塞等原因，未在规定的解密时间内对</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文件进行解密的，其</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文件不予接收、唱标。</w:t>
            </w:r>
          </w:p>
          <w:p>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5、开标时</w:t>
            </w:r>
            <w:r>
              <w:rPr>
                <w:rFonts w:hint="eastAsia" w:ascii="宋体" w:hAnsi="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可登录到交易系统中在开标大厅中点击开标一览表查看自己的报价。如对自己的唱标内容有异议的，应在唱标内容显示后10分钟内向</w:t>
            </w:r>
            <w:r>
              <w:rPr>
                <w:rFonts w:hint="eastAsia" w:ascii="宋体" w:hAnsi="宋体" w:cs="宋体"/>
                <w:color w:val="auto"/>
                <w:sz w:val="24"/>
                <w:highlight w:val="none"/>
              </w:rPr>
              <w:t>中服务机构通过开标大厅对话框提出质疑。中介服务机构做好书面记录。</w:t>
            </w:r>
            <w:r>
              <w:rPr>
                <w:rFonts w:hint="eastAsia" w:ascii="宋体" w:hAnsi="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未在规定时间内提出质疑的，视为认可</w:t>
            </w:r>
            <w:r>
              <w:rPr>
                <w:rFonts w:hint="eastAsia" w:ascii="宋体" w:hAnsi="宋体" w:eastAsia="宋体" w:cs="宋体"/>
                <w:color w:val="auto"/>
                <w:kern w:val="2"/>
                <w:sz w:val="24"/>
                <w:szCs w:val="24"/>
                <w:highlight w:val="none"/>
                <w:lang w:eastAsia="zh-CN"/>
              </w:rPr>
              <w:t>唱标内容。</w:t>
            </w:r>
          </w:p>
          <w:p>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6、评标时，磋商小组对电子化响应文件有质疑的，将通过电子化交易系统对</w:t>
            </w:r>
            <w:r>
              <w:rPr>
                <w:rFonts w:hint="eastAsia" w:ascii="宋体" w:hAnsi="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lang w:eastAsia="zh-CN"/>
              </w:rPr>
              <w:t>发起质疑，</w:t>
            </w:r>
            <w:r>
              <w:rPr>
                <w:rFonts w:hint="eastAsia" w:ascii="宋体" w:hAnsi="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lang w:eastAsia="zh-CN"/>
              </w:rPr>
              <w:t>的回复文件必须以经过</w:t>
            </w:r>
            <w:r>
              <w:rPr>
                <w:rFonts w:hint="eastAsia" w:ascii="宋体" w:hAnsi="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lang w:eastAsia="zh-CN"/>
              </w:rPr>
              <w:t>和其法定代表人签章的PDF 格式文件为准，并通过电子化交易系统提交至磋商小组。</w:t>
            </w:r>
          </w:p>
          <w:p>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7、</w:t>
            </w:r>
            <w:r>
              <w:rPr>
                <w:rFonts w:hint="eastAsia" w:ascii="宋体" w:hAnsi="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应在开标结束后，应该守在系统前，进行二轮或多轮报价或者磋商小组提出的答疑，报价和答疑时间为30分钟，若</w:t>
            </w:r>
            <w:r>
              <w:rPr>
                <w:rFonts w:hint="eastAsia" w:ascii="宋体" w:hAnsi="宋体" w:cs="宋体"/>
                <w:color w:val="auto"/>
                <w:kern w:val="0"/>
                <w:sz w:val="24"/>
                <w:szCs w:val="24"/>
                <w:highlight w:val="none"/>
                <w:lang w:val="en-US" w:eastAsia="zh-CN"/>
              </w:rPr>
              <w:t>供应商</w:t>
            </w:r>
            <w:r>
              <w:rPr>
                <w:rFonts w:hint="eastAsia" w:ascii="宋体" w:hAnsi="宋体" w:eastAsia="宋体" w:cs="宋体"/>
                <w:color w:val="auto"/>
                <w:kern w:val="2"/>
                <w:sz w:val="24"/>
                <w:szCs w:val="24"/>
                <w:highlight w:val="none"/>
              </w:rPr>
              <w:t>错过时间或时间不够无法延时而导致文件无效或废标，由</w:t>
            </w:r>
            <w:r>
              <w:rPr>
                <w:rFonts w:hint="eastAsia" w:ascii="宋体" w:hAnsi="宋体" w:cs="宋体"/>
                <w:color w:val="auto"/>
                <w:kern w:val="0"/>
                <w:sz w:val="24"/>
                <w:szCs w:val="24"/>
                <w:highlight w:val="none"/>
                <w:lang w:val="en-US" w:eastAsia="zh-CN"/>
              </w:rPr>
              <w:t>供应商</w:t>
            </w:r>
            <w:r>
              <w:rPr>
                <w:rFonts w:hint="eastAsia" w:ascii="宋体" w:hAnsi="宋体" w:eastAsia="宋体" w:cs="宋体"/>
                <w:color w:val="auto"/>
                <w:kern w:val="2"/>
                <w:sz w:val="24"/>
                <w:szCs w:val="24"/>
                <w:highlight w:val="none"/>
              </w:rPr>
              <w:t>自行承担责任。代理机构无义务必须通知到每个</w:t>
            </w:r>
            <w:r>
              <w:rPr>
                <w:rFonts w:hint="eastAsia" w:ascii="宋体" w:hAnsi="宋体" w:cs="宋体"/>
                <w:color w:val="auto"/>
                <w:kern w:val="0"/>
                <w:sz w:val="24"/>
                <w:szCs w:val="24"/>
                <w:highlight w:val="none"/>
                <w:lang w:val="en-US" w:eastAsia="zh-CN"/>
              </w:rPr>
              <w:t>供应商</w:t>
            </w:r>
            <w:r>
              <w:rPr>
                <w:rFonts w:hint="eastAsia" w:ascii="宋体" w:hAnsi="宋体" w:eastAsia="宋体" w:cs="宋体"/>
                <w:color w:val="auto"/>
                <w:kern w:val="2"/>
                <w:sz w:val="24"/>
                <w:szCs w:val="24"/>
                <w:highlight w:val="none"/>
              </w:rPr>
              <w:t>进行报价或答疑。在开标及评审过程中，代理机构、采购人及监督人是无法携带通讯工具，</w:t>
            </w:r>
            <w:r>
              <w:rPr>
                <w:rFonts w:hint="eastAsia" w:ascii="宋体" w:hAnsi="宋体" w:cs="宋体"/>
                <w:color w:val="auto"/>
                <w:kern w:val="0"/>
                <w:sz w:val="24"/>
                <w:szCs w:val="24"/>
                <w:highlight w:val="none"/>
                <w:lang w:val="en-US" w:eastAsia="zh-CN"/>
              </w:rPr>
              <w:t>供应商</w:t>
            </w:r>
            <w:r>
              <w:rPr>
                <w:rFonts w:hint="eastAsia" w:ascii="宋体" w:hAnsi="宋体" w:eastAsia="宋体" w:cs="宋体"/>
                <w:color w:val="auto"/>
                <w:kern w:val="2"/>
                <w:sz w:val="24"/>
                <w:szCs w:val="24"/>
                <w:highlight w:val="none"/>
              </w:rPr>
              <w:t>若出现问题导致文件无效或废标，</w:t>
            </w:r>
            <w:r>
              <w:rPr>
                <w:rFonts w:hint="eastAsia" w:ascii="宋体" w:hAnsi="宋体" w:cs="宋体"/>
                <w:color w:val="auto"/>
                <w:kern w:val="0"/>
                <w:sz w:val="24"/>
                <w:szCs w:val="24"/>
                <w:highlight w:val="none"/>
                <w:lang w:val="en-US" w:eastAsia="zh-CN"/>
              </w:rPr>
              <w:t>供应商</w:t>
            </w:r>
            <w:r>
              <w:rPr>
                <w:rFonts w:hint="eastAsia" w:ascii="宋体" w:hAnsi="宋体" w:eastAsia="宋体" w:cs="宋体"/>
                <w:color w:val="auto"/>
                <w:kern w:val="2"/>
                <w:sz w:val="24"/>
                <w:szCs w:val="24"/>
                <w:highlight w:val="none"/>
              </w:rPr>
              <w:t>自行承担责任。</w:t>
            </w:r>
          </w:p>
          <w:p>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二、 相关证书原件的提交</w:t>
            </w:r>
          </w:p>
          <w:p>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本项目实行资格后审，</w:t>
            </w:r>
            <w:r>
              <w:rPr>
                <w:rFonts w:hint="eastAsia" w:ascii="宋体" w:hAnsi="宋体" w:cs="宋体"/>
                <w:color w:val="auto"/>
                <w:kern w:val="2"/>
                <w:sz w:val="24"/>
                <w:szCs w:val="24"/>
                <w:highlight w:val="none"/>
                <w:lang w:eastAsia="zh-CN"/>
              </w:rPr>
              <w:t>磋商</w:t>
            </w:r>
            <w:r>
              <w:rPr>
                <w:rFonts w:hint="eastAsia" w:ascii="宋体" w:hAnsi="宋体" w:eastAsia="宋体" w:cs="宋体"/>
                <w:color w:val="auto"/>
                <w:kern w:val="2"/>
                <w:sz w:val="24"/>
                <w:szCs w:val="24"/>
                <w:highlight w:val="none"/>
              </w:rPr>
              <w:t>文件中要求</w:t>
            </w:r>
            <w:r>
              <w:rPr>
                <w:rFonts w:hint="eastAsia" w:ascii="宋体" w:hAnsi="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提交资质、业绩、荣誉及单位人员等相关资料原件的，</w:t>
            </w:r>
            <w:r>
              <w:rPr>
                <w:rFonts w:hint="eastAsia" w:ascii="宋体" w:hAnsi="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需将原件扫描件制作到电子</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文件中，其上传资料真实性由</w:t>
            </w:r>
            <w:r>
              <w:rPr>
                <w:rFonts w:hint="eastAsia" w:ascii="宋体" w:hAnsi="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自行承担，同时，</w:t>
            </w:r>
            <w:r>
              <w:rPr>
                <w:rFonts w:hint="eastAsia" w:ascii="宋体" w:hAnsi="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要完善主体库。</w:t>
            </w:r>
            <w:r>
              <w:rPr>
                <w:rFonts w:hint="eastAsia" w:ascii="宋体" w:hAnsi="宋体" w:cs="宋体"/>
                <w:color w:val="auto"/>
                <w:kern w:val="2"/>
                <w:sz w:val="24"/>
                <w:szCs w:val="24"/>
                <w:highlight w:val="none"/>
                <w:lang w:eastAsia="zh-CN"/>
              </w:rPr>
              <w:t>磋商小组</w:t>
            </w:r>
            <w:r>
              <w:rPr>
                <w:rFonts w:hint="eastAsia" w:ascii="宋体" w:hAnsi="宋体" w:eastAsia="宋体" w:cs="宋体"/>
                <w:color w:val="auto"/>
                <w:kern w:val="2"/>
                <w:sz w:val="24"/>
                <w:szCs w:val="24"/>
                <w:highlight w:val="none"/>
              </w:rPr>
              <w:t>对原件的核验工作按以下条款进行：</w:t>
            </w:r>
          </w:p>
          <w:p>
            <w:pPr>
              <w:keepNext w:val="0"/>
              <w:keepLines w:val="0"/>
              <w:pageBreakBefore w:val="0"/>
              <w:widowControl w:val="0"/>
              <w:numPr>
                <w:ilvl w:val="0"/>
                <w:numId w:val="2"/>
              </w:numPr>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评标时，评委先查阅</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文件中是否具有该资料的原件扫描件，其上传资料真实性由</w:t>
            </w:r>
            <w:r>
              <w:rPr>
                <w:rFonts w:hint="eastAsia" w:ascii="宋体" w:hAnsi="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自行承担，同时，</w:t>
            </w:r>
            <w:r>
              <w:rPr>
                <w:rFonts w:hint="eastAsia" w:ascii="宋体" w:hAnsi="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需要完善主体库信息。本项目需要提交的原件扫描件以</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截止时间前在以</w:t>
            </w:r>
            <w:r>
              <w:rPr>
                <w:rFonts w:hint="eastAsia" w:ascii="宋体" w:hAnsi="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自行上传到</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文件中的相应内容为准。规定时间外上传或更改的信息不作为评标依据。评标时不接受</w:t>
            </w:r>
            <w:r>
              <w:rPr>
                <w:rFonts w:hint="eastAsia" w:ascii="宋体" w:hAnsi="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所提交的任何原件</w:t>
            </w:r>
            <w:r>
              <w:rPr>
                <w:rFonts w:hint="eastAsia" w:ascii="宋体" w:hAnsi="宋体" w:eastAsia="宋体" w:cs="宋体"/>
                <w:color w:val="auto"/>
                <w:kern w:val="2"/>
                <w:sz w:val="24"/>
                <w:szCs w:val="24"/>
                <w:highlight w:val="none"/>
                <w:lang w:eastAsia="zh-CN"/>
              </w:rPr>
              <w:t>。</w:t>
            </w:r>
          </w:p>
          <w:p>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(二</w:t>
            </w:r>
            <w:r>
              <w:rPr>
                <w:rFonts w:hint="eastAsia" w:ascii="宋体" w:hAnsi="宋体" w:eastAsia="宋体" w:cs="宋体"/>
                <w:color w:val="auto"/>
                <w:kern w:val="2"/>
                <w:sz w:val="24"/>
                <w:szCs w:val="24"/>
                <w:highlight w:val="none"/>
              </w:rPr>
              <w:t>）</w:t>
            </w:r>
            <w:r>
              <w:rPr>
                <w:rFonts w:hint="eastAsia" w:ascii="宋体" w:hAnsi="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需应仔细阅读操作手册，保证上传内容齐全，真实有效，原件扫描件清晰可辨。因</w:t>
            </w:r>
            <w:r>
              <w:rPr>
                <w:rFonts w:hint="eastAsia" w:ascii="宋体" w:hAnsi="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上传原因导致应得分项而未得分或资格审查不合格等情况的，由</w:t>
            </w:r>
            <w:r>
              <w:rPr>
                <w:rFonts w:hint="eastAsia" w:ascii="宋体" w:hAnsi="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自行承担责任。</w:t>
            </w:r>
          </w:p>
          <w:p>
            <w:pPr>
              <w:spacing w:line="360" w:lineRule="exact"/>
              <w:jc w:val="left"/>
              <w:rPr>
                <w:rFonts w:ascii="宋体" w:hAnsi="宋体" w:eastAsia="宋体" w:cs="宋体"/>
                <w:color w:val="auto"/>
                <w:sz w:val="24"/>
                <w:highlight w:val="none"/>
              </w:rPr>
            </w:pPr>
            <w:r>
              <w:rPr>
                <w:rFonts w:hint="eastAsia" w:ascii="宋体" w:hAnsi="宋体" w:eastAsia="宋体" w:cs="宋体"/>
                <w:color w:val="auto"/>
                <w:kern w:val="2"/>
                <w:sz w:val="24"/>
                <w:szCs w:val="24"/>
                <w:highlight w:val="none"/>
              </w:rPr>
              <w:t>提示：本项目为电子化、无纸化交易项目，开标时不再接受任何纸质资料，为保证您能</w:t>
            </w:r>
            <w:r>
              <w:rPr>
                <w:rFonts w:hint="eastAsia" w:ascii="宋体" w:hAnsi="宋体" w:cs="宋体"/>
                <w:color w:val="auto"/>
                <w:kern w:val="2"/>
                <w:sz w:val="24"/>
                <w:szCs w:val="24"/>
                <w:highlight w:val="none"/>
                <w:lang w:eastAsia="zh-CN"/>
              </w:rPr>
              <w:t>开</w:t>
            </w:r>
            <w:r>
              <w:rPr>
                <w:rFonts w:hint="eastAsia" w:ascii="宋体" w:hAnsi="宋体" w:eastAsia="宋体" w:cs="宋体"/>
                <w:color w:val="auto"/>
                <w:kern w:val="2"/>
                <w:sz w:val="24"/>
                <w:szCs w:val="24"/>
                <w:highlight w:val="none"/>
              </w:rPr>
              <w:t>标成功，请需仔细阅读以上条款。</w:t>
            </w:r>
          </w:p>
        </w:tc>
      </w:tr>
    </w:tbl>
    <w:p>
      <w:pPr>
        <w:spacing w:line="600" w:lineRule="exact"/>
        <w:ind w:firstLine="482" w:firstLineChars="200"/>
        <w:rPr>
          <w:rFonts w:hint="eastAsia" w:ascii="宋体" w:hAnsi="宋体" w:eastAsia="宋体" w:cs="宋体"/>
          <w:b/>
          <w:bCs/>
          <w:color w:val="auto"/>
          <w:kern w:val="0"/>
          <w:sz w:val="24"/>
        </w:rPr>
      </w:pPr>
      <w:bookmarkStart w:id="25" w:name="_Toc479"/>
      <w:bookmarkStart w:id="26" w:name="_Toc74643721"/>
      <w:bookmarkStart w:id="27" w:name="_Toc26685"/>
      <w:r>
        <w:rPr>
          <w:rFonts w:hint="eastAsia" w:ascii="宋体" w:hAnsi="宋体" w:cs="宋体"/>
          <w:b/>
          <w:bCs/>
          <w:color w:val="auto"/>
          <w:kern w:val="0"/>
          <w:sz w:val="24"/>
          <w:lang w:val="en-US" w:eastAsia="zh-CN"/>
        </w:rPr>
        <w:t>1.</w:t>
      </w:r>
      <w:r>
        <w:rPr>
          <w:rFonts w:hint="eastAsia" w:ascii="宋体" w:hAnsi="宋体" w:eastAsia="宋体" w:cs="宋体"/>
          <w:b/>
          <w:bCs/>
          <w:color w:val="auto"/>
          <w:kern w:val="0"/>
          <w:sz w:val="24"/>
        </w:rPr>
        <w:t>总  则</w:t>
      </w:r>
    </w:p>
    <w:p>
      <w:pPr>
        <w:spacing w:line="600" w:lineRule="exact"/>
        <w:ind w:firstLine="482" w:firstLineChars="200"/>
        <w:rPr>
          <w:rFonts w:ascii="宋体" w:hAnsi="宋体" w:eastAsia="宋体" w:cs="宋体"/>
          <w:b/>
          <w:bCs/>
          <w:color w:val="auto"/>
          <w:kern w:val="0"/>
          <w:sz w:val="24"/>
        </w:rPr>
      </w:pPr>
      <w:r>
        <w:rPr>
          <w:rFonts w:hint="eastAsia" w:ascii="宋体" w:hAnsi="宋体" w:eastAsia="宋体" w:cs="宋体"/>
          <w:b/>
          <w:bCs/>
          <w:color w:val="auto"/>
          <w:kern w:val="0"/>
          <w:sz w:val="24"/>
        </w:rPr>
        <w:t>1.1项目概况</w:t>
      </w:r>
    </w:p>
    <w:p>
      <w:pPr>
        <w:pStyle w:val="44"/>
        <w:keepNext w:val="0"/>
        <w:keepLines w:val="0"/>
        <w:pageBreakBefore w:val="0"/>
        <w:widowControl w:val="0"/>
        <w:numPr>
          <w:ilvl w:val="0"/>
          <w:numId w:val="0"/>
        </w:numPr>
        <w:tabs>
          <w:tab w:val="left" w:pos="2061"/>
        </w:tabs>
        <w:kinsoku/>
        <w:wordWrap/>
        <w:overflowPunct/>
        <w:topLinePunct w:val="0"/>
        <w:autoSpaceDE/>
        <w:autoSpaceDN/>
        <w:bidi w:val="0"/>
        <w:adjustRightInd/>
        <w:snapToGrid/>
        <w:spacing w:before="161" w:line="500" w:lineRule="exact"/>
        <w:ind w:firstLine="476" w:firstLineChars="200"/>
        <w:jc w:val="left"/>
        <w:textAlignment w:val="auto"/>
        <w:rPr>
          <w:sz w:val="24"/>
          <w:lang w:eastAsia="zh-CN"/>
        </w:rPr>
      </w:pPr>
      <w:r>
        <w:rPr>
          <w:rFonts w:hint="eastAsia"/>
          <w:spacing w:val="-1"/>
          <w:sz w:val="24"/>
          <w:lang w:val="en-US" w:eastAsia="zh-CN"/>
        </w:rPr>
        <w:t xml:space="preserve">1.1.1 </w:t>
      </w:r>
      <w:r>
        <w:rPr>
          <w:spacing w:val="-1"/>
          <w:sz w:val="24"/>
          <w:lang w:eastAsia="zh-CN"/>
        </w:rPr>
        <w:t>《中华人民共和国政府采购法》《政府采购竞争性磋商采购方式管理</w:t>
      </w:r>
      <w:r>
        <w:rPr>
          <w:sz w:val="24"/>
          <w:lang w:eastAsia="zh-CN"/>
        </w:rPr>
        <w:t>暂行办法》及财库〔2015〕124号文</w:t>
      </w:r>
    </w:p>
    <w:p>
      <w:pPr>
        <w:pStyle w:val="44"/>
        <w:keepNext w:val="0"/>
        <w:keepLines w:val="0"/>
        <w:pageBreakBefore w:val="0"/>
        <w:widowControl w:val="0"/>
        <w:numPr>
          <w:ilvl w:val="0"/>
          <w:numId w:val="0"/>
        </w:numPr>
        <w:tabs>
          <w:tab w:val="left" w:pos="2180"/>
        </w:tabs>
        <w:kinsoku/>
        <w:wordWrap/>
        <w:overflowPunct/>
        <w:topLinePunct w:val="0"/>
        <w:autoSpaceDE/>
        <w:autoSpaceDN/>
        <w:bidi w:val="0"/>
        <w:adjustRightInd/>
        <w:snapToGrid/>
        <w:spacing w:before="1" w:line="500" w:lineRule="exact"/>
        <w:ind w:firstLine="476" w:firstLineChars="200"/>
        <w:jc w:val="left"/>
        <w:textAlignment w:val="auto"/>
        <w:rPr>
          <w:sz w:val="24"/>
          <w:lang w:eastAsia="zh-CN"/>
        </w:rPr>
      </w:pPr>
      <w:r>
        <w:rPr>
          <w:rFonts w:hint="eastAsia"/>
          <w:spacing w:val="-1"/>
          <w:sz w:val="24"/>
          <w:lang w:val="en-US" w:eastAsia="zh-CN"/>
        </w:rPr>
        <w:t>1.1.2</w:t>
      </w:r>
      <w:r>
        <w:rPr>
          <w:sz w:val="24"/>
          <w:lang w:eastAsia="zh-CN"/>
        </w:rPr>
        <w:t>采购人：见供应商须知前附表。</w:t>
      </w:r>
    </w:p>
    <w:p>
      <w:pPr>
        <w:pStyle w:val="44"/>
        <w:keepNext w:val="0"/>
        <w:keepLines w:val="0"/>
        <w:pageBreakBefore w:val="0"/>
        <w:widowControl w:val="0"/>
        <w:numPr>
          <w:ilvl w:val="0"/>
          <w:numId w:val="0"/>
        </w:numPr>
        <w:tabs>
          <w:tab w:val="left" w:pos="2180"/>
        </w:tabs>
        <w:kinsoku/>
        <w:wordWrap/>
        <w:overflowPunct/>
        <w:topLinePunct w:val="0"/>
        <w:autoSpaceDE/>
        <w:autoSpaceDN/>
        <w:bidi w:val="0"/>
        <w:adjustRightInd/>
        <w:snapToGrid/>
        <w:spacing w:before="160" w:line="500" w:lineRule="exact"/>
        <w:ind w:firstLine="476" w:firstLineChars="200"/>
        <w:jc w:val="left"/>
        <w:textAlignment w:val="auto"/>
        <w:rPr>
          <w:sz w:val="24"/>
          <w:lang w:eastAsia="zh-CN"/>
        </w:rPr>
      </w:pPr>
      <w:r>
        <w:rPr>
          <w:rFonts w:hint="eastAsia"/>
          <w:spacing w:val="-1"/>
          <w:sz w:val="24"/>
          <w:lang w:val="en-US" w:eastAsia="zh-CN"/>
        </w:rPr>
        <w:t>1.1.3</w:t>
      </w:r>
      <w:r>
        <w:rPr>
          <w:sz w:val="24"/>
          <w:lang w:eastAsia="zh-CN"/>
        </w:rPr>
        <w:t>采购代理机构：见供应商须知前附表。</w:t>
      </w:r>
    </w:p>
    <w:p>
      <w:pPr>
        <w:pStyle w:val="44"/>
        <w:keepNext w:val="0"/>
        <w:keepLines w:val="0"/>
        <w:pageBreakBefore w:val="0"/>
        <w:widowControl w:val="0"/>
        <w:numPr>
          <w:ilvl w:val="0"/>
          <w:numId w:val="0"/>
        </w:numPr>
        <w:tabs>
          <w:tab w:val="left" w:pos="2180"/>
        </w:tabs>
        <w:kinsoku/>
        <w:wordWrap/>
        <w:overflowPunct/>
        <w:topLinePunct w:val="0"/>
        <w:autoSpaceDE/>
        <w:autoSpaceDN/>
        <w:bidi w:val="0"/>
        <w:adjustRightInd/>
        <w:snapToGrid/>
        <w:spacing w:before="161" w:line="500" w:lineRule="exact"/>
        <w:ind w:firstLine="476" w:firstLineChars="200"/>
        <w:jc w:val="left"/>
        <w:textAlignment w:val="auto"/>
        <w:rPr>
          <w:sz w:val="24"/>
          <w:lang w:eastAsia="zh-CN"/>
        </w:rPr>
      </w:pPr>
      <w:r>
        <w:rPr>
          <w:rFonts w:hint="eastAsia"/>
          <w:spacing w:val="-1"/>
          <w:sz w:val="24"/>
          <w:lang w:val="en-US" w:eastAsia="zh-CN"/>
        </w:rPr>
        <w:t>1.1.4</w:t>
      </w:r>
      <w:r>
        <w:rPr>
          <w:sz w:val="24"/>
          <w:lang w:eastAsia="zh-CN"/>
        </w:rPr>
        <w:t>采购项目名称：见供应商须知前附表。</w:t>
      </w:r>
    </w:p>
    <w:p>
      <w:pPr>
        <w:pStyle w:val="44"/>
        <w:keepNext w:val="0"/>
        <w:keepLines w:val="0"/>
        <w:pageBreakBefore w:val="0"/>
        <w:widowControl w:val="0"/>
        <w:numPr>
          <w:ilvl w:val="0"/>
          <w:numId w:val="0"/>
        </w:numPr>
        <w:tabs>
          <w:tab w:val="left" w:pos="2180"/>
        </w:tabs>
        <w:kinsoku/>
        <w:wordWrap/>
        <w:overflowPunct/>
        <w:topLinePunct w:val="0"/>
        <w:autoSpaceDE/>
        <w:autoSpaceDN/>
        <w:bidi w:val="0"/>
        <w:adjustRightInd/>
        <w:snapToGrid/>
        <w:spacing w:before="160" w:line="500" w:lineRule="exact"/>
        <w:ind w:firstLine="476" w:firstLineChars="200"/>
        <w:jc w:val="left"/>
        <w:textAlignment w:val="auto"/>
        <w:rPr>
          <w:sz w:val="24"/>
          <w:lang w:eastAsia="zh-CN"/>
        </w:rPr>
      </w:pPr>
      <w:r>
        <w:rPr>
          <w:rFonts w:hint="eastAsia"/>
          <w:spacing w:val="-1"/>
          <w:sz w:val="24"/>
          <w:lang w:val="en-US" w:eastAsia="zh-CN"/>
        </w:rPr>
        <w:t>1.1.5</w:t>
      </w:r>
      <w:r>
        <w:rPr>
          <w:sz w:val="24"/>
          <w:lang w:eastAsia="zh-CN"/>
        </w:rPr>
        <w:t>项目地点：见供应商须知前附表。</w:t>
      </w:r>
    </w:p>
    <w:p>
      <w:pPr>
        <w:keepNext/>
        <w:keepLines/>
        <w:spacing w:line="600" w:lineRule="exact"/>
        <w:ind w:firstLine="482" w:firstLineChars="200"/>
        <w:outlineLvl w:val="3"/>
        <w:rPr>
          <w:rFonts w:ascii="宋体" w:hAnsi="宋体" w:eastAsia="宋体" w:cs="宋体"/>
          <w:b/>
          <w:bCs/>
          <w:color w:val="auto"/>
          <w:sz w:val="24"/>
        </w:rPr>
      </w:pPr>
      <w:r>
        <w:rPr>
          <w:rFonts w:hint="eastAsia" w:ascii="宋体" w:hAnsi="宋体" w:eastAsia="宋体" w:cs="宋体"/>
          <w:b/>
          <w:bCs/>
          <w:color w:val="auto"/>
          <w:sz w:val="24"/>
        </w:rPr>
        <w:t>1.2 资金来源</w:t>
      </w:r>
    </w:p>
    <w:p>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1.2.1 本招标项目的资金来源：见</w:t>
      </w:r>
      <w:r>
        <w:rPr>
          <w:rFonts w:hint="eastAsia" w:ascii="宋体" w:hAnsi="宋体" w:cs="宋体"/>
          <w:color w:val="auto"/>
          <w:sz w:val="24"/>
          <w:lang w:eastAsia="zh-CN"/>
        </w:rPr>
        <w:t>供应商</w:t>
      </w:r>
      <w:r>
        <w:rPr>
          <w:rFonts w:hint="eastAsia" w:ascii="宋体" w:hAnsi="宋体" w:eastAsia="宋体" w:cs="宋体"/>
          <w:color w:val="auto"/>
          <w:sz w:val="24"/>
        </w:rPr>
        <w:t>须知前附表。</w:t>
      </w:r>
    </w:p>
    <w:p>
      <w:pPr>
        <w:spacing w:line="60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1.3 磋商范围、</w:t>
      </w:r>
      <w:r>
        <w:rPr>
          <w:rFonts w:hint="eastAsia" w:ascii="宋体" w:hAnsi="宋体" w:eastAsia="宋体" w:cs="宋体"/>
          <w:b/>
          <w:bCs/>
          <w:color w:val="auto"/>
          <w:sz w:val="24"/>
          <w:lang w:eastAsia="zh-CN"/>
        </w:rPr>
        <w:t>磋商文件及答疑、澄清文件的所有内容</w:t>
      </w:r>
    </w:p>
    <w:p>
      <w:pPr>
        <w:pStyle w:val="44"/>
        <w:numPr>
          <w:ilvl w:val="0"/>
          <w:numId w:val="0"/>
        </w:numPr>
        <w:tabs>
          <w:tab w:val="left" w:pos="2180"/>
        </w:tabs>
        <w:spacing w:before="161"/>
        <w:ind w:firstLine="476" w:firstLineChars="200"/>
        <w:rPr>
          <w:sz w:val="24"/>
          <w:lang w:eastAsia="zh-CN"/>
        </w:rPr>
      </w:pPr>
      <w:r>
        <w:rPr>
          <w:rFonts w:hint="eastAsia"/>
          <w:spacing w:val="-1"/>
          <w:sz w:val="24"/>
          <w:lang w:val="en-US" w:eastAsia="zh-CN"/>
        </w:rPr>
        <w:t xml:space="preserve">1.3.1 </w:t>
      </w:r>
      <w:r>
        <w:rPr>
          <w:sz w:val="24"/>
          <w:lang w:eastAsia="zh-CN"/>
        </w:rPr>
        <w:t>磋商范围：见供应商须知前附表。</w:t>
      </w:r>
    </w:p>
    <w:p>
      <w:pPr>
        <w:pStyle w:val="44"/>
        <w:numPr>
          <w:ilvl w:val="0"/>
          <w:numId w:val="0"/>
        </w:numPr>
        <w:tabs>
          <w:tab w:val="left" w:pos="2180"/>
        </w:tabs>
        <w:spacing w:before="160"/>
        <w:ind w:firstLine="476" w:firstLineChars="200"/>
        <w:rPr>
          <w:sz w:val="24"/>
          <w:lang w:eastAsia="zh-CN"/>
        </w:rPr>
      </w:pPr>
      <w:r>
        <w:rPr>
          <w:rFonts w:hint="eastAsia"/>
          <w:spacing w:val="-1"/>
          <w:sz w:val="24"/>
          <w:lang w:val="en-US" w:eastAsia="zh-CN"/>
        </w:rPr>
        <w:t>1.3.2</w:t>
      </w:r>
      <w:r>
        <w:rPr>
          <w:sz w:val="24"/>
          <w:lang w:eastAsia="zh-CN"/>
        </w:rPr>
        <w:t>服务</w:t>
      </w:r>
      <w:r>
        <w:rPr>
          <w:rFonts w:hint="eastAsia"/>
          <w:sz w:val="24"/>
          <w:lang w:val="en-US" w:eastAsia="zh-CN"/>
        </w:rPr>
        <w:t>期限</w:t>
      </w:r>
      <w:r>
        <w:rPr>
          <w:sz w:val="24"/>
          <w:lang w:eastAsia="zh-CN"/>
        </w:rPr>
        <w:t>：见供应商须知前附表。</w:t>
      </w:r>
    </w:p>
    <w:p>
      <w:pPr>
        <w:keepNext/>
        <w:keepLines/>
        <w:spacing w:line="600" w:lineRule="exact"/>
        <w:ind w:firstLine="480" w:firstLineChars="200"/>
        <w:outlineLvl w:val="3"/>
        <w:rPr>
          <w:sz w:val="24"/>
          <w:lang w:eastAsia="zh-CN"/>
        </w:rPr>
      </w:pPr>
      <w:r>
        <w:rPr>
          <w:rFonts w:hint="eastAsia"/>
          <w:sz w:val="24"/>
          <w:lang w:val="en-US" w:eastAsia="zh-CN"/>
        </w:rPr>
        <w:t>服务</w:t>
      </w:r>
      <w:r>
        <w:rPr>
          <w:sz w:val="24"/>
          <w:lang w:eastAsia="zh-CN"/>
        </w:rPr>
        <w:t>要求：见供应商须知前附表。</w:t>
      </w:r>
    </w:p>
    <w:p>
      <w:pPr>
        <w:keepNext/>
        <w:keepLines/>
        <w:spacing w:line="600" w:lineRule="exact"/>
        <w:ind w:firstLine="482" w:firstLineChars="200"/>
        <w:outlineLvl w:val="3"/>
        <w:rPr>
          <w:rFonts w:ascii="宋体" w:hAnsi="宋体" w:eastAsia="宋体" w:cs="宋体"/>
          <w:b/>
          <w:bCs/>
          <w:color w:val="auto"/>
          <w:sz w:val="24"/>
        </w:rPr>
      </w:pPr>
      <w:r>
        <w:rPr>
          <w:rFonts w:hint="eastAsia" w:ascii="宋体" w:hAnsi="宋体" w:eastAsia="宋体" w:cs="宋体"/>
          <w:b/>
          <w:bCs/>
          <w:color w:val="auto"/>
          <w:sz w:val="24"/>
        </w:rPr>
        <w:t>1.4</w:t>
      </w:r>
      <w:r>
        <w:rPr>
          <w:rFonts w:hint="eastAsia" w:ascii="宋体" w:hAnsi="宋体" w:cs="宋体"/>
          <w:b/>
          <w:bCs/>
          <w:color w:val="auto"/>
          <w:sz w:val="24"/>
          <w:lang w:val="en-US" w:eastAsia="zh-CN"/>
        </w:rPr>
        <w:t>供应商</w:t>
      </w:r>
      <w:r>
        <w:rPr>
          <w:rFonts w:hint="eastAsia" w:ascii="宋体" w:hAnsi="宋体" w:eastAsia="宋体" w:cs="宋体"/>
          <w:b/>
          <w:bCs/>
          <w:color w:val="auto"/>
          <w:sz w:val="24"/>
        </w:rPr>
        <w:t>资格要求</w:t>
      </w:r>
    </w:p>
    <w:p>
      <w:pPr>
        <w:spacing w:line="60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eastAsia="zh-CN"/>
        </w:rPr>
        <w:t>详见供应商前附表供应商资格要求</w:t>
      </w:r>
    </w:p>
    <w:p>
      <w:pPr>
        <w:spacing w:line="600" w:lineRule="exact"/>
        <w:ind w:firstLine="480" w:firstLineChars="200"/>
        <w:rPr>
          <w:rFonts w:hint="eastAsia" w:ascii="宋体" w:hAnsi="宋体" w:eastAsia="宋体" w:cs="宋体"/>
          <w:color w:val="auto"/>
          <w:sz w:val="24"/>
          <w:lang w:eastAsia="zh-CN"/>
        </w:rPr>
      </w:pPr>
      <w:r>
        <w:rPr>
          <w:rFonts w:hint="eastAsia" w:ascii="宋体" w:hAnsi="宋体" w:cs="宋体"/>
          <w:color w:val="auto"/>
          <w:sz w:val="24"/>
          <w:lang w:val="en-US" w:eastAsia="zh-CN"/>
        </w:rPr>
        <w:t>1.4.1</w:t>
      </w:r>
      <w:r>
        <w:rPr>
          <w:rFonts w:hint="eastAsia" w:ascii="宋体" w:hAnsi="宋体" w:eastAsia="宋体" w:cs="宋体"/>
          <w:color w:val="auto"/>
          <w:sz w:val="24"/>
          <w:lang w:eastAsia="zh-CN"/>
        </w:rPr>
        <w:t>供应商不得存在下列情形之一：</w:t>
      </w:r>
    </w:p>
    <w:p>
      <w:pPr>
        <w:spacing w:line="600" w:lineRule="exact"/>
        <w:ind w:firstLine="480" w:firstLineChars="200"/>
        <w:rPr>
          <w:rFonts w:hint="eastAsia" w:ascii="宋体" w:hAnsi="宋体" w:eastAsia="宋体" w:cs="宋体"/>
          <w:color w:val="auto"/>
          <w:sz w:val="24"/>
          <w:lang w:eastAsia="zh-CN"/>
        </w:rPr>
      </w:pPr>
      <w:r>
        <w:rPr>
          <w:rFonts w:hint="eastAsia" w:ascii="宋体" w:hAnsi="宋体" w:cs="宋体"/>
          <w:color w:val="auto"/>
          <w:sz w:val="24"/>
          <w:lang w:val="en-US" w:eastAsia="zh-CN"/>
        </w:rPr>
        <w:t>1）</w:t>
      </w:r>
      <w:r>
        <w:rPr>
          <w:rFonts w:hint="eastAsia" w:ascii="宋体" w:hAnsi="宋体" w:eastAsia="宋体" w:cs="宋体"/>
          <w:color w:val="auto"/>
          <w:sz w:val="24"/>
          <w:lang w:eastAsia="zh-CN"/>
        </w:rPr>
        <w:t xml:space="preserve">不具有独立法人资格的附属机构(单位)； </w:t>
      </w:r>
    </w:p>
    <w:p>
      <w:pPr>
        <w:spacing w:line="600" w:lineRule="exact"/>
        <w:ind w:firstLine="480" w:firstLineChars="200"/>
        <w:rPr>
          <w:rFonts w:hint="eastAsia" w:ascii="宋体" w:hAnsi="宋体" w:eastAsia="宋体" w:cs="宋体"/>
          <w:color w:val="auto"/>
          <w:sz w:val="24"/>
          <w:lang w:eastAsia="zh-CN"/>
        </w:rPr>
      </w:pPr>
      <w:r>
        <w:rPr>
          <w:rFonts w:hint="eastAsia" w:ascii="宋体" w:hAnsi="宋体" w:cs="宋体"/>
          <w:color w:val="auto"/>
          <w:sz w:val="24"/>
          <w:lang w:val="en-US" w:eastAsia="zh-CN"/>
        </w:rPr>
        <w:t>2）</w:t>
      </w:r>
      <w:r>
        <w:rPr>
          <w:rFonts w:hint="eastAsia" w:ascii="宋体" w:hAnsi="宋体" w:eastAsia="宋体" w:cs="宋体"/>
          <w:color w:val="auto"/>
          <w:sz w:val="24"/>
          <w:lang w:eastAsia="zh-CN"/>
        </w:rPr>
        <w:t>被责令停业的；</w:t>
      </w:r>
    </w:p>
    <w:p>
      <w:pPr>
        <w:spacing w:line="600" w:lineRule="exact"/>
        <w:ind w:firstLine="480" w:firstLineChars="200"/>
        <w:rPr>
          <w:rFonts w:hint="eastAsia" w:ascii="宋体" w:hAnsi="宋体" w:eastAsia="宋体" w:cs="宋体"/>
          <w:color w:val="auto"/>
          <w:sz w:val="24"/>
          <w:lang w:eastAsia="zh-CN"/>
        </w:rPr>
      </w:pPr>
      <w:r>
        <w:rPr>
          <w:rFonts w:hint="eastAsia" w:ascii="宋体" w:hAnsi="宋体" w:cs="宋体"/>
          <w:color w:val="auto"/>
          <w:sz w:val="24"/>
          <w:lang w:val="en-US" w:eastAsia="zh-CN"/>
        </w:rPr>
        <w:t>3）</w:t>
      </w:r>
      <w:r>
        <w:rPr>
          <w:rFonts w:hint="eastAsia" w:ascii="宋体" w:hAnsi="宋体" w:eastAsia="宋体" w:cs="宋体"/>
          <w:color w:val="auto"/>
          <w:sz w:val="24"/>
          <w:lang w:eastAsia="zh-CN"/>
        </w:rPr>
        <w:t xml:space="preserve">被暂停或取消投标资格的； </w:t>
      </w:r>
    </w:p>
    <w:p>
      <w:pPr>
        <w:spacing w:line="600" w:lineRule="exact"/>
        <w:ind w:firstLine="480" w:firstLineChars="200"/>
        <w:rPr>
          <w:rFonts w:hint="eastAsia" w:ascii="宋体" w:hAnsi="宋体" w:eastAsia="宋体" w:cs="宋体"/>
          <w:color w:val="auto"/>
          <w:sz w:val="24"/>
          <w:lang w:eastAsia="zh-CN"/>
        </w:rPr>
      </w:pPr>
      <w:r>
        <w:rPr>
          <w:rFonts w:hint="eastAsia" w:ascii="宋体" w:hAnsi="宋体" w:cs="宋体"/>
          <w:color w:val="auto"/>
          <w:sz w:val="24"/>
          <w:lang w:val="en-US" w:eastAsia="zh-CN"/>
        </w:rPr>
        <w:t>4）</w:t>
      </w:r>
      <w:r>
        <w:rPr>
          <w:rFonts w:hint="eastAsia" w:ascii="宋体" w:hAnsi="宋体" w:eastAsia="宋体" w:cs="宋体"/>
          <w:color w:val="auto"/>
          <w:sz w:val="24"/>
          <w:lang w:eastAsia="zh-CN"/>
        </w:rPr>
        <w:t>财产被接管或冻结的；</w:t>
      </w:r>
    </w:p>
    <w:p>
      <w:pPr>
        <w:spacing w:line="600" w:lineRule="exact"/>
        <w:ind w:firstLine="480" w:firstLineChars="200"/>
        <w:rPr>
          <w:rFonts w:hint="eastAsia" w:ascii="宋体" w:hAnsi="宋体" w:eastAsia="宋体" w:cs="宋体"/>
          <w:color w:val="auto"/>
          <w:sz w:val="24"/>
          <w:lang w:eastAsia="zh-CN"/>
        </w:rPr>
      </w:pPr>
      <w:r>
        <w:rPr>
          <w:rFonts w:hint="eastAsia" w:ascii="宋体" w:hAnsi="宋体" w:cs="宋体"/>
          <w:color w:val="auto"/>
          <w:sz w:val="24"/>
          <w:lang w:val="en-US" w:eastAsia="zh-CN"/>
        </w:rPr>
        <w:t>5）</w:t>
      </w:r>
      <w:r>
        <w:rPr>
          <w:rFonts w:hint="eastAsia" w:ascii="宋体" w:hAnsi="宋体" w:eastAsia="宋体" w:cs="宋体"/>
          <w:color w:val="auto"/>
          <w:sz w:val="24"/>
          <w:lang w:eastAsia="zh-CN"/>
        </w:rPr>
        <w:t>在最近三年内有骗取中标或严重违约原因引起的重大质量问题的。</w:t>
      </w:r>
    </w:p>
    <w:p>
      <w:pPr>
        <w:keepNext/>
        <w:keepLines/>
        <w:spacing w:line="600" w:lineRule="exact"/>
        <w:ind w:firstLine="482" w:firstLineChars="200"/>
        <w:outlineLvl w:val="3"/>
        <w:rPr>
          <w:rFonts w:ascii="宋体" w:hAnsi="宋体" w:eastAsia="宋体" w:cs="宋体"/>
          <w:b/>
          <w:bCs/>
          <w:color w:val="auto"/>
          <w:sz w:val="24"/>
        </w:rPr>
      </w:pPr>
      <w:r>
        <w:rPr>
          <w:rFonts w:hint="eastAsia" w:ascii="宋体" w:hAnsi="宋体" w:eastAsia="宋体" w:cs="宋体"/>
          <w:b/>
          <w:bCs/>
          <w:color w:val="auto"/>
          <w:sz w:val="24"/>
        </w:rPr>
        <w:t>1.5 费用承担</w:t>
      </w:r>
    </w:p>
    <w:p>
      <w:pPr>
        <w:spacing w:line="600" w:lineRule="exact"/>
        <w:ind w:firstLine="480" w:firstLineChars="200"/>
        <w:rPr>
          <w:rFonts w:ascii="宋体" w:hAnsi="宋体" w:eastAsia="宋体" w:cs="宋体"/>
          <w:color w:val="auto"/>
          <w:sz w:val="24"/>
        </w:rPr>
      </w:pPr>
      <w:r>
        <w:rPr>
          <w:rFonts w:hint="eastAsia" w:ascii="宋体" w:hAnsi="宋体" w:cs="宋体"/>
          <w:color w:val="auto"/>
          <w:sz w:val="24"/>
          <w:lang w:val="en-US" w:eastAsia="zh-CN"/>
        </w:rPr>
        <w:t>供应商</w:t>
      </w:r>
      <w:r>
        <w:rPr>
          <w:rFonts w:hint="eastAsia" w:ascii="宋体" w:hAnsi="宋体" w:eastAsia="宋体" w:cs="宋体"/>
          <w:color w:val="auto"/>
          <w:sz w:val="24"/>
        </w:rPr>
        <w:t>准备和参加磋商活动发生的费用自理。</w:t>
      </w:r>
    </w:p>
    <w:p>
      <w:pPr>
        <w:keepNext/>
        <w:keepLines/>
        <w:spacing w:line="600" w:lineRule="exact"/>
        <w:ind w:firstLine="482" w:firstLineChars="200"/>
        <w:outlineLvl w:val="3"/>
        <w:rPr>
          <w:rFonts w:ascii="宋体" w:hAnsi="宋体" w:eastAsia="宋体" w:cs="宋体"/>
          <w:b/>
          <w:bCs/>
          <w:color w:val="auto"/>
          <w:sz w:val="24"/>
        </w:rPr>
      </w:pPr>
      <w:r>
        <w:rPr>
          <w:rFonts w:hint="eastAsia" w:ascii="宋体" w:hAnsi="宋体" w:eastAsia="宋体" w:cs="宋体"/>
          <w:b/>
          <w:bCs/>
          <w:color w:val="auto"/>
          <w:sz w:val="24"/>
        </w:rPr>
        <w:t>1.6 保密</w:t>
      </w:r>
    </w:p>
    <w:p>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参与磋商活动的各方应对磋商文件和响应文件中的商业和技术等秘密保密，违者应对由此造成的后果承担法律责任。</w:t>
      </w:r>
    </w:p>
    <w:p>
      <w:pPr>
        <w:keepNext/>
        <w:keepLines/>
        <w:spacing w:line="600" w:lineRule="exact"/>
        <w:ind w:firstLine="482" w:firstLineChars="200"/>
        <w:outlineLvl w:val="3"/>
        <w:rPr>
          <w:rFonts w:ascii="宋体" w:hAnsi="宋体" w:eastAsia="宋体" w:cs="宋体"/>
          <w:b/>
          <w:bCs/>
          <w:color w:val="auto"/>
          <w:sz w:val="24"/>
        </w:rPr>
      </w:pPr>
      <w:r>
        <w:rPr>
          <w:rFonts w:hint="eastAsia" w:ascii="宋体" w:hAnsi="宋体" w:eastAsia="宋体" w:cs="宋体"/>
          <w:b/>
          <w:bCs/>
          <w:color w:val="auto"/>
          <w:sz w:val="24"/>
        </w:rPr>
        <w:t>1.7 语言文字</w:t>
      </w:r>
    </w:p>
    <w:p>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除专用术语外，与采购磋商有关的语言均使用中文。必要时专用术语应附中文注释。</w:t>
      </w:r>
    </w:p>
    <w:p>
      <w:pPr>
        <w:keepNext/>
        <w:keepLines/>
        <w:spacing w:line="600" w:lineRule="exact"/>
        <w:ind w:firstLine="482" w:firstLineChars="200"/>
        <w:outlineLvl w:val="3"/>
        <w:rPr>
          <w:rFonts w:ascii="宋体" w:hAnsi="宋体" w:eastAsia="宋体" w:cs="宋体"/>
          <w:b/>
          <w:bCs/>
          <w:color w:val="auto"/>
          <w:sz w:val="24"/>
        </w:rPr>
      </w:pPr>
      <w:r>
        <w:rPr>
          <w:rFonts w:hint="eastAsia" w:ascii="宋体" w:hAnsi="宋体" w:eastAsia="宋体" w:cs="宋体"/>
          <w:b/>
          <w:bCs/>
          <w:color w:val="auto"/>
          <w:sz w:val="24"/>
        </w:rPr>
        <w:t>1.8 计量单位</w:t>
      </w:r>
    </w:p>
    <w:p>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所有计量均采用中华人民共和国法定计量单位。</w:t>
      </w:r>
    </w:p>
    <w:p>
      <w:pPr>
        <w:keepNext/>
        <w:keepLines/>
        <w:spacing w:line="600" w:lineRule="exact"/>
        <w:ind w:firstLine="482" w:firstLineChars="200"/>
        <w:outlineLvl w:val="3"/>
        <w:rPr>
          <w:rFonts w:ascii="宋体" w:hAnsi="宋体" w:eastAsia="宋体" w:cs="宋体"/>
          <w:b/>
          <w:bCs/>
          <w:color w:val="auto"/>
          <w:sz w:val="24"/>
        </w:rPr>
      </w:pPr>
      <w:r>
        <w:rPr>
          <w:rFonts w:hint="eastAsia" w:ascii="宋体" w:hAnsi="宋体" w:eastAsia="宋体" w:cs="宋体"/>
          <w:b/>
          <w:bCs/>
          <w:color w:val="auto"/>
          <w:sz w:val="24"/>
        </w:rPr>
        <w:t>1.9 踏勘现场</w:t>
      </w:r>
    </w:p>
    <w:p>
      <w:pPr>
        <w:pStyle w:val="44"/>
        <w:tabs>
          <w:tab w:val="left" w:pos="2180"/>
        </w:tabs>
        <w:spacing w:line="360" w:lineRule="auto"/>
        <w:ind w:left="480" w:firstLine="0"/>
        <w:rPr>
          <w:sz w:val="24"/>
          <w:lang w:eastAsia="zh-CN"/>
        </w:rPr>
      </w:pPr>
      <w:r>
        <w:rPr>
          <w:rFonts w:hint="eastAsia"/>
          <w:sz w:val="24"/>
          <w:lang w:eastAsia="zh-CN"/>
        </w:rPr>
        <w:t>1</w:t>
      </w:r>
      <w:r>
        <w:rPr>
          <w:sz w:val="24"/>
          <w:lang w:eastAsia="zh-CN"/>
        </w:rPr>
        <w:t>.9.1  采购人不统一组织供应商踏勘项目现场。</w:t>
      </w:r>
    </w:p>
    <w:p>
      <w:pPr>
        <w:pStyle w:val="44"/>
        <w:tabs>
          <w:tab w:val="left" w:pos="2180"/>
        </w:tabs>
        <w:spacing w:line="360" w:lineRule="auto"/>
        <w:ind w:left="480" w:firstLine="0"/>
        <w:rPr>
          <w:sz w:val="24"/>
          <w:lang w:eastAsia="zh-CN"/>
        </w:rPr>
      </w:pPr>
      <w:r>
        <w:rPr>
          <w:sz w:val="24"/>
          <w:lang w:eastAsia="zh-CN"/>
        </w:rPr>
        <w:t>1.9.2  供应商踏勘现场发生的费用自理。</w:t>
      </w:r>
    </w:p>
    <w:p>
      <w:pPr>
        <w:pStyle w:val="44"/>
        <w:tabs>
          <w:tab w:val="left" w:pos="2180"/>
        </w:tabs>
        <w:spacing w:line="360" w:lineRule="auto"/>
        <w:ind w:left="480" w:firstLine="0"/>
        <w:rPr>
          <w:sz w:val="24"/>
          <w:lang w:eastAsia="zh-CN"/>
        </w:rPr>
      </w:pPr>
      <w:r>
        <w:rPr>
          <w:sz w:val="24"/>
          <w:lang w:eastAsia="zh-CN"/>
        </w:rPr>
        <w:t>1.9.3  供应商自行负责在踏勘现场中所发生的人员伤亡和财产损失。</w:t>
      </w:r>
    </w:p>
    <w:p>
      <w:pPr>
        <w:keepNext/>
        <w:keepLines/>
        <w:spacing w:line="600" w:lineRule="exact"/>
        <w:ind w:firstLine="482" w:firstLineChars="200"/>
        <w:outlineLvl w:val="3"/>
        <w:rPr>
          <w:rFonts w:ascii="宋体" w:hAnsi="宋体" w:eastAsia="宋体" w:cs="宋体"/>
          <w:b/>
          <w:bCs/>
          <w:color w:val="auto"/>
          <w:sz w:val="24"/>
        </w:rPr>
      </w:pPr>
      <w:r>
        <w:rPr>
          <w:rFonts w:hint="eastAsia" w:ascii="宋体" w:hAnsi="宋体" w:eastAsia="宋体" w:cs="宋体"/>
          <w:b/>
          <w:bCs/>
          <w:color w:val="auto"/>
          <w:sz w:val="24"/>
        </w:rPr>
        <w:t>1.10 磋商预备会</w:t>
      </w:r>
    </w:p>
    <w:p>
      <w:pPr>
        <w:spacing w:line="6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rPr>
        <w:t>不</w:t>
      </w:r>
      <w:r>
        <w:rPr>
          <w:rFonts w:hint="eastAsia" w:ascii="宋体" w:hAnsi="宋体" w:cs="宋体"/>
          <w:color w:val="auto"/>
          <w:sz w:val="24"/>
          <w:lang w:val="en-US" w:eastAsia="zh-CN"/>
        </w:rPr>
        <w:t>召开</w:t>
      </w:r>
    </w:p>
    <w:p>
      <w:pPr>
        <w:keepNext/>
        <w:keepLines/>
        <w:spacing w:line="600" w:lineRule="exact"/>
        <w:ind w:firstLine="482" w:firstLineChars="200"/>
        <w:outlineLvl w:val="3"/>
        <w:rPr>
          <w:rFonts w:ascii="宋体" w:hAnsi="宋体" w:eastAsia="宋体" w:cs="宋体"/>
          <w:b/>
          <w:bCs/>
          <w:color w:val="auto"/>
          <w:sz w:val="24"/>
        </w:rPr>
      </w:pPr>
      <w:r>
        <w:rPr>
          <w:rFonts w:hint="eastAsia" w:ascii="宋体" w:hAnsi="宋体" w:eastAsia="宋体" w:cs="宋体"/>
          <w:b/>
          <w:bCs/>
          <w:color w:val="auto"/>
          <w:sz w:val="24"/>
        </w:rPr>
        <w:t>1.11 分包</w:t>
      </w:r>
    </w:p>
    <w:p>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不允许分包。</w:t>
      </w:r>
    </w:p>
    <w:p>
      <w:pPr>
        <w:keepNext/>
        <w:keepLines/>
        <w:spacing w:line="600" w:lineRule="exact"/>
        <w:ind w:firstLine="482" w:firstLineChars="200"/>
        <w:outlineLvl w:val="3"/>
        <w:rPr>
          <w:rFonts w:ascii="宋体" w:hAnsi="宋体" w:eastAsia="宋体" w:cs="宋体"/>
          <w:b/>
          <w:bCs/>
          <w:color w:val="auto"/>
          <w:sz w:val="24"/>
        </w:rPr>
      </w:pPr>
      <w:r>
        <w:rPr>
          <w:rFonts w:hint="eastAsia" w:ascii="宋体" w:hAnsi="宋体" w:eastAsia="宋体" w:cs="宋体"/>
          <w:b/>
          <w:bCs/>
          <w:color w:val="auto"/>
          <w:sz w:val="24"/>
        </w:rPr>
        <w:t>1.12 偏离</w:t>
      </w:r>
    </w:p>
    <w:p>
      <w:pPr>
        <w:spacing w:line="600" w:lineRule="exact"/>
        <w:ind w:firstLine="480" w:firstLineChars="200"/>
        <w:rPr>
          <w:rFonts w:ascii="宋体" w:hAnsi="宋体" w:eastAsia="宋体" w:cs="宋体"/>
          <w:color w:val="auto"/>
          <w:sz w:val="24"/>
        </w:rPr>
      </w:pPr>
      <w:bookmarkStart w:id="28" w:name="_Toc184635072"/>
      <w:bookmarkEnd w:id="28"/>
      <w:r>
        <w:rPr>
          <w:rFonts w:hint="eastAsia" w:ascii="宋体" w:hAnsi="宋体" w:eastAsia="宋体" w:cs="宋体"/>
          <w:color w:val="auto"/>
          <w:sz w:val="24"/>
        </w:rPr>
        <w:t>不允许偏离</w:t>
      </w:r>
    </w:p>
    <w:p>
      <w:pPr>
        <w:spacing w:line="600" w:lineRule="exact"/>
        <w:ind w:firstLine="482" w:firstLineChars="200"/>
        <w:rPr>
          <w:rFonts w:hint="eastAsia" w:ascii="宋体" w:hAnsi="宋体" w:eastAsia="宋体" w:cs="宋体"/>
          <w:b/>
          <w:bCs/>
          <w:color w:val="auto"/>
          <w:kern w:val="0"/>
          <w:sz w:val="24"/>
        </w:rPr>
      </w:pPr>
      <w:bookmarkStart w:id="29" w:name="_Toc466566784"/>
      <w:bookmarkEnd w:id="29"/>
      <w:bookmarkStart w:id="30" w:name="_Toc20173"/>
      <w:bookmarkStart w:id="31" w:name="_Toc466566695"/>
      <w:bookmarkStart w:id="32" w:name="_Toc23678"/>
      <w:bookmarkStart w:id="33" w:name="_Toc17642"/>
      <w:bookmarkStart w:id="34" w:name="_Toc17517"/>
      <w:r>
        <w:rPr>
          <w:rFonts w:hint="eastAsia" w:ascii="宋体" w:hAnsi="宋体" w:eastAsia="宋体" w:cs="宋体"/>
          <w:b/>
          <w:bCs/>
          <w:color w:val="auto"/>
          <w:kern w:val="0"/>
          <w:sz w:val="24"/>
          <w:lang w:val="en-US" w:eastAsia="zh-CN"/>
        </w:rPr>
        <w:t>2.</w:t>
      </w:r>
      <w:r>
        <w:rPr>
          <w:rFonts w:hint="eastAsia" w:ascii="宋体" w:hAnsi="宋体" w:eastAsia="宋体" w:cs="宋体"/>
          <w:b/>
          <w:bCs/>
          <w:color w:val="auto"/>
          <w:kern w:val="0"/>
          <w:sz w:val="24"/>
        </w:rPr>
        <w:t>竞争性磋商文件</w:t>
      </w:r>
      <w:bookmarkEnd w:id="30"/>
      <w:bookmarkEnd w:id="31"/>
      <w:bookmarkEnd w:id="32"/>
      <w:bookmarkEnd w:id="33"/>
      <w:bookmarkEnd w:id="34"/>
    </w:p>
    <w:p>
      <w:pPr>
        <w:spacing w:line="600" w:lineRule="exact"/>
        <w:ind w:firstLine="482" w:firstLineChars="200"/>
        <w:rPr>
          <w:rFonts w:hint="eastAsia" w:ascii="宋体" w:hAnsi="宋体" w:eastAsia="宋体" w:cs="宋体"/>
          <w:b/>
          <w:bCs/>
          <w:color w:val="auto"/>
          <w:kern w:val="0"/>
          <w:sz w:val="24"/>
        </w:rPr>
      </w:pPr>
      <w:r>
        <w:rPr>
          <w:rFonts w:hint="eastAsia" w:ascii="宋体" w:hAnsi="宋体" w:eastAsia="宋体" w:cs="宋体"/>
          <w:b/>
          <w:bCs/>
          <w:color w:val="auto"/>
          <w:kern w:val="0"/>
          <w:sz w:val="24"/>
        </w:rPr>
        <w:t>2.1 竞争性磋商文件的组成</w:t>
      </w:r>
    </w:p>
    <w:p>
      <w:pPr>
        <w:spacing w:line="60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本竞争性磋商文件包括：</w:t>
      </w:r>
    </w:p>
    <w:p>
      <w:pPr>
        <w:spacing w:line="60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eastAsia="宋体" w:cs="宋体"/>
          <w:color w:val="000000" w:themeColor="text1"/>
          <w:sz w:val="24"/>
          <w:lang w:val="en-US" w:eastAsia="zh-CN"/>
          <w14:textFill>
            <w14:solidFill>
              <w14:schemeClr w14:val="tx1"/>
            </w14:solidFill>
          </w14:textFill>
        </w:rPr>
        <w:t>竞争性磋商公告</w:t>
      </w:r>
    </w:p>
    <w:p>
      <w:pPr>
        <w:spacing w:line="60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eastAsia="宋体" w:cs="宋体"/>
          <w:color w:val="000000" w:themeColor="text1"/>
          <w:sz w:val="24"/>
          <w:lang w:val="en-US" w:eastAsia="zh-CN"/>
          <w14:textFill>
            <w14:solidFill>
              <w14:schemeClr w14:val="tx1"/>
            </w14:solidFill>
          </w14:textFill>
        </w:rPr>
        <w:t>供应商须知</w:t>
      </w:r>
    </w:p>
    <w:p>
      <w:pPr>
        <w:spacing w:line="60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eastAsia="宋体" w:cs="宋体"/>
          <w:color w:val="000000" w:themeColor="text1"/>
          <w:sz w:val="24"/>
          <w:lang w:val="en-US" w:eastAsia="zh-CN"/>
          <w14:textFill>
            <w14:solidFill>
              <w14:schemeClr w14:val="tx1"/>
            </w14:solidFill>
          </w14:textFill>
        </w:rPr>
        <w:t>评审标准（综合评分法）</w:t>
      </w:r>
    </w:p>
    <w:p>
      <w:pPr>
        <w:spacing w:line="60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eastAsia="宋体" w:cs="宋体"/>
          <w:color w:val="000000" w:themeColor="text1"/>
          <w:sz w:val="24"/>
          <w:lang w:val="en-US" w:eastAsia="zh-CN"/>
          <w14:textFill>
            <w14:solidFill>
              <w14:schemeClr w14:val="tx1"/>
            </w14:solidFill>
          </w14:textFill>
        </w:rPr>
        <w:t>合同条款及格式</w:t>
      </w:r>
    </w:p>
    <w:p>
      <w:pPr>
        <w:spacing w:line="60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eastAsia="宋体" w:cs="宋体"/>
          <w:color w:val="000000" w:themeColor="text1"/>
          <w:sz w:val="24"/>
          <w:lang w:val="en-US" w:eastAsia="zh-CN"/>
          <w14:textFill>
            <w14:solidFill>
              <w14:schemeClr w14:val="tx1"/>
            </w14:solidFill>
          </w14:textFill>
        </w:rPr>
        <w:t>服务内容</w:t>
      </w:r>
    </w:p>
    <w:p>
      <w:pPr>
        <w:spacing w:line="60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eastAsia="宋体" w:cs="宋体"/>
          <w:color w:val="000000" w:themeColor="text1"/>
          <w:sz w:val="24"/>
          <w:lang w:val="en-US" w:eastAsia="zh-CN"/>
          <w14:textFill>
            <w14:solidFill>
              <w14:schemeClr w14:val="tx1"/>
            </w14:solidFill>
          </w14:textFill>
        </w:rPr>
        <w:t>响应文件格式</w:t>
      </w:r>
    </w:p>
    <w:p>
      <w:pPr>
        <w:spacing w:line="60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对竞争性磋商文件所作的澄清、修改，构成竞争性文件的组成部分。</w:t>
      </w:r>
    </w:p>
    <w:p>
      <w:pPr>
        <w:keepNext/>
        <w:keepLines/>
        <w:spacing w:line="600" w:lineRule="exact"/>
        <w:ind w:firstLine="482" w:firstLineChars="200"/>
        <w:outlineLvl w:val="3"/>
        <w:rPr>
          <w:rFonts w:hint="default" w:ascii="宋体" w:hAnsi="宋体" w:eastAsia="宋体" w:cs="宋体"/>
          <w:b/>
          <w:bCs/>
          <w:color w:val="auto"/>
          <w:sz w:val="24"/>
          <w:lang w:val="en-US" w:eastAsia="zh-CN"/>
        </w:rPr>
      </w:pPr>
      <w:r>
        <w:rPr>
          <w:rFonts w:hint="eastAsia" w:ascii="宋体" w:hAnsi="宋体" w:eastAsia="宋体" w:cs="宋体"/>
          <w:b/>
          <w:bCs/>
          <w:color w:val="auto"/>
          <w:sz w:val="24"/>
        </w:rPr>
        <w:t>2.2 竞争性磋商文件的澄清</w:t>
      </w:r>
      <w:r>
        <w:rPr>
          <w:rFonts w:hint="eastAsia" w:ascii="宋体" w:hAnsi="宋体" w:cs="宋体"/>
          <w:b/>
          <w:bCs/>
          <w:color w:val="auto"/>
          <w:sz w:val="24"/>
          <w:lang w:val="en-US" w:eastAsia="zh-CN"/>
        </w:rPr>
        <w:t>及修改</w:t>
      </w:r>
    </w:p>
    <w:p>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2.2.1</w:t>
      </w:r>
      <w:r>
        <w:rPr>
          <w:rFonts w:hint="eastAsia" w:ascii="宋体" w:hAnsi="宋体" w:cs="宋体"/>
          <w:color w:val="auto"/>
          <w:sz w:val="24"/>
          <w:lang w:eastAsia="zh-CN"/>
        </w:rPr>
        <w:t>供应商</w:t>
      </w:r>
      <w:r>
        <w:rPr>
          <w:rFonts w:hint="eastAsia" w:ascii="宋体" w:hAnsi="宋体" w:eastAsia="宋体" w:cs="宋体"/>
          <w:color w:val="auto"/>
          <w:sz w:val="24"/>
        </w:rPr>
        <w:t>应仔细阅读和检查竞争性磋商文件的全部内容。如发现内容不完整或附件不全，应及时向采购人提出，以便补齐。如有疑问，应在</w:t>
      </w:r>
      <w:r>
        <w:rPr>
          <w:rFonts w:hint="eastAsia" w:ascii="宋体" w:hAnsi="宋体" w:cs="宋体"/>
          <w:color w:val="auto"/>
          <w:sz w:val="24"/>
          <w:lang w:eastAsia="zh-CN"/>
        </w:rPr>
        <w:t>供应商</w:t>
      </w:r>
      <w:r>
        <w:rPr>
          <w:rFonts w:hint="eastAsia" w:ascii="宋体" w:hAnsi="宋体" w:eastAsia="宋体" w:cs="宋体"/>
          <w:color w:val="auto"/>
          <w:sz w:val="24"/>
        </w:rPr>
        <w:t>须知前附表规定的时间在三门峡市公共资源交易系统中提出质询，要求采购人对竞争性磋商文件予以澄清。</w:t>
      </w:r>
      <w:r>
        <w:rPr>
          <w:rFonts w:hint="eastAsia" w:ascii="宋体" w:hAnsi="宋体" w:eastAsia="宋体" w:cs="宋体"/>
          <w:color w:val="auto"/>
          <w:sz w:val="24"/>
        </w:rPr>
        <w:br w:type="textWrapping"/>
      </w:r>
      <w:r>
        <w:rPr>
          <w:rFonts w:hint="eastAsia" w:ascii="宋体" w:hAnsi="宋体" w:eastAsia="宋体" w:cs="宋体"/>
          <w:color w:val="auto"/>
          <w:sz w:val="24"/>
        </w:rPr>
        <w:t xml:space="preserve">    2.2.2竞争性磋商文件的澄清以澄清回复的方式在三门峡市公共资源交易系统中回复报名完成</w:t>
      </w:r>
      <w:r>
        <w:rPr>
          <w:rFonts w:hint="eastAsia" w:ascii="宋体" w:hAnsi="宋体" w:cs="宋体"/>
          <w:color w:val="auto"/>
          <w:sz w:val="24"/>
          <w:lang w:eastAsia="zh-CN"/>
        </w:rPr>
        <w:t>供应商</w:t>
      </w:r>
      <w:r>
        <w:rPr>
          <w:rFonts w:hint="eastAsia" w:ascii="宋体" w:hAnsi="宋体" w:eastAsia="宋体" w:cs="宋体"/>
          <w:color w:val="auto"/>
          <w:sz w:val="24"/>
        </w:rPr>
        <w:t xml:space="preserve">，但不指明澄清问题的来源。澄清竞争性磋商文件实质性内容且影响响应文件编制的，将相应延长磋商截止时间。 </w:t>
      </w:r>
    </w:p>
    <w:p>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 xml:space="preserve">2.2.3 </w:t>
      </w:r>
      <w:r>
        <w:rPr>
          <w:rFonts w:hint="eastAsia" w:ascii="宋体" w:hAnsi="宋体" w:cs="宋体"/>
          <w:color w:val="auto"/>
          <w:sz w:val="24"/>
          <w:lang w:eastAsia="zh-CN"/>
        </w:rPr>
        <w:t>供应商</w:t>
      </w:r>
      <w:r>
        <w:rPr>
          <w:rFonts w:hint="eastAsia" w:ascii="宋体" w:hAnsi="宋体" w:eastAsia="宋体" w:cs="宋体"/>
          <w:color w:val="auto"/>
          <w:sz w:val="24"/>
        </w:rPr>
        <w:t>应自行查看澄清信息。</w:t>
      </w:r>
    </w:p>
    <w:p>
      <w:pPr>
        <w:spacing w:line="600" w:lineRule="exact"/>
        <w:ind w:firstLine="482" w:firstLineChars="200"/>
        <w:rPr>
          <w:rFonts w:ascii="宋体" w:hAnsi="宋体" w:eastAsia="宋体" w:cs="宋体"/>
          <w:b/>
          <w:bCs/>
          <w:color w:val="auto"/>
          <w:sz w:val="24"/>
        </w:rPr>
      </w:pPr>
      <w:r>
        <w:rPr>
          <w:rFonts w:hint="eastAsia" w:ascii="宋体" w:hAnsi="宋体" w:eastAsia="宋体" w:cs="宋体"/>
          <w:b/>
          <w:bCs/>
          <w:color w:val="auto"/>
          <w:sz w:val="24"/>
        </w:rPr>
        <w:t>2.3 竞争性磋商文件的修改</w:t>
      </w:r>
    </w:p>
    <w:p>
      <w:pPr>
        <w:spacing w:line="600" w:lineRule="exact"/>
        <w:ind w:firstLine="480" w:firstLineChars="200"/>
        <w:outlineLvl w:val="0"/>
        <w:rPr>
          <w:rFonts w:hint="eastAsia" w:ascii="宋体" w:hAnsi="宋体" w:eastAsia="宋体" w:cs="宋体"/>
          <w:b w:val="0"/>
          <w:bCs w:val="0"/>
          <w:color w:val="auto"/>
          <w:kern w:val="0"/>
          <w:sz w:val="24"/>
        </w:rPr>
      </w:pPr>
      <w:bookmarkStart w:id="35" w:name="_Toc3386"/>
      <w:bookmarkStart w:id="36" w:name="_Toc1236"/>
      <w:r>
        <w:rPr>
          <w:rFonts w:hint="eastAsia" w:ascii="宋体" w:hAnsi="宋体" w:eastAsia="宋体" w:cs="宋体"/>
          <w:b w:val="0"/>
          <w:bCs w:val="0"/>
          <w:color w:val="auto"/>
          <w:kern w:val="0"/>
          <w:sz w:val="24"/>
        </w:rPr>
        <w:t>2.3.1 在磋商截止时间5</w:t>
      </w:r>
      <w:r>
        <w:rPr>
          <w:rFonts w:hint="eastAsia" w:ascii="宋体" w:hAnsi="宋体" w:cs="宋体"/>
          <w:b w:val="0"/>
          <w:bCs w:val="0"/>
          <w:color w:val="auto"/>
          <w:kern w:val="0"/>
          <w:sz w:val="24"/>
          <w:lang w:val="en-US" w:eastAsia="zh-CN"/>
        </w:rPr>
        <w:t>日</w:t>
      </w:r>
      <w:r>
        <w:rPr>
          <w:rFonts w:hint="eastAsia" w:ascii="宋体" w:hAnsi="宋体" w:eastAsia="宋体" w:cs="宋体"/>
          <w:b w:val="0"/>
          <w:bCs w:val="0"/>
          <w:color w:val="auto"/>
          <w:kern w:val="0"/>
          <w:sz w:val="24"/>
        </w:rPr>
        <w:t>前，采购人可以修改竞争性磋商文件，并以变更公告形式通知所有已购买竞争性磋商文件的</w:t>
      </w:r>
      <w:r>
        <w:rPr>
          <w:rFonts w:hint="eastAsia" w:ascii="宋体" w:hAnsi="宋体" w:cs="宋体"/>
          <w:b w:val="0"/>
          <w:bCs w:val="0"/>
          <w:color w:val="auto"/>
          <w:kern w:val="0"/>
          <w:sz w:val="24"/>
          <w:lang w:eastAsia="zh-CN"/>
        </w:rPr>
        <w:t>供应商</w:t>
      </w:r>
      <w:r>
        <w:rPr>
          <w:rFonts w:hint="eastAsia" w:ascii="宋体" w:hAnsi="宋体" w:eastAsia="宋体" w:cs="宋体"/>
          <w:b w:val="0"/>
          <w:bCs w:val="0"/>
          <w:color w:val="auto"/>
          <w:kern w:val="0"/>
          <w:sz w:val="24"/>
        </w:rPr>
        <w:t>。</w:t>
      </w:r>
      <w:bookmarkEnd w:id="35"/>
    </w:p>
    <w:p>
      <w:pPr>
        <w:spacing w:line="600" w:lineRule="exact"/>
        <w:ind w:firstLine="480" w:firstLineChars="200"/>
        <w:outlineLvl w:val="0"/>
        <w:rPr>
          <w:rFonts w:hint="eastAsia" w:ascii="宋体" w:hAnsi="宋体" w:eastAsia="宋体" w:cs="宋体"/>
          <w:b w:val="0"/>
          <w:bCs w:val="0"/>
          <w:color w:val="auto"/>
          <w:kern w:val="0"/>
          <w:sz w:val="24"/>
        </w:rPr>
      </w:pPr>
      <w:bookmarkStart w:id="37" w:name="_Toc32140"/>
      <w:r>
        <w:rPr>
          <w:rFonts w:hint="eastAsia" w:ascii="宋体" w:hAnsi="宋体" w:eastAsia="宋体" w:cs="宋体"/>
          <w:b w:val="0"/>
          <w:bCs w:val="0"/>
          <w:color w:val="auto"/>
          <w:kern w:val="0"/>
          <w:sz w:val="24"/>
        </w:rPr>
        <w:t>2.3.2 如果修改竞争性磋商文件，会在三门峡市公共资源交易中心网发布变更公告，不再发纸质的变更信息。提醒</w:t>
      </w:r>
      <w:r>
        <w:rPr>
          <w:rFonts w:hint="eastAsia" w:ascii="宋体" w:hAnsi="宋体" w:cs="宋体"/>
          <w:b w:val="0"/>
          <w:bCs w:val="0"/>
          <w:color w:val="auto"/>
          <w:kern w:val="0"/>
          <w:sz w:val="24"/>
          <w:lang w:eastAsia="zh-CN"/>
        </w:rPr>
        <w:t>供应商</w:t>
      </w:r>
      <w:r>
        <w:rPr>
          <w:rFonts w:hint="eastAsia" w:ascii="宋体" w:hAnsi="宋体" w:eastAsia="宋体" w:cs="宋体"/>
          <w:b w:val="0"/>
          <w:bCs w:val="0"/>
          <w:color w:val="auto"/>
          <w:kern w:val="0"/>
          <w:sz w:val="24"/>
        </w:rPr>
        <w:t>随时注意网上发布的信息。如因磋商</w:t>
      </w:r>
      <w:r>
        <w:rPr>
          <w:rFonts w:hint="eastAsia" w:ascii="宋体" w:hAnsi="宋体" w:cs="宋体"/>
          <w:b w:val="0"/>
          <w:bCs w:val="0"/>
          <w:color w:val="auto"/>
          <w:kern w:val="0"/>
          <w:sz w:val="24"/>
          <w:lang w:eastAsia="zh-CN"/>
        </w:rPr>
        <w:t>供应商</w:t>
      </w:r>
      <w:r>
        <w:rPr>
          <w:rFonts w:hint="eastAsia" w:ascii="宋体" w:hAnsi="宋体" w:eastAsia="宋体" w:cs="宋体"/>
          <w:b w:val="0"/>
          <w:bCs w:val="0"/>
          <w:color w:val="auto"/>
          <w:kern w:val="0"/>
          <w:sz w:val="24"/>
        </w:rPr>
        <w:t>自身原因未看到信息，因此造成的一切后果由</w:t>
      </w:r>
      <w:r>
        <w:rPr>
          <w:rFonts w:hint="eastAsia" w:ascii="宋体" w:hAnsi="宋体" w:cs="宋体"/>
          <w:b w:val="0"/>
          <w:bCs w:val="0"/>
          <w:color w:val="auto"/>
          <w:kern w:val="0"/>
          <w:sz w:val="24"/>
          <w:lang w:eastAsia="zh-CN"/>
        </w:rPr>
        <w:t>供应商</w:t>
      </w:r>
      <w:r>
        <w:rPr>
          <w:rFonts w:hint="eastAsia" w:ascii="宋体" w:hAnsi="宋体" w:eastAsia="宋体" w:cs="宋体"/>
          <w:b w:val="0"/>
          <w:bCs w:val="0"/>
          <w:color w:val="auto"/>
          <w:kern w:val="0"/>
          <w:sz w:val="24"/>
        </w:rPr>
        <w:t>自行承担。</w:t>
      </w:r>
      <w:bookmarkEnd w:id="37"/>
    </w:p>
    <w:p>
      <w:pPr>
        <w:spacing w:line="600" w:lineRule="exact"/>
        <w:ind w:firstLine="480" w:firstLineChars="200"/>
        <w:outlineLvl w:val="0"/>
        <w:rPr>
          <w:rFonts w:hint="eastAsia" w:ascii="宋体" w:hAnsi="宋体" w:eastAsia="宋体" w:cs="宋体"/>
          <w:b w:val="0"/>
          <w:bCs w:val="0"/>
          <w:color w:val="auto"/>
          <w:kern w:val="0"/>
          <w:sz w:val="24"/>
        </w:rPr>
      </w:pPr>
      <w:bookmarkStart w:id="38" w:name="_Toc432"/>
      <w:r>
        <w:rPr>
          <w:rFonts w:hint="eastAsia" w:ascii="宋体" w:hAnsi="宋体" w:eastAsia="宋体" w:cs="宋体"/>
          <w:b w:val="0"/>
          <w:bCs w:val="0"/>
          <w:color w:val="auto"/>
          <w:kern w:val="0"/>
          <w:sz w:val="24"/>
        </w:rPr>
        <w:t>2.3.3为使</w:t>
      </w:r>
      <w:r>
        <w:rPr>
          <w:rFonts w:hint="eastAsia" w:ascii="宋体" w:hAnsi="宋体" w:cs="宋体"/>
          <w:b w:val="0"/>
          <w:bCs w:val="0"/>
          <w:color w:val="auto"/>
          <w:kern w:val="0"/>
          <w:sz w:val="24"/>
          <w:lang w:eastAsia="zh-CN"/>
        </w:rPr>
        <w:t>供应商</w:t>
      </w:r>
      <w:r>
        <w:rPr>
          <w:rFonts w:hint="eastAsia" w:ascii="宋体" w:hAnsi="宋体" w:eastAsia="宋体" w:cs="宋体"/>
          <w:b w:val="0"/>
          <w:bCs w:val="0"/>
          <w:color w:val="auto"/>
          <w:kern w:val="0"/>
          <w:sz w:val="24"/>
        </w:rPr>
        <w:t>在准备响应文件时有合理的时间考虑竞争性磋商文件的修改，招标代理机构可酌情推迟磋商截止时间和磋商时间，但应当至少在磋商截止时间</w:t>
      </w:r>
      <w:r>
        <w:rPr>
          <w:rFonts w:hint="eastAsia" w:ascii="宋体" w:hAnsi="宋体" w:eastAsia="宋体" w:cs="宋体"/>
          <w:b w:val="0"/>
          <w:bCs w:val="0"/>
          <w:color w:val="auto"/>
          <w:kern w:val="0"/>
          <w:sz w:val="24"/>
          <w:lang w:val="en-US" w:eastAsia="zh-CN"/>
        </w:rPr>
        <w:t>5日</w:t>
      </w:r>
      <w:r>
        <w:rPr>
          <w:rFonts w:hint="eastAsia" w:ascii="宋体" w:hAnsi="宋体" w:eastAsia="宋体" w:cs="宋体"/>
          <w:b w:val="0"/>
          <w:bCs w:val="0"/>
          <w:color w:val="auto"/>
          <w:kern w:val="0"/>
          <w:sz w:val="24"/>
        </w:rPr>
        <w:t>前将变更时间以发布变更公告的形式通知所有</w:t>
      </w:r>
      <w:r>
        <w:rPr>
          <w:rFonts w:hint="eastAsia" w:ascii="宋体" w:hAnsi="宋体" w:cs="宋体"/>
          <w:b w:val="0"/>
          <w:bCs w:val="0"/>
          <w:color w:val="auto"/>
          <w:kern w:val="0"/>
          <w:sz w:val="24"/>
          <w:lang w:eastAsia="zh-CN"/>
        </w:rPr>
        <w:t>供应商</w:t>
      </w:r>
      <w:r>
        <w:rPr>
          <w:rFonts w:hint="eastAsia" w:ascii="宋体" w:hAnsi="宋体" w:eastAsia="宋体" w:cs="宋体"/>
          <w:b w:val="0"/>
          <w:bCs w:val="0"/>
          <w:color w:val="auto"/>
          <w:kern w:val="0"/>
          <w:sz w:val="24"/>
        </w:rPr>
        <w:t>。该修改内容为竞争性磋商文件的组成部分。在此情况下，采购人和</w:t>
      </w:r>
      <w:r>
        <w:rPr>
          <w:rFonts w:hint="eastAsia" w:ascii="宋体" w:hAnsi="宋体" w:cs="宋体"/>
          <w:b w:val="0"/>
          <w:bCs w:val="0"/>
          <w:color w:val="auto"/>
          <w:kern w:val="0"/>
          <w:sz w:val="24"/>
          <w:lang w:eastAsia="zh-CN"/>
        </w:rPr>
        <w:t>供应商</w:t>
      </w:r>
      <w:r>
        <w:rPr>
          <w:rFonts w:hint="eastAsia" w:ascii="宋体" w:hAnsi="宋体" w:eastAsia="宋体" w:cs="宋体"/>
          <w:b w:val="0"/>
          <w:bCs w:val="0"/>
          <w:color w:val="auto"/>
          <w:kern w:val="0"/>
          <w:sz w:val="24"/>
        </w:rPr>
        <w:t>受磋商截止期制约的所有权利和义务均应延长至新的截止日期。</w:t>
      </w:r>
      <w:bookmarkEnd w:id="38"/>
      <w:bookmarkStart w:id="39" w:name="_Toc184635073"/>
      <w:bookmarkEnd w:id="39"/>
    </w:p>
    <w:p>
      <w:pPr>
        <w:spacing w:line="600" w:lineRule="exact"/>
        <w:ind w:firstLine="482" w:firstLineChars="200"/>
        <w:outlineLvl w:val="0"/>
        <w:rPr>
          <w:rFonts w:ascii="宋体" w:hAnsi="宋体" w:eastAsia="宋体" w:cs="宋体"/>
          <w:b/>
          <w:bCs/>
          <w:color w:val="auto"/>
          <w:kern w:val="0"/>
          <w:sz w:val="24"/>
        </w:rPr>
      </w:pPr>
      <w:bookmarkStart w:id="40" w:name="_Toc13351"/>
      <w:r>
        <w:rPr>
          <w:rFonts w:hint="eastAsia" w:ascii="宋体" w:hAnsi="宋体" w:eastAsia="宋体" w:cs="宋体"/>
          <w:b/>
          <w:bCs/>
          <w:color w:val="auto"/>
          <w:kern w:val="0"/>
          <w:sz w:val="24"/>
        </w:rPr>
        <w:t>3．响应文件</w:t>
      </w:r>
      <w:bookmarkEnd w:id="36"/>
      <w:bookmarkEnd w:id="40"/>
    </w:p>
    <w:p>
      <w:pPr>
        <w:spacing w:line="600" w:lineRule="exact"/>
        <w:ind w:firstLine="482" w:firstLineChars="200"/>
        <w:rPr>
          <w:rFonts w:ascii="宋体" w:hAnsi="宋体" w:eastAsia="宋体" w:cs="宋体"/>
          <w:b/>
          <w:bCs/>
          <w:color w:val="auto"/>
          <w:kern w:val="0"/>
          <w:sz w:val="24"/>
        </w:rPr>
      </w:pPr>
      <w:r>
        <w:rPr>
          <w:rFonts w:hint="eastAsia" w:ascii="宋体" w:hAnsi="宋体" w:eastAsia="宋体" w:cs="宋体"/>
          <w:b/>
          <w:bCs/>
          <w:color w:val="auto"/>
          <w:kern w:val="0"/>
          <w:sz w:val="24"/>
        </w:rPr>
        <w:t>3.1 响应文件的组成</w:t>
      </w:r>
    </w:p>
    <w:p>
      <w:pPr>
        <w:keepNext/>
        <w:keepLines/>
        <w:spacing w:line="600" w:lineRule="exact"/>
        <w:ind w:firstLine="482" w:firstLineChars="200"/>
        <w:outlineLvl w:val="3"/>
        <w:rPr>
          <w:rFonts w:ascii="宋体" w:hAnsi="宋体" w:eastAsia="宋体" w:cs="宋体"/>
          <w:b/>
          <w:bCs/>
          <w:color w:val="auto"/>
          <w:sz w:val="24"/>
        </w:rPr>
      </w:pPr>
      <w:r>
        <w:rPr>
          <w:rFonts w:hint="eastAsia" w:ascii="宋体" w:hAnsi="宋体" w:eastAsia="宋体" w:cs="宋体"/>
          <w:b/>
          <w:bCs/>
          <w:color w:val="auto"/>
          <w:sz w:val="24"/>
        </w:rPr>
        <w:t>3.1.1 响应文件应包括下列内容：</w:t>
      </w:r>
    </w:p>
    <w:p>
      <w:pPr>
        <w:autoSpaceDE w:val="0"/>
        <w:autoSpaceDN w:val="0"/>
        <w:adjustRightInd w:val="0"/>
        <w:spacing w:line="600" w:lineRule="exact"/>
        <w:ind w:firstLine="540" w:firstLineChars="225"/>
        <w:jc w:val="left"/>
        <w:rPr>
          <w:rFonts w:hint="eastAsia" w:ascii="宋体" w:hAnsi="宋体" w:eastAsia="宋体" w:cs="宋体"/>
          <w:b w:val="0"/>
          <w:bCs w:val="0"/>
          <w:color w:val="auto"/>
          <w:kern w:val="0"/>
          <w:sz w:val="24"/>
          <w:lang w:eastAsia="zh-CN"/>
        </w:rPr>
      </w:pPr>
      <w:r>
        <w:rPr>
          <w:rFonts w:hint="eastAsia" w:ascii="宋体" w:hAnsi="宋体" w:cs="宋体"/>
          <w:b w:val="0"/>
          <w:bCs w:val="0"/>
          <w:color w:val="auto"/>
          <w:kern w:val="0"/>
          <w:sz w:val="24"/>
          <w:lang w:eastAsia="zh-CN"/>
        </w:rPr>
        <w:t>（</w:t>
      </w:r>
      <w:r>
        <w:rPr>
          <w:rFonts w:hint="eastAsia" w:ascii="宋体" w:hAnsi="宋体" w:cs="宋体"/>
          <w:b w:val="0"/>
          <w:bCs w:val="0"/>
          <w:color w:val="auto"/>
          <w:kern w:val="0"/>
          <w:sz w:val="24"/>
          <w:lang w:val="en-US" w:eastAsia="zh-CN"/>
        </w:rPr>
        <w:t>1</w:t>
      </w:r>
      <w:r>
        <w:rPr>
          <w:rFonts w:hint="eastAsia" w:ascii="宋体" w:hAnsi="宋体" w:cs="宋体"/>
          <w:b w:val="0"/>
          <w:bCs w:val="0"/>
          <w:color w:val="auto"/>
          <w:kern w:val="0"/>
          <w:sz w:val="24"/>
          <w:lang w:eastAsia="zh-CN"/>
        </w:rPr>
        <w:t>）</w:t>
      </w:r>
      <w:r>
        <w:rPr>
          <w:rFonts w:hint="eastAsia" w:ascii="宋体" w:hAnsi="宋体" w:eastAsia="宋体" w:cs="宋体"/>
          <w:b w:val="0"/>
          <w:bCs w:val="0"/>
          <w:color w:val="auto"/>
          <w:kern w:val="0"/>
          <w:sz w:val="24"/>
          <w:lang w:eastAsia="zh-CN"/>
        </w:rPr>
        <w:t>、磋商函及磋商函附录</w:t>
      </w:r>
    </w:p>
    <w:p>
      <w:pPr>
        <w:autoSpaceDE w:val="0"/>
        <w:autoSpaceDN w:val="0"/>
        <w:adjustRightInd w:val="0"/>
        <w:spacing w:line="600" w:lineRule="exact"/>
        <w:ind w:firstLine="540" w:firstLineChars="225"/>
        <w:jc w:val="left"/>
        <w:rPr>
          <w:rFonts w:hint="eastAsia" w:ascii="宋体" w:hAnsi="宋体" w:eastAsia="宋体" w:cs="宋体"/>
          <w:b w:val="0"/>
          <w:bCs w:val="0"/>
          <w:color w:val="auto"/>
          <w:kern w:val="0"/>
          <w:sz w:val="24"/>
          <w:lang w:eastAsia="zh-CN"/>
        </w:rPr>
      </w:pPr>
      <w:r>
        <w:rPr>
          <w:rFonts w:hint="eastAsia" w:ascii="宋体" w:hAnsi="宋体" w:cs="宋体"/>
          <w:b w:val="0"/>
          <w:bCs w:val="0"/>
          <w:color w:val="auto"/>
          <w:kern w:val="0"/>
          <w:sz w:val="24"/>
          <w:lang w:eastAsia="zh-CN"/>
        </w:rPr>
        <w:t>（</w:t>
      </w:r>
      <w:r>
        <w:rPr>
          <w:rFonts w:hint="eastAsia" w:ascii="宋体" w:hAnsi="宋体" w:cs="宋体"/>
          <w:b w:val="0"/>
          <w:bCs w:val="0"/>
          <w:color w:val="auto"/>
          <w:kern w:val="0"/>
          <w:sz w:val="24"/>
          <w:lang w:val="en-US" w:eastAsia="zh-CN"/>
        </w:rPr>
        <w:t>2</w:t>
      </w:r>
      <w:r>
        <w:rPr>
          <w:rFonts w:hint="eastAsia" w:ascii="宋体" w:hAnsi="宋体" w:cs="宋体"/>
          <w:b w:val="0"/>
          <w:bCs w:val="0"/>
          <w:color w:val="auto"/>
          <w:kern w:val="0"/>
          <w:sz w:val="24"/>
          <w:lang w:eastAsia="zh-CN"/>
        </w:rPr>
        <w:t>）</w:t>
      </w:r>
      <w:r>
        <w:rPr>
          <w:rFonts w:hint="eastAsia" w:ascii="宋体" w:hAnsi="宋体" w:eastAsia="宋体" w:cs="宋体"/>
          <w:b w:val="0"/>
          <w:bCs w:val="0"/>
          <w:color w:val="auto"/>
          <w:kern w:val="0"/>
          <w:sz w:val="24"/>
          <w:lang w:eastAsia="zh-CN"/>
        </w:rPr>
        <w:t>、法定代表人身份证明书</w:t>
      </w:r>
    </w:p>
    <w:p>
      <w:pPr>
        <w:autoSpaceDE w:val="0"/>
        <w:autoSpaceDN w:val="0"/>
        <w:adjustRightInd w:val="0"/>
        <w:spacing w:line="600" w:lineRule="exact"/>
        <w:ind w:firstLine="540" w:firstLineChars="225"/>
        <w:jc w:val="left"/>
        <w:rPr>
          <w:rFonts w:hint="eastAsia" w:ascii="宋体" w:hAnsi="宋体" w:eastAsia="宋体" w:cs="宋体"/>
          <w:b w:val="0"/>
          <w:bCs w:val="0"/>
          <w:color w:val="auto"/>
          <w:kern w:val="0"/>
          <w:sz w:val="24"/>
          <w:lang w:eastAsia="zh-CN"/>
        </w:rPr>
      </w:pPr>
      <w:r>
        <w:rPr>
          <w:rFonts w:hint="eastAsia" w:ascii="宋体" w:hAnsi="宋体" w:cs="宋体"/>
          <w:b w:val="0"/>
          <w:bCs w:val="0"/>
          <w:color w:val="auto"/>
          <w:kern w:val="0"/>
          <w:sz w:val="24"/>
          <w:lang w:eastAsia="zh-CN"/>
        </w:rPr>
        <w:t>（</w:t>
      </w:r>
      <w:r>
        <w:rPr>
          <w:rFonts w:hint="eastAsia" w:ascii="宋体" w:hAnsi="宋体" w:cs="宋体"/>
          <w:b w:val="0"/>
          <w:bCs w:val="0"/>
          <w:color w:val="auto"/>
          <w:kern w:val="0"/>
          <w:sz w:val="24"/>
          <w:lang w:val="en-US" w:eastAsia="zh-CN"/>
        </w:rPr>
        <w:t>3</w:t>
      </w:r>
      <w:r>
        <w:rPr>
          <w:rFonts w:hint="eastAsia" w:ascii="宋体" w:hAnsi="宋体" w:cs="宋体"/>
          <w:b w:val="0"/>
          <w:bCs w:val="0"/>
          <w:color w:val="auto"/>
          <w:kern w:val="0"/>
          <w:sz w:val="24"/>
          <w:lang w:eastAsia="zh-CN"/>
        </w:rPr>
        <w:t>）</w:t>
      </w:r>
      <w:r>
        <w:rPr>
          <w:rFonts w:hint="eastAsia" w:ascii="宋体" w:hAnsi="宋体" w:eastAsia="宋体" w:cs="宋体"/>
          <w:b w:val="0"/>
          <w:bCs w:val="0"/>
          <w:color w:val="auto"/>
          <w:kern w:val="0"/>
          <w:sz w:val="24"/>
          <w:lang w:eastAsia="zh-CN"/>
        </w:rPr>
        <w:t>、授权委托书</w:t>
      </w:r>
    </w:p>
    <w:p>
      <w:pPr>
        <w:autoSpaceDE w:val="0"/>
        <w:autoSpaceDN w:val="0"/>
        <w:adjustRightInd w:val="0"/>
        <w:spacing w:line="600" w:lineRule="exact"/>
        <w:ind w:firstLine="540" w:firstLineChars="225"/>
        <w:jc w:val="left"/>
        <w:rPr>
          <w:rFonts w:hint="eastAsia" w:ascii="宋体" w:hAnsi="宋体" w:eastAsia="宋体" w:cs="宋体"/>
          <w:b w:val="0"/>
          <w:bCs w:val="0"/>
          <w:color w:val="auto"/>
          <w:kern w:val="0"/>
          <w:sz w:val="24"/>
          <w:lang w:eastAsia="zh-CN"/>
        </w:rPr>
      </w:pPr>
      <w:r>
        <w:rPr>
          <w:rFonts w:hint="eastAsia" w:ascii="宋体" w:hAnsi="宋体" w:cs="宋体"/>
          <w:b w:val="0"/>
          <w:bCs w:val="0"/>
          <w:color w:val="auto"/>
          <w:kern w:val="0"/>
          <w:sz w:val="24"/>
          <w:lang w:eastAsia="zh-CN"/>
        </w:rPr>
        <w:t>（</w:t>
      </w:r>
      <w:r>
        <w:rPr>
          <w:rFonts w:hint="eastAsia" w:ascii="宋体" w:hAnsi="宋体" w:cs="宋体"/>
          <w:b w:val="0"/>
          <w:bCs w:val="0"/>
          <w:color w:val="auto"/>
          <w:kern w:val="0"/>
          <w:sz w:val="24"/>
          <w:lang w:val="en-US" w:eastAsia="zh-CN"/>
        </w:rPr>
        <w:t>4</w:t>
      </w:r>
      <w:r>
        <w:rPr>
          <w:rFonts w:hint="eastAsia" w:ascii="宋体" w:hAnsi="宋体" w:cs="宋体"/>
          <w:b w:val="0"/>
          <w:bCs w:val="0"/>
          <w:color w:val="auto"/>
          <w:kern w:val="0"/>
          <w:sz w:val="24"/>
          <w:lang w:eastAsia="zh-CN"/>
        </w:rPr>
        <w:t>）</w:t>
      </w:r>
      <w:r>
        <w:rPr>
          <w:rFonts w:hint="eastAsia" w:ascii="宋体" w:hAnsi="宋体" w:eastAsia="宋体" w:cs="宋体"/>
          <w:b w:val="0"/>
          <w:bCs w:val="0"/>
          <w:color w:val="auto"/>
          <w:kern w:val="0"/>
          <w:sz w:val="24"/>
          <w:lang w:eastAsia="zh-CN"/>
        </w:rPr>
        <w:t>、资格审查资料</w:t>
      </w:r>
    </w:p>
    <w:p>
      <w:pPr>
        <w:autoSpaceDE w:val="0"/>
        <w:autoSpaceDN w:val="0"/>
        <w:adjustRightInd w:val="0"/>
        <w:spacing w:line="600" w:lineRule="exact"/>
        <w:ind w:firstLine="540" w:firstLineChars="225"/>
        <w:jc w:val="left"/>
        <w:rPr>
          <w:rFonts w:hint="eastAsia" w:ascii="宋体" w:hAnsi="宋体" w:eastAsia="宋体" w:cs="宋体"/>
          <w:b w:val="0"/>
          <w:bCs w:val="0"/>
          <w:color w:val="auto"/>
          <w:kern w:val="0"/>
          <w:sz w:val="24"/>
          <w:lang w:eastAsia="zh-CN"/>
        </w:rPr>
      </w:pPr>
      <w:r>
        <w:rPr>
          <w:rFonts w:hint="eastAsia" w:ascii="宋体" w:hAnsi="宋体" w:cs="宋体"/>
          <w:b w:val="0"/>
          <w:bCs w:val="0"/>
          <w:color w:val="auto"/>
          <w:kern w:val="0"/>
          <w:sz w:val="24"/>
          <w:lang w:eastAsia="zh-CN"/>
        </w:rPr>
        <w:t>（</w:t>
      </w:r>
      <w:r>
        <w:rPr>
          <w:rFonts w:hint="eastAsia" w:ascii="宋体" w:hAnsi="宋体" w:cs="宋体"/>
          <w:b w:val="0"/>
          <w:bCs w:val="0"/>
          <w:color w:val="auto"/>
          <w:kern w:val="0"/>
          <w:sz w:val="24"/>
          <w:lang w:val="en-US" w:eastAsia="zh-CN"/>
        </w:rPr>
        <w:t>5</w:t>
      </w:r>
      <w:r>
        <w:rPr>
          <w:rFonts w:hint="eastAsia" w:ascii="宋体" w:hAnsi="宋体" w:cs="宋体"/>
          <w:b w:val="0"/>
          <w:bCs w:val="0"/>
          <w:color w:val="auto"/>
          <w:kern w:val="0"/>
          <w:sz w:val="24"/>
          <w:lang w:eastAsia="zh-CN"/>
        </w:rPr>
        <w:t>）</w:t>
      </w:r>
      <w:r>
        <w:rPr>
          <w:rFonts w:hint="eastAsia" w:ascii="宋体" w:hAnsi="宋体" w:eastAsia="宋体" w:cs="宋体"/>
          <w:b w:val="0"/>
          <w:bCs w:val="0"/>
          <w:color w:val="auto"/>
          <w:kern w:val="0"/>
          <w:sz w:val="24"/>
          <w:lang w:eastAsia="zh-CN"/>
        </w:rPr>
        <w:t>、项目组成人员</w:t>
      </w:r>
    </w:p>
    <w:p>
      <w:pPr>
        <w:autoSpaceDE w:val="0"/>
        <w:autoSpaceDN w:val="0"/>
        <w:adjustRightInd w:val="0"/>
        <w:spacing w:line="600" w:lineRule="exact"/>
        <w:ind w:firstLine="540" w:firstLineChars="225"/>
        <w:jc w:val="left"/>
        <w:rPr>
          <w:rFonts w:hint="eastAsia" w:ascii="宋体" w:hAnsi="宋体" w:eastAsia="宋体" w:cs="宋体"/>
          <w:b w:val="0"/>
          <w:bCs w:val="0"/>
          <w:color w:val="auto"/>
          <w:kern w:val="0"/>
          <w:sz w:val="24"/>
          <w:lang w:val="en-US" w:eastAsia="zh-CN"/>
        </w:rPr>
      </w:pPr>
      <w:r>
        <w:rPr>
          <w:rFonts w:hint="eastAsia" w:ascii="宋体" w:hAnsi="宋体" w:cs="宋体"/>
          <w:b w:val="0"/>
          <w:bCs w:val="0"/>
          <w:color w:val="auto"/>
          <w:kern w:val="0"/>
          <w:sz w:val="24"/>
          <w:lang w:eastAsia="zh-CN"/>
        </w:rPr>
        <w:t>（</w:t>
      </w:r>
      <w:r>
        <w:rPr>
          <w:rFonts w:hint="eastAsia" w:ascii="宋体" w:hAnsi="宋体" w:cs="宋体"/>
          <w:b w:val="0"/>
          <w:bCs w:val="0"/>
          <w:color w:val="auto"/>
          <w:kern w:val="0"/>
          <w:sz w:val="24"/>
          <w:lang w:val="en-US" w:eastAsia="zh-CN"/>
        </w:rPr>
        <w:t>6</w:t>
      </w:r>
      <w:r>
        <w:rPr>
          <w:rFonts w:hint="eastAsia" w:ascii="宋体" w:hAnsi="宋体" w:cs="宋体"/>
          <w:b w:val="0"/>
          <w:bCs w:val="0"/>
          <w:color w:val="auto"/>
          <w:kern w:val="0"/>
          <w:sz w:val="24"/>
          <w:lang w:eastAsia="zh-CN"/>
        </w:rPr>
        <w:t>）、</w:t>
      </w:r>
      <w:r>
        <w:rPr>
          <w:rFonts w:hint="eastAsia" w:ascii="宋体" w:hAnsi="宋体" w:cs="宋体"/>
          <w:b w:val="0"/>
          <w:bCs w:val="0"/>
          <w:color w:val="auto"/>
          <w:kern w:val="0"/>
          <w:sz w:val="24"/>
          <w:lang w:val="en-US" w:eastAsia="zh-CN"/>
        </w:rPr>
        <w:t>实施</w:t>
      </w:r>
      <w:r>
        <w:rPr>
          <w:rFonts w:hint="eastAsia" w:ascii="宋体" w:hAnsi="宋体" w:eastAsia="宋体" w:cs="宋体"/>
          <w:b w:val="0"/>
          <w:bCs w:val="0"/>
          <w:color w:val="auto"/>
          <w:kern w:val="0"/>
          <w:sz w:val="24"/>
          <w:lang w:val="en-US" w:eastAsia="zh-CN"/>
        </w:rPr>
        <w:t>方案</w:t>
      </w:r>
    </w:p>
    <w:p>
      <w:pPr>
        <w:autoSpaceDE w:val="0"/>
        <w:autoSpaceDN w:val="0"/>
        <w:adjustRightInd w:val="0"/>
        <w:spacing w:line="600" w:lineRule="exact"/>
        <w:ind w:firstLine="540" w:firstLineChars="225"/>
        <w:jc w:val="left"/>
        <w:rPr>
          <w:rFonts w:hint="eastAsia" w:ascii="宋体" w:hAnsi="宋体" w:eastAsia="宋体" w:cs="宋体"/>
          <w:b w:val="0"/>
          <w:bCs w:val="0"/>
          <w:color w:val="auto"/>
          <w:kern w:val="0"/>
          <w:sz w:val="24"/>
          <w:lang w:eastAsia="zh-CN"/>
        </w:rPr>
      </w:pPr>
      <w:r>
        <w:rPr>
          <w:rFonts w:hint="eastAsia" w:ascii="宋体" w:hAnsi="宋体" w:cs="宋体"/>
          <w:b w:val="0"/>
          <w:bCs w:val="0"/>
          <w:color w:val="auto"/>
          <w:kern w:val="0"/>
          <w:sz w:val="24"/>
          <w:lang w:eastAsia="zh-CN"/>
        </w:rPr>
        <w:t>（</w:t>
      </w:r>
      <w:r>
        <w:rPr>
          <w:rFonts w:hint="eastAsia" w:ascii="宋体" w:hAnsi="宋体" w:cs="宋体"/>
          <w:b w:val="0"/>
          <w:bCs w:val="0"/>
          <w:color w:val="auto"/>
          <w:kern w:val="0"/>
          <w:sz w:val="24"/>
          <w:lang w:val="en-US" w:eastAsia="zh-CN"/>
        </w:rPr>
        <w:t>7</w:t>
      </w:r>
      <w:r>
        <w:rPr>
          <w:rFonts w:hint="eastAsia" w:ascii="宋体" w:hAnsi="宋体" w:cs="宋体"/>
          <w:b w:val="0"/>
          <w:bCs w:val="0"/>
          <w:color w:val="auto"/>
          <w:kern w:val="0"/>
          <w:sz w:val="24"/>
          <w:lang w:eastAsia="zh-CN"/>
        </w:rPr>
        <w:t>）</w:t>
      </w:r>
      <w:r>
        <w:rPr>
          <w:rFonts w:hint="eastAsia" w:ascii="宋体" w:hAnsi="宋体" w:eastAsia="宋体" w:cs="宋体"/>
          <w:b w:val="0"/>
          <w:bCs w:val="0"/>
          <w:color w:val="auto"/>
          <w:kern w:val="0"/>
          <w:sz w:val="24"/>
          <w:lang w:eastAsia="zh-CN"/>
        </w:rPr>
        <w:t>、供应商认为需要提交的其他资料</w:t>
      </w:r>
    </w:p>
    <w:p>
      <w:pPr>
        <w:autoSpaceDE w:val="0"/>
        <w:autoSpaceDN w:val="0"/>
        <w:adjustRightInd w:val="0"/>
        <w:spacing w:line="600" w:lineRule="exact"/>
        <w:ind w:firstLine="540" w:firstLineChars="225"/>
        <w:jc w:val="left"/>
        <w:rPr>
          <w:rFonts w:hint="eastAsia" w:ascii="宋体" w:hAnsi="宋体" w:eastAsia="宋体" w:cs="宋体"/>
          <w:b w:val="0"/>
          <w:bCs w:val="0"/>
          <w:color w:val="auto"/>
          <w:kern w:val="0"/>
          <w:sz w:val="24"/>
          <w:lang w:eastAsia="zh-CN"/>
        </w:rPr>
      </w:pPr>
      <w:r>
        <w:rPr>
          <w:rFonts w:hint="eastAsia" w:ascii="宋体" w:hAnsi="宋体" w:cs="宋体"/>
          <w:b w:val="0"/>
          <w:bCs w:val="0"/>
          <w:color w:val="auto"/>
          <w:kern w:val="0"/>
          <w:sz w:val="24"/>
          <w:lang w:eastAsia="zh-CN"/>
        </w:rPr>
        <w:t>（</w:t>
      </w:r>
      <w:r>
        <w:rPr>
          <w:rFonts w:hint="eastAsia" w:ascii="宋体" w:hAnsi="宋体" w:cs="宋体"/>
          <w:b w:val="0"/>
          <w:bCs w:val="0"/>
          <w:color w:val="auto"/>
          <w:kern w:val="0"/>
          <w:sz w:val="24"/>
          <w:lang w:val="en-US" w:eastAsia="zh-CN"/>
        </w:rPr>
        <w:t>8</w:t>
      </w:r>
      <w:r>
        <w:rPr>
          <w:rFonts w:hint="eastAsia" w:ascii="宋体" w:hAnsi="宋体" w:cs="宋体"/>
          <w:b w:val="0"/>
          <w:bCs w:val="0"/>
          <w:color w:val="auto"/>
          <w:kern w:val="0"/>
          <w:sz w:val="24"/>
          <w:lang w:eastAsia="zh-CN"/>
        </w:rPr>
        <w:t>）</w:t>
      </w:r>
      <w:r>
        <w:rPr>
          <w:rFonts w:hint="eastAsia" w:ascii="宋体" w:hAnsi="宋体" w:eastAsia="宋体" w:cs="宋体"/>
          <w:b w:val="0"/>
          <w:bCs w:val="0"/>
          <w:color w:val="auto"/>
          <w:kern w:val="0"/>
          <w:sz w:val="24"/>
          <w:lang w:val="en-US" w:eastAsia="zh-CN"/>
        </w:rPr>
        <w:t>、</w:t>
      </w:r>
      <w:r>
        <w:rPr>
          <w:rFonts w:hint="eastAsia" w:ascii="宋体" w:hAnsi="宋体" w:eastAsia="宋体" w:cs="宋体"/>
          <w:b w:val="0"/>
          <w:bCs w:val="0"/>
          <w:color w:val="auto"/>
          <w:kern w:val="0"/>
          <w:sz w:val="24"/>
          <w:lang w:eastAsia="zh-CN"/>
        </w:rPr>
        <w:t>残疾人福利性单位声明函</w:t>
      </w:r>
    </w:p>
    <w:p>
      <w:pPr>
        <w:autoSpaceDE w:val="0"/>
        <w:autoSpaceDN w:val="0"/>
        <w:adjustRightInd w:val="0"/>
        <w:spacing w:line="600" w:lineRule="exact"/>
        <w:ind w:firstLine="540" w:firstLineChars="225"/>
        <w:jc w:val="left"/>
        <w:rPr>
          <w:rFonts w:hint="eastAsia" w:ascii="宋体" w:hAnsi="宋体" w:eastAsia="宋体" w:cs="宋体"/>
          <w:b w:val="0"/>
          <w:bCs w:val="0"/>
          <w:color w:val="auto"/>
          <w:kern w:val="0"/>
          <w:sz w:val="24"/>
          <w:lang w:val="en-US" w:eastAsia="zh-CN"/>
        </w:rPr>
      </w:pPr>
      <w:r>
        <w:rPr>
          <w:rFonts w:hint="eastAsia" w:ascii="宋体" w:hAnsi="宋体" w:cs="宋体"/>
          <w:b w:val="0"/>
          <w:bCs w:val="0"/>
          <w:color w:val="auto"/>
          <w:kern w:val="0"/>
          <w:sz w:val="24"/>
          <w:lang w:eastAsia="zh-CN"/>
        </w:rPr>
        <w:t>（</w:t>
      </w:r>
      <w:r>
        <w:rPr>
          <w:rFonts w:hint="eastAsia" w:ascii="宋体" w:hAnsi="宋体" w:cs="宋体"/>
          <w:b w:val="0"/>
          <w:bCs w:val="0"/>
          <w:color w:val="auto"/>
          <w:kern w:val="0"/>
          <w:sz w:val="24"/>
          <w:lang w:val="en-US" w:eastAsia="zh-CN"/>
        </w:rPr>
        <w:t>9</w:t>
      </w:r>
      <w:r>
        <w:rPr>
          <w:rFonts w:hint="eastAsia" w:ascii="宋体" w:hAnsi="宋体" w:cs="宋体"/>
          <w:b w:val="0"/>
          <w:bCs w:val="0"/>
          <w:color w:val="auto"/>
          <w:kern w:val="0"/>
          <w:sz w:val="24"/>
          <w:lang w:eastAsia="zh-CN"/>
        </w:rPr>
        <w:t>）</w:t>
      </w:r>
      <w:r>
        <w:rPr>
          <w:rFonts w:hint="eastAsia" w:ascii="宋体" w:hAnsi="宋体" w:eastAsia="宋体" w:cs="宋体"/>
          <w:b w:val="0"/>
          <w:bCs w:val="0"/>
          <w:color w:val="auto"/>
          <w:kern w:val="0"/>
          <w:sz w:val="24"/>
          <w:lang w:val="en-US" w:eastAsia="zh-CN"/>
        </w:rPr>
        <w:t>、残疾人福利性单位声明函</w:t>
      </w:r>
    </w:p>
    <w:p>
      <w:pPr>
        <w:autoSpaceDE w:val="0"/>
        <w:autoSpaceDN w:val="0"/>
        <w:adjustRightInd w:val="0"/>
        <w:spacing w:line="600" w:lineRule="exact"/>
        <w:ind w:firstLine="540" w:firstLineChars="225"/>
        <w:jc w:val="left"/>
        <w:rPr>
          <w:rFonts w:hint="eastAsia" w:ascii="宋体" w:hAnsi="宋体" w:eastAsia="宋体" w:cs="宋体"/>
          <w:b w:val="0"/>
          <w:bCs w:val="0"/>
          <w:color w:val="auto"/>
          <w:kern w:val="0"/>
          <w:sz w:val="24"/>
          <w:lang w:val="en-US" w:eastAsia="zh-CN"/>
        </w:rPr>
      </w:pPr>
      <w:r>
        <w:rPr>
          <w:rFonts w:hint="eastAsia" w:ascii="宋体" w:hAnsi="宋体" w:cs="宋体"/>
          <w:b w:val="0"/>
          <w:bCs w:val="0"/>
          <w:color w:val="auto"/>
          <w:kern w:val="0"/>
          <w:sz w:val="24"/>
          <w:lang w:val="en-US" w:eastAsia="zh-CN"/>
        </w:rPr>
        <w:t>（10）</w:t>
      </w:r>
      <w:r>
        <w:rPr>
          <w:rFonts w:hint="eastAsia" w:ascii="宋体" w:hAnsi="宋体" w:eastAsia="宋体" w:cs="宋体"/>
          <w:b w:val="0"/>
          <w:bCs w:val="0"/>
          <w:color w:val="auto"/>
          <w:kern w:val="0"/>
          <w:sz w:val="24"/>
          <w:lang w:val="en-US" w:eastAsia="zh-CN"/>
        </w:rPr>
        <w:t>中小微企业声明函（工程、服务）</w:t>
      </w:r>
    </w:p>
    <w:p>
      <w:pPr>
        <w:autoSpaceDE w:val="0"/>
        <w:autoSpaceDN w:val="0"/>
        <w:adjustRightInd w:val="0"/>
        <w:spacing w:line="600" w:lineRule="exact"/>
        <w:ind w:firstLine="542" w:firstLineChars="225"/>
        <w:jc w:val="left"/>
        <w:rPr>
          <w:rFonts w:ascii="宋体" w:hAnsi="宋体" w:eastAsia="宋体" w:cs="宋体"/>
          <w:b/>
          <w:bCs/>
          <w:color w:val="auto"/>
          <w:kern w:val="0"/>
          <w:sz w:val="24"/>
        </w:rPr>
      </w:pPr>
      <w:r>
        <w:rPr>
          <w:rFonts w:hint="eastAsia" w:ascii="宋体" w:hAnsi="宋体" w:eastAsia="宋体" w:cs="宋体"/>
          <w:b/>
          <w:bCs/>
          <w:color w:val="auto"/>
          <w:kern w:val="0"/>
          <w:sz w:val="24"/>
        </w:rPr>
        <w:t>3.2 磋商报价</w:t>
      </w:r>
    </w:p>
    <w:p>
      <w:pPr>
        <w:spacing w:line="600" w:lineRule="exact"/>
        <w:ind w:firstLine="480" w:firstLineChars="200"/>
        <w:outlineLvl w:val="0"/>
        <w:rPr>
          <w:rFonts w:hint="eastAsia" w:ascii="宋体" w:hAnsi="宋体" w:eastAsia="宋体" w:cs="宋体"/>
          <w:b w:val="0"/>
          <w:bCs w:val="0"/>
          <w:color w:val="auto"/>
          <w:kern w:val="0"/>
          <w:sz w:val="24"/>
          <w:lang w:eastAsia="zh-CN"/>
        </w:rPr>
      </w:pPr>
      <w:bookmarkStart w:id="41" w:name="_Toc25994"/>
      <w:r>
        <w:rPr>
          <w:rFonts w:hint="eastAsia" w:ascii="宋体" w:hAnsi="宋体" w:eastAsia="宋体" w:cs="宋体"/>
          <w:b w:val="0"/>
          <w:bCs w:val="0"/>
          <w:color w:val="auto"/>
          <w:kern w:val="0"/>
          <w:sz w:val="24"/>
          <w:lang w:eastAsia="zh-CN"/>
        </w:rPr>
        <w:t>3.2.1供应商应按照竞争性磋商文件中提供的格式完整地填写响应文件、报价一览表等。</w:t>
      </w:r>
      <w:bookmarkEnd w:id="41"/>
    </w:p>
    <w:p>
      <w:pPr>
        <w:spacing w:line="600" w:lineRule="exact"/>
        <w:ind w:firstLine="480" w:firstLineChars="200"/>
        <w:outlineLvl w:val="0"/>
        <w:rPr>
          <w:rFonts w:hint="eastAsia" w:ascii="宋体" w:hAnsi="宋体" w:eastAsia="宋体" w:cs="宋体"/>
          <w:b w:val="0"/>
          <w:bCs w:val="0"/>
          <w:color w:val="auto"/>
          <w:kern w:val="0"/>
          <w:sz w:val="24"/>
          <w:lang w:eastAsia="zh-CN"/>
        </w:rPr>
      </w:pPr>
      <w:bookmarkStart w:id="42" w:name="_Toc9915"/>
      <w:r>
        <w:rPr>
          <w:rFonts w:hint="eastAsia" w:ascii="宋体" w:hAnsi="宋体" w:eastAsia="宋体" w:cs="宋体"/>
          <w:b w:val="0"/>
          <w:bCs w:val="0"/>
          <w:color w:val="auto"/>
          <w:kern w:val="0"/>
          <w:sz w:val="24"/>
          <w:lang w:eastAsia="zh-CN"/>
        </w:rPr>
        <w:t>3.2.2供应商应按照竞争性磋商文件提供的报价表格式填写报价。</w:t>
      </w:r>
      <w:bookmarkEnd w:id="42"/>
    </w:p>
    <w:p>
      <w:pPr>
        <w:spacing w:line="600" w:lineRule="exact"/>
        <w:ind w:firstLine="480" w:firstLineChars="200"/>
        <w:outlineLvl w:val="0"/>
        <w:rPr>
          <w:rFonts w:hint="eastAsia" w:ascii="宋体" w:hAnsi="宋体" w:eastAsia="宋体" w:cs="宋体"/>
          <w:b w:val="0"/>
          <w:bCs w:val="0"/>
          <w:color w:val="auto"/>
          <w:kern w:val="0"/>
          <w:sz w:val="24"/>
          <w:lang w:eastAsia="zh-CN"/>
        </w:rPr>
      </w:pPr>
      <w:bookmarkStart w:id="43" w:name="_Toc5137"/>
      <w:r>
        <w:rPr>
          <w:rFonts w:hint="eastAsia" w:ascii="宋体" w:hAnsi="宋体" w:eastAsia="宋体" w:cs="宋体"/>
          <w:b w:val="0"/>
          <w:bCs w:val="0"/>
          <w:color w:val="auto"/>
          <w:kern w:val="0"/>
          <w:sz w:val="24"/>
          <w:lang w:eastAsia="zh-CN"/>
        </w:rPr>
        <w:t>3.2.3供应商的响应报价应结合现行标准和招标控制价自主进行报价。</w:t>
      </w:r>
      <w:bookmarkEnd w:id="43"/>
    </w:p>
    <w:p>
      <w:pPr>
        <w:spacing w:line="600" w:lineRule="exact"/>
        <w:ind w:firstLine="480" w:firstLineChars="200"/>
        <w:outlineLvl w:val="0"/>
        <w:rPr>
          <w:rFonts w:hint="eastAsia" w:ascii="宋体" w:hAnsi="宋体" w:eastAsia="宋体" w:cs="宋体"/>
          <w:b w:val="0"/>
          <w:bCs w:val="0"/>
          <w:color w:val="auto"/>
          <w:kern w:val="0"/>
          <w:sz w:val="24"/>
          <w:lang w:eastAsia="zh-CN"/>
        </w:rPr>
      </w:pPr>
      <w:bookmarkStart w:id="44" w:name="_Toc26242"/>
      <w:r>
        <w:rPr>
          <w:rFonts w:hint="eastAsia" w:ascii="宋体" w:hAnsi="宋体" w:eastAsia="宋体" w:cs="宋体"/>
          <w:b w:val="0"/>
          <w:bCs w:val="0"/>
          <w:color w:val="auto"/>
          <w:kern w:val="0"/>
          <w:sz w:val="24"/>
          <w:lang w:eastAsia="zh-CN"/>
        </w:rPr>
        <w:t>3.2.4  供应商的报价应含有所投服务、税费、交付后约定期限内免费后续服务等工作所</w:t>
      </w:r>
      <w:bookmarkEnd w:id="44"/>
    </w:p>
    <w:p>
      <w:pPr>
        <w:spacing w:line="600" w:lineRule="exact"/>
        <w:ind w:firstLine="480" w:firstLineChars="200"/>
        <w:outlineLvl w:val="0"/>
        <w:rPr>
          <w:sz w:val="24"/>
          <w:szCs w:val="24"/>
          <w:lang w:eastAsia="zh-CN"/>
        </w:rPr>
      </w:pPr>
      <w:bookmarkStart w:id="45" w:name="_Toc22595"/>
      <w:r>
        <w:rPr>
          <w:rFonts w:hint="eastAsia" w:ascii="宋体" w:hAnsi="宋体" w:eastAsia="宋体" w:cs="宋体"/>
          <w:b w:val="0"/>
          <w:bCs w:val="0"/>
          <w:color w:val="auto"/>
          <w:kern w:val="0"/>
          <w:sz w:val="24"/>
          <w:lang w:eastAsia="zh-CN"/>
        </w:rPr>
        <w:t>发生的一切应有费用，报价为签订合同的依据。</w:t>
      </w:r>
      <w:bookmarkEnd w:id="45"/>
    </w:p>
    <w:p>
      <w:pPr>
        <w:spacing w:line="600" w:lineRule="exact"/>
        <w:ind w:firstLine="480" w:firstLineChars="200"/>
        <w:outlineLvl w:val="0"/>
        <w:rPr>
          <w:rFonts w:hint="eastAsia" w:ascii="宋体" w:hAnsi="宋体" w:eastAsia="宋体" w:cs="宋体"/>
          <w:b w:val="0"/>
          <w:bCs w:val="0"/>
          <w:color w:val="auto"/>
          <w:kern w:val="0"/>
          <w:sz w:val="24"/>
          <w:lang w:eastAsia="zh-CN"/>
        </w:rPr>
      </w:pPr>
      <w:bookmarkStart w:id="46" w:name="3.2_报价"/>
      <w:bookmarkEnd w:id="46"/>
      <w:bookmarkStart w:id="47" w:name="_Toc24174"/>
      <w:r>
        <w:rPr>
          <w:rFonts w:hint="eastAsia" w:ascii="宋体" w:hAnsi="宋体" w:eastAsia="宋体" w:cs="宋体"/>
          <w:b w:val="0"/>
          <w:bCs w:val="0"/>
          <w:color w:val="auto"/>
          <w:kern w:val="0"/>
          <w:sz w:val="24"/>
          <w:lang w:eastAsia="zh-CN"/>
        </w:rPr>
        <w:t>3.2.5  磋商过程供应商需两轮报价，不得超过采购人公布的项目预算，否则其投标无效。</w:t>
      </w:r>
      <w:bookmarkEnd w:id="47"/>
    </w:p>
    <w:p>
      <w:pPr>
        <w:spacing w:line="600" w:lineRule="exact"/>
        <w:ind w:firstLine="480" w:firstLineChars="200"/>
        <w:outlineLvl w:val="0"/>
        <w:rPr>
          <w:rFonts w:hint="eastAsia" w:ascii="宋体" w:hAnsi="宋体" w:eastAsia="宋体" w:cs="宋体"/>
          <w:b w:val="0"/>
          <w:bCs w:val="0"/>
          <w:color w:val="auto"/>
          <w:kern w:val="0"/>
          <w:sz w:val="24"/>
          <w:lang w:eastAsia="zh-CN"/>
        </w:rPr>
      </w:pPr>
      <w:bookmarkStart w:id="48" w:name="_Toc13715"/>
      <w:r>
        <w:rPr>
          <w:rFonts w:hint="eastAsia" w:ascii="宋体" w:hAnsi="宋体" w:eastAsia="宋体" w:cs="宋体"/>
          <w:b w:val="0"/>
          <w:bCs w:val="0"/>
          <w:color w:val="auto"/>
          <w:kern w:val="0"/>
          <w:sz w:val="24"/>
          <w:lang w:eastAsia="zh-CN"/>
        </w:rPr>
        <w:t>（初次报价、最终报价。本项目进行两次报价，响应文件中报价为初次报价，最终报价不能高于上次报价，高于上次报价视为无效响应）。</w:t>
      </w:r>
      <w:bookmarkEnd w:id="48"/>
    </w:p>
    <w:p>
      <w:pPr>
        <w:spacing w:line="600" w:lineRule="exact"/>
        <w:ind w:firstLine="480" w:firstLineChars="200"/>
        <w:outlineLvl w:val="0"/>
        <w:rPr>
          <w:rFonts w:hint="eastAsia" w:ascii="宋体" w:hAnsi="宋体" w:eastAsia="宋体" w:cs="宋体"/>
          <w:b w:val="0"/>
          <w:bCs w:val="0"/>
          <w:color w:val="auto"/>
          <w:kern w:val="0"/>
          <w:sz w:val="24"/>
          <w:lang w:eastAsia="zh-CN"/>
        </w:rPr>
      </w:pPr>
      <w:bookmarkStart w:id="49" w:name="_Toc16228"/>
      <w:r>
        <w:rPr>
          <w:rFonts w:hint="eastAsia" w:ascii="宋体" w:hAnsi="宋体" w:eastAsia="宋体" w:cs="宋体"/>
          <w:b w:val="0"/>
          <w:bCs w:val="0"/>
          <w:color w:val="auto"/>
          <w:kern w:val="0"/>
          <w:sz w:val="24"/>
          <w:lang w:eastAsia="zh-CN"/>
        </w:rPr>
        <w:t>3.2.6  供应商不得以他人名义磋商或者以其他方式弄虚作假，骗取成交；</w:t>
      </w:r>
      <w:bookmarkEnd w:id="49"/>
    </w:p>
    <w:p>
      <w:pPr>
        <w:spacing w:line="600" w:lineRule="exact"/>
        <w:ind w:firstLine="480" w:firstLineChars="200"/>
        <w:outlineLvl w:val="0"/>
        <w:rPr>
          <w:rFonts w:hint="eastAsia" w:ascii="宋体" w:hAnsi="宋体" w:eastAsia="宋体" w:cs="宋体"/>
          <w:b w:val="0"/>
          <w:bCs w:val="0"/>
          <w:color w:val="auto"/>
          <w:kern w:val="0"/>
          <w:sz w:val="24"/>
          <w:lang w:eastAsia="zh-CN"/>
        </w:rPr>
      </w:pPr>
      <w:bookmarkStart w:id="50" w:name="_Toc20386"/>
      <w:r>
        <w:rPr>
          <w:rFonts w:hint="eastAsia" w:ascii="宋体" w:hAnsi="宋体" w:eastAsia="宋体" w:cs="宋体"/>
          <w:b w:val="0"/>
          <w:bCs w:val="0"/>
          <w:color w:val="auto"/>
          <w:kern w:val="0"/>
          <w:sz w:val="24"/>
          <w:lang w:eastAsia="zh-CN"/>
        </w:rPr>
        <w:t>3.2.7  响应性文件应对竞争性磋商文件中各项做出实质性响应，否则该磋商将可能被拒</w:t>
      </w:r>
      <w:bookmarkEnd w:id="50"/>
    </w:p>
    <w:p>
      <w:pPr>
        <w:spacing w:line="600" w:lineRule="exact"/>
        <w:ind w:firstLine="480" w:firstLineChars="200"/>
        <w:outlineLvl w:val="0"/>
        <w:rPr>
          <w:rFonts w:hint="eastAsia" w:ascii="宋体" w:hAnsi="宋体" w:eastAsia="宋体" w:cs="宋体"/>
          <w:b w:val="0"/>
          <w:bCs w:val="0"/>
          <w:color w:val="auto"/>
          <w:kern w:val="0"/>
          <w:sz w:val="24"/>
          <w:lang w:eastAsia="zh-CN"/>
        </w:rPr>
      </w:pPr>
      <w:bookmarkStart w:id="51" w:name="_Toc17288"/>
      <w:r>
        <w:rPr>
          <w:rFonts w:hint="eastAsia" w:ascii="宋体" w:hAnsi="宋体" w:eastAsia="宋体" w:cs="宋体"/>
          <w:b w:val="0"/>
          <w:bCs w:val="0"/>
          <w:color w:val="auto"/>
          <w:kern w:val="0"/>
          <w:sz w:val="24"/>
          <w:lang w:eastAsia="zh-CN"/>
        </w:rPr>
        <w:t>绝。供应商服务承诺书应按不低于竞争性磋商文件中的服务要求标准做出响应。</w:t>
      </w:r>
      <w:bookmarkEnd w:id="51"/>
    </w:p>
    <w:p>
      <w:pPr>
        <w:spacing w:line="600" w:lineRule="exact"/>
        <w:ind w:firstLine="480" w:firstLineChars="200"/>
        <w:outlineLvl w:val="0"/>
        <w:rPr>
          <w:rFonts w:hint="eastAsia" w:ascii="宋体" w:hAnsi="宋体" w:eastAsia="宋体" w:cs="宋体"/>
          <w:b w:val="0"/>
          <w:bCs w:val="0"/>
          <w:color w:val="auto"/>
          <w:kern w:val="0"/>
          <w:sz w:val="24"/>
          <w:lang w:eastAsia="zh-CN"/>
        </w:rPr>
      </w:pPr>
      <w:bookmarkStart w:id="52" w:name="_Toc12515"/>
      <w:r>
        <w:rPr>
          <w:rFonts w:hint="eastAsia" w:ascii="宋体" w:hAnsi="宋体" w:eastAsia="宋体" w:cs="宋体"/>
          <w:b w:val="0"/>
          <w:bCs w:val="0"/>
          <w:color w:val="auto"/>
          <w:kern w:val="0"/>
          <w:sz w:val="24"/>
          <w:lang w:eastAsia="zh-CN"/>
        </w:rPr>
        <w:t>3.2.8  磋商文件能够详细列明采购标的服务要求的，磋商结束后，磋商小组应当要求所</w:t>
      </w:r>
      <w:bookmarkEnd w:id="52"/>
    </w:p>
    <w:p>
      <w:pPr>
        <w:spacing w:line="600" w:lineRule="exact"/>
        <w:ind w:firstLine="480" w:firstLineChars="200"/>
        <w:outlineLvl w:val="0"/>
        <w:rPr>
          <w:sz w:val="24"/>
          <w:szCs w:val="24"/>
          <w:lang w:eastAsia="zh-CN"/>
        </w:rPr>
      </w:pPr>
      <w:bookmarkStart w:id="53" w:name="_Toc10458"/>
      <w:r>
        <w:rPr>
          <w:rFonts w:hint="eastAsia" w:ascii="宋体" w:hAnsi="宋体" w:eastAsia="宋体" w:cs="宋体"/>
          <w:b w:val="0"/>
          <w:bCs w:val="0"/>
          <w:color w:val="auto"/>
          <w:kern w:val="0"/>
          <w:sz w:val="24"/>
          <w:lang w:eastAsia="zh-CN"/>
        </w:rPr>
        <w:t>有实质性响应的供应商在规定</w:t>
      </w:r>
      <w:r>
        <w:rPr>
          <w:spacing w:val="-5"/>
          <w:sz w:val="24"/>
          <w:szCs w:val="24"/>
          <w:lang w:eastAsia="zh-CN"/>
        </w:rPr>
        <w:t>时间内提交最终报价。最终报价是供应</w:t>
      </w:r>
      <w:r>
        <w:rPr>
          <w:sz w:val="24"/>
          <w:szCs w:val="24"/>
          <w:lang w:eastAsia="zh-CN"/>
        </w:rPr>
        <w:t>商响应文件的有效组成部分。</w:t>
      </w:r>
      <w:bookmarkEnd w:id="53"/>
    </w:p>
    <w:p>
      <w:pPr>
        <w:keepNext/>
        <w:keepLines/>
        <w:spacing w:line="600" w:lineRule="exact"/>
        <w:ind w:firstLine="482" w:firstLineChars="200"/>
        <w:outlineLvl w:val="3"/>
        <w:rPr>
          <w:rFonts w:ascii="宋体" w:hAnsi="宋体" w:eastAsia="宋体" w:cs="宋体"/>
          <w:b/>
          <w:bCs/>
          <w:color w:val="auto"/>
          <w:sz w:val="24"/>
        </w:rPr>
      </w:pPr>
      <w:r>
        <w:rPr>
          <w:rFonts w:hint="eastAsia" w:ascii="宋体" w:hAnsi="宋体" w:eastAsia="宋体" w:cs="宋体"/>
          <w:b/>
          <w:bCs/>
          <w:color w:val="auto"/>
          <w:sz w:val="24"/>
        </w:rPr>
        <w:t>3.3 磋商有效期</w:t>
      </w:r>
    </w:p>
    <w:p>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3.3.1 在</w:t>
      </w:r>
      <w:r>
        <w:rPr>
          <w:rFonts w:hint="eastAsia" w:ascii="宋体" w:hAnsi="宋体" w:cs="宋体"/>
          <w:color w:val="auto"/>
          <w:sz w:val="24"/>
          <w:lang w:eastAsia="zh-CN"/>
        </w:rPr>
        <w:t>供应商</w:t>
      </w:r>
      <w:r>
        <w:rPr>
          <w:rFonts w:hint="eastAsia" w:ascii="宋体" w:hAnsi="宋体" w:eastAsia="宋体" w:cs="宋体"/>
          <w:color w:val="auto"/>
          <w:sz w:val="24"/>
        </w:rPr>
        <w:t>须知前附表规定的磋商有效期内，</w:t>
      </w:r>
      <w:r>
        <w:rPr>
          <w:rFonts w:hint="eastAsia" w:ascii="宋体" w:hAnsi="宋体" w:cs="宋体"/>
          <w:color w:val="auto"/>
          <w:sz w:val="24"/>
          <w:lang w:eastAsia="zh-CN"/>
        </w:rPr>
        <w:t>供应商</w:t>
      </w:r>
      <w:r>
        <w:rPr>
          <w:rFonts w:hint="eastAsia" w:ascii="宋体" w:hAnsi="宋体" w:eastAsia="宋体" w:cs="宋体"/>
          <w:color w:val="auto"/>
          <w:sz w:val="24"/>
        </w:rPr>
        <w:t>不得要求撤销或修改其响应文件。</w:t>
      </w:r>
    </w:p>
    <w:p>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3.3.2 出现特殊情况需要延长磋商有效期的，采购人以书面形式通知所有</w:t>
      </w:r>
      <w:r>
        <w:rPr>
          <w:rFonts w:hint="eastAsia" w:ascii="宋体" w:hAnsi="宋体" w:cs="宋体"/>
          <w:color w:val="auto"/>
          <w:sz w:val="24"/>
          <w:lang w:eastAsia="zh-CN"/>
        </w:rPr>
        <w:t>供应商</w:t>
      </w:r>
      <w:r>
        <w:rPr>
          <w:rFonts w:hint="eastAsia" w:ascii="宋体" w:hAnsi="宋体" w:eastAsia="宋体" w:cs="宋体"/>
          <w:color w:val="auto"/>
          <w:sz w:val="24"/>
        </w:rPr>
        <w:t>延长磋商有效期。</w:t>
      </w:r>
      <w:r>
        <w:rPr>
          <w:rFonts w:hint="eastAsia" w:ascii="宋体" w:hAnsi="宋体" w:cs="宋体"/>
          <w:color w:val="auto"/>
          <w:sz w:val="24"/>
          <w:lang w:eastAsia="zh-CN"/>
        </w:rPr>
        <w:t>供应商</w:t>
      </w:r>
      <w:r>
        <w:rPr>
          <w:rFonts w:hint="eastAsia" w:ascii="宋体" w:hAnsi="宋体" w:eastAsia="宋体" w:cs="宋体"/>
          <w:color w:val="auto"/>
          <w:sz w:val="24"/>
        </w:rPr>
        <w:t>同意延长的，不得要求或被允许修改或撤销其响应文件；</w:t>
      </w:r>
      <w:r>
        <w:rPr>
          <w:rFonts w:hint="eastAsia" w:ascii="宋体" w:hAnsi="宋体" w:cs="宋体"/>
          <w:color w:val="auto"/>
          <w:sz w:val="24"/>
          <w:lang w:eastAsia="zh-CN"/>
        </w:rPr>
        <w:t>供应商</w:t>
      </w:r>
      <w:r>
        <w:rPr>
          <w:rFonts w:hint="eastAsia" w:ascii="宋体" w:hAnsi="宋体" w:eastAsia="宋体" w:cs="宋体"/>
          <w:color w:val="auto"/>
          <w:sz w:val="24"/>
        </w:rPr>
        <w:t>拒绝延长的，其磋商失效。</w:t>
      </w:r>
    </w:p>
    <w:p>
      <w:pPr>
        <w:spacing w:line="600" w:lineRule="exact"/>
        <w:ind w:firstLine="482" w:firstLineChars="200"/>
        <w:jc w:val="left"/>
        <w:rPr>
          <w:rFonts w:hint="eastAsia" w:ascii="宋体" w:hAnsi="宋体" w:eastAsia="宋体" w:cs="宋体"/>
          <w:b/>
          <w:color w:val="auto"/>
          <w:sz w:val="24"/>
        </w:rPr>
      </w:pPr>
      <w:r>
        <w:rPr>
          <w:rFonts w:hint="eastAsia" w:ascii="宋体" w:hAnsi="宋体" w:eastAsia="宋体" w:cs="宋体"/>
          <w:b/>
          <w:color w:val="auto"/>
          <w:sz w:val="24"/>
        </w:rPr>
        <w:t>3.4 磋商保证金</w:t>
      </w:r>
    </w:p>
    <w:p>
      <w:pPr>
        <w:spacing w:line="6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sz w:val="24"/>
        </w:rPr>
        <w:t>按照《河南省财政厅关于优化政府采购营商环境有关问题的通知》（豫财购[2019]4号文）的要求本项目不再收取磋商保证金。</w:t>
      </w:r>
    </w:p>
    <w:p>
      <w:pPr>
        <w:spacing w:line="600" w:lineRule="exact"/>
        <w:ind w:firstLine="482" w:firstLineChars="200"/>
        <w:rPr>
          <w:rFonts w:ascii="宋体" w:hAnsi="宋体" w:eastAsia="宋体" w:cs="宋体"/>
          <w:b/>
          <w:bCs/>
          <w:color w:val="auto"/>
          <w:sz w:val="24"/>
        </w:rPr>
      </w:pPr>
      <w:r>
        <w:rPr>
          <w:rFonts w:hint="eastAsia" w:ascii="宋体" w:hAnsi="宋体" w:eastAsia="宋体" w:cs="宋体"/>
          <w:b/>
          <w:bCs/>
          <w:color w:val="auto"/>
          <w:sz w:val="24"/>
        </w:rPr>
        <w:t>3.5 资格审查资料</w:t>
      </w:r>
    </w:p>
    <w:p>
      <w:pPr>
        <w:spacing w:line="600" w:lineRule="exact"/>
        <w:ind w:firstLine="480" w:firstLineChars="200"/>
        <w:rPr>
          <w:rFonts w:hint="eastAsia" w:ascii="宋体" w:hAnsi="宋体" w:cs="宋体"/>
          <w:color w:val="auto"/>
          <w:sz w:val="24"/>
          <w:highlight w:val="none"/>
          <w:lang w:eastAsia="zh-CN"/>
        </w:rPr>
      </w:pPr>
      <w:r>
        <w:rPr>
          <w:rFonts w:hint="eastAsia" w:ascii="宋体" w:hAnsi="宋体" w:eastAsia="宋体" w:cs="宋体"/>
          <w:color w:val="auto"/>
          <w:sz w:val="24"/>
          <w:highlight w:val="none"/>
        </w:rPr>
        <w:t>详见</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lang w:eastAsia="zh-CN"/>
        </w:rPr>
        <w:t>须知</w:t>
      </w:r>
      <w:r>
        <w:rPr>
          <w:rFonts w:hint="eastAsia" w:ascii="宋体" w:hAnsi="宋体" w:eastAsia="宋体" w:cs="宋体"/>
          <w:color w:val="auto"/>
          <w:sz w:val="24"/>
          <w:highlight w:val="none"/>
        </w:rPr>
        <w:t>前附表</w:t>
      </w:r>
      <w:r>
        <w:rPr>
          <w:rFonts w:hint="eastAsia" w:ascii="宋体" w:hAnsi="宋体" w:cs="宋体"/>
          <w:color w:val="auto"/>
          <w:sz w:val="24"/>
          <w:highlight w:val="none"/>
          <w:lang w:eastAsia="zh-CN"/>
        </w:rPr>
        <w:t>。</w:t>
      </w:r>
    </w:p>
    <w:p>
      <w:pPr>
        <w:pStyle w:val="4"/>
        <w:spacing w:line="360" w:lineRule="auto"/>
        <w:ind w:left="0" w:firstLine="482" w:firstLineChars="200"/>
        <w:rPr>
          <w:lang w:eastAsia="zh-CN"/>
        </w:rPr>
      </w:pPr>
      <w:r>
        <w:rPr>
          <w:lang w:eastAsia="zh-CN"/>
        </w:rPr>
        <w:t>3.6 备选投标方案</w:t>
      </w:r>
    </w:p>
    <w:p>
      <w:pPr>
        <w:adjustRightInd w:val="0"/>
        <w:spacing w:line="360" w:lineRule="auto"/>
        <w:ind w:firstLine="480" w:firstLineChars="200"/>
        <w:rPr>
          <w:rFonts w:hint="eastAsia" w:ascii="宋体" w:hAnsi="宋体" w:cs="宋体"/>
          <w:color w:val="auto"/>
          <w:sz w:val="24"/>
          <w:highlight w:val="none"/>
          <w:lang w:eastAsia="zh-CN"/>
        </w:rPr>
      </w:pPr>
      <w:r>
        <w:rPr>
          <w:rFonts w:hint="eastAsia" w:hAnsiTheme="minorHAnsi"/>
          <w:sz w:val="24"/>
          <w:szCs w:val="24"/>
          <w:lang w:eastAsia="zh-CN"/>
        </w:rPr>
        <w:t>供应商不得递交备选投标方案。</w:t>
      </w:r>
    </w:p>
    <w:p>
      <w:pPr>
        <w:keepNext/>
        <w:keepLines/>
        <w:spacing w:line="600" w:lineRule="exact"/>
        <w:ind w:firstLine="482" w:firstLineChars="200"/>
        <w:outlineLvl w:val="3"/>
        <w:rPr>
          <w:rFonts w:ascii="宋体" w:hAnsi="宋体" w:eastAsia="宋体" w:cs="宋体"/>
          <w:b/>
          <w:bCs/>
          <w:color w:val="auto"/>
          <w:sz w:val="24"/>
        </w:rPr>
      </w:pPr>
      <w:r>
        <w:rPr>
          <w:rFonts w:hint="eastAsia" w:ascii="宋体" w:hAnsi="宋体" w:eastAsia="宋体" w:cs="宋体"/>
          <w:b/>
          <w:bCs/>
          <w:color w:val="auto"/>
          <w:sz w:val="24"/>
        </w:rPr>
        <w:t>3.</w:t>
      </w:r>
      <w:r>
        <w:rPr>
          <w:rFonts w:hint="eastAsia" w:ascii="宋体" w:hAnsi="宋体" w:cs="宋体"/>
          <w:b/>
          <w:bCs/>
          <w:color w:val="auto"/>
          <w:sz w:val="24"/>
          <w:lang w:val="en-US" w:eastAsia="zh-CN"/>
        </w:rPr>
        <w:t>7</w:t>
      </w:r>
      <w:r>
        <w:rPr>
          <w:rFonts w:hint="eastAsia" w:ascii="宋体" w:hAnsi="宋体" w:eastAsia="宋体" w:cs="宋体"/>
          <w:b/>
          <w:bCs/>
          <w:color w:val="auto"/>
          <w:sz w:val="24"/>
        </w:rPr>
        <w:t xml:space="preserve"> 响应文件的编制</w:t>
      </w:r>
    </w:p>
    <w:p>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3.6.1 响应文件应按第六章“响应文件格式”进行编写，如有必要，可以增加附页，作为响应文件的组成部分。其中，磋商函附录在满足磋商文件实质性要求的基础上，可以提出比磋商文件要求更有利于采购人的承诺。</w:t>
      </w:r>
    </w:p>
    <w:p>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3.6.2 响应文件应当对磋商文件有关计划工期、磋商有效期、</w:t>
      </w:r>
      <w:r>
        <w:rPr>
          <w:rFonts w:hint="eastAsia" w:ascii="宋体" w:hAnsi="宋体" w:cs="宋体"/>
          <w:color w:val="auto"/>
          <w:sz w:val="24"/>
          <w:lang w:val="en-US" w:eastAsia="zh-CN"/>
        </w:rPr>
        <w:t>服务</w:t>
      </w:r>
      <w:r>
        <w:rPr>
          <w:rFonts w:hint="eastAsia" w:ascii="宋体" w:hAnsi="宋体" w:eastAsia="宋体" w:cs="宋体"/>
          <w:color w:val="auto"/>
          <w:sz w:val="24"/>
        </w:rPr>
        <w:t>要求、磋商范围等实质性内容作出响应。</w:t>
      </w:r>
    </w:p>
    <w:p>
      <w:pPr>
        <w:spacing w:line="600" w:lineRule="exact"/>
        <w:ind w:firstLine="482" w:firstLineChars="200"/>
        <w:rPr>
          <w:rFonts w:ascii="宋体" w:hAnsi="宋体" w:eastAsia="宋体" w:cs="宋体"/>
          <w:b/>
          <w:bCs/>
          <w:color w:val="auto"/>
          <w:sz w:val="24"/>
        </w:rPr>
      </w:pPr>
      <w:r>
        <w:rPr>
          <w:rFonts w:hint="eastAsia" w:ascii="宋体" w:hAnsi="宋体" w:eastAsia="宋体" w:cs="宋体"/>
          <w:b/>
          <w:bCs/>
          <w:color w:val="auto"/>
          <w:sz w:val="24"/>
        </w:rPr>
        <w:t>3.</w:t>
      </w:r>
      <w:r>
        <w:rPr>
          <w:rFonts w:hint="eastAsia" w:ascii="宋体" w:hAnsi="宋体" w:cs="宋体"/>
          <w:b/>
          <w:bCs/>
          <w:color w:val="auto"/>
          <w:sz w:val="24"/>
          <w:lang w:val="en-US" w:eastAsia="zh-CN"/>
        </w:rPr>
        <w:t>8</w:t>
      </w:r>
      <w:r>
        <w:rPr>
          <w:rFonts w:hint="eastAsia" w:ascii="宋体" w:hAnsi="宋体" w:eastAsia="宋体" w:cs="宋体"/>
          <w:b/>
          <w:bCs/>
          <w:color w:val="auto"/>
          <w:sz w:val="24"/>
        </w:rPr>
        <w:t xml:space="preserve"> 响应文件的签署</w:t>
      </w:r>
    </w:p>
    <w:p>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3.7.1电子响应文件必须</w:t>
      </w:r>
      <w:r>
        <w:rPr>
          <w:rFonts w:hint="eastAsia" w:ascii="宋体" w:hAnsi="宋体" w:cs="宋体"/>
          <w:color w:val="auto"/>
          <w:sz w:val="24"/>
          <w:lang w:val="en-US" w:eastAsia="zh-CN"/>
        </w:rPr>
        <w:t>在投标截止时间前上传至三门峡市公共资源交易中心平台</w:t>
      </w:r>
      <w:r>
        <w:rPr>
          <w:rFonts w:hint="eastAsia" w:ascii="宋体" w:hAnsi="宋体" w:eastAsia="宋体" w:cs="宋体"/>
          <w:b/>
          <w:bCs/>
          <w:color w:val="auto"/>
          <w:sz w:val="24"/>
        </w:rPr>
        <w:t>。</w:t>
      </w:r>
    </w:p>
    <w:p>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3.7.2电子响应文件由</w:t>
      </w:r>
      <w:r>
        <w:rPr>
          <w:rFonts w:hint="eastAsia" w:ascii="宋体" w:hAnsi="宋体" w:cs="宋体"/>
          <w:color w:val="auto"/>
          <w:sz w:val="24"/>
          <w:lang w:eastAsia="zh-CN"/>
        </w:rPr>
        <w:t>供应商</w:t>
      </w:r>
      <w:r>
        <w:rPr>
          <w:rFonts w:hint="eastAsia" w:ascii="宋体" w:hAnsi="宋体" w:eastAsia="宋体" w:cs="宋体"/>
          <w:color w:val="auto"/>
          <w:sz w:val="24"/>
        </w:rPr>
        <w:t>的法定代表人签字或盖章。</w:t>
      </w:r>
      <w:bookmarkStart w:id="54" w:name="_Toc184635074"/>
      <w:bookmarkEnd w:id="54"/>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482" w:firstLineChars="200"/>
        <w:jc w:val="left"/>
        <w:textAlignment w:val="auto"/>
        <w:outlineLvl w:val="0"/>
        <w:rPr>
          <w:rFonts w:hint="eastAsia" w:ascii="宋体" w:hAnsi="宋体" w:eastAsia="宋体" w:cs="宋体"/>
          <w:b/>
          <w:bCs/>
          <w:color w:val="auto"/>
          <w:kern w:val="28"/>
          <w:sz w:val="24"/>
          <w:szCs w:val="24"/>
        </w:rPr>
      </w:pPr>
      <w:bookmarkStart w:id="55" w:name="_Toc27283"/>
      <w:bookmarkStart w:id="56" w:name="_Toc27329"/>
      <w:bookmarkStart w:id="57" w:name="_Toc5339"/>
      <w:bookmarkStart w:id="58" w:name="_Toc26837"/>
      <w:bookmarkStart w:id="59" w:name="_Toc28491"/>
      <w:r>
        <w:rPr>
          <w:rFonts w:hint="eastAsia" w:ascii="宋体" w:hAnsi="宋体" w:eastAsia="宋体" w:cs="宋体"/>
          <w:b/>
          <w:bCs/>
          <w:color w:val="auto"/>
          <w:kern w:val="28"/>
          <w:sz w:val="24"/>
          <w:szCs w:val="24"/>
          <w:lang w:val="en-US" w:eastAsia="zh-CN"/>
        </w:rPr>
        <w:t>电子响应文件的</w:t>
      </w:r>
      <w:bookmarkEnd w:id="55"/>
      <w:bookmarkEnd w:id="56"/>
      <w:bookmarkEnd w:id="57"/>
      <w:bookmarkEnd w:id="58"/>
      <w:r>
        <w:rPr>
          <w:rFonts w:hint="eastAsia" w:ascii="宋体" w:hAnsi="宋体" w:eastAsia="宋体" w:cs="宋体"/>
          <w:b/>
          <w:bCs/>
          <w:color w:val="auto"/>
          <w:kern w:val="28"/>
          <w:sz w:val="24"/>
          <w:szCs w:val="24"/>
          <w:lang w:val="en-US" w:eastAsia="zh-CN"/>
        </w:rPr>
        <w:t>递交</w:t>
      </w:r>
      <w:bookmarkEnd w:id="59"/>
    </w:p>
    <w:p>
      <w:pPr>
        <w:pStyle w:val="4"/>
        <w:keepNext w:val="0"/>
        <w:keepLines w:val="0"/>
        <w:pageBreakBefore w:val="0"/>
        <w:widowControl w:val="0"/>
        <w:tabs>
          <w:tab w:val="left" w:pos="1463"/>
        </w:tabs>
        <w:kinsoku/>
        <w:wordWrap/>
        <w:overflowPunct/>
        <w:topLinePunct w:val="0"/>
        <w:autoSpaceDE/>
        <w:autoSpaceDN/>
        <w:bidi w:val="0"/>
        <w:adjustRightInd/>
        <w:snapToGrid/>
        <w:spacing w:line="500" w:lineRule="exact"/>
        <w:ind w:left="0" w:leftChars="0" w:firstLine="482" w:firstLineChars="200"/>
        <w:jc w:val="left"/>
        <w:textAlignment w:val="auto"/>
        <w:rPr>
          <w:rFonts w:hint="eastAsia" w:ascii="宋体" w:hAnsi="宋体" w:eastAsia="宋体" w:cs="宋体"/>
          <w:sz w:val="24"/>
          <w:szCs w:val="24"/>
          <w:lang w:eastAsia="zh-CN"/>
        </w:rPr>
      </w:pPr>
      <w:bookmarkStart w:id="60" w:name="_Toc23682"/>
      <w:bookmarkStart w:id="61" w:name="_Toc27427"/>
      <w:bookmarkStart w:id="62" w:name="_Toc2978"/>
      <w:bookmarkStart w:id="63" w:name="_Toc22689"/>
      <w:r>
        <w:rPr>
          <w:rFonts w:hint="eastAsia" w:ascii="宋体" w:hAnsi="宋体" w:eastAsia="宋体" w:cs="宋体"/>
          <w:sz w:val="24"/>
          <w:szCs w:val="24"/>
          <w:lang w:eastAsia="zh-CN"/>
        </w:rPr>
        <w:t>4.1磋商响应文件的签署</w:t>
      </w:r>
    </w:p>
    <w:p>
      <w:pPr>
        <w:pStyle w:val="44"/>
        <w:keepNext w:val="0"/>
        <w:keepLines w:val="0"/>
        <w:pageBreakBefore w:val="0"/>
        <w:widowControl w:val="0"/>
        <w:tabs>
          <w:tab w:val="left" w:pos="2106"/>
        </w:tabs>
        <w:kinsoku/>
        <w:wordWrap/>
        <w:overflowPunct/>
        <w:topLinePunct w:val="0"/>
        <w:autoSpaceDE/>
        <w:autoSpaceDN/>
        <w:bidi w:val="0"/>
        <w:adjustRightInd/>
        <w:snapToGrid/>
        <w:spacing w:line="500" w:lineRule="exact"/>
        <w:jc w:val="left"/>
        <w:textAlignment w:val="auto"/>
        <w:rPr>
          <w:rFonts w:hint="eastAsia" w:ascii="宋体" w:hAnsi="宋体" w:eastAsia="宋体" w:cs="宋体"/>
          <w:spacing w:val="-10"/>
          <w:sz w:val="24"/>
          <w:szCs w:val="24"/>
          <w:lang w:eastAsia="zh-CN"/>
        </w:rPr>
      </w:pPr>
      <w:r>
        <w:rPr>
          <w:rFonts w:hint="eastAsia" w:ascii="宋体" w:hAnsi="宋体" w:eastAsia="宋体" w:cs="宋体"/>
          <w:spacing w:val="-3"/>
          <w:sz w:val="24"/>
          <w:szCs w:val="24"/>
          <w:lang w:eastAsia="zh-CN"/>
        </w:rPr>
        <w:t>4.1.1供应商在进行电子化磋商响应文件签章时，竞争性磋商文件中要求供</w:t>
      </w:r>
      <w:r>
        <w:rPr>
          <w:rFonts w:hint="eastAsia" w:ascii="宋体" w:hAnsi="宋体" w:eastAsia="宋体" w:cs="宋体"/>
          <w:spacing w:val="-10"/>
          <w:sz w:val="24"/>
          <w:szCs w:val="24"/>
          <w:lang w:eastAsia="zh-CN"/>
        </w:rPr>
        <w:t>应商盖章的，</w:t>
      </w:r>
    </w:p>
    <w:p>
      <w:pPr>
        <w:keepNext w:val="0"/>
        <w:keepLines w:val="0"/>
        <w:pageBreakBefore w:val="0"/>
        <w:widowControl w:val="0"/>
        <w:tabs>
          <w:tab w:val="left" w:pos="2106"/>
        </w:tabs>
        <w:kinsoku/>
        <w:wordWrap/>
        <w:overflowPunct/>
        <w:topLinePunct w:val="0"/>
        <w:autoSpaceDE/>
        <w:autoSpaceDN/>
        <w:bidi w:val="0"/>
        <w:adjustRightInd/>
        <w:snapToGrid/>
        <w:spacing w:line="500" w:lineRule="exact"/>
        <w:ind w:firstLine="440" w:firstLineChars="200"/>
        <w:jc w:val="left"/>
        <w:textAlignment w:val="auto"/>
        <w:rPr>
          <w:rFonts w:hint="eastAsia" w:ascii="宋体" w:hAnsi="宋体" w:eastAsia="宋体" w:cs="宋体"/>
          <w:sz w:val="24"/>
          <w:szCs w:val="24"/>
          <w:lang w:eastAsia="zh-CN"/>
        </w:rPr>
      </w:pPr>
      <w:r>
        <w:rPr>
          <w:rFonts w:hint="eastAsia" w:ascii="宋体" w:hAnsi="宋体" w:eastAsia="宋体" w:cs="宋体"/>
          <w:spacing w:val="-10"/>
          <w:sz w:val="24"/>
          <w:szCs w:val="24"/>
          <w:lang w:eastAsia="zh-CN"/>
        </w:rPr>
        <w:t>以签盖单位章为准；要求法定代表人签章的，以签盖法定代表人签</w:t>
      </w:r>
      <w:r>
        <w:rPr>
          <w:rFonts w:hint="eastAsia" w:ascii="宋体" w:hAnsi="宋体" w:eastAsia="宋体" w:cs="宋体"/>
          <w:spacing w:val="-2"/>
          <w:sz w:val="24"/>
          <w:szCs w:val="24"/>
          <w:lang w:eastAsia="zh-CN"/>
        </w:rPr>
        <w:t xml:space="preserve">章为准。电子化磋商响应文件具体制作教材请供应商通过 </w:t>
      </w:r>
      <w:r>
        <w:rPr>
          <w:rFonts w:hint="eastAsia" w:ascii="宋体" w:hAnsi="宋体" w:eastAsia="宋体" w:cs="宋体"/>
          <w:sz w:val="24"/>
          <w:szCs w:val="24"/>
          <w:lang w:eastAsia="zh-CN"/>
        </w:rPr>
        <w:t>CA</w:t>
      </w:r>
      <w:r>
        <w:rPr>
          <w:rFonts w:hint="eastAsia" w:ascii="宋体" w:hAnsi="宋体" w:eastAsia="宋体" w:cs="宋体"/>
          <w:spacing w:val="-9"/>
          <w:sz w:val="24"/>
          <w:szCs w:val="24"/>
          <w:lang w:eastAsia="zh-CN"/>
        </w:rPr>
        <w:t xml:space="preserve"> 证书登录三门峡市</w:t>
      </w:r>
      <w:r>
        <w:rPr>
          <w:rFonts w:hint="eastAsia" w:ascii="宋体" w:hAnsi="宋体" w:eastAsia="宋体" w:cs="宋体"/>
          <w:sz w:val="24"/>
          <w:szCs w:val="24"/>
          <w:lang w:eastAsia="zh-CN"/>
        </w:rPr>
        <w:t>公共资源电子化交易系统在右上角“组件下载”中查看。</w:t>
      </w:r>
    </w:p>
    <w:p>
      <w:pPr>
        <w:pStyle w:val="4"/>
        <w:keepNext w:val="0"/>
        <w:keepLines w:val="0"/>
        <w:pageBreakBefore w:val="0"/>
        <w:widowControl w:val="0"/>
        <w:tabs>
          <w:tab w:val="left" w:pos="1703"/>
        </w:tabs>
        <w:kinsoku/>
        <w:wordWrap/>
        <w:overflowPunct/>
        <w:topLinePunct w:val="0"/>
        <w:autoSpaceDE/>
        <w:autoSpaceDN/>
        <w:bidi w:val="0"/>
        <w:adjustRightInd/>
        <w:snapToGrid/>
        <w:spacing w:line="500" w:lineRule="exact"/>
        <w:ind w:left="0" w:leftChars="0" w:firstLine="482" w:firstLineChars="200"/>
        <w:jc w:val="left"/>
        <w:textAlignment w:val="auto"/>
        <w:rPr>
          <w:rFonts w:hint="eastAsia" w:ascii="宋体" w:hAnsi="宋体" w:eastAsia="宋体" w:cs="宋体"/>
          <w:sz w:val="24"/>
          <w:szCs w:val="24"/>
          <w:lang w:eastAsia="zh-CN"/>
        </w:rPr>
      </w:pPr>
      <w:bookmarkStart w:id="64" w:name="4.2_磋商响应文件的上传"/>
      <w:bookmarkEnd w:id="64"/>
      <w:r>
        <w:rPr>
          <w:rFonts w:hint="eastAsia" w:ascii="宋体" w:hAnsi="宋体" w:eastAsia="宋体" w:cs="宋体"/>
          <w:sz w:val="24"/>
          <w:szCs w:val="24"/>
          <w:lang w:eastAsia="zh-CN"/>
        </w:rPr>
        <w:t>4.2磋商响应文件的上传</w:t>
      </w:r>
    </w:p>
    <w:p>
      <w:pPr>
        <w:pStyle w:val="6"/>
        <w:keepNext w:val="0"/>
        <w:keepLines w:val="0"/>
        <w:pageBreakBefore w:val="0"/>
        <w:widowControl w:val="0"/>
        <w:kinsoku/>
        <w:wordWrap/>
        <w:overflowPunct/>
        <w:topLinePunct w:val="0"/>
        <w:autoSpaceDE/>
        <w:autoSpaceDN/>
        <w:bidi w:val="0"/>
        <w:adjustRightInd/>
        <w:snapToGrid/>
        <w:spacing w:line="500" w:lineRule="exact"/>
        <w:ind w:left="0" w:firstLine="488" w:firstLineChars="200"/>
        <w:jc w:val="left"/>
        <w:textAlignment w:val="auto"/>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电子化磋商响应文件应在投标截止时间前成功上传至三门峡市公共资源电</w:t>
      </w:r>
      <w:r>
        <w:rPr>
          <w:rFonts w:hint="eastAsia" w:ascii="宋体" w:hAnsi="宋体" w:eastAsia="宋体" w:cs="宋体"/>
          <w:spacing w:val="-10"/>
          <w:sz w:val="24"/>
          <w:szCs w:val="24"/>
          <w:lang w:eastAsia="zh-CN"/>
        </w:rPr>
        <w:t>子化交易系统。至投标截止时间止，仍未上传成功的电子化磋商响应文件将不予</w:t>
      </w:r>
      <w:r>
        <w:rPr>
          <w:rFonts w:hint="eastAsia" w:ascii="宋体" w:hAnsi="宋体" w:eastAsia="宋体" w:cs="宋体"/>
          <w:sz w:val="24"/>
          <w:szCs w:val="24"/>
          <w:lang w:eastAsia="zh-CN"/>
        </w:rPr>
        <w:t>接收。</w:t>
      </w:r>
    </w:p>
    <w:p>
      <w:pPr>
        <w:keepNext w:val="0"/>
        <w:keepLines w:val="0"/>
        <w:pageBreakBefore w:val="0"/>
        <w:widowControl w:val="0"/>
        <w:kinsoku/>
        <w:wordWrap/>
        <w:overflowPunct/>
        <w:topLinePunct w:val="0"/>
        <w:autoSpaceDE/>
        <w:autoSpaceDN/>
        <w:bidi w:val="0"/>
        <w:adjustRightInd/>
        <w:snapToGrid/>
        <w:spacing w:line="500" w:lineRule="exact"/>
        <w:ind w:firstLine="432" w:firstLineChars="200"/>
        <w:jc w:val="left"/>
        <w:textAlignment w:val="auto"/>
        <w:rPr>
          <w:rFonts w:hint="eastAsia" w:ascii="宋体" w:hAnsi="宋体" w:eastAsia="宋体" w:cs="宋体"/>
          <w:b/>
          <w:sz w:val="24"/>
          <w:szCs w:val="24"/>
          <w:lang w:eastAsia="zh-CN"/>
        </w:rPr>
      </w:pPr>
      <w:r>
        <w:rPr>
          <w:rFonts w:hint="eastAsia" w:ascii="宋体" w:hAnsi="宋体" w:eastAsia="宋体" w:cs="宋体"/>
          <w:spacing w:val="-12"/>
          <w:sz w:val="24"/>
          <w:szCs w:val="24"/>
          <w:lang w:eastAsia="zh-CN"/>
        </w:rPr>
        <w:t xml:space="preserve">注：如按照电子化投标操作教材制作完成的电子化磋商响应文件无法上传的， </w:t>
      </w:r>
      <w:r>
        <w:rPr>
          <w:rFonts w:hint="eastAsia" w:ascii="宋体" w:hAnsi="宋体" w:eastAsia="宋体" w:cs="宋体"/>
          <w:sz w:val="24"/>
          <w:szCs w:val="24"/>
          <w:lang w:eastAsia="zh-CN"/>
        </w:rPr>
        <w:t>供应商应在</w:t>
      </w:r>
      <w:r>
        <w:rPr>
          <w:rFonts w:hint="eastAsia" w:ascii="宋体" w:hAnsi="宋体" w:eastAsia="宋体" w:cs="宋体"/>
          <w:b/>
          <w:sz w:val="24"/>
          <w:szCs w:val="24"/>
          <w:lang w:eastAsia="zh-CN"/>
        </w:rPr>
        <w:t>投标截止时间前尽早的</w:t>
      </w:r>
      <w:r>
        <w:rPr>
          <w:rFonts w:hint="eastAsia" w:ascii="宋体" w:hAnsi="宋体" w:eastAsia="宋体" w:cs="宋体"/>
          <w:spacing w:val="-10"/>
          <w:sz w:val="24"/>
          <w:szCs w:val="24"/>
          <w:lang w:eastAsia="zh-CN"/>
        </w:rPr>
        <w:t xml:space="preserve">联系中心技术人员，以便有充分的时间进行处 </w:t>
      </w:r>
      <w:r>
        <w:rPr>
          <w:rFonts w:hint="eastAsia" w:ascii="宋体" w:hAnsi="宋体" w:eastAsia="宋体" w:cs="宋体"/>
          <w:spacing w:val="-3"/>
          <w:sz w:val="24"/>
          <w:szCs w:val="24"/>
          <w:lang w:eastAsia="zh-CN"/>
        </w:rPr>
        <w:t>理。</w:t>
      </w:r>
      <w:r>
        <w:rPr>
          <w:rFonts w:hint="eastAsia" w:ascii="宋体" w:hAnsi="宋体" w:eastAsia="宋体" w:cs="宋体"/>
          <w:b/>
          <w:sz w:val="24"/>
          <w:szCs w:val="24"/>
          <w:lang w:eastAsia="zh-CN"/>
        </w:rPr>
        <w:t xml:space="preserve">供应商应充分考虑到处理技术问题和上传数据等工作所需的时间问题，电 </w:t>
      </w:r>
      <w:r>
        <w:rPr>
          <w:rFonts w:hint="eastAsia" w:ascii="宋体" w:hAnsi="宋体" w:eastAsia="宋体" w:cs="宋体"/>
          <w:b/>
          <w:spacing w:val="-1"/>
          <w:sz w:val="24"/>
          <w:szCs w:val="24"/>
          <w:lang w:eastAsia="zh-CN"/>
        </w:rPr>
        <w:t>子化磋商响应文件未在投标截止时间前成功上传的，其磋商响应文件不予接收。</w:t>
      </w:r>
    </w:p>
    <w:p>
      <w:pPr>
        <w:pStyle w:val="4"/>
        <w:keepNext w:val="0"/>
        <w:keepLines w:val="0"/>
        <w:pageBreakBefore w:val="0"/>
        <w:widowControl w:val="0"/>
        <w:tabs>
          <w:tab w:val="left" w:pos="1463"/>
        </w:tabs>
        <w:kinsoku/>
        <w:wordWrap/>
        <w:overflowPunct/>
        <w:topLinePunct w:val="0"/>
        <w:autoSpaceDE/>
        <w:autoSpaceDN/>
        <w:bidi w:val="0"/>
        <w:adjustRightInd/>
        <w:snapToGrid/>
        <w:spacing w:line="500" w:lineRule="exact"/>
        <w:ind w:left="0" w:leftChars="0" w:firstLine="482" w:firstLineChars="200"/>
        <w:jc w:val="left"/>
        <w:textAlignment w:val="auto"/>
        <w:rPr>
          <w:rFonts w:hint="eastAsia" w:ascii="宋体" w:hAnsi="宋体" w:eastAsia="宋体" w:cs="宋体"/>
          <w:sz w:val="24"/>
          <w:szCs w:val="24"/>
          <w:lang w:eastAsia="zh-CN"/>
        </w:rPr>
      </w:pPr>
      <w:bookmarkStart w:id="65" w:name="4.3_响应文件的修改与撤回"/>
      <w:bookmarkEnd w:id="65"/>
      <w:r>
        <w:rPr>
          <w:rFonts w:hint="eastAsia" w:ascii="宋体" w:hAnsi="宋体" w:eastAsia="宋体" w:cs="宋体"/>
          <w:sz w:val="24"/>
          <w:szCs w:val="24"/>
          <w:lang w:eastAsia="zh-CN"/>
        </w:rPr>
        <w:t>4.3响应文件的修改与撤回</w:t>
      </w:r>
    </w:p>
    <w:p>
      <w:pPr>
        <w:pStyle w:val="44"/>
        <w:keepNext w:val="0"/>
        <w:keepLines w:val="0"/>
        <w:pageBreakBefore w:val="0"/>
        <w:widowControl w:val="0"/>
        <w:tabs>
          <w:tab w:val="left" w:pos="2180"/>
        </w:tabs>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4.3.1在规定的投标截止时间前，供应商可以修改或撤回响应文件。</w:t>
      </w:r>
    </w:p>
    <w:p>
      <w:pPr>
        <w:pStyle w:val="44"/>
        <w:keepNext w:val="0"/>
        <w:keepLines w:val="0"/>
        <w:pageBreakBefore w:val="0"/>
        <w:widowControl w:val="0"/>
        <w:tabs>
          <w:tab w:val="left" w:pos="2061"/>
        </w:tabs>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4.3.2在投标截止时间之后，供应商不得补充、修改电子化磋商响应文件。</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outlineLvl w:val="0"/>
        <w:rPr>
          <w:rFonts w:ascii="宋体" w:hAnsi="宋体" w:eastAsia="宋体" w:cs="宋体"/>
          <w:b/>
          <w:bCs/>
          <w:color w:val="auto"/>
          <w:sz w:val="24"/>
        </w:rPr>
      </w:pPr>
      <w:bookmarkStart w:id="66" w:name="_Toc1448"/>
      <w:r>
        <w:rPr>
          <w:rFonts w:hint="eastAsia" w:ascii="宋体" w:hAnsi="宋体" w:eastAsia="宋体" w:cs="宋体"/>
          <w:b/>
          <w:bCs/>
          <w:color w:val="auto"/>
          <w:sz w:val="24"/>
          <w:szCs w:val="24"/>
        </w:rPr>
        <w:t>5．磋商</w:t>
      </w:r>
      <w:bookmarkEnd w:id="60"/>
      <w:bookmarkEnd w:id="61"/>
      <w:bookmarkEnd w:id="62"/>
      <w:bookmarkEnd w:id="63"/>
      <w:r>
        <w:rPr>
          <w:rFonts w:hint="eastAsia" w:ascii="宋体" w:hAnsi="宋体" w:eastAsia="宋体" w:cs="宋体"/>
          <w:b/>
          <w:bCs/>
          <w:color w:val="auto"/>
          <w:sz w:val="24"/>
          <w:szCs w:val="24"/>
        </w:rPr>
        <w:t>程序</w:t>
      </w:r>
      <w:bookmarkEnd w:id="66"/>
    </w:p>
    <w:p>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5.1 磋商时间和地点</w:t>
      </w:r>
    </w:p>
    <w:p>
      <w:pPr>
        <w:spacing w:line="600" w:lineRule="exact"/>
        <w:ind w:firstLine="480" w:firstLineChars="200"/>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rPr>
        <w:t>见</w:t>
      </w:r>
      <w:r>
        <w:rPr>
          <w:rFonts w:hint="eastAsia" w:ascii="宋体" w:hAnsi="宋体" w:cs="宋体"/>
          <w:b w:val="0"/>
          <w:bCs w:val="0"/>
          <w:color w:val="auto"/>
          <w:sz w:val="24"/>
          <w:highlight w:val="none"/>
          <w:lang w:eastAsia="zh-CN"/>
        </w:rPr>
        <w:t>供应商</w:t>
      </w:r>
      <w:r>
        <w:rPr>
          <w:rFonts w:hint="eastAsia" w:ascii="宋体" w:hAnsi="宋体" w:eastAsia="宋体" w:cs="宋体"/>
          <w:b w:val="0"/>
          <w:bCs w:val="0"/>
          <w:color w:val="auto"/>
          <w:sz w:val="24"/>
          <w:highlight w:val="none"/>
        </w:rPr>
        <w:t>须知前附表</w:t>
      </w:r>
      <w:r>
        <w:rPr>
          <w:rFonts w:hint="eastAsia" w:ascii="宋体" w:hAnsi="宋体" w:cs="宋体"/>
          <w:b w:val="0"/>
          <w:bCs w:val="0"/>
          <w:color w:val="auto"/>
          <w:sz w:val="24"/>
          <w:highlight w:val="none"/>
          <w:lang w:eastAsia="zh-CN"/>
        </w:rPr>
        <w:t>。</w:t>
      </w:r>
    </w:p>
    <w:p>
      <w:pPr>
        <w:spacing w:line="600" w:lineRule="exact"/>
        <w:ind w:firstLine="480" w:firstLineChars="200"/>
        <w:rPr>
          <w:rFonts w:ascii="宋体" w:hAnsi="宋体" w:eastAsia="宋体" w:cs="宋体"/>
          <w:b w:val="0"/>
          <w:bCs w:val="0"/>
          <w:color w:val="auto"/>
          <w:sz w:val="24"/>
        </w:rPr>
      </w:pPr>
      <w:r>
        <w:rPr>
          <w:rFonts w:hint="eastAsia" w:ascii="宋体" w:hAnsi="宋体" w:eastAsia="宋体" w:cs="宋体"/>
          <w:b w:val="0"/>
          <w:bCs w:val="0"/>
          <w:color w:val="auto"/>
          <w:sz w:val="24"/>
        </w:rPr>
        <w:t>5.2  磋商程序</w:t>
      </w:r>
    </w:p>
    <w:p>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5.2.1采购人按须知前附表规定的时间和地点磋商；</w:t>
      </w:r>
    </w:p>
    <w:p>
      <w:pPr>
        <w:snapToGrid w:val="0"/>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5.2.2本项目</w:t>
      </w:r>
      <w:r>
        <w:rPr>
          <w:rFonts w:hint="eastAsia" w:ascii="宋体" w:hAnsi="宋体" w:eastAsia="宋体" w:cs="宋体"/>
          <w:b w:val="0"/>
          <w:bCs w:val="0"/>
          <w:color w:val="auto"/>
          <w:sz w:val="24"/>
        </w:rPr>
        <w:t>采用电子化、无纸化进行磋商；</w:t>
      </w:r>
    </w:p>
    <w:p>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5.2.3响应文件递交截止时间后上传的,采购人将不予接收；</w:t>
      </w:r>
    </w:p>
    <w:p>
      <w:pPr>
        <w:autoSpaceDE w:val="0"/>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5.2.4按照响应文件上传顺序进行解密；</w:t>
      </w:r>
    </w:p>
    <w:p>
      <w:pPr>
        <w:autoSpaceDE w:val="0"/>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5.2.5经确认无误后，按照报送时间顺序确定磋商顺序；</w:t>
      </w:r>
    </w:p>
    <w:p>
      <w:pPr>
        <w:autoSpaceDE w:val="0"/>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5.2.6磋商时</w:t>
      </w:r>
      <w:r>
        <w:rPr>
          <w:rFonts w:hint="eastAsia" w:ascii="宋体" w:hAnsi="宋体" w:cs="宋体"/>
          <w:color w:val="auto"/>
          <w:sz w:val="24"/>
          <w:lang w:eastAsia="zh-CN"/>
        </w:rPr>
        <w:t>供应商</w:t>
      </w:r>
      <w:r>
        <w:rPr>
          <w:rFonts w:hint="eastAsia" w:ascii="宋体" w:hAnsi="宋体" w:eastAsia="宋体" w:cs="宋体"/>
          <w:color w:val="auto"/>
          <w:sz w:val="24"/>
        </w:rPr>
        <w:t>可登录到交易系统中在磋商解密栏中点击磋商一览表查看自己的磋商报价。</w:t>
      </w:r>
      <w:r>
        <w:rPr>
          <w:rFonts w:hint="eastAsia" w:cs="宋体" w:asciiTheme="minorEastAsia" w:hAnsiTheme="minorEastAsia" w:eastAsiaTheme="minorEastAsia"/>
          <w:b w:val="0"/>
          <w:bCs w:val="0"/>
          <w:color w:val="auto"/>
          <w:sz w:val="24"/>
          <w:szCs w:val="24"/>
        </w:rPr>
        <w:t>如对磋商过程有异议的，应在</w:t>
      </w:r>
      <w:r>
        <w:rPr>
          <w:rFonts w:hint="eastAsia" w:cs="宋体" w:asciiTheme="minorEastAsia" w:hAnsiTheme="minorEastAsia" w:eastAsiaTheme="minorEastAsia"/>
          <w:b w:val="0"/>
          <w:bCs w:val="0"/>
          <w:color w:val="auto"/>
          <w:sz w:val="24"/>
          <w:szCs w:val="24"/>
          <w:lang w:eastAsia="zh-CN"/>
        </w:rPr>
        <w:t>供应商</w:t>
      </w:r>
      <w:r>
        <w:rPr>
          <w:rFonts w:hint="eastAsia" w:cs="宋体" w:asciiTheme="minorEastAsia" w:hAnsiTheme="minorEastAsia" w:eastAsiaTheme="minorEastAsia"/>
          <w:b w:val="0"/>
          <w:bCs w:val="0"/>
          <w:color w:val="auto"/>
          <w:sz w:val="24"/>
          <w:szCs w:val="24"/>
        </w:rPr>
        <w:t>解密成功后</w:t>
      </w:r>
      <w:r>
        <w:rPr>
          <w:rFonts w:hint="eastAsia" w:cs="宋体" w:asciiTheme="minorEastAsia" w:hAnsiTheme="minorEastAsia" w:eastAsiaTheme="minorEastAsia"/>
          <w:b w:val="0"/>
          <w:bCs w:val="0"/>
          <w:color w:val="auto"/>
          <w:sz w:val="24"/>
          <w:szCs w:val="24"/>
          <w:lang w:val="en-US" w:eastAsia="zh-CN"/>
        </w:rPr>
        <w:t>10</w:t>
      </w:r>
      <w:r>
        <w:rPr>
          <w:rFonts w:hint="eastAsia" w:cs="宋体" w:asciiTheme="minorEastAsia" w:hAnsiTheme="minorEastAsia" w:eastAsiaTheme="minorEastAsia"/>
          <w:b w:val="0"/>
          <w:bCs w:val="0"/>
          <w:color w:val="auto"/>
          <w:sz w:val="24"/>
          <w:szCs w:val="24"/>
        </w:rPr>
        <w:t>分钟内通过开标大厅对话框向中介服务机构</w:t>
      </w:r>
      <w:r>
        <w:rPr>
          <w:rFonts w:hint="eastAsia" w:cs="宋体" w:asciiTheme="minorEastAsia" w:hAnsiTheme="minorEastAsia"/>
          <w:b w:val="0"/>
          <w:bCs w:val="0"/>
          <w:color w:val="auto"/>
          <w:sz w:val="24"/>
          <w:szCs w:val="24"/>
          <w:lang w:val="en-US" w:eastAsia="zh-CN"/>
        </w:rPr>
        <w:t>提出</w:t>
      </w:r>
      <w:r>
        <w:rPr>
          <w:rFonts w:hint="eastAsia" w:cs="宋体" w:asciiTheme="minorEastAsia" w:hAnsiTheme="minorEastAsia" w:eastAsiaTheme="minorEastAsia"/>
          <w:b w:val="0"/>
          <w:bCs w:val="0"/>
          <w:color w:val="auto"/>
          <w:sz w:val="24"/>
          <w:szCs w:val="24"/>
        </w:rPr>
        <w:t>质疑。</w:t>
      </w:r>
    </w:p>
    <w:p>
      <w:pPr>
        <w:spacing w:line="600" w:lineRule="exact"/>
        <w:ind w:firstLine="482" w:firstLineChars="200"/>
        <w:outlineLvl w:val="0"/>
        <w:rPr>
          <w:rFonts w:ascii="宋体" w:hAnsi="宋体" w:eastAsia="宋体" w:cs="宋体"/>
          <w:b/>
          <w:bCs/>
          <w:color w:val="auto"/>
          <w:kern w:val="28"/>
          <w:sz w:val="24"/>
        </w:rPr>
      </w:pPr>
      <w:bookmarkStart w:id="67" w:name="_Toc7091"/>
      <w:bookmarkStart w:id="68" w:name="_Toc21298"/>
      <w:bookmarkStart w:id="69" w:name="_Toc26481"/>
      <w:bookmarkStart w:id="70" w:name="_Toc23857"/>
      <w:bookmarkStart w:id="71" w:name="_Toc15884"/>
      <w:r>
        <w:rPr>
          <w:rFonts w:hint="eastAsia" w:ascii="宋体" w:hAnsi="宋体" w:eastAsia="宋体" w:cs="宋体"/>
          <w:b/>
          <w:bCs/>
          <w:color w:val="auto"/>
          <w:kern w:val="28"/>
          <w:sz w:val="24"/>
        </w:rPr>
        <w:t>6. 磋商细则</w:t>
      </w:r>
      <w:bookmarkEnd w:id="67"/>
      <w:bookmarkEnd w:id="68"/>
      <w:bookmarkEnd w:id="69"/>
      <w:bookmarkEnd w:id="70"/>
      <w:bookmarkEnd w:id="71"/>
    </w:p>
    <w:p>
      <w:pPr>
        <w:spacing w:line="600" w:lineRule="exact"/>
        <w:ind w:firstLine="480" w:firstLineChars="200"/>
        <w:outlineLvl w:val="0"/>
        <w:rPr>
          <w:rFonts w:hint="eastAsia" w:ascii="宋体" w:hAnsi="宋体" w:eastAsia="宋体" w:cs="宋体"/>
          <w:b w:val="0"/>
          <w:bCs w:val="0"/>
          <w:color w:val="auto"/>
          <w:sz w:val="24"/>
        </w:rPr>
      </w:pPr>
      <w:bookmarkStart w:id="72" w:name="_Toc28068"/>
      <w:bookmarkStart w:id="73" w:name="_Toc10240"/>
      <w:bookmarkStart w:id="74" w:name="_Toc26867"/>
      <w:bookmarkStart w:id="75" w:name="_Toc28036"/>
      <w:bookmarkStart w:id="76" w:name="_Toc21922"/>
      <w:r>
        <w:rPr>
          <w:rFonts w:hint="eastAsia" w:ascii="宋体" w:hAnsi="宋体" w:cs="宋体"/>
          <w:b w:val="0"/>
          <w:bCs w:val="0"/>
          <w:color w:val="auto"/>
          <w:sz w:val="24"/>
          <w:lang w:val="en-US" w:eastAsia="zh-CN"/>
        </w:rPr>
        <w:t>6.1</w:t>
      </w:r>
      <w:r>
        <w:rPr>
          <w:rFonts w:hint="eastAsia" w:ascii="宋体" w:hAnsi="宋体" w:eastAsia="宋体" w:cs="宋体"/>
          <w:b w:val="0"/>
          <w:bCs w:val="0"/>
          <w:color w:val="auto"/>
          <w:sz w:val="24"/>
        </w:rPr>
        <w:t>采购人按照上传响应性文件时间的顺序，决定磋商顺序；</w:t>
      </w:r>
      <w:bookmarkEnd w:id="72"/>
    </w:p>
    <w:p>
      <w:pPr>
        <w:spacing w:line="600" w:lineRule="exact"/>
        <w:ind w:firstLine="480" w:firstLineChars="200"/>
        <w:outlineLvl w:val="0"/>
        <w:rPr>
          <w:rFonts w:hint="eastAsia" w:ascii="宋体" w:hAnsi="宋体" w:eastAsia="宋体" w:cs="宋体"/>
          <w:b w:val="0"/>
          <w:bCs w:val="0"/>
          <w:color w:val="auto"/>
          <w:sz w:val="24"/>
        </w:rPr>
      </w:pPr>
      <w:bookmarkStart w:id="77" w:name="_Toc18899"/>
      <w:r>
        <w:rPr>
          <w:rFonts w:hint="eastAsia" w:ascii="宋体" w:hAnsi="宋体" w:cs="宋体"/>
          <w:b w:val="0"/>
          <w:bCs w:val="0"/>
          <w:color w:val="auto"/>
          <w:sz w:val="24"/>
          <w:lang w:val="en-US" w:eastAsia="zh-CN"/>
        </w:rPr>
        <w:t>6.2</w:t>
      </w:r>
      <w:r>
        <w:rPr>
          <w:rFonts w:hint="eastAsia" w:ascii="宋体" w:hAnsi="宋体" w:eastAsia="宋体" w:cs="宋体"/>
          <w:b w:val="0"/>
          <w:bCs w:val="0"/>
          <w:color w:val="auto"/>
          <w:sz w:val="24"/>
        </w:rPr>
        <w:t>磋商小组所有成员应当集中与单一</w:t>
      </w:r>
      <w:r>
        <w:rPr>
          <w:rFonts w:hint="eastAsia" w:ascii="宋体" w:hAnsi="宋体" w:cs="宋体"/>
          <w:b w:val="0"/>
          <w:bCs w:val="0"/>
          <w:color w:val="auto"/>
          <w:sz w:val="24"/>
          <w:lang w:val="en-US" w:eastAsia="zh-CN"/>
        </w:rPr>
        <w:t>供应商</w:t>
      </w:r>
      <w:r>
        <w:rPr>
          <w:rFonts w:hint="eastAsia" w:ascii="宋体" w:hAnsi="宋体" w:eastAsia="宋体" w:cs="宋体"/>
          <w:b w:val="0"/>
          <w:bCs w:val="0"/>
          <w:color w:val="auto"/>
          <w:sz w:val="24"/>
        </w:rPr>
        <w:t>分别进行磋商。磋商小组将根据采购文件规定的程序、评定成交的标准等事项与实质性响应采购文件要求的</w:t>
      </w:r>
      <w:r>
        <w:rPr>
          <w:rFonts w:hint="eastAsia" w:ascii="宋体" w:hAnsi="宋体" w:cs="宋体"/>
          <w:b w:val="0"/>
          <w:bCs w:val="0"/>
          <w:color w:val="auto"/>
          <w:sz w:val="24"/>
          <w:lang w:val="en-US" w:eastAsia="zh-CN"/>
        </w:rPr>
        <w:t>供应商</w:t>
      </w:r>
      <w:r>
        <w:rPr>
          <w:rFonts w:hint="eastAsia" w:ascii="宋体" w:hAnsi="宋体" w:eastAsia="宋体" w:cs="宋体"/>
          <w:b w:val="0"/>
          <w:bCs w:val="0"/>
          <w:color w:val="auto"/>
          <w:sz w:val="24"/>
        </w:rPr>
        <w:t>分别进行磋商。在磋商中，磋商的任何一方不得透露与磋商有关的其他</w:t>
      </w:r>
      <w:r>
        <w:rPr>
          <w:rFonts w:hint="eastAsia" w:ascii="宋体" w:hAnsi="宋体" w:cs="宋体"/>
          <w:b w:val="0"/>
          <w:bCs w:val="0"/>
          <w:color w:val="auto"/>
          <w:sz w:val="24"/>
          <w:lang w:val="en-US" w:eastAsia="zh-CN"/>
        </w:rPr>
        <w:t>供应商</w:t>
      </w:r>
      <w:r>
        <w:rPr>
          <w:rFonts w:hint="eastAsia" w:ascii="宋体" w:hAnsi="宋体" w:eastAsia="宋体" w:cs="宋体"/>
          <w:b w:val="0"/>
          <w:bCs w:val="0"/>
          <w:color w:val="auto"/>
          <w:sz w:val="24"/>
        </w:rPr>
        <w:t>的技术资料、价格和其他信息。</w:t>
      </w:r>
      <w:bookmarkEnd w:id="77"/>
    </w:p>
    <w:p>
      <w:pPr>
        <w:spacing w:line="600" w:lineRule="exact"/>
        <w:ind w:firstLine="480" w:firstLineChars="200"/>
        <w:outlineLvl w:val="0"/>
        <w:rPr>
          <w:rFonts w:hint="eastAsia" w:ascii="宋体" w:hAnsi="宋体" w:eastAsia="宋体" w:cs="宋体"/>
          <w:b w:val="0"/>
          <w:bCs w:val="0"/>
          <w:color w:val="auto"/>
          <w:sz w:val="24"/>
        </w:rPr>
      </w:pPr>
      <w:bookmarkStart w:id="78" w:name="_Toc21665"/>
      <w:r>
        <w:rPr>
          <w:rFonts w:hint="eastAsia" w:ascii="宋体" w:hAnsi="宋体" w:cs="宋体"/>
          <w:b w:val="0"/>
          <w:bCs w:val="0"/>
          <w:color w:val="auto"/>
          <w:sz w:val="24"/>
          <w:lang w:val="en-US" w:eastAsia="zh-CN"/>
        </w:rPr>
        <w:t>6.3</w:t>
      </w:r>
      <w:r>
        <w:rPr>
          <w:rFonts w:hint="eastAsia" w:ascii="宋体" w:hAnsi="宋体" w:eastAsia="宋体" w:cs="宋体"/>
          <w:b w:val="0"/>
          <w:bCs w:val="0"/>
          <w:color w:val="auto"/>
          <w:sz w:val="24"/>
        </w:rPr>
        <w:t>本次磋商中，响应性文件中的报价为第一次报价。</w:t>
      </w:r>
      <w:bookmarkEnd w:id="78"/>
    </w:p>
    <w:p>
      <w:pPr>
        <w:spacing w:line="600" w:lineRule="exact"/>
        <w:ind w:firstLine="480" w:firstLineChars="200"/>
        <w:outlineLvl w:val="0"/>
        <w:rPr>
          <w:rFonts w:hint="eastAsia" w:ascii="宋体" w:hAnsi="宋体" w:eastAsia="宋体" w:cs="宋体"/>
          <w:b w:val="0"/>
          <w:bCs w:val="0"/>
          <w:color w:val="auto"/>
          <w:sz w:val="24"/>
        </w:rPr>
      </w:pPr>
      <w:bookmarkStart w:id="79" w:name="_Toc21271"/>
      <w:r>
        <w:rPr>
          <w:rFonts w:hint="eastAsia" w:ascii="宋体" w:hAnsi="宋体" w:cs="宋体"/>
          <w:b w:val="0"/>
          <w:bCs w:val="0"/>
          <w:color w:val="auto"/>
          <w:sz w:val="24"/>
          <w:lang w:val="en-US" w:eastAsia="zh-CN"/>
        </w:rPr>
        <w:t>6.4供应商</w:t>
      </w:r>
      <w:r>
        <w:rPr>
          <w:rFonts w:hint="eastAsia" w:ascii="宋体" w:hAnsi="宋体" w:eastAsia="宋体" w:cs="宋体"/>
          <w:b w:val="0"/>
          <w:bCs w:val="0"/>
          <w:color w:val="auto"/>
          <w:sz w:val="24"/>
        </w:rPr>
        <w:t>可以在磋商小组规定的时间内进行第二次报价，通过交易中心系统以电子形式递交，第二轮报价不得高于第一轮报价，成交价以最终报价为准。磋商过程中，磋商小组可以根据磋商情况调整磋商轮次。</w:t>
      </w:r>
      <w:bookmarkEnd w:id="79"/>
    </w:p>
    <w:p>
      <w:pPr>
        <w:spacing w:line="600" w:lineRule="exact"/>
        <w:ind w:firstLine="480" w:firstLineChars="200"/>
        <w:outlineLvl w:val="0"/>
        <w:rPr>
          <w:rFonts w:hint="eastAsia" w:ascii="宋体" w:hAnsi="宋体" w:eastAsia="宋体" w:cs="宋体"/>
          <w:b w:val="0"/>
          <w:bCs w:val="0"/>
          <w:color w:val="auto"/>
          <w:sz w:val="24"/>
        </w:rPr>
      </w:pPr>
      <w:bookmarkStart w:id="80" w:name="_Toc17476"/>
      <w:r>
        <w:rPr>
          <w:rFonts w:hint="eastAsia" w:ascii="宋体" w:hAnsi="宋体" w:cs="宋体"/>
          <w:b w:val="0"/>
          <w:bCs w:val="0"/>
          <w:color w:val="auto"/>
          <w:sz w:val="24"/>
          <w:lang w:val="en-US" w:eastAsia="zh-CN"/>
        </w:rPr>
        <w:t>6.5</w:t>
      </w:r>
      <w:r>
        <w:rPr>
          <w:rFonts w:hint="eastAsia" w:ascii="宋体" w:hAnsi="宋体" w:eastAsia="宋体" w:cs="宋体"/>
          <w:b w:val="0"/>
          <w:bCs w:val="0"/>
          <w:color w:val="auto"/>
          <w:sz w:val="24"/>
        </w:rPr>
        <w:t>本项目采用综合评分法，磋商小组成员综合评审各</w:t>
      </w:r>
      <w:r>
        <w:rPr>
          <w:rFonts w:hint="eastAsia" w:ascii="宋体" w:hAnsi="宋体" w:cs="宋体"/>
          <w:b w:val="0"/>
          <w:bCs w:val="0"/>
          <w:color w:val="auto"/>
          <w:sz w:val="24"/>
          <w:lang w:val="en-US" w:eastAsia="zh-CN"/>
        </w:rPr>
        <w:t>供应商</w:t>
      </w:r>
      <w:r>
        <w:rPr>
          <w:rFonts w:hint="eastAsia" w:ascii="宋体" w:hAnsi="宋体" w:eastAsia="宋体" w:cs="宋体"/>
          <w:b w:val="0"/>
          <w:bCs w:val="0"/>
          <w:color w:val="auto"/>
          <w:sz w:val="24"/>
        </w:rPr>
        <w:t>提交的响应性文件，按总得分由高到低的顺序推荐3名成交候选人，并编写评审报告。</w:t>
      </w:r>
      <w:bookmarkEnd w:id="80"/>
    </w:p>
    <w:p>
      <w:pPr>
        <w:spacing w:line="600" w:lineRule="exact"/>
        <w:ind w:firstLine="482" w:firstLineChars="200"/>
        <w:outlineLvl w:val="0"/>
        <w:rPr>
          <w:rFonts w:ascii="宋体" w:hAnsi="宋体" w:eastAsia="宋体" w:cs="宋体"/>
          <w:b/>
          <w:bCs/>
          <w:color w:val="auto"/>
          <w:sz w:val="24"/>
        </w:rPr>
      </w:pPr>
      <w:bookmarkStart w:id="81" w:name="_Toc3969"/>
      <w:r>
        <w:rPr>
          <w:rFonts w:hint="eastAsia" w:ascii="宋体" w:hAnsi="宋体" w:eastAsia="宋体" w:cs="宋体"/>
          <w:b/>
          <w:bCs/>
          <w:color w:val="auto"/>
          <w:sz w:val="24"/>
        </w:rPr>
        <w:t>7、</w:t>
      </w:r>
      <w:bookmarkEnd w:id="73"/>
      <w:bookmarkEnd w:id="74"/>
      <w:bookmarkEnd w:id="75"/>
      <w:bookmarkEnd w:id="76"/>
      <w:r>
        <w:rPr>
          <w:rFonts w:hint="eastAsia" w:ascii="宋体" w:hAnsi="宋体" w:eastAsia="宋体" w:cs="宋体"/>
          <w:b/>
          <w:bCs/>
          <w:color w:val="auto"/>
          <w:sz w:val="24"/>
        </w:rPr>
        <w:t>磋商小组</w:t>
      </w:r>
      <w:bookmarkEnd w:id="81"/>
    </w:p>
    <w:p>
      <w:pPr>
        <w:widowControl/>
        <w:spacing w:line="600" w:lineRule="exact"/>
        <w:ind w:firstLine="480" w:firstLineChars="200"/>
        <w:rPr>
          <w:rFonts w:ascii="宋体" w:hAnsi="宋体" w:eastAsia="宋体" w:cs="宋体"/>
          <w:color w:val="auto"/>
          <w:sz w:val="24"/>
        </w:rPr>
      </w:pPr>
      <w:r>
        <w:rPr>
          <w:rFonts w:hint="eastAsia" w:ascii="宋体" w:hAnsi="宋体" w:eastAsia="宋体" w:cs="宋体"/>
          <w:color w:val="auto"/>
          <w:kern w:val="0"/>
          <w:sz w:val="24"/>
        </w:rPr>
        <w:t>7</w:t>
      </w:r>
      <w:r>
        <w:rPr>
          <w:rFonts w:hint="eastAsia" w:ascii="宋体" w:hAnsi="宋体" w:eastAsia="宋体" w:cs="宋体"/>
          <w:color w:val="auto"/>
          <w:sz w:val="24"/>
        </w:rPr>
        <w:t>.1磋商小组由采购人依法组建，负责磋商。根据《政府采购竞争性磋商采购方式管理办法》的规定，磋商小组应当履行以下义务：</w:t>
      </w:r>
    </w:p>
    <w:p>
      <w:pPr>
        <w:widowControl/>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w:t>
      </w:r>
      <w:r>
        <w:rPr>
          <w:rFonts w:hint="eastAsia" w:ascii="宋体" w:hAnsi="宋体" w:cs="宋体"/>
          <w:color w:val="auto"/>
          <w:sz w:val="24"/>
          <w:lang w:val="en-US" w:eastAsia="zh-CN"/>
        </w:rPr>
        <w:t>1</w:t>
      </w:r>
      <w:r>
        <w:rPr>
          <w:rFonts w:hint="eastAsia" w:ascii="宋体" w:hAnsi="宋体" w:eastAsia="宋体" w:cs="宋体"/>
          <w:color w:val="auto"/>
          <w:sz w:val="24"/>
        </w:rPr>
        <w:t>）遵纪守法，客观、公正、廉洁地履行职责；</w:t>
      </w:r>
    </w:p>
    <w:p>
      <w:pPr>
        <w:widowControl/>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w:t>
      </w:r>
      <w:r>
        <w:rPr>
          <w:rFonts w:hint="eastAsia" w:ascii="宋体" w:hAnsi="宋体" w:cs="宋体"/>
          <w:color w:val="auto"/>
          <w:sz w:val="24"/>
          <w:lang w:val="en-US" w:eastAsia="zh-CN"/>
        </w:rPr>
        <w:t>2</w:t>
      </w:r>
      <w:r>
        <w:rPr>
          <w:rFonts w:hint="eastAsia" w:ascii="宋体" w:hAnsi="宋体" w:eastAsia="宋体" w:cs="宋体"/>
          <w:color w:val="auto"/>
          <w:sz w:val="24"/>
        </w:rPr>
        <w:t>）根据竞争性磋商文件的规定独立进行评审，对个人的评审意见承担法律责任；</w:t>
      </w:r>
    </w:p>
    <w:p>
      <w:pPr>
        <w:widowControl/>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w:t>
      </w:r>
      <w:r>
        <w:rPr>
          <w:rFonts w:hint="eastAsia" w:ascii="宋体" w:hAnsi="宋体" w:cs="宋体"/>
          <w:color w:val="auto"/>
          <w:sz w:val="24"/>
          <w:lang w:val="en-US" w:eastAsia="zh-CN"/>
        </w:rPr>
        <w:t>3</w:t>
      </w:r>
      <w:r>
        <w:rPr>
          <w:rFonts w:hint="eastAsia" w:ascii="宋体" w:hAnsi="宋体" w:eastAsia="宋体" w:cs="宋体"/>
          <w:color w:val="auto"/>
          <w:sz w:val="24"/>
        </w:rPr>
        <w:t>）参与磋商报告的起草；</w:t>
      </w:r>
    </w:p>
    <w:p>
      <w:pPr>
        <w:widowControl/>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w:t>
      </w:r>
      <w:r>
        <w:rPr>
          <w:rFonts w:hint="eastAsia" w:ascii="宋体" w:hAnsi="宋体" w:cs="宋体"/>
          <w:color w:val="auto"/>
          <w:sz w:val="24"/>
          <w:lang w:val="en-US" w:eastAsia="zh-CN"/>
        </w:rPr>
        <w:t>4</w:t>
      </w:r>
      <w:r>
        <w:rPr>
          <w:rFonts w:hint="eastAsia" w:ascii="宋体" w:hAnsi="宋体" w:eastAsia="宋体" w:cs="宋体"/>
          <w:color w:val="auto"/>
          <w:sz w:val="24"/>
        </w:rPr>
        <w:t>）配合采购人、采购代理机构答复响应标人提出的质疑；</w:t>
      </w:r>
    </w:p>
    <w:p>
      <w:pPr>
        <w:widowControl/>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w:t>
      </w:r>
      <w:r>
        <w:rPr>
          <w:rFonts w:hint="eastAsia" w:ascii="宋体" w:hAnsi="宋体" w:cs="宋体"/>
          <w:color w:val="auto"/>
          <w:sz w:val="24"/>
          <w:lang w:val="en-US" w:eastAsia="zh-CN"/>
        </w:rPr>
        <w:t>5</w:t>
      </w:r>
      <w:r>
        <w:rPr>
          <w:rFonts w:hint="eastAsia" w:ascii="宋体" w:hAnsi="宋体" w:eastAsia="宋体" w:cs="宋体"/>
          <w:color w:val="auto"/>
          <w:sz w:val="24"/>
        </w:rPr>
        <w:t>）配合财政部门的投诉处理和监督检查工作。</w:t>
      </w:r>
    </w:p>
    <w:p>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7.2磋商小组由有关技术、经济方面的专家组成。磋商小组人数及技术、经济专家的确定方式见响应标人须知前附表。</w:t>
      </w:r>
    </w:p>
    <w:p>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7.3 磋商原则</w:t>
      </w:r>
    </w:p>
    <w:p>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7.3.1严格按照竞争性磋商文件中的所有相关规定；按照“公平、公正、科学”的原则进行磋商。</w:t>
      </w:r>
    </w:p>
    <w:p>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7.3.2反对不正当竞争。</w:t>
      </w:r>
    </w:p>
    <w:p>
      <w:pPr>
        <w:spacing w:line="600" w:lineRule="exact"/>
        <w:ind w:firstLine="482" w:firstLineChars="200"/>
        <w:outlineLvl w:val="0"/>
        <w:rPr>
          <w:rFonts w:ascii="宋体" w:hAnsi="宋体" w:eastAsia="宋体" w:cs="宋体"/>
          <w:b/>
          <w:bCs/>
          <w:color w:val="auto"/>
          <w:sz w:val="24"/>
        </w:rPr>
      </w:pPr>
      <w:bookmarkStart w:id="82" w:name="_Toc2977"/>
      <w:bookmarkStart w:id="83" w:name="_Toc11627"/>
      <w:bookmarkStart w:id="84" w:name="_Toc12301"/>
      <w:bookmarkStart w:id="85" w:name="_Toc18474"/>
      <w:bookmarkStart w:id="86" w:name="_Toc25643"/>
      <w:r>
        <w:rPr>
          <w:rFonts w:hint="eastAsia" w:ascii="宋体" w:hAnsi="宋体" w:eastAsia="宋体" w:cs="宋体"/>
          <w:b/>
          <w:bCs/>
          <w:color w:val="auto"/>
          <w:sz w:val="24"/>
        </w:rPr>
        <w:t>8、磋商过程的保密</w:t>
      </w:r>
      <w:bookmarkEnd w:id="82"/>
      <w:bookmarkEnd w:id="83"/>
      <w:bookmarkEnd w:id="84"/>
      <w:bookmarkEnd w:id="85"/>
      <w:bookmarkEnd w:id="86"/>
    </w:p>
    <w:p>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8.1响应文件的审查、澄清、评价和比较的有关资料以及成交候选人的推荐情况，与磋商有关的其他任何情况均应严格保密。</w:t>
      </w:r>
    </w:p>
    <w:p>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8.2在响应文件的评审和比较、成交候选人推荐以及授予合同的过程中，</w:t>
      </w:r>
      <w:r>
        <w:rPr>
          <w:rFonts w:hint="eastAsia" w:ascii="宋体" w:hAnsi="宋体" w:cs="宋体"/>
          <w:color w:val="auto"/>
          <w:sz w:val="24"/>
          <w:lang w:eastAsia="zh-CN"/>
        </w:rPr>
        <w:t>供应商</w:t>
      </w:r>
      <w:r>
        <w:rPr>
          <w:rFonts w:hint="eastAsia" w:ascii="宋体" w:hAnsi="宋体" w:eastAsia="宋体" w:cs="宋体"/>
          <w:color w:val="auto"/>
          <w:sz w:val="24"/>
        </w:rPr>
        <w:t>向采购人和磋商小组施加影响的任何行为，都将会导致其磋商被拒绝。</w:t>
      </w:r>
    </w:p>
    <w:p>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8.3采购人不对未成交人就磋商过程以及未能成交原因作出任何解释。未成交人不得向磋商小组成员和其他有关人员索问磋商过程的情况和资料。</w:t>
      </w:r>
    </w:p>
    <w:p>
      <w:pPr>
        <w:spacing w:line="600" w:lineRule="exact"/>
        <w:ind w:firstLine="482" w:firstLineChars="200"/>
        <w:outlineLvl w:val="0"/>
        <w:rPr>
          <w:rFonts w:ascii="宋体" w:hAnsi="宋体" w:eastAsia="宋体" w:cs="宋体"/>
          <w:b/>
          <w:bCs/>
          <w:color w:val="auto"/>
          <w:sz w:val="24"/>
        </w:rPr>
      </w:pPr>
      <w:bookmarkStart w:id="87" w:name="_Toc10668"/>
      <w:bookmarkStart w:id="88" w:name="_Toc19195"/>
      <w:bookmarkStart w:id="89" w:name="_Toc24402"/>
      <w:bookmarkStart w:id="90" w:name="_Toc10832"/>
      <w:bookmarkStart w:id="91" w:name="_Toc31314"/>
      <w:r>
        <w:rPr>
          <w:rFonts w:hint="eastAsia" w:ascii="宋体" w:hAnsi="宋体" w:eastAsia="宋体" w:cs="宋体"/>
          <w:b/>
          <w:bCs/>
          <w:color w:val="auto"/>
          <w:sz w:val="24"/>
        </w:rPr>
        <w:t>9、响应文件的澄清</w:t>
      </w:r>
      <w:bookmarkEnd w:id="87"/>
      <w:bookmarkEnd w:id="88"/>
      <w:bookmarkEnd w:id="89"/>
      <w:bookmarkEnd w:id="90"/>
      <w:bookmarkEnd w:id="91"/>
    </w:p>
    <w:p>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磋商小组可以以书面形式要求</w:t>
      </w:r>
      <w:r>
        <w:rPr>
          <w:rFonts w:hint="eastAsia" w:ascii="宋体" w:hAnsi="宋体" w:cs="宋体"/>
          <w:color w:val="auto"/>
          <w:sz w:val="24"/>
          <w:lang w:eastAsia="zh-CN"/>
        </w:rPr>
        <w:t>供应商</w:t>
      </w:r>
      <w:r>
        <w:rPr>
          <w:rFonts w:hint="eastAsia" w:ascii="宋体" w:hAnsi="宋体" w:eastAsia="宋体" w:cs="宋体"/>
          <w:color w:val="auto"/>
          <w:sz w:val="24"/>
        </w:rPr>
        <w:t>对其响应文件中含义不明确的内容作必要的澄清或说明。</w:t>
      </w:r>
      <w:r>
        <w:rPr>
          <w:rFonts w:hint="eastAsia" w:ascii="宋体" w:hAnsi="宋体" w:cs="宋体"/>
          <w:color w:val="auto"/>
          <w:sz w:val="24"/>
          <w:lang w:eastAsia="zh-CN"/>
        </w:rPr>
        <w:t>供应商</w:t>
      </w:r>
      <w:r>
        <w:rPr>
          <w:rFonts w:hint="eastAsia" w:ascii="宋体" w:hAnsi="宋体" w:eastAsia="宋体" w:cs="宋体"/>
          <w:color w:val="auto"/>
          <w:sz w:val="24"/>
        </w:rPr>
        <w:t>应采用书面形式进行澄清和说明，但不得超出响应文件的范围或者改变响应文件实质性内容。凡属于磋商小组在磋商发现的计算错误并进行核实的修改不在此列。</w:t>
      </w:r>
    </w:p>
    <w:p>
      <w:pPr>
        <w:spacing w:line="600" w:lineRule="exact"/>
        <w:ind w:firstLine="482" w:firstLineChars="200"/>
        <w:outlineLvl w:val="0"/>
        <w:rPr>
          <w:rFonts w:ascii="宋体" w:hAnsi="宋体" w:eastAsia="宋体" w:cs="宋体"/>
          <w:b/>
          <w:bCs/>
          <w:color w:val="auto"/>
          <w:sz w:val="24"/>
        </w:rPr>
      </w:pPr>
      <w:bookmarkStart w:id="92" w:name="_Toc26096"/>
      <w:bookmarkStart w:id="93" w:name="_Toc10092"/>
      <w:bookmarkStart w:id="94" w:name="_Toc7780"/>
      <w:bookmarkStart w:id="95" w:name="_Toc572"/>
      <w:bookmarkStart w:id="96" w:name="_Toc4181"/>
      <w:r>
        <w:rPr>
          <w:rFonts w:hint="eastAsia" w:ascii="宋体" w:hAnsi="宋体" w:eastAsia="宋体" w:cs="宋体"/>
          <w:b/>
          <w:bCs/>
          <w:color w:val="auto"/>
          <w:sz w:val="24"/>
        </w:rPr>
        <w:t>10、响应文件的初步评审</w:t>
      </w:r>
      <w:bookmarkEnd w:id="92"/>
      <w:bookmarkEnd w:id="93"/>
      <w:bookmarkEnd w:id="94"/>
      <w:bookmarkEnd w:id="95"/>
      <w:bookmarkEnd w:id="96"/>
    </w:p>
    <w:p>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10.1根据初步评审要求经审查有效的响应文件，才能提交磋商小组进行评审。</w:t>
      </w:r>
    </w:p>
    <w:p>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10.2磋商小组首先评定每份响应文件是否实质上响应了竞争性磋商文件的要求。所谓实质上响应，是指响应文件与竞争性磋商文件的所有实质性条款、条件和要求相符，无显著差异或保留，或者对合同中约定的采购人的权利和</w:t>
      </w:r>
      <w:r>
        <w:rPr>
          <w:rFonts w:hint="eastAsia" w:ascii="宋体" w:hAnsi="宋体" w:cs="宋体"/>
          <w:color w:val="auto"/>
          <w:sz w:val="24"/>
          <w:lang w:eastAsia="zh-CN"/>
        </w:rPr>
        <w:t>供应商</w:t>
      </w:r>
      <w:r>
        <w:rPr>
          <w:rFonts w:hint="eastAsia" w:ascii="宋体" w:hAnsi="宋体" w:eastAsia="宋体" w:cs="宋体"/>
          <w:color w:val="auto"/>
          <w:sz w:val="24"/>
        </w:rPr>
        <w:t>的义务方面造成重大的限制，纠正这些差异或保留，将会对其他实质上响应竞争性磋商文件要求的</w:t>
      </w:r>
      <w:r>
        <w:rPr>
          <w:rFonts w:hint="eastAsia" w:ascii="宋体" w:hAnsi="宋体" w:cs="宋体"/>
          <w:color w:val="auto"/>
          <w:sz w:val="24"/>
          <w:lang w:eastAsia="zh-CN"/>
        </w:rPr>
        <w:t>供应商</w:t>
      </w:r>
      <w:r>
        <w:rPr>
          <w:rFonts w:hint="eastAsia" w:ascii="宋体" w:hAnsi="宋体" w:eastAsia="宋体" w:cs="宋体"/>
          <w:color w:val="auto"/>
          <w:sz w:val="24"/>
        </w:rPr>
        <w:t>的竞争地位产生不公正的影响。</w:t>
      </w:r>
    </w:p>
    <w:p>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10.3如果响应文件实质上不响应竞争性磋商文件的要求，采购人将予以拒绝，并且不允许</w:t>
      </w:r>
      <w:r>
        <w:rPr>
          <w:rFonts w:hint="eastAsia" w:ascii="宋体" w:hAnsi="宋体" w:cs="宋体"/>
          <w:color w:val="auto"/>
          <w:sz w:val="24"/>
          <w:lang w:eastAsia="zh-CN"/>
        </w:rPr>
        <w:t>供应商</w:t>
      </w:r>
      <w:r>
        <w:rPr>
          <w:rFonts w:hint="eastAsia" w:ascii="宋体" w:hAnsi="宋体" w:eastAsia="宋体" w:cs="宋体"/>
          <w:color w:val="auto"/>
          <w:sz w:val="24"/>
        </w:rPr>
        <w:t>通过修改或撤消其不符合要求的差异或保留，使之成为具有响应性的磋商。</w:t>
      </w:r>
    </w:p>
    <w:p>
      <w:pPr>
        <w:spacing w:line="600" w:lineRule="exact"/>
        <w:ind w:firstLine="482" w:firstLineChars="200"/>
        <w:outlineLvl w:val="0"/>
        <w:rPr>
          <w:rFonts w:ascii="宋体" w:hAnsi="宋体" w:eastAsia="宋体" w:cs="宋体"/>
          <w:b/>
          <w:bCs/>
          <w:color w:val="auto"/>
          <w:sz w:val="24"/>
        </w:rPr>
      </w:pPr>
      <w:bookmarkStart w:id="97" w:name="_Toc8522"/>
      <w:bookmarkStart w:id="98" w:name="_Toc6742"/>
      <w:bookmarkStart w:id="99" w:name="_Toc10938"/>
      <w:bookmarkStart w:id="100" w:name="_Toc4879"/>
      <w:bookmarkStart w:id="101" w:name="_Toc23151"/>
      <w:r>
        <w:rPr>
          <w:rFonts w:hint="eastAsia" w:ascii="宋体" w:hAnsi="宋体" w:eastAsia="宋体" w:cs="宋体"/>
          <w:b/>
          <w:bCs/>
          <w:color w:val="auto"/>
          <w:sz w:val="24"/>
        </w:rPr>
        <w:t>11.响应文件计算错误的修正</w:t>
      </w:r>
      <w:bookmarkEnd w:id="97"/>
      <w:bookmarkEnd w:id="98"/>
      <w:bookmarkEnd w:id="99"/>
      <w:bookmarkEnd w:id="100"/>
      <w:bookmarkEnd w:id="101"/>
    </w:p>
    <w:p>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11.1磋商小组将对确定为实质上响应竞争性磋商文件要求的响应文件进行校核，看其是否有计算或表达上的错误，修正错误的原则如下：</w:t>
      </w:r>
    </w:p>
    <w:p>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11.1.1如果数字表示的金额和用文字表示的金额不一致时，应以文字表示的金额为准；</w:t>
      </w:r>
    </w:p>
    <w:p>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11.1.2当单价与数量的乘积与合价不一致时，以单价为准，除非磋商小组认为单价有明显的小数点错误，此时应以标出的合价为准，并修改单价。</w:t>
      </w:r>
    </w:p>
    <w:p>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11.2按上述修正错误的原则及方法调整或修正响应文件的磋商报价，</w:t>
      </w:r>
      <w:r>
        <w:rPr>
          <w:rFonts w:hint="eastAsia" w:ascii="宋体" w:hAnsi="宋体" w:cs="宋体"/>
          <w:color w:val="auto"/>
          <w:sz w:val="24"/>
          <w:lang w:eastAsia="zh-CN"/>
        </w:rPr>
        <w:t>供应商</w:t>
      </w:r>
      <w:r>
        <w:rPr>
          <w:rFonts w:hint="eastAsia" w:ascii="宋体" w:hAnsi="宋体" w:eastAsia="宋体" w:cs="宋体"/>
          <w:color w:val="auto"/>
          <w:sz w:val="24"/>
        </w:rPr>
        <w:t>同意后，调整后的磋商报价对</w:t>
      </w:r>
      <w:r>
        <w:rPr>
          <w:rFonts w:hint="eastAsia" w:ascii="宋体" w:hAnsi="宋体" w:cs="宋体"/>
          <w:color w:val="auto"/>
          <w:sz w:val="24"/>
          <w:lang w:eastAsia="zh-CN"/>
        </w:rPr>
        <w:t>供应商</w:t>
      </w:r>
      <w:r>
        <w:rPr>
          <w:rFonts w:hint="eastAsia" w:ascii="宋体" w:hAnsi="宋体" w:eastAsia="宋体" w:cs="宋体"/>
          <w:color w:val="auto"/>
          <w:sz w:val="24"/>
        </w:rPr>
        <w:t>起约束作用。如果</w:t>
      </w:r>
      <w:r>
        <w:rPr>
          <w:rFonts w:hint="eastAsia" w:ascii="宋体" w:hAnsi="宋体" w:cs="宋体"/>
          <w:color w:val="auto"/>
          <w:sz w:val="24"/>
          <w:lang w:eastAsia="zh-CN"/>
        </w:rPr>
        <w:t>供应商</w:t>
      </w:r>
      <w:r>
        <w:rPr>
          <w:rFonts w:hint="eastAsia" w:ascii="宋体" w:hAnsi="宋体" w:eastAsia="宋体" w:cs="宋体"/>
          <w:color w:val="auto"/>
          <w:sz w:val="24"/>
        </w:rPr>
        <w:t>不接受修正后的报价，则磋商小组对其不再进行评审。</w:t>
      </w:r>
    </w:p>
    <w:p>
      <w:pPr>
        <w:spacing w:line="600" w:lineRule="exact"/>
        <w:ind w:firstLine="482" w:firstLineChars="200"/>
        <w:outlineLvl w:val="0"/>
        <w:rPr>
          <w:rFonts w:ascii="宋体" w:hAnsi="宋体" w:eastAsia="宋体" w:cs="宋体"/>
          <w:b/>
          <w:bCs/>
          <w:color w:val="auto"/>
          <w:sz w:val="24"/>
        </w:rPr>
      </w:pPr>
      <w:bookmarkStart w:id="102" w:name="_Toc21245"/>
      <w:bookmarkStart w:id="103" w:name="_Toc22488"/>
      <w:bookmarkStart w:id="104" w:name="_Toc22441"/>
      <w:bookmarkStart w:id="105" w:name="_Toc7158"/>
      <w:bookmarkStart w:id="106" w:name="_Toc25476"/>
      <w:r>
        <w:rPr>
          <w:rFonts w:hint="eastAsia" w:ascii="宋体" w:hAnsi="宋体" w:eastAsia="宋体" w:cs="宋体"/>
          <w:b/>
          <w:bCs/>
          <w:color w:val="auto"/>
          <w:sz w:val="24"/>
        </w:rPr>
        <w:t>12. 响应文件的评审、比较和否决</w:t>
      </w:r>
      <w:bookmarkEnd w:id="102"/>
      <w:bookmarkEnd w:id="103"/>
      <w:bookmarkEnd w:id="104"/>
      <w:bookmarkEnd w:id="105"/>
      <w:bookmarkEnd w:id="106"/>
    </w:p>
    <w:p>
      <w:pPr>
        <w:snapToGrid w:val="0"/>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12.1磋商小组仅对在实质上响应竞争性磋商文件要求的响应文件进行评估和比较。</w:t>
      </w:r>
    </w:p>
    <w:p>
      <w:pPr>
        <w:snapToGrid w:val="0"/>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12.2在磋商过程中，磋商小组发现</w:t>
      </w:r>
      <w:r>
        <w:rPr>
          <w:rFonts w:hint="eastAsia" w:ascii="宋体" w:hAnsi="宋体" w:cs="宋体"/>
          <w:color w:val="auto"/>
          <w:sz w:val="24"/>
          <w:lang w:eastAsia="zh-CN"/>
        </w:rPr>
        <w:t>供应商</w:t>
      </w:r>
      <w:r>
        <w:rPr>
          <w:rFonts w:hint="eastAsia" w:ascii="宋体" w:hAnsi="宋体" w:eastAsia="宋体" w:cs="宋体"/>
          <w:color w:val="auto"/>
          <w:sz w:val="24"/>
        </w:rPr>
        <w:t>的磋商报价明显低于其他</w:t>
      </w:r>
      <w:r>
        <w:rPr>
          <w:rFonts w:hint="eastAsia" w:ascii="宋体" w:hAnsi="宋体" w:cs="宋体"/>
          <w:color w:val="auto"/>
          <w:sz w:val="24"/>
          <w:lang w:eastAsia="zh-CN"/>
        </w:rPr>
        <w:t>供应商</w:t>
      </w:r>
      <w:r>
        <w:rPr>
          <w:rFonts w:hint="eastAsia" w:ascii="宋体" w:hAnsi="宋体" w:eastAsia="宋体" w:cs="宋体"/>
          <w:color w:val="auto"/>
          <w:sz w:val="24"/>
        </w:rPr>
        <w:t>的报价，并有可能低于其企业成本的，则磋商小组可以以书面形式要求该</w:t>
      </w:r>
      <w:r>
        <w:rPr>
          <w:rFonts w:hint="eastAsia" w:ascii="宋体" w:hAnsi="宋体" w:cs="宋体"/>
          <w:color w:val="auto"/>
          <w:sz w:val="24"/>
          <w:lang w:eastAsia="zh-CN"/>
        </w:rPr>
        <w:t>供应商</w:t>
      </w:r>
      <w:r>
        <w:rPr>
          <w:rFonts w:hint="eastAsia" w:ascii="宋体" w:hAnsi="宋体" w:eastAsia="宋体" w:cs="宋体"/>
          <w:color w:val="auto"/>
          <w:sz w:val="24"/>
        </w:rPr>
        <w:t>作出书面说明并提供相关证明材料。</w:t>
      </w:r>
      <w:r>
        <w:rPr>
          <w:rFonts w:hint="eastAsia" w:ascii="宋体" w:hAnsi="宋体" w:cs="宋体"/>
          <w:color w:val="auto"/>
          <w:sz w:val="24"/>
          <w:lang w:eastAsia="zh-CN"/>
        </w:rPr>
        <w:t>供应商</w:t>
      </w:r>
      <w:r>
        <w:rPr>
          <w:rFonts w:hint="eastAsia" w:ascii="宋体" w:hAnsi="宋体" w:eastAsia="宋体" w:cs="宋体"/>
          <w:color w:val="auto"/>
          <w:sz w:val="24"/>
        </w:rPr>
        <w:t>不能合理说明或不能提供相关证明材料的，磋商小组对其响应文件不再进行评审。</w:t>
      </w:r>
    </w:p>
    <w:p>
      <w:pPr>
        <w:snapToGrid w:val="0"/>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 xml:space="preserve">12.3在首轮磋商的基础上，磋商小组讨论、分析、综合各种因素后，决定是否与各方再次进行磋商。 </w:t>
      </w:r>
    </w:p>
    <w:p>
      <w:pPr>
        <w:snapToGrid w:val="0"/>
        <w:spacing w:line="600" w:lineRule="exact"/>
        <w:ind w:firstLine="482" w:firstLineChars="200"/>
        <w:rPr>
          <w:rFonts w:ascii="宋体" w:hAnsi="宋体" w:eastAsia="宋体" w:cs="宋体"/>
          <w:b/>
          <w:color w:val="auto"/>
          <w:sz w:val="24"/>
        </w:rPr>
      </w:pPr>
      <w:r>
        <w:rPr>
          <w:rFonts w:hint="eastAsia" w:ascii="宋体" w:hAnsi="宋体" w:eastAsia="宋体" w:cs="宋体"/>
          <w:b/>
          <w:color w:val="auto"/>
          <w:sz w:val="24"/>
        </w:rPr>
        <w:t>13、成交候选人</w:t>
      </w:r>
    </w:p>
    <w:p>
      <w:pPr>
        <w:snapToGrid w:val="0"/>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磋商小组应当根据综合评分情况，按照评审由高到低的顺序推荐成交候选</w:t>
      </w:r>
      <w:r>
        <w:rPr>
          <w:rFonts w:hint="eastAsia" w:ascii="宋体" w:hAnsi="宋体" w:eastAsia="宋体" w:cs="宋体"/>
          <w:color w:val="auto"/>
          <w:kern w:val="0"/>
          <w:sz w:val="24"/>
          <w:szCs w:val="24"/>
          <w:lang w:val="en-US" w:eastAsia="zh-CN"/>
        </w:rPr>
        <w:t>人</w:t>
      </w:r>
      <w:r>
        <w:rPr>
          <w:rFonts w:hint="eastAsia" w:ascii="宋体" w:hAnsi="宋体" w:eastAsia="宋体" w:cs="宋体"/>
          <w:color w:val="auto"/>
          <w:sz w:val="24"/>
        </w:rPr>
        <w:t>，并向采购人提供书面评审报告，采购人及采购代理机构在政府采购项目评审结束</w:t>
      </w:r>
      <w:r>
        <w:rPr>
          <w:rFonts w:hint="eastAsia" w:ascii="宋体" w:hAnsi="宋体" w:cs="宋体"/>
          <w:color w:val="auto"/>
          <w:sz w:val="24"/>
          <w:lang w:val="en-US" w:eastAsia="zh-CN"/>
        </w:rPr>
        <w:t>后及时</w:t>
      </w:r>
      <w:r>
        <w:rPr>
          <w:rFonts w:hint="eastAsia" w:ascii="宋体" w:hAnsi="宋体" w:eastAsia="宋体" w:cs="宋体"/>
          <w:color w:val="auto"/>
          <w:sz w:val="24"/>
        </w:rPr>
        <w:t>完成评标报告的报送、中标（成交）</w:t>
      </w:r>
      <w:r>
        <w:rPr>
          <w:rFonts w:hint="eastAsia" w:ascii="宋体" w:hAnsi="宋体" w:cs="宋体"/>
          <w:color w:val="auto"/>
          <w:kern w:val="0"/>
          <w:sz w:val="24"/>
          <w:szCs w:val="24"/>
          <w:lang w:val="en-US" w:eastAsia="zh-CN"/>
        </w:rPr>
        <w:t>供应商</w:t>
      </w:r>
      <w:r>
        <w:rPr>
          <w:rFonts w:hint="eastAsia" w:ascii="宋体" w:hAnsi="宋体" w:eastAsia="宋体" w:cs="宋体"/>
          <w:color w:val="auto"/>
          <w:sz w:val="24"/>
        </w:rPr>
        <w:t>的确定、中标（成交）公告发布及中标（成交）通知书的发出等。</w:t>
      </w:r>
    </w:p>
    <w:p>
      <w:pPr>
        <w:snapToGrid w:val="0"/>
        <w:spacing w:line="600" w:lineRule="exact"/>
        <w:ind w:firstLine="482" w:firstLineChars="200"/>
        <w:rPr>
          <w:rFonts w:ascii="宋体" w:hAnsi="宋体" w:eastAsia="宋体" w:cs="宋体"/>
          <w:b/>
          <w:color w:val="auto"/>
          <w:sz w:val="24"/>
        </w:rPr>
      </w:pPr>
      <w:r>
        <w:rPr>
          <w:rFonts w:hint="eastAsia" w:ascii="宋体" w:hAnsi="宋体" w:eastAsia="宋体" w:cs="宋体"/>
          <w:b/>
          <w:color w:val="auto"/>
          <w:sz w:val="24"/>
        </w:rPr>
        <w:t>14、合同授予</w:t>
      </w:r>
    </w:p>
    <w:p>
      <w:pPr>
        <w:snapToGrid w:val="0"/>
        <w:spacing w:line="6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14.1 </w:t>
      </w:r>
      <w:r>
        <w:rPr>
          <w:rFonts w:hint="eastAsia" w:ascii="宋体" w:hAnsi="宋体" w:eastAsia="宋体" w:cs="宋体"/>
          <w:color w:val="auto"/>
          <w:sz w:val="24"/>
          <w:highlight w:val="none"/>
        </w:rPr>
        <w:t>成交</w:t>
      </w:r>
      <w:r>
        <w:rPr>
          <w:rFonts w:hint="eastAsia" w:ascii="宋体" w:hAnsi="宋体" w:cs="宋体"/>
          <w:color w:val="auto"/>
          <w:kern w:val="0"/>
          <w:sz w:val="24"/>
          <w:szCs w:val="24"/>
          <w:highlight w:val="none"/>
          <w:lang w:val="en-US" w:eastAsia="zh-CN"/>
        </w:rPr>
        <w:t>供应商</w:t>
      </w:r>
      <w:r>
        <w:rPr>
          <w:rFonts w:hint="eastAsia" w:ascii="宋体" w:hAnsi="宋体" w:eastAsia="宋体" w:cs="宋体"/>
          <w:color w:val="auto"/>
          <w:sz w:val="24"/>
          <w:highlight w:val="none"/>
        </w:rPr>
        <w:t>自成交通知书发出之日起</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个工作日内应与采购人签订承包合同</w:t>
      </w:r>
      <w:r>
        <w:rPr>
          <w:rFonts w:hint="eastAsia" w:ascii="宋体" w:hAnsi="宋体" w:eastAsia="宋体" w:cs="宋体"/>
          <w:color w:val="auto"/>
          <w:sz w:val="24"/>
        </w:rPr>
        <w:t>。</w:t>
      </w:r>
    </w:p>
    <w:p>
      <w:pPr>
        <w:snapToGrid w:val="0"/>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竞争性磋商文件成交单位的响应性文件及其相关澄清、补遗文件等，均为签订合同的依据。</w:t>
      </w:r>
    </w:p>
    <w:p>
      <w:pPr>
        <w:snapToGrid w:val="0"/>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14.2成交单位如未能按竞争性磋商文件要求，在规定限期内与采购人签订合同，无论何种原因招标方将取消其成交资格、撤销其成交通知书。在此情况下，采购人可将合同授予排名次高的</w:t>
      </w:r>
      <w:r>
        <w:rPr>
          <w:rFonts w:hint="eastAsia" w:ascii="宋体" w:hAnsi="宋体" w:cs="宋体"/>
          <w:color w:val="auto"/>
          <w:kern w:val="0"/>
          <w:sz w:val="24"/>
          <w:szCs w:val="24"/>
          <w:lang w:val="en-US" w:eastAsia="zh-CN"/>
        </w:rPr>
        <w:t>供应商</w:t>
      </w:r>
      <w:r>
        <w:rPr>
          <w:rFonts w:hint="eastAsia" w:ascii="宋体" w:hAnsi="宋体" w:eastAsia="宋体" w:cs="宋体"/>
          <w:color w:val="auto"/>
          <w:sz w:val="24"/>
        </w:rPr>
        <w:t>。</w:t>
      </w:r>
    </w:p>
    <w:p>
      <w:pPr>
        <w:snapToGrid w:val="0"/>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14.3在签订合同过程中，如发现成交</w:t>
      </w:r>
      <w:r>
        <w:rPr>
          <w:rFonts w:hint="eastAsia" w:ascii="宋体" w:hAnsi="宋体" w:cs="宋体"/>
          <w:color w:val="auto"/>
          <w:kern w:val="0"/>
          <w:sz w:val="24"/>
          <w:szCs w:val="24"/>
          <w:lang w:val="en-US" w:eastAsia="zh-CN"/>
        </w:rPr>
        <w:t>供应商</w:t>
      </w:r>
      <w:r>
        <w:rPr>
          <w:rFonts w:hint="eastAsia" w:ascii="宋体" w:hAnsi="宋体" w:eastAsia="宋体" w:cs="宋体"/>
          <w:color w:val="auto"/>
          <w:sz w:val="24"/>
        </w:rPr>
        <w:t>以他人名义磋商或者以其他方式弄虚作假，骗取成交的，采购人有权取消其成交资格。</w:t>
      </w:r>
    </w:p>
    <w:p>
      <w:pPr>
        <w:snapToGrid w:val="0"/>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14.4采购人应在采购合同</w:t>
      </w:r>
      <w:r>
        <w:rPr>
          <w:rFonts w:hint="eastAsia" w:ascii="宋体" w:hAnsi="宋体" w:cs="宋体"/>
          <w:color w:val="auto"/>
          <w:sz w:val="24"/>
          <w:lang w:val="en-US" w:eastAsia="zh-CN"/>
        </w:rPr>
        <w:t>后及时</w:t>
      </w:r>
      <w:r>
        <w:rPr>
          <w:rFonts w:hint="eastAsia" w:ascii="宋体" w:hAnsi="宋体" w:eastAsia="宋体" w:cs="宋体"/>
          <w:color w:val="auto"/>
          <w:sz w:val="24"/>
        </w:rPr>
        <w:t>将政府采购合同在</w:t>
      </w:r>
      <w:r>
        <w:rPr>
          <w:rFonts w:hint="eastAsia" w:ascii="宋体" w:hAnsi="宋体" w:cs="宋体"/>
          <w:color w:val="auto"/>
          <w:sz w:val="24"/>
          <w:lang w:val="en-US" w:eastAsia="zh-CN"/>
        </w:rPr>
        <w:t>三门峡市公共资源交易中心网</w:t>
      </w:r>
      <w:r>
        <w:rPr>
          <w:rFonts w:hint="eastAsia" w:ascii="宋体" w:hAnsi="宋体" w:eastAsia="宋体" w:cs="宋体"/>
          <w:color w:val="auto"/>
          <w:sz w:val="24"/>
        </w:rPr>
        <w:t>发布公告信息及将采购合同报同级</w:t>
      </w:r>
      <w:r>
        <w:rPr>
          <w:rFonts w:hint="eastAsia" w:ascii="宋体" w:hAnsi="宋体" w:cs="宋体"/>
          <w:color w:val="auto"/>
          <w:sz w:val="24"/>
          <w:lang w:val="en-US" w:eastAsia="zh-CN"/>
        </w:rPr>
        <w:t>监督</w:t>
      </w:r>
      <w:r>
        <w:rPr>
          <w:rFonts w:hint="eastAsia" w:ascii="宋体" w:hAnsi="宋体" w:eastAsia="宋体" w:cs="宋体"/>
          <w:color w:val="auto"/>
          <w:sz w:val="24"/>
        </w:rPr>
        <w:t>部门备案。</w:t>
      </w:r>
      <w:bookmarkEnd w:id="25"/>
    </w:p>
    <w:p>
      <w:pPr>
        <w:keepNext/>
        <w:tabs>
          <w:tab w:val="left" w:pos="1233"/>
        </w:tabs>
        <w:spacing w:line="600" w:lineRule="exact"/>
        <w:ind w:firstLine="482" w:firstLineChars="200"/>
        <w:outlineLvl w:val="1"/>
        <w:rPr>
          <w:rFonts w:ascii="宋体" w:hAnsi="宋体" w:eastAsia="宋体" w:cs="宋体"/>
          <w:b/>
          <w:bCs/>
          <w:color w:val="auto"/>
          <w:sz w:val="24"/>
        </w:rPr>
      </w:pPr>
      <w:r>
        <w:rPr>
          <w:rFonts w:hint="eastAsia" w:ascii="宋体" w:hAnsi="宋体" w:eastAsia="宋体" w:cs="宋体"/>
          <w:b/>
          <w:bCs/>
          <w:color w:val="auto"/>
          <w:sz w:val="24"/>
        </w:rPr>
        <w:t>15、重新招标</w:t>
      </w:r>
    </w:p>
    <w:p>
      <w:pPr>
        <w:snapToGrid w:val="0"/>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15.1出现下列情形之一的，将终止竞争性磋商采购活动，发布项目终止公告并说明原因，重新开展采购活动：</w:t>
      </w:r>
    </w:p>
    <w:p>
      <w:pPr>
        <w:snapToGrid w:val="0"/>
        <w:spacing w:line="600" w:lineRule="exact"/>
        <w:ind w:firstLine="480" w:firstLineChars="200"/>
        <w:rPr>
          <w:rFonts w:ascii="宋体" w:hAnsi="宋体" w:eastAsia="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1</w:t>
      </w:r>
      <w:r>
        <w:rPr>
          <w:rFonts w:hint="eastAsia" w:ascii="宋体" w:hAnsi="宋体" w:cs="宋体"/>
          <w:color w:val="auto"/>
          <w:sz w:val="24"/>
          <w:lang w:eastAsia="zh-CN"/>
        </w:rPr>
        <w:t>）</w:t>
      </w:r>
      <w:r>
        <w:rPr>
          <w:rFonts w:hint="eastAsia" w:ascii="宋体" w:hAnsi="宋体" w:eastAsia="宋体" w:cs="宋体"/>
          <w:color w:val="auto"/>
          <w:sz w:val="24"/>
        </w:rPr>
        <w:t>不符合法律、法规和竞争性磋商文件中规定的其他实质性要求的；</w:t>
      </w:r>
    </w:p>
    <w:p>
      <w:pPr>
        <w:snapToGrid w:val="0"/>
        <w:spacing w:line="600" w:lineRule="exact"/>
        <w:ind w:firstLine="480" w:firstLineChars="200"/>
        <w:rPr>
          <w:rFonts w:ascii="宋体" w:hAnsi="宋体" w:eastAsia="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2</w:t>
      </w:r>
      <w:r>
        <w:rPr>
          <w:rFonts w:hint="eastAsia" w:ascii="宋体" w:hAnsi="宋体" w:cs="宋体"/>
          <w:color w:val="auto"/>
          <w:sz w:val="24"/>
          <w:lang w:eastAsia="zh-CN"/>
        </w:rPr>
        <w:t>）</w:t>
      </w:r>
      <w:r>
        <w:rPr>
          <w:rFonts w:hint="eastAsia" w:ascii="宋体" w:hAnsi="宋体" w:eastAsia="宋体" w:cs="宋体"/>
          <w:color w:val="auto"/>
          <w:sz w:val="24"/>
        </w:rPr>
        <w:t>其他法律、法规及本竞争性磋商文件规定的属响应无效的情形。终止竞争性磋商采购活动的条款；</w:t>
      </w:r>
    </w:p>
    <w:p>
      <w:pPr>
        <w:snapToGrid w:val="0"/>
        <w:spacing w:line="600" w:lineRule="exact"/>
        <w:ind w:firstLine="480" w:firstLineChars="200"/>
        <w:rPr>
          <w:rFonts w:ascii="宋体" w:hAnsi="宋体" w:eastAsia="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3</w:t>
      </w:r>
      <w:r>
        <w:rPr>
          <w:rFonts w:hint="eastAsia" w:ascii="宋体" w:hAnsi="宋体" w:cs="宋体"/>
          <w:color w:val="auto"/>
          <w:sz w:val="24"/>
          <w:lang w:eastAsia="zh-CN"/>
        </w:rPr>
        <w:t>）</w:t>
      </w:r>
      <w:r>
        <w:rPr>
          <w:rFonts w:hint="eastAsia" w:ascii="宋体" w:hAnsi="宋体" w:eastAsia="宋体" w:cs="宋体"/>
          <w:color w:val="auto"/>
          <w:sz w:val="24"/>
        </w:rPr>
        <w:t>因情况变化，不再符合规定的竞争性磋商采购方式适用情形的；出现影响采购公正的违法、违规行为的；</w:t>
      </w:r>
    </w:p>
    <w:p>
      <w:pPr>
        <w:snapToGrid w:val="0"/>
        <w:spacing w:line="600" w:lineRule="exact"/>
        <w:ind w:firstLine="480" w:firstLineChars="200"/>
        <w:rPr>
          <w:rFonts w:ascii="宋体" w:hAnsi="宋体" w:eastAsia="宋体" w:cs="宋体"/>
          <w:color w:val="auto"/>
          <w:sz w:val="24"/>
          <w:highlight w:val="yellow"/>
        </w:rPr>
      </w:pPr>
      <w:r>
        <w:rPr>
          <w:rFonts w:hint="eastAsia" w:ascii="宋体" w:hAnsi="宋体" w:eastAsia="宋体" w:cs="宋体"/>
          <w:color w:val="auto"/>
          <w:sz w:val="24"/>
        </w:rPr>
        <w:t>15.2</w:t>
      </w:r>
      <w:r>
        <w:rPr>
          <w:rFonts w:hint="eastAsia" w:ascii="宋体" w:hAnsi="宋体" w:eastAsia="宋体" w:cs="宋体"/>
          <w:color w:val="auto"/>
          <w:spacing w:val="-4"/>
          <w:sz w:val="24"/>
        </w:rPr>
        <w:t>磋商截止时间结束后参加</w:t>
      </w:r>
      <w:r>
        <w:rPr>
          <w:rFonts w:hint="eastAsia" w:ascii="宋体" w:hAnsi="宋体" w:cs="宋体"/>
          <w:color w:val="auto"/>
          <w:spacing w:val="-4"/>
          <w:sz w:val="24"/>
          <w:lang w:eastAsia="zh-CN"/>
        </w:rPr>
        <w:t>供应商</w:t>
      </w:r>
      <w:r>
        <w:rPr>
          <w:rFonts w:hint="eastAsia" w:ascii="宋体" w:hAnsi="宋体" w:eastAsia="宋体" w:cs="宋体"/>
          <w:color w:val="auto"/>
          <w:spacing w:val="-4"/>
          <w:sz w:val="24"/>
        </w:rPr>
        <w:t>不足3家的，应重新组织采购。评审期间符合专业条件的</w:t>
      </w:r>
      <w:r>
        <w:rPr>
          <w:rFonts w:hint="eastAsia" w:ascii="宋体" w:hAnsi="宋体" w:cs="宋体"/>
          <w:color w:val="auto"/>
          <w:spacing w:val="-4"/>
          <w:sz w:val="24"/>
          <w:lang w:eastAsia="zh-CN"/>
        </w:rPr>
        <w:t>供应商</w:t>
      </w:r>
      <w:r>
        <w:rPr>
          <w:rFonts w:hint="eastAsia" w:ascii="宋体" w:hAnsi="宋体" w:eastAsia="宋体" w:cs="宋体"/>
          <w:color w:val="auto"/>
          <w:spacing w:val="-4"/>
          <w:sz w:val="24"/>
        </w:rPr>
        <w:t>或者对磋商响应文件作出实质响应的</w:t>
      </w:r>
      <w:r>
        <w:rPr>
          <w:rFonts w:hint="eastAsia" w:ascii="宋体" w:hAnsi="宋体" w:cs="宋体"/>
          <w:color w:val="auto"/>
          <w:spacing w:val="-4"/>
          <w:sz w:val="24"/>
          <w:lang w:eastAsia="zh-CN"/>
        </w:rPr>
        <w:t>供应商</w:t>
      </w:r>
      <w:r>
        <w:rPr>
          <w:rFonts w:hint="eastAsia" w:ascii="宋体" w:hAnsi="宋体" w:eastAsia="宋体" w:cs="宋体"/>
          <w:color w:val="auto"/>
          <w:spacing w:val="-4"/>
          <w:sz w:val="24"/>
        </w:rPr>
        <w:t>不足3家的，</w:t>
      </w:r>
      <w:r>
        <w:rPr>
          <w:rFonts w:hint="eastAsia" w:ascii="宋体" w:hAnsi="宋体" w:eastAsia="宋体" w:cs="宋体"/>
          <w:color w:val="auto"/>
          <w:sz w:val="24"/>
        </w:rPr>
        <w:t>应重新组织采购。</w:t>
      </w:r>
    </w:p>
    <w:p>
      <w:pPr>
        <w:widowControl/>
        <w:shd w:val="clear" w:color="auto" w:fill="FFFFFF"/>
        <w:spacing w:line="600" w:lineRule="exact"/>
        <w:ind w:firstLine="482" w:firstLineChars="200"/>
        <w:jc w:val="left"/>
        <w:rPr>
          <w:rFonts w:ascii="宋体" w:hAnsi="宋体" w:eastAsia="宋体" w:cs="monospace"/>
          <w:b/>
          <w:color w:val="auto"/>
          <w:sz w:val="24"/>
        </w:rPr>
      </w:pPr>
      <w:r>
        <w:rPr>
          <w:rFonts w:hint="eastAsia" w:ascii="宋体" w:hAnsi="宋体" w:eastAsia="宋体" w:cs="monospace"/>
          <w:b/>
          <w:color w:val="auto"/>
          <w:kern w:val="0"/>
          <w:sz w:val="24"/>
          <w:shd w:val="clear" w:color="auto" w:fill="FFFFFF"/>
        </w:rPr>
        <w:t>16、</w:t>
      </w:r>
      <w:r>
        <w:rPr>
          <w:rFonts w:ascii="宋体" w:hAnsi="宋体" w:eastAsia="宋体" w:cs="sans-serif"/>
          <w:b/>
          <w:color w:val="auto"/>
          <w:kern w:val="0"/>
          <w:sz w:val="24"/>
          <w:shd w:val="clear" w:color="auto" w:fill="FFFFFF"/>
        </w:rPr>
        <w:t>投诉</w:t>
      </w:r>
    </w:p>
    <w:p>
      <w:pPr>
        <w:snapToGrid w:val="0"/>
        <w:spacing w:line="600" w:lineRule="exact"/>
        <w:ind w:firstLine="480" w:firstLineChars="200"/>
        <w:rPr>
          <w:rFonts w:ascii="宋体" w:hAnsi="宋体" w:eastAsia="宋体" w:cs="宋体"/>
          <w:color w:val="auto"/>
          <w:sz w:val="24"/>
        </w:rPr>
      </w:pPr>
      <w:r>
        <w:rPr>
          <w:rFonts w:hint="eastAsia" w:ascii="宋体" w:hAnsi="宋体" w:cs="宋体"/>
          <w:color w:val="auto"/>
          <w:kern w:val="0"/>
          <w:sz w:val="24"/>
          <w:szCs w:val="24"/>
          <w:lang w:val="en-US" w:eastAsia="zh-CN"/>
        </w:rPr>
        <w:t>供应商</w:t>
      </w:r>
      <w:r>
        <w:rPr>
          <w:rFonts w:ascii="宋体" w:hAnsi="宋体" w:eastAsia="宋体" w:cs="宋体"/>
          <w:color w:val="auto"/>
          <w:sz w:val="24"/>
        </w:rPr>
        <w:t>和其他利害关系人认为本次竞争性磋商违反法律、法规和规章规定的，有权向有关行政监督部门投诉。</w:t>
      </w:r>
    </w:p>
    <w:p>
      <w:pPr>
        <w:widowControl/>
        <w:shd w:val="clear" w:color="auto" w:fill="FFFFFF"/>
        <w:spacing w:line="600" w:lineRule="exact"/>
        <w:ind w:firstLine="482" w:firstLineChars="200"/>
        <w:jc w:val="left"/>
        <w:rPr>
          <w:rFonts w:ascii="宋体" w:hAnsi="宋体" w:eastAsia="宋体" w:cs="monospace"/>
          <w:b/>
          <w:color w:val="auto"/>
          <w:sz w:val="24"/>
        </w:rPr>
      </w:pPr>
      <w:r>
        <w:rPr>
          <w:rFonts w:hint="eastAsia" w:ascii="宋体" w:hAnsi="宋体" w:eastAsia="宋体" w:cs="monospace"/>
          <w:b/>
          <w:color w:val="auto"/>
          <w:kern w:val="0"/>
          <w:sz w:val="24"/>
          <w:shd w:val="clear" w:color="auto" w:fill="FFFFFF"/>
        </w:rPr>
        <w:t>17</w:t>
      </w:r>
      <w:r>
        <w:rPr>
          <w:rFonts w:hint="eastAsia" w:ascii="宋体" w:hAnsi="宋体" w:cs="monospace"/>
          <w:b/>
          <w:color w:val="auto"/>
          <w:kern w:val="0"/>
          <w:sz w:val="24"/>
          <w:shd w:val="clear" w:color="auto" w:fill="FFFFFF"/>
          <w:lang w:eastAsia="zh-CN"/>
        </w:rPr>
        <w:t>、</w:t>
      </w:r>
      <w:r>
        <w:rPr>
          <w:rFonts w:ascii="宋体" w:hAnsi="宋体" w:eastAsia="宋体" w:cs="sans-serif"/>
          <w:b/>
          <w:color w:val="auto"/>
          <w:kern w:val="0"/>
          <w:sz w:val="24"/>
          <w:shd w:val="clear" w:color="auto" w:fill="FFFFFF"/>
        </w:rPr>
        <w:t>质疑程序及处理</w:t>
      </w:r>
    </w:p>
    <w:p>
      <w:pPr>
        <w:snapToGrid w:val="0"/>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17.1</w:t>
      </w:r>
      <w:r>
        <w:rPr>
          <w:rFonts w:ascii="宋体" w:hAnsi="宋体" w:eastAsia="宋体" w:cs="宋体"/>
          <w:color w:val="auto"/>
          <w:sz w:val="24"/>
        </w:rPr>
        <w:t>若</w:t>
      </w:r>
      <w:r>
        <w:rPr>
          <w:rFonts w:hint="eastAsia" w:ascii="宋体" w:hAnsi="宋体" w:cs="宋体"/>
          <w:color w:val="auto"/>
          <w:kern w:val="0"/>
          <w:sz w:val="24"/>
          <w:szCs w:val="24"/>
          <w:lang w:val="en-US" w:eastAsia="zh-CN"/>
        </w:rPr>
        <w:t>供应商</w:t>
      </w:r>
      <w:r>
        <w:rPr>
          <w:rFonts w:ascii="宋体" w:hAnsi="宋体" w:eastAsia="宋体" w:cs="宋体"/>
          <w:color w:val="auto"/>
          <w:sz w:val="24"/>
        </w:rPr>
        <w:t>认为其磋商未获公平评审或磋商文件、采购过程和成交结果使自己的合法权益受到损害，可以在知道或者应知其权益受到损害之日起7个工作日内，将质疑书原件送达采购人或采购代理机构。提出质疑期限的计算，依照下列规定办理：</w:t>
      </w:r>
    </w:p>
    <w:p>
      <w:pPr>
        <w:snapToGrid w:val="0"/>
        <w:spacing w:line="600" w:lineRule="exact"/>
        <w:ind w:firstLine="480" w:firstLineChars="200"/>
        <w:rPr>
          <w:rFonts w:ascii="宋体" w:hAnsi="宋体" w:eastAsia="宋体" w:cs="宋体"/>
          <w:b w:val="0"/>
          <w:bCs w:val="0"/>
          <w:color w:val="auto"/>
          <w:sz w:val="24"/>
        </w:rPr>
      </w:pPr>
      <w:r>
        <w:rPr>
          <w:rFonts w:ascii="宋体" w:hAnsi="宋体" w:eastAsia="宋体" w:cs="宋体"/>
          <w:b w:val="0"/>
          <w:bCs w:val="0"/>
          <w:color w:val="auto"/>
          <w:sz w:val="24"/>
        </w:rPr>
        <w:t>（</w:t>
      </w:r>
      <w:r>
        <w:rPr>
          <w:rFonts w:hint="eastAsia" w:ascii="宋体" w:hAnsi="宋体" w:cs="宋体"/>
          <w:b w:val="0"/>
          <w:bCs w:val="0"/>
          <w:color w:val="auto"/>
          <w:sz w:val="24"/>
          <w:lang w:val="en-US" w:eastAsia="zh-CN"/>
        </w:rPr>
        <w:t>1</w:t>
      </w:r>
      <w:r>
        <w:rPr>
          <w:rFonts w:ascii="宋体" w:hAnsi="宋体" w:eastAsia="宋体" w:cs="宋体"/>
          <w:b w:val="0"/>
          <w:bCs w:val="0"/>
          <w:color w:val="auto"/>
          <w:sz w:val="24"/>
        </w:rPr>
        <w:t>）对可以质疑的磋商文件提出质疑的，为收到磋商文件之日或者磋商文件公告期限届满之日；</w:t>
      </w:r>
    </w:p>
    <w:p>
      <w:pPr>
        <w:snapToGrid w:val="0"/>
        <w:spacing w:line="600" w:lineRule="exact"/>
        <w:ind w:firstLine="480" w:firstLineChars="200"/>
        <w:rPr>
          <w:rFonts w:ascii="宋体" w:hAnsi="宋体" w:eastAsia="宋体" w:cs="宋体"/>
          <w:b w:val="0"/>
          <w:bCs w:val="0"/>
          <w:color w:val="auto"/>
          <w:sz w:val="24"/>
        </w:rPr>
      </w:pPr>
      <w:r>
        <w:rPr>
          <w:rFonts w:ascii="宋体" w:hAnsi="宋体" w:eastAsia="宋体" w:cs="宋体"/>
          <w:b w:val="0"/>
          <w:bCs w:val="0"/>
          <w:color w:val="auto"/>
          <w:sz w:val="24"/>
        </w:rPr>
        <w:t>（</w:t>
      </w:r>
      <w:r>
        <w:rPr>
          <w:rFonts w:hint="eastAsia" w:ascii="宋体" w:hAnsi="宋体" w:cs="宋体"/>
          <w:b w:val="0"/>
          <w:bCs w:val="0"/>
          <w:color w:val="auto"/>
          <w:sz w:val="24"/>
          <w:lang w:val="en-US" w:eastAsia="zh-CN"/>
        </w:rPr>
        <w:t>2</w:t>
      </w:r>
      <w:r>
        <w:rPr>
          <w:rFonts w:ascii="宋体" w:hAnsi="宋体" w:eastAsia="宋体" w:cs="宋体"/>
          <w:b w:val="0"/>
          <w:bCs w:val="0"/>
          <w:color w:val="auto"/>
          <w:sz w:val="24"/>
        </w:rPr>
        <w:t>）对采购过程提出质疑的，为各采购程序环节结束之</w:t>
      </w:r>
      <w:r>
        <w:rPr>
          <w:rFonts w:hint="eastAsia" w:ascii="宋体" w:hAnsi="宋体" w:cs="宋体"/>
          <w:b w:val="0"/>
          <w:bCs w:val="0"/>
          <w:color w:val="auto"/>
          <w:sz w:val="24"/>
          <w:lang w:val="en-US" w:eastAsia="zh-CN"/>
        </w:rPr>
        <w:t>时</w:t>
      </w:r>
      <w:r>
        <w:rPr>
          <w:rFonts w:ascii="宋体" w:hAnsi="宋体" w:eastAsia="宋体" w:cs="宋体"/>
          <w:b w:val="0"/>
          <w:bCs w:val="0"/>
          <w:color w:val="auto"/>
          <w:sz w:val="24"/>
        </w:rPr>
        <w:t>；</w:t>
      </w:r>
    </w:p>
    <w:p>
      <w:pPr>
        <w:snapToGrid w:val="0"/>
        <w:spacing w:line="600" w:lineRule="exact"/>
        <w:ind w:firstLine="480" w:firstLineChars="200"/>
        <w:rPr>
          <w:rFonts w:ascii="宋体" w:hAnsi="宋体" w:eastAsia="宋体" w:cs="宋体"/>
          <w:b w:val="0"/>
          <w:bCs w:val="0"/>
          <w:color w:val="auto"/>
          <w:sz w:val="24"/>
        </w:rPr>
      </w:pPr>
      <w:r>
        <w:rPr>
          <w:rFonts w:ascii="宋体" w:hAnsi="宋体" w:eastAsia="宋体" w:cs="宋体"/>
          <w:b w:val="0"/>
          <w:bCs w:val="0"/>
          <w:color w:val="auto"/>
          <w:sz w:val="24"/>
        </w:rPr>
        <w:t>（</w:t>
      </w:r>
      <w:r>
        <w:rPr>
          <w:rFonts w:hint="eastAsia" w:ascii="宋体" w:hAnsi="宋体" w:cs="宋体"/>
          <w:b w:val="0"/>
          <w:bCs w:val="0"/>
          <w:color w:val="auto"/>
          <w:sz w:val="24"/>
          <w:lang w:val="en-US" w:eastAsia="zh-CN"/>
        </w:rPr>
        <w:t>3</w:t>
      </w:r>
      <w:r>
        <w:rPr>
          <w:rFonts w:ascii="宋体" w:hAnsi="宋体" w:eastAsia="宋体" w:cs="宋体"/>
          <w:b w:val="0"/>
          <w:bCs w:val="0"/>
          <w:color w:val="auto"/>
          <w:sz w:val="24"/>
        </w:rPr>
        <w:t>）对成交结果提出质疑的，为成交结果公告期限届满之日。</w:t>
      </w:r>
    </w:p>
    <w:p>
      <w:pPr>
        <w:snapToGrid w:val="0"/>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17.2</w:t>
      </w:r>
      <w:r>
        <w:rPr>
          <w:rFonts w:ascii="宋体" w:hAnsi="宋体" w:eastAsia="宋体" w:cs="宋体"/>
          <w:color w:val="auto"/>
          <w:sz w:val="24"/>
        </w:rPr>
        <w:t>质疑书应当包括下列主要内容，并按照“谁主张、谁举证”的原则，附上相关证明材料。否则，采购人不予受理：</w:t>
      </w:r>
    </w:p>
    <w:p>
      <w:pPr>
        <w:snapToGrid w:val="0"/>
        <w:spacing w:line="6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cs="宋体"/>
          <w:color w:val="auto"/>
          <w:sz w:val="24"/>
          <w:lang w:val="en-US" w:eastAsia="zh-CN"/>
        </w:rPr>
        <w:t>1</w:t>
      </w:r>
      <w:r>
        <w:rPr>
          <w:rFonts w:hint="eastAsia" w:ascii="宋体" w:hAnsi="宋体" w:eastAsia="宋体" w:cs="宋体"/>
          <w:color w:val="auto"/>
          <w:sz w:val="24"/>
        </w:rPr>
        <w:t>）质疑</w:t>
      </w:r>
      <w:r>
        <w:rPr>
          <w:rFonts w:hint="eastAsia" w:ascii="宋体" w:hAnsi="宋体" w:cs="宋体"/>
          <w:color w:val="auto"/>
          <w:kern w:val="0"/>
          <w:sz w:val="24"/>
          <w:szCs w:val="24"/>
          <w:lang w:val="en-US" w:eastAsia="zh-CN"/>
        </w:rPr>
        <w:t>供应商</w:t>
      </w:r>
      <w:r>
        <w:rPr>
          <w:rFonts w:hint="eastAsia" w:ascii="宋体" w:hAnsi="宋体" w:eastAsia="宋体" w:cs="宋体"/>
          <w:color w:val="auto"/>
          <w:sz w:val="24"/>
        </w:rPr>
        <w:t>全称、地址、法定代表人、联系人及联系电话、邮政编码等；</w:t>
      </w:r>
    </w:p>
    <w:p>
      <w:pPr>
        <w:snapToGrid w:val="0"/>
        <w:spacing w:line="6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cs="宋体"/>
          <w:color w:val="auto"/>
          <w:sz w:val="24"/>
          <w:lang w:val="en-US" w:eastAsia="zh-CN"/>
        </w:rPr>
        <w:t>2</w:t>
      </w:r>
      <w:r>
        <w:rPr>
          <w:rFonts w:hint="eastAsia" w:ascii="宋体" w:hAnsi="宋体" w:eastAsia="宋体" w:cs="宋体"/>
          <w:color w:val="auto"/>
          <w:sz w:val="24"/>
        </w:rPr>
        <w:t>）被质疑采购项目的名称、编号；</w:t>
      </w:r>
    </w:p>
    <w:p>
      <w:pPr>
        <w:snapToGrid w:val="0"/>
        <w:spacing w:line="6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cs="宋体"/>
          <w:color w:val="auto"/>
          <w:sz w:val="24"/>
          <w:lang w:val="en-US" w:eastAsia="zh-CN"/>
        </w:rPr>
        <w:t>3</w:t>
      </w:r>
      <w:r>
        <w:rPr>
          <w:rFonts w:hint="eastAsia" w:ascii="宋体" w:hAnsi="宋体" w:eastAsia="宋体" w:cs="宋体"/>
          <w:color w:val="auto"/>
          <w:sz w:val="24"/>
        </w:rPr>
        <w:t>）质疑的具体事项、明确的请求和主张；</w:t>
      </w:r>
    </w:p>
    <w:p>
      <w:pPr>
        <w:snapToGrid w:val="0"/>
        <w:spacing w:line="6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cs="宋体"/>
          <w:color w:val="auto"/>
          <w:sz w:val="24"/>
          <w:lang w:val="en-US" w:eastAsia="zh-CN"/>
        </w:rPr>
        <w:t>4</w:t>
      </w:r>
      <w:r>
        <w:rPr>
          <w:rFonts w:hint="eastAsia" w:ascii="宋体" w:hAnsi="宋体" w:eastAsia="宋体" w:cs="宋体"/>
          <w:color w:val="auto"/>
          <w:sz w:val="24"/>
        </w:rPr>
        <w:t>）质疑所依据的法律依据（具体条款）、具体事实和具体理由。质疑书依据理由部分只有主观陈述、推理、猜测等，而没有提供客观事实依据、法律依据的；</w:t>
      </w:r>
    </w:p>
    <w:p>
      <w:pPr>
        <w:snapToGrid w:val="0"/>
        <w:spacing w:line="6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cs="宋体"/>
          <w:color w:val="auto"/>
          <w:sz w:val="24"/>
          <w:lang w:val="en-US" w:eastAsia="zh-CN"/>
        </w:rPr>
        <w:t>5</w:t>
      </w:r>
      <w:r>
        <w:rPr>
          <w:rFonts w:hint="eastAsia" w:ascii="宋体" w:hAnsi="宋体" w:eastAsia="宋体" w:cs="宋体"/>
          <w:color w:val="auto"/>
          <w:sz w:val="24"/>
        </w:rPr>
        <w:t>）质疑事项按照有关法律、法规和规章规定及竞争性磋商文件要求属于保密或者处于保密阶段的事项，磋商</w:t>
      </w:r>
      <w:r>
        <w:rPr>
          <w:rFonts w:hint="eastAsia" w:ascii="宋体" w:hAnsi="宋体" w:cs="宋体"/>
          <w:color w:val="auto"/>
          <w:kern w:val="0"/>
          <w:sz w:val="24"/>
          <w:szCs w:val="24"/>
          <w:lang w:val="en-US" w:eastAsia="zh-CN"/>
        </w:rPr>
        <w:t>供应商</w:t>
      </w:r>
      <w:r>
        <w:rPr>
          <w:rFonts w:hint="eastAsia" w:ascii="宋体" w:hAnsi="宋体" w:eastAsia="宋体" w:cs="宋体"/>
          <w:color w:val="auto"/>
          <w:sz w:val="24"/>
        </w:rPr>
        <w:t>必须提供正常的信息来源或有效证据，磋商</w:t>
      </w:r>
      <w:r>
        <w:rPr>
          <w:rFonts w:hint="eastAsia" w:ascii="宋体" w:hAnsi="宋体" w:cs="宋体"/>
          <w:color w:val="auto"/>
          <w:kern w:val="0"/>
          <w:sz w:val="24"/>
          <w:szCs w:val="24"/>
          <w:lang w:val="en-US" w:eastAsia="zh-CN"/>
        </w:rPr>
        <w:t>供应商</w:t>
      </w:r>
      <w:r>
        <w:rPr>
          <w:rFonts w:hint="eastAsia" w:ascii="宋体" w:hAnsi="宋体" w:eastAsia="宋体" w:cs="宋体"/>
          <w:color w:val="auto"/>
          <w:sz w:val="24"/>
        </w:rPr>
        <w:t>不能提供或者拒绝提供合法的信息来源或有效证据的；</w:t>
      </w:r>
    </w:p>
    <w:p>
      <w:pPr>
        <w:snapToGrid w:val="0"/>
        <w:spacing w:line="6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cs="宋体"/>
          <w:color w:val="auto"/>
          <w:sz w:val="24"/>
          <w:lang w:val="en-US" w:eastAsia="zh-CN"/>
        </w:rPr>
        <w:t>6</w:t>
      </w:r>
      <w:r>
        <w:rPr>
          <w:rFonts w:hint="eastAsia" w:ascii="宋体" w:hAnsi="宋体" w:eastAsia="宋体" w:cs="宋体"/>
          <w:color w:val="auto"/>
          <w:sz w:val="24"/>
        </w:rPr>
        <w:t>）充足有效的相关证明材料；如果涉及到产品功能或技术指标的，应出具相关制造商的证明文件；</w:t>
      </w:r>
    </w:p>
    <w:p>
      <w:pPr>
        <w:snapToGrid w:val="0"/>
        <w:spacing w:line="60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w:t>
      </w:r>
      <w:r>
        <w:rPr>
          <w:rFonts w:hint="eastAsia" w:ascii="宋体" w:hAnsi="宋体" w:cs="宋体"/>
          <w:color w:val="auto"/>
          <w:sz w:val="24"/>
          <w:lang w:val="en-US" w:eastAsia="zh-CN"/>
        </w:rPr>
        <w:t>7</w:t>
      </w:r>
      <w:r>
        <w:rPr>
          <w:rFonts w:hint="eastAsia" w:ascii="宋体" w:hAnsi="宋体" w:eastAsia="宋体" w:cs="宋体"/>
          <w:color w:val="auto"/>
          <w:sz w:val="24"/>
        </w:rPr>
        <w:t>）质疑材料中有外文资料的，应一并附上中文译本，并以中文译本为准</w:t>
      </w:r>
      <w:r>
        <w:rPr>
          <w:rFonts w:hint="eastAsia" w:ascii="宋体" w:hAnsi="宋体" w:cs="宋体"/>
          <w:color w:val="auto"/>
          <w:sz w:val="24"/>
          <w:lang w:eastAsia="zh-CN"/>
        </w:rPr>
        <w:t>；</w:t>
      </w:r>
    </w:p>
    <w:p>
      <w:pPr>
        <w:snapToGrid w:val="0"/>
        <w:spacing w:line="60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w:t>
      </w:r>
      <w:r>
        <w:rPr>
          <w:rFonts w:hint="eastAsia" w:ascii="宋体" w:hAnsi="宋体" w:cs="宋体"/>
          <w:color w:val="auto"/>
          <w:sz w:val="24"/>
          <w:lang w:val="en-US" w:eastAsia="zh-CN"/>
        </w:rPr>
        <w:t>8</w:t>
      </w:r>
      <w:r>
        <w:rPr>
          <w:rFonts w:hint="eastAsia" w:ascii="宋体" w:hAnsi="宋体" w:eastAsia="宋体" w:cs="宋体"/>
          <w:color w:val="auto"/>
          <w:sz w:val="24"/>
        </w:rPr>
        <w:t>）提起质疑的日期</w:t>
      </w:r>
      <w:r>
        <w:rPr>
          <w:rFonts w:hint="eastAsia" w:ascii="宋体" w:hAnsi="宋体" w:cs="宋体"/>
          <w:color w:val="auto"/>
          <w:sz w:val="24"/>
          <w:lang w:eastAsia="zh-CN"/>
        </w:rPr>
        <w:t>。</w:t>
      </w:r>
    </w:p>
    <w:p>
      <w:pPr>
        <w:snapToGrid w:val="0"/>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17.3</w:t>
      </w:r>
      <w:r>
        <w:rPr>
          <w:rFonts w:hint="eastAsia" w:ascii="宋体" w:hAnsi="宋体" w:cs="宋体"/>
          <w:color w:val="auto"/>
          <w:kern w:val="0"/>
          <w:sz w:val="24"/>
          <w:szCs w:val="24"/>
          <w:lang w:val="en-US" w:eastAsia="zh-CN"/>
        </w:rPr>
        <w:t>供应商</w:t>
      </w:r>
      <w:r>
        <w:rPr>
          <w:rFonts w:ascii="宋体" w:hAnsi="宋体" w:eastAsia="宋体" w:cs="宋体"/>
          <w:color w:val="auto"/>
          <w:sz w:val="24"/>
        </w:rPr>
        <w:t>质疑实行实名制并须在质疑书上署名。</w:t>
      </w:r>
      <w:r>
        <w:rPr>
          <w:rFonts w:hint="eastAsia" w:ascii="宋体" w:hAnsi="宋体" w:cs="宋体"/>
          <w:color w:val="auto"/>
          <w:kern w:val="0"/>
          <w:sz w:val="24"/>
          <w:szCs w:val="24"/>
          <w:lang w:val="en-US" w:eastAsia="zh-CN"/>
        </w:rPr>
        <w:t>供应商</w:t>
      </w:r>
      <w:r>
        <w:rPr>
          <w:rFonts w:ascii="宋体" w:hAnsi="宋体" w:eastAsia="宋体" w:cs="宋体"/>
          <w:color w:val="auto"/>
          <w:sz w:val="24"/>
        </w:rPr>
        <w:t>不得进行虚假、恶意质疑，不得以质疑为手段获取不当得利、实现非法目的。</w:t>
      </w:r>
      <w:r>
        <w:rPr>
          <w:rFonts w:hint="eastAsia" w:ascii="宋体" w:hAnsi="宋体" w:cs="宋体"/>
          <w:color w:val="auto"/>
          <w:kern w:val="0"/>
          <w:sz w:val="24"/>
          <w:szCs w:val="24"/>
          <w:lang w:val="en-US" w:eastAsia="zh-CN"/>
        </w:rPr>
        <w:t>供应商</w:t>
      </w:r>
      <w:r>
        <w:rPr>
          <w:rFonts w:ascii="宋体" w:hAnsi="宋体" w:eastAsia="宋体" w:cs="宋体"/>
          <w:color w:val="auto"/>
          <w:sz w:val="24"/>
        </w:rPr>
        <w:t>为自然人的，应当由本人签字；</w:t>
      </w:r>
      <w:r>
        <w:rPr>
          <w:rFonts w:hint="eastAsia" w:ascii="宋体" w:hAnsi="宋体" w:cs="宋体"/>
          <w:color w:val="auto"/>
          <w:kern w:val="0"/>
          <w:sz w:val="24"/>
          <w:szCs w:val="24"/>
          <w:lang w:val="en-US" w:eastAsia="zh-CN"/>
        </w:rPr>
        <w:t>供应商</w:t>
      </w:r>
      <w:r>
        <w:rPr>
          <w:rFonts w:ascii="宋体" w:hAnsi="宋体" w:eastAsia="宋体" w:cs="宋体"/>
          <w:color w:val="auto"/>
          <w:sz w:val="24"/>
        </w:rPr>
        <w:t>为法人的，应当由法定代表人签字或盖章并加盖公章；</w:t>
      </w:r>
      <w:r>
        <w:rPr>
          <w:rFonts w:hint="eastAsia" w:ascii="宋体" w:hAnsi="宋体" w:cs="宋体"/>
          <w:color w:val="auto"/>
          <w:kern w:val="0"/>
          <w:sz w:val="24"/>
          <w:szCs w:val="24"/>
          <w:lang w:val="en-US" w:eastAsia="zh-CN"/>
        </w:rPr>
        <w:t>供应商</w:t>
      </w:r>
      <w:r>
        <w:rPr>
          <w:rFonts w:ascii="宋体" w:hAnsi="宋体" w:eastAsia="宋体" w:cs="宋体"/>
          <w:color w:val="auto"/>
          <w:sz w:val="24"/>
        </w:rPr>
        <w:t>为其他组织的，应当由主要负责人签字或盖章并加盖公章。</w:t>
      </w:r>
      <w:r>
        <w:rPr>
          <w:rFonts w:hint="eastAsia" w:ascii="宋体" w:hAnsi="宋体" w:cs="宋体"/>
          <w:color w:val="auto"/>
          <w:kern w:val="0"/>
          <w:sz w:val="24"/>
          <w:szCs w:val="24"/>
          <w:lang w:val="en-US" w:eastAsia="zh-CN"/>
        </w:rPr>
        <w:t>供应商</w:t>
      </w:r>
      <w:r>
        <w:rPr>
          <w:rFonts w:ascii="宋体" w:hAnsi="宋体" w:eastAsia="宋体" w:cs="宋体"/>
          <w:color w:val="auto"/>
          <w:sz w:val="24"/>
        </w:rPr>
        <w:t>其他工作人员或代理人员在质疑书上的署名不具有法律效力。</w:t>
      </w:r>
    </w:p>
    <w:p>
      <w:pPr>
        <w:snapToGrid w:val="0"/>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17</w:t>
      </w:r>
      <w:r>
        <w:rPr>
          <w:rFonts w:ascii="宋体" w:hAnsi="宋体" w:eastAsia="宋体" w:cs="宋体"/>
          <w:color w:val="auto"/>
          <w:sz w:val="24"/>
        </w:rPr>
        <w:t>.4</w:t>
      </w:r>
      <w:r>
        <w:rPr>
          <w:rFonts w:hint="eastAsia" w:ascii="宋体" w:hAnsi="宋体" w:cs="宋体"/>
          <w:color w:val="auto"/>
          <w:kern w:val="0"/>
          <w:sz w:val="24"/>
          <w:szCs w:val="24"/>
          <w:lang w:val="en-US" w:eastAsia="zh-CN"/>
        </w:rPr>
        <w:t>供应商</w:t>
      </w:r>
      <w:r>
        <w:rPr>
          <w:rFonts w:ascii="宋体" w:hAnsi="宋体" w:eastAsia="宋体" w:cs="宋体"/>
          <w:color w:val="auto"/>
          <w:sz w:val="24"/>
        </w:rPr>
        <w:t>委托代理人办理质疑事宜，应当提交授权委托书，并载明委托代理的具体权限和事项。授权委托书应当由委托人签字并加盖单位公章。</w:t>
      </w:r>
    </w:p>
    <w:p>
      <w:pPr>
        <w:snapToGrid w:val="0"/>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17</w:t>
      </w:r>
      <w:r>
        <w:rPr>
          <w:rFonts w:ascii="宋体" w:hAnsi="宋体" w:eastAsia="宋体" w:cs="宋体"/>
          <w:color w:val="auto"/>
          <w:sz w:val="24"/>
        </w:rPr>
        <w:t>.</w:t>
      </w:r>
      <w:r>
        <w:rPr>
          <w:rFonts w:hint="eastAsia" w:ascii="宋体" w:hAnsi="宋体" w:eastAsia="宋体" w:cs="宋体"/>
          <w:color w:val="auto"/>
          <w:sz w:val="24"/>
        </w:rPr>
        <w:t>5</w:t>
      </w:r>
      <w:r>
        <w:rPr>
          <w:rFonts w:ascii="宋体" w:hAnsi="宋体" w:eastAsia="宋体" w:cs="宋体"/>
          <w:color w:val="auto"/>
          <w:sz w:val="24"/>
        </w:rPr>
        <w:t>质疑书提交方式。</w:t>
      </w:r>
      <w:r>
        <w:rPr>
          <w:rFonts w:hint="eastAsia" w:ascii="宋体" w:hAnsi="宋体" w:cs="宋体"/>
          <w:color w:val="auto"/>
          <w:kern w:val="0"/>
          <w:sz w:val="24"/>
          <w:szCs w:val="24"/>
          <w:lang w:val="en-US" w:eastAsia="zh-CN"/>
        </w:rPr>
        <w:t>供应商</w:t>
      </w:r>
      <w:r>
        <w:rPr>
          <w:rFonts w:ascii="宋体" w:hAnsi="宋体" w:eastAsia="宋体" w:cs="宋体"/>
          <w:color w:val="auto"/>
          <w:sz w:val="24"/>
        </w:rPr>
        <w:t>或者其委托代理人应当当面提交质疑书及相关证明材料。</w:t>
      </w:r>
      <w:r>
        <w:rPr>
          <w:rFonts w:hint="eastAsia" w:ascii="宋体" w:hAnsi="宋体" w:cs="宋体"/>
          <w:color w:val="auto"/>
          <w:kern w:val="0"/>
          <w:sz w:val="24"/>
          <w:szCs w:val="24"/>
          <w:lang w:val="en-US" w:eastAsia="zh-CN"/>
        </w:rPr>
        <w:t>供应商</w:t>
      </w:r>
      <w:r>
        <w:rPr>
          <w:rFonts w:ascii="宋体" w:hAnsi="宋体" w:eastAsia="宋体" w:cs="宋体"/>
          <w:color w:val="auto"/>
          <w:sz w:val="24"/>
        </w:rPr>
        <w:t>以电子邮件、传真等其他方式提交质疑书及相关证明材料的，或者不是</w:t>
      </w:r>
      <w:r>
        <w:rPr>
          <w:rFonts w:hint="eastAsia" w:ascii="宋体" w:hAnsi="宋体" w:cs="宋体"/>
          <w:color w:val="auto"/>
          <w:kern w:val="0"/>
          <w:sz w:val="24"/>
          <w:szCs w:val="24"/>
          <w:lang w:val="en-US" w:eastAsia="zh-CN"/>
        </w:rPr>
        <w:t>供应商</w:t>
      </w:r>
      <w:r>
        <w:rPr>
          <w:rFonts w:ascii="宋体" w:hAnsi="宋体" w:eastAsia="宋体" w:cs="宋体"/>
          <w:color w:val="auto"/>
          <w:sz w:val="24"/>
        </w:rPr>
        <w:t>或者其委托代理人提交质疑书及相关证明材料的，采购人或采购机构可以拒收。</w:t>
      </w:r>
    </w:p>
    <w:p>
      <w:pPr>
        <w:snapToGrid w:val="0"/>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17</w:t>
      </w:r>
      <w:r>
        <w:rPr>
          <w:rFonts w:ascii="宋体" w:hAnsi="宋体" w:eastAsia="宋体" w:cs="宋体"/>
          <w:color w:val="auto"/>
          <w:sz w:val="24"/>
        </w:rPr>
        <w:t>.</w:t>
      </w:r>
      <w:r>
        <w:rPr>
          <w:rFonts w:hint="eastAsia" w:ascii="宋体" w:hAnsi="宋体" w:eastAsia="宋体" w:cs="宋体"/>
          <w:color w:val="auto"/>
          <w:sz w:val="24"/>
        </w:rPr>
        <w:t>6</w:t>
      </w:r>
      <w:r>
        <w:rPr>
          <w:rFonts w:hint="eastAsia" w:ascii="宋体" w:hAnsi="宋体" w:cs="宋体"/>
          <w:color w:val="auto"/>
          <w:kern w:val="0"/>
          <w:sz w:val="24"/>
          <w:szCs w:val="24"/>
          <w:lang w:val="en-US" w:eastAsia="zh-CN"/>
        </w:rPr>
        <w:t>供应商</w:t>
      </w:r>
      <w:r>
        <w:rPr>
          <w:rFonts w:ascii="宋体" w:hAnsi="宋体" w:eastAsia="宋体" w:cs="宋体"/>
          <w:color w:val="auto"/>
          <w:sz w:val="24"/>
        </w:rPr>
        <w:t>不得虚假质疑和恶意质疑，并对质疑内容的真实性承担责任。</w:t>
      </w:r>
      <w:r>
        <w:rPr>
          <w:rFonts w:hint="eastAsia" w:ascii="宋体" w:hAnsi="宋体" w:cs="宋体"/>
          <w:color w:val="auto"/>
          <w:kern w:val="0"/>
          <w:sz w:val="24"/>
          <w:szCs w:val="24"/>
          <w:lang w:val="en-US" w:eastAsia="zh-CN"/>
        </w:rPr>
        <w:t>供应商</w:t>
      </w:r>
      <w:r>
        <w:rPr>
          <w:rFonts w:ascii="宋体" w:hAnsi="宋体" w:eastAsia="宋体" w:cs="宋体"/>
          <w:color w:val="auto"/>
          <w:sz w:val="24"/>
        </w:rPr>
        <w:t>或者其他利害关系人通过捏造事实、伪造证明材料等方式提出异议或投诉，阻碍磋商活动正常进行的，属于严重不良行为，采购人将提请财政部门将其列入不良行为记录名单，并依法予以处罚。</w:t>
      </w:r>
    </w:p>
    <w:p>
      <w:pPr>
        <w:snapToGrid w:val="0"/>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17.7</w:t>
      </w:r>
      <w:r>
        <w:rPr>
          <w:rFonts w:ascii="宋体" w:hAnsi="宋体" w:eastAsia="宋体" w:cs="宋体"/>
          <w:color w:val="auto"/>
          <w:sz w:val="24"/>
        </w:rPr>
        <w:t>采购人将在收到符合上述条件的书面质疑后7个工作日内审查质疑事项，作出答复或相关处理决定，并以书面形式通知质疑</w:t>
      </w:r>
      <w:r>
        <w:rPr>
          <w:rFonts w:hint="eastAsia" w:ascii="宋体" w:hAnsi="宋体" w:cs="宋体"/>
          <w:color w:val="auto"/>
          <w:kern w:val="0"/>
          <w:sz w:val="24"/>
          <w:szCs w:val="24"/>
          <w:lang w:val="en-US" w:eastAsia="zh-CN"/>
        </w:rPr>
        <w:t>供应商</w:t>
      </w:r>
      <w:r>
        <w:rPr>
          <w:rFonts w:ascii="宋体" w:hAnsi="宋体" w:eastAsia="宋体" w:cs="宋体"/>
          <w:color w:val="auto"/>
          <w:sz w:val="24"/>
        </w:rPr>
        <w:t>和其他有关</w:t>
      </w:r>
      <w:r>
        <w:rPr>
          <w:rFonts w:hint="eastAsia" w:ascii="宋体" w:hAnsi="宋体" w:cs="宋体"/>
          <w:color w:val="auto"/>
          <w:kern w:val="0"/>
          <w:sz w:val="24"/>
          <w:szCs w:val="24"/>
          <w:lang w:val="en-US" w:eastAsia="zh-CN"/>
        </w:rPr>
        <w:t>供应商</w:t>
      </w:r>
      <w:r>
        <w:rPr>
          <w:rFonts w:ascii="宋体" w:hAnsi="宋体" w:eastAsia="宋体" w:cs="宋体"/>
          <w:color w:val="auto"/>
          <w:sz w:val="24"/>
        </w:rPr>
        <w:t>，但答复的内容不涉及商业秘密。若质疑涉及磋商制度或程序，将被转交政府采购的管理部门审查。采购人遵循“谁过错谁负担”的原则，有过错的一方承担调查论证费用。</w:t>
      </w:r>
    </w:p>
    <w:p>
      <w:pPr>
        <w:snapToGrid w:val="0"/>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17.8</w:t>
      </w:r>
      <w:r>
        <w:rPr>
          <w:rFonts w:ascii="宋体" w:hAnsi="宋体" w:eastAsia="宋体" w:cs="宋体"/>
          <w:color w:val="auto"/>
          <w:sz w:val="24"/>
        </w:rPr>
        <w:t>质疑</w:t>
      </w:r>
      <w:r>
        <w:rPr>
          <w:rFonts w:hint="eastAsia" w:ascii="宋体" w:hAnsi="宋体" w:cs="宋体"/>
          <w:color w:val="auto"/>
          <w:kern w:val="0"/>
          <w:sz w:val="24"/>
          <w:szCs w:val="24"/>
          <w:lang w:val="en-US" w:eastAsia="zh-CN"/>
        </w:rPr>
        <w:t>供应商</w:t>
      </w:r>
      <w:r>
        <w:rPr>
          <w:rFonts w:ascii="宋体" w:hAnsi="宋体" w:eastAsia="宋体" w:cs="宋体"/>
          <w:color w:val="auto"/>
          <w:sz w:val="24"/>
        </w:rPr>
        <w:t>对采购人的答复不满意以及采购人未在规定的时间内做出答复的，可以在答复期满后15个工作日内向财政部门投诉。</w:t>
      </w:r>
    </w:p>
    <w:p>
      <w:pPr>
        <w:snapToGrid w:val="0"/>
        <w:spacing w:line="440" w:lineRule="exact"/>
        <w:ind w:firstLine="482" w:firstLineChars="200"/>
        <w:rPr>
          <w:rFonts w:hint="eastAsia" w:cs="宋体" w:asciiTheme="minorEastAsia" w:hAnsiTheme="minorEastAsia" w:eastAsiaTheme="minorEastAsia"/>
          <w:b/>
          <w:bCs/>
          <w:color w:val="auto"/>
          <w:sz w:val="24"/>
          <w:szCs w:val="24"/>
          <w:lang w:val="en-US" w:eastAsia="zh-CN"/>
        </w:rPr>
      </w:pPr>
      <w:r>
        <w:rPr>
          <w:rFonts w:hint="eastAsia" w:cs="宋体" w:asciiTheme="minorEastAsia" w:hAnsiTheme="minorEastAsia" w:eastAsiaTheme="minorEastAsia"/>
          <w:b/>
          <w:bCs/>
          <w:color w:val="auto"/>
          <w:sz w:val="24"/>
          <w:szCs w:val="24"/>
          <w:lang w:val="en-US" w:eastAsia="zh-CN"/>
        </w:rPr>
        <w:t>18、招标代理服务费</w:t>
      </w:r>
    </w:p>
    <w:p>
      <w:pPr>
        <w:snapToGrid w:val="0"/>
        <w:spacing w:line="6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招标代理服务收费参照豫招协[2023]002号河南省招标投标协会关于印发《河南省招标代理服务收费指导意见》规定的收费标准收取中标服务费。</w:t>
      </w:r>
    </w:p>
    <w:tbl>
      <w:tblPr>
        <w:tblStyle w:val="20"/>
        <w:tblpPr w:leftFromText="180" w:rightFromText="180" w:vertAnchor="text" w:horzAnchor="page" w:tblpX="1400" w:tblpY="566"/>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994"/>
        <w:gridCol w:w="1642"/>
        <w:gridCol w:w="1433"/>
        <w:gridCol w:w="17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eastAsia" w:ascii="宋体" w:hAnsi="宋体"/>
                <w:b w:val="0"/>
                <w:i w:val="0"/>
                <w:snapToGrid/>
                <w:color w:val="auto"/>
                <w:sz w:val="24"/>
                <w:szCs w:val="18"/>
                <w:u w:val="none"/>
                <w:lang w:val="en-US" w:eastAsia="zh-CN"/>
              </w:rPr>
              <w:t xml:space="preserve">     </w:t>
            </w:r>
            <w:r>
              <w:rPr>
                <w:rFonts w:hint="default" w:ascii="宋体" w:hAnsi="宋体" w:eastAsia="宋体"/>
                <w:b w:val="0"/>
                <w:i w:val="0"/>
                <w:snapToGrid/>
                <w:color w:val="auto"/>
                <w:sz w:val="24"/>
                <w:szCs w:val="18"/>
                <w:u w:val="none"/>
                <w:lang w:eastAsia="zh-CN"/>
              </w:rPr>
              <w:t>项目类型/（金额万元）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工程</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货物</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100万元以下（含100万元）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1.70%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100-500万元（含500万元）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500-1000万元（含1000万元）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0.70%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0.80%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1000-5000万元（含5000万元）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0.40%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0.50%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5000万元--1亿元（含1亿元）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0.25%</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0.30%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1亿--5亿元（含5亿元）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5亿--10亿元（含10亿元）</w:t>
            </w:r>
          </w:p>
        </w:tc>
        <w:tc>
          <w:tcPr>
            <w:tcW w:w="1642" w:type="dxa"/>
            <w:tcBorders>
              <w:top w:val="single" w:color="000000" w:sz="4" w:space="0"/>
              <w:left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c>
          <w:tcPr>
            <w:tcW w:w="1433" w:type="dxa"/>
            <w:tcBorders>
              <w:top w:val="single" w:color="000000" w:sz="4" w:space="0"/>
              <w:left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c>
          <w:tcPr>
            <w:tcW w:w="1711" w:type="dxa"/>
            <w:tcBorders>
              <w:top w:val="single" w:color="000000" w:sz="4" w:space="0"/>
              <w:left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10亿--50亿元（含50亿元）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50亿--100亿元（含</w:t>
            </w:r>
            <w:r>
              <w:rPr>
                <w:rFonts w:hint="eastAsia" w:ascii="宋体" w:hAnsi="宋体"/>
                <w:b w:val="0"/>
                <w:i w:val="0"/>
                <w:snapToGrid/>
                <w:color w:val="auto"/>
                <w:sz w:val="24"/>
                <w:szCs w:val="18"/>
                <w:u w:val="none"/>
                <w:lang w:val="en-US" w:eastAsia="zh-CN"/>
              </w:rPr>
              <w:t>100</w:t>
            </w:r>
            <w:r>
              <w:rPr>
                <w:rFonts w:hint="default" w:ascii="宋体" w:hAnsi="宋体" w:eastAsia="宋体"/>
                <w:b w:val="0"/>
                <w:i w:val="0"/>
                <w:snapToGrid/>
                <w:color w:val="auto"/>
                <w:sz w:val="24"/>
                <w:szCs w:val="18"/>
                <w:u w:val="none"/>
                <w:lang w:eastAsia="zh-CN"/>
              </w:rPr>
              <w:t>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100亿元以上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1" w:hRule="atLeast"/>
        </w:trPr>
        <w:tc>
          <w:tcPr>
            <w:tcW w:w="8780" w:type="dxa"/>
            <w:gridSpan w:val="4"/>
            <w:noWrap w:val="0"/>
            <w:vAlign w:val="center"/>
          </w:tcPr>
          <w:p>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注：1.按本表费率计算的收费金额为招标代理服务费的基准价格，不含工程量清单、最高投标限价（招标控制价）或标底的编制费用。</w:t>
            </w:r>
          </w:p>
          <w:p>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val="en-US" w:eastAsia="zh-CN"/>
              </w:rPr>
            </w:pPr>
            <w:r>
              <w:rPr>
                <w:rFonts w:hint="eastAsia" w:ascii="宋体" w:hAnsi="宋体" w:eastAsia="宋体"/>
                <w:b w:val="0"/>
                <w:i w:val="0"/>
                <w:snapToGrid/>
                <w:color w:val="auto"/>
                <w:sz w:val="24"/>
                <w:szCs w:val="24"/>
                <w:u w:val="none"/>
                <w:lang w:val="en-US" w:eastAsia="zh-CN"/>
              </w:rPr>
              <w:t>2.招标代理服务收费按差额定率累进法计算。</w:t>
            </w:r>
          </w:p>
          <w:p>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例如: 某工程招标代理业务，项目预算金额（招标控制价）为10000万元，招标代理服务收费计算如下:</w:t>
            </w:r>
          </w:p>
          <w:p>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eastAsia" w:ascii="宋体" w:hAnsi="宋体"/>
                <w:b w:val="0"/>
                <w:i w:val="0"/>
                <w:snapToGrid/>
                <w:color w:val="auto"/>
                <w:sz w:val="24"/>
                <w:szCs w:val="24"/>
                <w:u w:val="none"/>
                <w:lang w:val="en-US" w:eastAsia="zh-CN"/>
              </w:rPr>
              <w:t xml:space="preserve"> </w:t>
            </w:r>
            <w:r>
              <w:rPr>
                <w:rFonts w:hint="default" w:ascii="宋体" w:hAnsi="宋体" w:eastAsia="宋体"/>
                <w:b w:val="0"/>
                <w:i w:val="0"/>
                <w:snapToGrid/>
                <w:color w:val="auto"/>
                <w:sz w:val="24"/>
                <w:szCs w:val="24"/>
                <w:u w:val="none"/>
                <w:lang w:eastAsia="zh-CN"/>
              </w:rPr>
              <w:t>100万元×1.2%=1.2万元</w:t>
            </w:r>
          </w:p>
          <w:p>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（500-100）万元×1.0%=4万元</w:t>
            </w:r>
          </w:p>
          <w:p>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（1000-500）×0.7%=3.5万元</w:t>
            </w:r>
          </w:p>
          <w:p>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（5000-1000）×0.4%=16万元</w:t>
            </w:r>
          </w:p>
          <w:p>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1"/>
                <w:szCs w:val="18"/>
                <w:u w:val="none"/>
                <w:lang w:eastAsia="zh-CN"/>
              </w:rPr>
            </w:pPr>
            <w:r>
              <w:rPr>
                <w:rFonts w:hint="default" w:ascii="宋体" w:hAnsi="宋体" w:eastAsia="宋体"/>
                <w:b w:val="0"/>
                <w:i w:val="0"/>
                <w:snapToGrid/>
                <w:color w:val="auto"/>
                <w:sz w:val="24"/>
                <w:szCs w:val="24"/>
                <w:u w:val="none"/>
                <w:lang w:eastAsia="zh-CN"/>
              </w:rPr>
              <w:t>（10000-5000）×0.25%=12.5万元合计收费=1.2+4+3.5+16+12.5=37.2万元</w:t>
            </w:r>
          </w:p>
        </w:tc>
      </w:tr>
    </w:tbl>
    <w:p>
      <w:pPr>
        <w:snapToGrid w:val="0"/>
        <w:spacing w:line="440" w:lineRule="exact"/>
        <w:ind w:firstLine="480" w:firstLineChars="200"/>
        <w:rPr>
          <w:rFonts w:hint="default" w:cs="宋体" w:asciiTheme="minorEastAsia" w:hAnsiTheme="minorEastAsia" w:eastAsiaTheme="minorEastAsia"/>
          <w:color w:val="auto"/>
          <w:sz w:val="24"/>
          <w:szCs w:val="24"/>
          <w:lang w:val="en-US" w:eastAsia="zh-CN"/>
        </w:rPr>
      </w:pPr>
      <w:r>
        <w:rPr>
          <w:rFonts w:hint="eastAsia" w:cs="宋体" w:asciiTheme="minorEastAsia" w:hAnsiTheme="minorEastAsia" w:eastAsiaTheme="minorEastAsia"/>
          <w:color w:val="auto"/>
          <w:sz w:val="24"/>
          <w:szCs w:val="24"/>
          <w:lang w:val="en-US" w:eastAsia="zh-CN"/>
        </w:rPr>
        <w:t>河南省招标代理服务费计算标准</w:t>
      </w:r>
    </w:p>
    <w:p>
      <w:pPr>
        <w:jc w:val="both"/>
        <w:rPr>
          <w:rFonts w:ascii="宋体" w:hAnsi="宋体"/>
          <w:color w:val="auto"/>
          <w:sz w:val="24"/>
          <w:szCs w:val="24"/>
        </w:rPr>
      </w:pPr>
    </w:p>
    <w:p>
      <w:pPr>
        <w:jc w:val="both"/>
        <w:rPr>
          <w:rFonts w:ascii="宋体" w:hAnsi="宋体"/>
          <w:color w:val="auto"/>
          <w:sz w:val="24"/>
          <w:szCs w:val="24"/>
        </w:rPr>
      </w:pPr>
    </w:p>
    <w:p>
      <w:pPr>
        <w:jc w:val="both"/>
        <w:rPr>
          <w:rFonts w:ascii="宋体" w:hAnsi="宋体"/>
          <w:color w:val="auto"/>
          <w:sz w:val="24"/>
          <w:szCs w:val="24"/>
        </w:rPr>
      </w:pPr>
    </w:p>
    <w:p>
      <w:pPr>
        <w:jc w:val="both"/>
        <w:rPr>
          <w:rFonts w:ascii="宋体" w:hAnsi="宋体"/>
          <w:color w:val="auto"/>
          <w:sz w:val="24"/>
          <w:szCs w:val="24"/>
        </w:rPr>
      </w:pPr>
    </w:p>
    <w:p>
      <w:pPr>
        <w:jc w:val="both"/>
        <w:rPr>
          <w:rFonts w:ascii="宋体" w:hAnsi="宋体"/>
          <w:color w:val="auto"/>
          <w:sz w:val="24"/>
          <w:szCs w:val="24"/>
        </w:rPr>
      </w:pPr>
    </w:p>
    <w:p>
      <w:pPr>
        <w:jc w:val="both"/>
        <w:rPr>
          <w:rFonts w:ascii="宋体" w:hAnsi="宋体"/>
          <w:color w:val="auto"/>
          <w:sz w:val="24"/>
          <w:szCs w:val="24"/>
        </w:rPr>
      </w:pPr>
    </w:p>
    <w:p>
      <w:pPr>
        <w:jc w:val="both"/>
        <w:rPr>
          <w:rFonts w:ascii="宋体" w:hAnsi="宋体"/>
          <w:color w:val="auto"/>
          <w:sz w:val="24"/>
          <w:szCs w:val="24"/>
        </w:rPr>
      </w:pPr>
    </w:p>
    <w:p>
      <w:pPr>
        <w:jc w:val="both"/>
        <w:rPr>
          <w:rFonts w:ascii="宋体" w:hAnsi="宋体"/>
          <w:color w:val="auto"/>
          <w:sz w:val="24"/>
          <w:szCs w:val="24"/>
        </w:rPr>
      </w:pPr>
    </w:p>
    <w:p>
      <w:pPr>
        <w:jc w:val="both"/>
        <w:rPr>
          <w:rFonts w:ascii="宋体" w:hAnsi="宋体"/>
          <w:color w:val="auto"/>
          <w:sz w:val="24"/>
          <w:szCs w:val="24"/>
        </w:rPr>
      </w:pPr>
    </w:p>
    <w:p>
      <w:pPr>
        <w:jc w:val="both"/>
        <w:rPr>
          <w:rFonts w:ascii="宋体" w:hAnsi="宋体"/>
          <w:color w:val="auto"/>
          <w:sz w:val="24"/>
          <w:szCs w:val="24"/>
        </w:rPr>
      </w:pPr>
    </w:p>
    <w:p>
      <w:pPr>
        <w:jc w:val="both"/>
        <w:rPr>
          <w:rFonts w:hint="eastAsia" w:ascii="宋体" w:hAnsi="宋体" w:cs="宋体"/>
          <w:b/>
          <w:bCs/>
          <w:color w:val="auto"/>
          <w:sz w:val="24"/>
          <w:szCs w:val="24"/>
          <w:highlight w:val="none"/>
          <w:lang w:eastAsia="zh-CN"/>
        </w:rPr>
      </w:pPr>
      <w:r>
        <w:rPr>
          <w:rFonts w:ascii="宋体" w:hAnsi="宋体"/>
          <w:color w:val="auto"/>
          <w:sz w:val="24"/>
          <w:szCs w:val="24"/>
        </w:rPr>
        <w:br w:type="page"/>
      </w:r>
    </w:p>
    <w:bookmarkEnd w:id="26"/>
    <w:bookmarkEnd w:id="27"/>
    <w:p>
      <w:pPr>
        <w:jc w:val="center"/>
        <w:outlineLvl w:val="0"/>
        <w:rPr>
          <w:rFonts w:hint="eastAsia" w:ascii="宋体" w:hAnsi="宋体" w:eastAsia="宋体" w:cs="宋体"/>
          <w:b/>
          <w:bCs/>
          <w:color w:val="auto"/>
          <w:sz w:val="32"/>
          <w:szCs w:val="32"/>
          <w:highlight w:val="none"/>
        </w:rPr>
      </w:pPr>
      <w:bookmarkStart w:id="107" w:name="_Toc4022"/>
      <w:bookmarkStart w:id="108" w:name="_Toc4687"/>
      <w:r>
        <w:rPr>
          <w:rFonts w:hint="eastAsia" w:ascii="宋体" w:hAnsi="宋体" w:eastAsia="宋体" w:cs="宋体"/>
          <w:b/>
          <w:bCs/>
          <w:color w:val="auto"/>
          <w:sz w:val="32"/>
          <w:szCs w:val="32"/>
          <w:highlight w:val="none"/>
        </w:rPr>
        <w:t>第三章 评</w:t>
      </w:r>
      <w:r>
        <w:rPr>
          <w:rFonts w:hint="eastAsia" w:ascii="宋体" w:hAnsi="宋体" w:cs="宋体"/>
          <w:b/>
          <w:bCs/>
          <w:color w:val="auto"/>
          <w:sz w:val="32"/>
          <w:szCs w:val="32"/>
          <w:highlight w:val="none"/>
          <w:lang w:val="en-US" w:eastAsia="zh-CN"/>
        </w:rPr>
        <w:t>审标准</w:t>
      </w:r>
      <w:r>
        <w:rPr>
          <w:rFonts w:hint="eastAsia" w:ascii="宋体" w:hAnsi="宋体" w:eastAsia="宋体" w:cs="宋体"/>
          <w:b/>
          <w:bCs/>
          <w:color w:val="auto"/>
          <w:sz w:val="32"/>
          <w:szCs w:val="32"/>
          <w:highlight w:val="none"/>
        </w:rPr>
        <w:t xml:space="preserve"> （综合评分法）</w:t>
      </w:r>
      <w:bookmarkEnd w:id="107"/>
    </w:p>
    <w:p>
      <w:pPr>
        <w:pStyle w:val="4"/>
        <w:spacing w:before="0" w:after="0" w:line="360" w:lineRule="auto"/>
        <w:jc w:val="center"/>
        <w:outlineLvl w:val="1"/>
        <w:rPr>
          <w:rFonts w:hint="eastAsia" w:ascii="宋体" w:hAnsi="宋体" w:eastAsia="宋体" w:cs="宋体"/>
          <w:color w:val="auto"/>
          <w:highlight w:val="none"/>
        </w:rPr>
      </w:pPr>
      <w:bookmarkStart w:id="109" w:name="_Toc26488"/>
      <w:bookmarkStart w:id="110" w:name="_Toc4539"/>
      <w:bookmarkStart w:id="111" w:name="_Toc32707"/>
      <w:bookmarkStart w:id="112" w:name="_Toc13551"/>
      <w:bookmarkStart w:id="113" w:name="_Toc27124"/>
      <w:r>
        <w:rPr>
          <w:rFonts w:hint="eastAsia" w:ascii="宋体" w:hAnsi="宋体" w:eastAsia="宋体" w:cs="宋体"/>
          <w:color w:val="auto"/>
          <w:sz w:val="24"/>
          <w:szCs w:val="24"/>
          <w:highlight w:val="none"/>
        </w:rPr>
        <w:t>评标办法前附表</w:t>
      </w:r>
      <w:bookmarkEnd w:id="109"/>
      <w:bookmarkEnd w:id="110"/>
      <w:bookmarkEnd w:id="111"/>
      <w:bookmarkEnd w:id="112"/>
      <w:bookmarkEnd w:id="113"/>
    </w:p>
    <w:tbl>
      <w:tblPr>
        <w:tblStyle w:val="20"/>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208"/>
        <w:gridCol w:w="1895"/>
        <w:gridCol w:w="5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23" w:type="dxa"/>
            <w:gridSpan w:val="2"/>
            <w:noWrap w:val="0"/>
            <w:tcMar>
              <w:left w:w="57" w:type="dxa"/>
              <w:right w:w="57" w:type="dxa"/>
            </w:tcMar>
            <w:vAlign w:val="center"/>
          </w:tcPr>
          <w:p>
            <w:pPr>
              <w:snapToGrid w:val="0"/>
              <w:spacing w:line="480" w:lineRule="exact"/>
              <w:jc w:val="center"/>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条款号</w:t>
            </w:r>
          </w:p>
        </w:tc>
        <w:tc>
          <w:tcPr>
            <w:tcW w:w="1895" w:type="dxa"/>
            <w:noWrap w:val="0"/>
            <w:tcMar>
              <w:left w:w="57" w:type="dxa"/>
              <w:right w:w="57" w:type="dxa"/>
            </w:tcMar>
            <w:vAlign w:val="center"/>
          </w:tcPr>
          <w:p>
            <w:pPr>
              <w:snapToGrid w:val="0"/>
              <w:spacing w:line="480" w:lineRule="exact"/>
              <w:jc w:val="center"/>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评审因素</w:t>
            </w:r>
          </w:p>
        </w:tc>
        <w:tc>
          <w:tcPr>
            <w:tcW w:w="5968" w:type="dxa"/>
            <w:noWrap w:val="0"/>
            <w:tcMar>
              <w:left w:w="57" w:type="dxa"/>
              <w:right w:w="57" w:type="dxa"/>
            </w:tcMar>
            <w:vAlign w:val="center"/>
          </w:tcPr>
          <w:p>
            <w:pPr>
              <w:snapToGrid w:val="0"/>
              <w:spacing w:line="480" w:lineRule="exact"/>
              <w:jc w:val="center"/>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15" w:type="dxa"/>
            <w:vMerge w:val="restart"/>
            <w:noWrap w:val="0"/>
            <w:tcMar>
              <w:left w:w="57" w:type="dxa"/>
              <w:right w:w="57" w:type="dxa"/>
            </w:tcMar>
            <w:vAlign w:val="center"/>
          </w:tcPr>
          <w:p>
            <w:pPr>
              <w:snapToGrid w:val="0"/>
              <w:spacing w:line="480" w:lineRule="exact"/>
              <w:jc w:val="center"/>
              <w:rPr>
                <w:rFonts w:hint="eastAsia" w:ascii="宋体" w:hAnsi="宋体" w:eastAsia="宋体" w:cs="宋体"/>
                <w:color w:val="auto"/>
                <w:highlight w:val="none"/>
              </w:rPr>
            </w:pPr>
            <w:r>
              <w:rPr>
                <w:rFonts w:hint="eastAsia" w:ascii="宋体" w:hAnsi="宋体" w:eastAsia="宋体" w:cs="宋体"/>
                <w:color w:val="auto"/>
                <w:sz w:val="24"/>
                <w:highlight w:val="none"/>
              </w:rPr>
              <w:t>2.1.1</w:t>
            </w:r>
          </w:p>
        </w:tc>
        <w:tc>
          <w:tcPr>
            <w:tcW w:w="1208" w:type="dxa"/>
            <w:vMerge w:val="restart"/>
            <w:noWrap w:val="0"/>
            <w:tcMar>
              <w:left w:w="57" w:type="dxa"/>
              <w:right w:w="57" w:type="dxa"/>
            </w:tcMar>
            <w:vAlign w:val="center"/>
          </w:tcPr>
          <w:p>
            <w:pPr>
              <w:snapToGrid w:val="0"/>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形式评审标准</w:t>
            </w:r>
          </w:p>
        </w:tc>
        <w:tc>
          <w:tcPr>
            <w:tcW w:w="1895" w:type="dxa"/>
            <w:noWrap w:val="0"/>
            <w:tcMar>
              <w:left w:w="57" w:type="dxa"/>
              <w:right w:w="57" w:type="dxa"/>
            </w:tcMar>
            <w:vAlign w:val="center"/>
          </w:tcPr>
          <w:p>
            <w:pPr>
              <w:snapToGrid w:val="0"/>
              <w:spacing w:line="480" w:lineRule="exact"/>
              <w:jc w:val="center"/>
              <w:rPr>
                <w:rFonts w:hint="eastAsia" w:ascii="宋体" w:hAnsi="宋体" w:eastAsia="宋体" w:cs="宋体"/>
                <w:color w:val="auto"/>
                <w:sz w:val="24"/>
                <w:highlight w:val="none"/>
              </w:rPr>
            </w:pP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名称</w:t>
            </w:r>
          </w:p>
        </w:tc>
        <w:tc>
          <w:tcPr>
            <w:tcW w:w="5968" w:type="dxa"/>
            <w:noWrap w:val="0"/>
            <w:tcMar>
              <w:left w:w="57" w:type="dxa"/>
              <w:right w:w="57" w:type="dxa"/>
            </w:tcMar>
            <w:vAlign w:val="center"/>
          </w:tcPr>
          <w:p>
            <w:pPr>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15" w:type="dxa"/>
            <w:vMerge w:val="continue"/>
            <w:noWrap w:val="0"/>
            <w:tcMar>
              <w:left w:w="57" w:type="dxa"/>
              <w:right w:w="57" w:type="dxa"/>
            </w:tcMar>
            <w:vAlign w:val="center"/>
          </w:tcPr>
          <w:p>
            <w:pPr>
              <w:snapToGrid w:val="0"/>
              <w:spacing w:line="480" w:lineRule="exact"/>
              <w:jc w:val="center"/>
              <w:rPr>
                <w:rFonts w:hint="eastAsia" w:ascii="宋体" w:hAnsi="宋体" w:eastAsia="宋体" w:cs="宋体"/>
                <w:color w:val="auto"/>
                <w:sz w:val="24"/>
                <w:highlight w:val="none"/>
              </w:rPr>
            </w:pPr>
          </w:p>
        </w:tc>
        <w:tc>
          <w:tcPr>
            <w:tcW w:w="1208" w:type="dxa"/>
            <w:vMerge w:val="continue"/>
            <w:noWrap w:val="0"/>
            <w:tcMar>
              <w:left w:w="57" w:type="dxa"/>
              <w:right w:w="57" w:type="dxa"/>
            </w:tcMar>
            <w:vAlign w:val="center"/>
          </w:tcPr>
          <w:p>
            <w:pPr>
              <w:snapToGrid w:val="0"/>
              <w:spacing w:line="480" w:lineRule="exact"/>
              <w:jc w:val="center"/>
              <w:rPr>
                <w:rFonts w:hint="eastAsia" w:ascii="宋体" w:hAnsi="宋体" w:eastAsia="宋体" w:cs="宋体"/>
                <w:color w:val="auto"/>
                <w:sz w:val="24"/>
                <w:highlight w:val="none"/>
              </w:rPr>
            </w:pPr>
          </w:p>
        </w:tc>
        <w:tc>
          <w:tcPr>
            <w:tcW w:w="1895" w:type="dxa"/>
            <w:noWrap w:val="0"/>
            <w:tcMar>
              <w:left w:w="57" w:type="dxa"/>
              <w:right w:w="57" w:type="dxa"/>
            </w:tcMar>
            <w:vAlign w:val="center"/>
          </w:tcPr>
          <w:p>
            <w:pPr>
              <w:snapToGrid w:val="0"/>
              <w:spacing w:line="480" w:lineRule="exact"/>
              <w:jc w:val="center"/>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响应文件</w:t>
            </w:r>
            <w:r>
              <w:rPr>
                <w:rFonts w:hint="eastAsia" w:ascii="宋体" w:hAnsi="宋体" w:eastAsia="宋体" w:cs="宋体"/>
                <w:color w:val="auto"/>
                <w:sz w:val="24"/>
                <w:highlight w:val="none"/>
              </w:rPr>
              <w:t>签字盖章</w:t>
            </w:r>
          </w:p>
        </w:tc>
        <w:tc>
          <w:tcPr>
            <w:tcW w:w="5968" w:type="dxa"/>
            <w:noWrap w:val="0"/>
            <w:tcMar>
              <w:left w:w="57" w:type="dxa"/>
              <w:right w:w="57" w:type="dxa"/>
            </w:tcMar>
            <w:vAlign w:val="center"/>
          </w:tcPr>
          <w:p>
            <w:pPr>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按</w:t>
            </w:r>
            <w:r>
              <w:rPr>
                <w:rFonts w:hint="eastAsia" w:ascii="宋体" w:hAnsi="宋体" w:cs="宋体"/>
                <w:color w:val="auto"/>
                <w:sz w:val="24"/>
                <w:highlight w:val="none"/>
                <w:lang w:val="en-US" w:eastAsia="zh-CN"/>
              </w:rPr>
              <w:t>磋商</w:t>
            </w:r>
            <w:r>
              <w:rPr>
                <w:rFonts w:hint="eastAsia" w:ascii="宋体" w:hAnsi="宋体" w:eastAsia="宋体" w:cs="宋体"/>
                <w:color w:val="auto"/>
                <w:sz w:val="24"/>
                <w:highlight w:val="none"/>
              </w:rPr>
              <w:t>文件要求签字、盖章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15" w:type="dxa"/>
            <w:vMerge w:val="continue"/>
            <w:noWrap w:val="0"/>
            <w:tcMar>
              <w:left w:w="57" w:type="dxa"/>
              <w:right w:w="57" w:type="dxa"/>
            </w:tcMar>
            <w:vAlign w:val="center"/>
          </w:tcPr>
          <w:p>
            <w:pPr>
              <w:snapToGrid w:val="0"/>
              <w:spacing w:line="480" w:lineRule="exact"/>
              <w:jc w:val="center"/>
              <w:rPr>
                <w:rFonts w:hint="eastAsia" w:ascii="宋体" w:hAnsi="宋体" w:eastAsia="宋体" w:cs="宋体"/>
                <w:color w:val="auto"/>
                <w:sz w:val="24"/>
                <w:highlight w:val="none"/>
              </w:rPr>
            </w:pPr>
          </w:p>
        </w:tc>
        <w:tc>
          <w:tcPr>
            <w:tcW w:w="1208" w:type="dxa"/>
            <w:vMerge w:val="continue"/>
            <w:noWrap w:val="0"/>
            <w:tcMar>
              <w:left w:w="57" w:type="dxa"/>
              <w:right w:w="57" w:type="dxa"/>
            </w:tcMar>
            <w:vAlign w:val="center"/>
          </w:tcPr>
          <w:p>
            <w:pPr>
              <w:snapToGrid w:val="0"/>
              <w:spacing w:line="480" w:lineRule="exact"/>
              <w:jc w:val="center"/>
              <w:rPr>
                <w:rFonts w:hint="eastAsia" w:ascii="宋体" w:hAnsi="宋体" w:eastAsia="宋体" w:cs="宋体"/>
                <w:color w:val="auto"/>
                <w:sz w:val="24"/>
                <w:highlight w:val="none"/>
              </w:rPr>
            </w:pPr>
          </w:p>
        </w:tc>
        <w:tc>
          <w:tcPr>
            <w:tcW w:w="1895" w:type="dxa"/>
            <w:noWrap w:val="0"/>
            <w:tcMar>
              <w:left w:w="57" w:type="dxa"/>
              <w:right w:w="57" w:type="dxa"/>
            </w:tcMar>
            <w:vAlign w:val="center"/>
          </w:tcPr>
          <w:p>
            <w:pPr>
              <w:snapToGrid w:val="0"/>
              <w:spacing w:line="480" w:lineRule="exact"/>
              <w:jc w:val="center"/>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响应</w:t>
            </w:r>
            <w:r>
              <w:rPr>
                <w:rFonts w:hint="eastAsia" w:ascii="宋体" w:hAnsi="宋体" w:eastAsia="宋体" w:cs="宋体"/>
                <w:color w:val="auto"/>
                <w:sz w:val="24"/>
                <w:highlight w:val="none"/>
              </w:rPr>
              <w:t>文件格式</w:t>
            </w:r>
          </w:p>
        </w:tc>
        <w:tc>
          <w:tcPr>
            <w:tcW w:w="5968" w:type="dxa"/>
            <w:noWrap w:val="0"/>
            <w:tcMar>
              <w:left w:w="57" w:type="dxa"/>
              <w:right w:w="57" w:type="dxa"/>
            </w:tcMar>
            <w:vAlign w:val="center"/>
          </w:tcPr>
          <w:p>
            <w:pPr>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符合第六章“</w:t>
            </w:r>
            <w:r>
              <w:rPr>
                <w:rFonts w:hint="eastAsia" w:ascii="宋体" w:hAnsi="宋体" w:cs="宋体"/>
                <w:color w:val="auto"/>
                <w:sz w:val="24"/>
                <w:highlight w:val="none"/>
                <w:lang w:val="en-US" w:eastAsia="zh-CN"/>
              </w:rPr>
              <w:t>响应</w:t>
            </w:r>
            <w:r>
              <w:rPr>
                <w:rFonts w:hint="eastAsia" w:ascii="宋体" w:hAnsi="宋体" w:eastAsia="宋体" w:cs="宋体"/>
                <w:color w:val="auto"/>
                <w:sz w:val="24"/>
                <w:highlight w:val="none"/>
              </w:rPr>
              <w:t>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15" w:type="dxa"/>
            <w:vMerge w:val="continue"/>
            <w:noWrap w:val="0"/>
            <w:tcMar>
              <w:left w:w="57" w:type="dxa"/>
              <w:right w:w="57" w:type="dxa"/>
            </w:tcMar>
            <w:vAlign w:val="center"/>
          </w:tcPr>
          <w:p>
            <w:pPr>
              <w:snapToGrid w:val="0"/>
              <w:spacing w:line="480" w:lineRule="exact"/>
              <w:jc w:val="center"/>
              <w:rPr>
                <w:rFonts w:hint="eastAsia" w:ascii="宋体" w:hAnsi="宋体" w:eastAsia="宋体" w:cs="宋体"/>
                <w:color w:val="auto"/>
                <w:sz w:val="24"/>
                <w:highlight w:val="none"/>
              </w:rPr>
            </w:pPr>
          </w:p>
        </w:tc>
        <w:tc>
          <w:tcPr>
            <w:tcW w:w="1208" w:type="dxa"/>
            <w:vMerge w:val="continue"/>
            <w:noWrap w:val="0"/>
            <w:tcMar>
              <w:left w:w="57" w:type="dxa"/>
              <w:right w:w="57" w:type="dxa"/>
            </w:tcMar>
            <w:vAlign w:val="center"/>
          </w:tcPr>
          <w:p>
            <w:pPr>
              <w:snapToGrid w:val="0"/>
              <w:spacing w:line="480" w:lineRule="exact"/>
              <w:jc w:val="center"/>
              <w:rPr>
                <w:rFonts w:hint="eastAsia" w:ascii="宋体" w:hAnsi="宋体" w:eastAsia="宋体" w:cs="宋体"/>
                <w:color w:val="auto"/>
                <w:sz w:val="24"/>
                <w:highlight w:val="none"/>
              </w:rPr>
            </w:pPr>
          </w:p>
        </w:tc>
        <w:tc>
          <w:tcPr>
            <w:tcW w:w="1895" w:type="dxa"/>
            <w:noWrap w:val="0"/>
            <w:tcMar>
              <w:left w:w="57" w:type="dxa"/>
              <w:right w:w="57" w:type="dxa"/>
            </w:tcMar>
            <w:vAlign w:val="center"/>
          </w:tcPr>
          <w:p>
            <w:pPr>
              <w:snapToGrid w:val="0"/>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报价唯一</w:t>
            </w:r>
          </w:p>
        </w:tc>
        <w:tc>
          <w:tcPr>
            <w:tcW w:w="5968" w:type="dxa"/>
            <w:noWrap w:val="0"/>
            <w:tcMar>
              <w:left w:w="57" w:type="dxa"/>
              <w:right w:w="57" w:type="dxa"/>
            </w:tcMar>
            <w:vAlign w:val="center"/>
          </w:tcPr>
          <w:p>
            <w:pPr>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只能有一个有效报价，且不超过</w:t>
            </w:r>
            <w:r>
              <w:rPr>
                <w:rFonts w:hint="eastAsia" w:ascii="宋体" w:hAnsi="宋体" w:cs="宋体"/>
                <w:color w:val="auto"/>
                <w:sz w:val="24"/>
                <w:highlight w:val="none"/>
                <w:lang w:val="en-US" w:eastAsia="zh-CN"/>
              </w:rPr>
              <w:t>最高限价</w:t>
            </w:r>
            <w:r>
              <w:rPr>
                <w:rFonts w:hint="eastAsia" w:ascii="宋体" w:hAnsi="宋体" w:eastAsia="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jc w:val="center"/>
        </w:trPr>
        <w:tc>
          <w:tcPr>
            <w:tcW w:w="615" w:type="dxa"/>
            <w:vMerge w:val="restart"/>
            <w:noWrap w:val="0"/>
            <w:tcMar>
              <w:left w:w="57" w:type="dxa"/>
              <w:right w:w="57" w:type="dxa"/>
            </w:tcMar>
            <w:vAlign w:val="center"/>
          </w:tcPr>
          <w:p>
            <w:pPr>
              <w:snapToGrid w:val="0"/>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2.1.2</w:t>
            </w:r>
          </w:p>
        </w:tc>
        <w:tc>
          <w:tcPr>
            <w:tcW w:w="1208" w:type="dxa"/>
            <w:vMerge w:val="restart"/>
            <w:noWrap w:val="0"/>
            <w:tcMar>
              <w:left w:w="57" w:type="dxa"/>
              <w:right w:w="57" w:type="dxa"/>
            </w:tcMar>
            <w:vAlign w:val="center"/>
          </w:tcPr>
          <w:p>
            <w:pPr>
              <w:snapToGrid w:val="0"/>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资格评审标准</w:t>
            </w:r>
          </w:p>
        </w:tc>
        <w:tc>
          <w:tcPr>
            <w:tcW w:w="1895" w:type="dxa"/>
            <w:noWrap w:val="0"/>
            <w:tcMar>
              <w:left w:w="57" w:type="dxa"/>
              <w:right w:w="57" w:type="dxa"/>
            </w:tcMar>
            <w:vAlign w:val="center"/>
          </w:tcPr>
          <w:p>
            <w:pPr>
              <w:snapToGrid w:val="0"/>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满足《中华人民共和国政府采购法》第二十一、第二十二条规定</w:t>
            </w:r>
          </w:p>
        </w:tc>
        <w:tc>
          <w:tcPr>
            <w:tcW w:w="5968" w:type="dxa"/>
            <w:noWrap w:val="0"/>
            <w:vAlign w:val="center"/>
          </w:tcPr>
          <w:p>
            <w:pPr>
              <w:adjustRightInd w:val="0"/>
              <w:snapToGrid w:val="0"/>
              <w:spacing w:line="480" w:lineRule="exact"/>
              <w:jc w:val="left"/>
              <w:textAlignment w:val="baseline"/>
              <w:rPr>
                <w:rFonts w:hint="eastAsia" w:ascii="宋体" w:hAnsi="宋体" w:eastAsia="宋体" w:cs="宋体"/>
                <w:color w:val="auto"/>
                <w:sz w:val="24"/>
                <w:highlight w:val="none"/>
              </w:rPr>
            </w:pPr>
            <w:r>
              <w:rPr>
                <w:rFonts w:hint="eastAsia" w:ascii="宋体" w:hAnsi="宋体" w:eastAsia="宋体" w:cs="宋体"/>
                <w:color w:val="auto"/>
                <w:kern w:val="0"/>
                <w:sz w:val="24"/>
                <w:szCs w:val="24"/>
                <w:highlight w:val="none"/>
                <w:lang w:val="en-US" w:eastAsia="zh-CN"/>
              </w:rPr>
              <w:t>满足《中华人民共和国政府采购法》的第二十一、第二十二条的规定。（自行承诺，格式自拟）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615" w:type="dxa"/>
            <w:vMerge w:val="continue"/>
            <w:noWrap w:val="0"/>
            <w:tcMar>
              <w:left w:w="57" w:type="dxa"/>
              <w:right w:w="57" w:type="dxa"/>
            </w:tcMar>
            <w:vAlign w:val="center"/>
          </w:tcPr>
          <w:p>
            <w:pPr>
              <w:snapToGrid w:val="0"/>
              <w:spacing w:line="480" w:lineRule="exact"/>
              <w:jc w:val="center"/>
              <w:rPr>
                <w:rFonts w:hint="eastAsia" w:ascii="宋体" w:hAnsi="宋体" w:eastAsia="宋体" w:cs="宋体"/>
                <w:color w:val="auto"/>
                <w:sz w:val="24"/>
                <w:highlight w:val="none"/>
              </w:rPr>
            </w:pPr>
          </w:p>
        </w:tc>
        <w:tc>
          <w:tcPr>
            <w:tcW w:w="1208" w:type="dxa"/>
            <w:vMerge w:val="continue"/>
            <w:noWrap w:val="0"/>
            <w:tcMar>
              <w:left w:w="57" w:type="dxa"/>
              <w:right w:w="57" w:type="dxa"/>
            </w:tcMar>
            <w:vAlign w:val="center"/>
          </w:tcPr>
          <w:p>
            <w:pPr>
              <w:snapToGrid w:val="0"/>
              <w:spacing w:line="480" w:lineRule="exact"/>
              <w:jc w:val="center"/>
              <w:rPr>
                <w:rFonts w:hint="eastAsia" w:ascii="宋体" w:hAnsi="宋体" w:eastAsia="宋体" w:cs="宋体"/>
                <w:color w:val="auto"/>
                <w:sz w:val="24"/>
                <w:highlight w:val="none"/>
              </w:rPr>
            </w:pPr>
          </w:p>
        </w:tc>
        <w:tc>
          <w:tcPr>
            <w:tcW w:w="1895" w:type="dxa"/>
            <w:noWrap w:val="0"/>
            <w:tcMar>
              <w:left w:w="57" w:type="dxa"/>
              <w:right w:w="57" w:type="dxa"/>
            </w:tcMar>
            <w:vAlign w:val="center"/>
          </w:tcPr>
          <w:p>
            <w:pPr>
              <w:snapToGrid w:val="0"/>
              <w:spacing w:line="48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供应商具有有效的营业执照</w:t>
            </w:r>
          </w:p>
        </w:tc>
        <w:tc>
          <w:tcPr>
            <w:tcW w:w="5968"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供应商具有有效的营业执照；</w:t>
            </w:r>
          </w:p>
          <w:p>
            <w:pPr>
              <w:adjustRightInd w:val="0"/>
              <w:snapToGrid w:val="0"/>
              <w:spacing w:line="480" w:lineRule="exact"/>
              <w:jc w:val="left"/>
              <w:textAlignment w:val="baseline"/>
              <w:rPr>
                <w:rFonts w:hint="eastAsia" w:ascii="宋体" w:hAnsi="宋体" w:eastAsia="宋体" w:cs="宋体"/>
                <w:color w:val="auto"/>
                <w:sz w:val="24"/>
                <w:highlight w:val="none"/>
              </w:rPr>
            </w:pPr>
            <w:r>
              <w:rPr>
                <w:rFonts w:hint="eastAsia" w:ascii="宋体" w:hAnsi="宋体" w:eastAsia="宋体" w:cs="宋体"/>
                <w:b/>
                <w:bCs/>
                <w:color w:val="auto"/>
                <w:sz w:val="24"/>
                <w:szCs w:val="24"/>
                <w:highlight w:val="none"/>
                <w:lang w:val="en-US" w:eastAsia="zh-CN"/>
              </w:rPr>
              <w:t>特别说明：根据《〈政府采购法实施条例〉释义》，银行、保险、石油石化、电力、电信等有行业特殊情况的，取得营业执照的分支机构可以分公司名义参与投标，但同一上级公司的两个分支机构不得同时参加投标，投标文件中涉及的“法定代表人”在前述特殊行业中即对应为“分支机构负责人”。以分公司或分支机构参与投标，须提供总公司的资格授权文件，总公司的资格、资质、人员证书、业绩等都作为本次投标的有效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615" w:type="dxa"/>
            <w:vMerge w:val="continue"/>
            <w:noWrap w:val="0"/>
            <w:tcMar>
              <w:left w:w="57" w:type="dxa"/>
              <w:right w:w="57" w:type="dxa"/>
            </w:tcMar>
            <w:vAlign w:val="center"/>
          </w:tcPr>
          <w:p>
            <w:pPr>
              <w:snapToGrid w:val="0"/>
              <w:spacing w:line="480" w:lineRule="exact"/>
              <w:jc w:val="center"/>
              <w:rPr>
                <w:rFonts w:hint="eastAsia" w:ascii="宋体" w:hAnsi="宋体" w:eastAsia="宋体" w:cs="宋体"/>
                <w:color w:val="auto"/>
                <w:sz w:val="24"/>
                <w:highlight w:val="none"/>
              </w:rPr>
            </w:pPr>
          </w:p>
        </w:tc>
        <w:tc>
          <w:tcPr>
            <w:tcW w:w="1208" w:type="dxa"/>
            <w:vMerge w:val="continue"/>
            <w:noWrap w:val="0"/>
            <w:tcMar>
              <w:left w:w="57" w:type="dxa"/>
              <w:right w:w="57" w:type="dxa"/>
            </w:tcMar>
            <w:vAlign w:val="center"/>
          </w:tcPr>
          <w:p>
            <w:pPr>
              <w:snapToGrid w:val="0"/>
              <w:spacing w:line="480" w:lineRule="exact"/>
              <w:jc w:val="center"/>
              <w:rPr>
                <w:rFonts w:hint="eastAsia" w:ascii="宋体" w:hAnsi="宋体" w:eastAsia="宋体" w:cs="宋体"/>
                <w:color w:val="auto"/>
                <w:sz w:val="24"/>
                <w:highlight w:val="none"/>
              </w:rPr>
            </w:pPr>
          </w:p>
        </w:tc>
        <w:tc>
          <w:tcPr>
            <w:tcW w:w="1895" w:type="dxa"/>
            <w:noWrap w:val="0"/>
            <w:tcMar>
              <w:left w:w="57" w:type="dxa"/>
              <w:right w:w="57" w:type="dxa"/>
            </w:tcMar>
            <w:vAlign w:val="center"/>
          </w:tcPr>
          <w:p>
            <w:pPr>
              <w:snapToGrid w:val="0"/>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具备履行合同所需要的设备和专业技术能力</w:t>
            </w:r>
          </w:p>
        </w:tc>
        <w:tc>
          <w:tcPr>
            <w:tcW w:w="5968" w:type="dxa"/>
            <w:noWrap w:val="0"/>
            <w:vAlign w:val="center"/>
          </w:tcPr>
          <w:p>
            <w:pPr>
              <w:spacing w:line="490" w:lineRule="exact"/>
              <w:outlineLvl w:val="0"/>
              <w:rPr>
                <w:rFonts w:hint="eastAsia" w:ascii="宋体" w:hAnsi="宋体" w:eastAsia="宋体" w:cs="宋体"/>
                <w:color w:val="auto"/>
                <w:sz w:val="24"/>
                <w:highlight w:val="none"/>
              </w:rPr>
            </w:pPr>
            <w:bookmarkStart w:id="114" w:name="_Toc19998"/>
            <w:r>
              <w:rPr>
                <w:rFonts w:hint="eastAsia" w:ascii="宋体" w:hAnsi="宋体" w:eastAsia="宋体" w:cs="宋体"/>
                <w:color w:val="auto"/>
                <w:sz w:val="24"/>
                <w:highlight w:val="none"/>
                <w:lang w:val="en-US" w:eastAsia="zh-CN"/>
              </w:rPr>
              <w:t>具备履行合同所需要的设备和专业技术能力；（自行承诺，格式自拟）</w:t>
            </w:r>
            <w:bookmarkEnd w:id="1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15" w:type="dxa"/>
            <w:vMerge w:val="continue"/>
            <w:noWrap w:val="0"/>
            <w:tcMar>
              <w:left w:w="57" w:type="dxa"/>
              <w:right w:w="57" w:type="dxa"/>
            </w:tcMar>
            <w:vAlign w:val="center"/>
          </w:tcPr>
          <w:p>
            <w:pPr>
              <w:snapToGrid w:val="0"/>
              <w:spacing w:line="480" w:lineRule="exact"/>
              <w:jc w:val="center"/>
              <w:rPr>
                <w:rFonts w:hint="eastAsia" w:ascii="宋体" w:hAnsi="宋体" w:eastAsia="宋体" w:cs="宋体"/>
                <w:color w:val="auto"/>
                <w:sz w:val="24"/>
                <w:highlight w:val="none"/>
              </w:rPr>
            </w:pPr>
          </w:p>
        </w:tc>
        <w:tc>
          <w:tcPr>
            <w:tcW w:w="1208" w:type="dxa"/>
            <w:vMerge w:val="continue"/>
            <w:noWrap w:val="0"/>
            <w:tcMar>
              <w:left w:w="57" w:type="dxa"/>
              <w:right w:w="57" w:type="dxa"/>
            </w:tcMar>
            <w:vAlign w:val="center"/>
          </w:tcPr>
          <w:p>
            <w:pPr>
              <w:snapToGrid w:val="0"/>
              <w:spacing w:line="480" w:lineRule="exact"/>
              <w:jc w:val="center"/>
              <w:rPr>
                <w:rFonts w:hint="eastAsia" w:ascii="宋体" w:hAnsi="宋体" w:eastAsia="宋体" w:cs="宋体"/>
                <w:color w:val="auto"/>
                <w:sz w:val="24"/>
                <w:highlight w:val="none"/>
              </w:rPr>
            </w:pPr>
          </w:p>
        </w:tc>
        <w:tc>
          <w:tcPr>
            <w:tcW w:w="1895" w:type="dxa"/>
            <w:noWrap w:val="0"/>
            <w:tcMar>
              <w:left w:w="57" w:type="dxa"/>
              <w:right w:w="57" w:type="dxa"/>
            </w:tcMar>
            <w:vAlign w:val="center"/>
          </w:tcPr>
          <w:p>
            <w:pPr>
              <w:snapToGrid w:val="0"/>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具有良好的商业信誉和健全的财务会计制度</w:t>
            </w:r>
          </w:p>
        </w:tc>
        <w:tc>
          <w:tcPr>
            <w:tcW w:w="5968" w:type="dxa"/>
            <w:noWrap w:val="0"/>
            <w:vAlign w:val="center"/>
          </w:tcPr>
          <w:p>
            <w:pPr>
              <w:adjustRightInd w:val="0"/>
              <w:snapToGrid w:val="0"/>
              <w:spacing w:line="480" w:lineRule="exact"/>
              <w:jc w:val="lef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具有良好的商业信誉和健全的财务会计制度</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提供承诺书，格式自拟</w:t>
            </w:r>
            <w:r>
              <w:rPr>
                <w:rFonts w:hint="eastAsia" w:ascii="宋体" w:hAnsi="宋体" w:eastAsia="宋体" w:cs="宋体"/>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615" w:type="dxa"/>
            <w:vMerge w:val="continue"/>
            <w:noWrap w:val="0"/>
            <w:tcMar>
              <w:left w:w="57" w:type="dxa"/>
              <w:right w:w="57" w:type="dxa"/>
            </w:tcMar>
            <w:vAlign w:val="center"/>
          </w:tcPr>
          <w:p>
            <w:pPr>
              <w:snapToGrid w:val="0"/>
              <w:spacing w:line="480" w:lineRule="exact"/>
              <w:jc w:val="center"/>
              <w:rPr>
                <w:rFonts w:hint="eastAsia" w:ascii="宋体" w:hAnsi="宋体" w:eastAsia="宋体" w:cs="宋体"/>
                <w:color w:val="auto"/>
                <w:sz w:val="24"/>
                <w:highlight w:val="none"/>
              </w:rPr>
            </w:pPr>
          </w:p>
        </w:tc>
        <w:tc>
          <w:tcPr>
            <w:tcW w:w="1208" w:type="dxa"/>
            <w:vMerge w:val="continue"/>
            <w:noWrap w:val="0"/>
            <w:tcMar>
              <w:left w:w="57" w:type="dxa"/>
              <w:right w:w="57" w:type="dxa"/>
            </w:tcMar>
            <w:vAlign w:val="center"/>
          </w:tcPr>
          <w:p>
            <w:pPr>
              <w:snapToGrid w:val="0"/>
              <w:spacing w:line="480" w:lineRule="exact"/>
              <w:jc w:val="center"/>
              <w:rPr>
                <w:rFonts w:hint="eastAsia" w:ascii="宋体" w:hAnsi="宋体" w:eastAsia="宋体" w:cs="宋体"/>
                <w:color w:val="auto"/>
                <w:sz w:val="24"/>
                <w:highlight w:val="none"/>
              </w:rPr>
            </w:pPr>
          </w:p>
        </w:tc>
        <w:tc>
          <w:tcPr>
            <w:tcW w:w="1895" w:type="dxa"/>
            <w:noWrap w:val="0"/>
            <w:tcMar>
              <w:left w:w="57" w:type="dxa"/>
              <w:right w:w="57" w:type="dxa"/>
            </w:tcMar>
            <w:vAlign w:val="center"/>
          </w:tcPr>
          <w:p>
            <w:pPr>
              <w:snapToGrid w:val="0"/>
              <w:spacing w:line="480" w:lineRule="exact"/>
              <w:jc w:val="center"/>
              <w:rPr>
                <w:rFonts w:hint="eastAsia" w:ascii="宋体" w:hAnsi="宋体" w:cs="宋体"/>
                <w:color w:val="auto"/>
                <w:sz w:val="24"/>
                <w:highlight w:val="none"/>
                <w:lang w:val="en-US" w:eastAsia="zh-CN"/>
              </w:rPr>
            </w:pPr>
            <w:r>
              <w:rPr>
                <w:rFonts w:hint="eastAsia" w:ascii="宋体" w:hAnsi="宋体" w:eastAsia="宋体" w:cs="宋体"/>
                <w:color w:val="auto"/>
                <w:sz w:val="24"/>
                <w:szCs w:val="24"/>
                <w:highlight w:val="none"/>
                <w:lang w:eastAsia="zh-CN"/>
              </w:rPr>
              <w:t>供应商具有依法缴纳税收和社会保障资金的良好记录</w:t>
            </w:r>
          </w:p>
        </w:tc>
        <w:tc>
          <w:tcPr>
            <w:tcW w:w="5968" w:type="dxa"/>
            <w:noWrap w:val="0"/>
            <w:vAlign w:val="center"/>
          </w:tcPr>
          <w:p>
            <w:pPr>
              <w:snapToGrid w:val="0"/>
              <w:spacing w:line="480" w:lineRule="exact"/>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供应商具有依法缴纳税收和社会保障资金的良好记录（需提供税收证明和社保证明材料）；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615" w:type="dxa"/>
            <w:vMerge w:val="continue"/>
            <w:noWrap w:val="0"/>
            <w:tcMar>
              <w:left w:w="57" w:type="dxa"/>
              <w:right w:w="57" w:type="dxa"/>
            </w:tcMar>
            <w:vAlign w:val="center"/>
          </w:tcPr>
          <w:p>
            <w:pPr>
              <w:snapToGrid w:val="0"/>
              <w:spacing w:line="480" w:lineRule="exact"/>
              <w:jc w:val="center"/>
              <w:rPr>
                <w:rFonts w:hint="eastAsia" w:ascii="宋体" w:hAnsi="宋体" w:eastAsia="宋体" w:cs="宋体"/>
                <w:color w:val="auto"/>
                <w:sz w:val="24"/>
                <w:highlight w:val="none"/>
              </w:rPr>
            </w:pPr>
          </w:p>
        </w:tc>
        <w:tc>
          <w:tcPr>
            <w:tcW w:w="1208" w:type="dxa"/>
            <w:vMerge w:val="continue"/>
            <w:noWrap w:val="0"/>
            <w:tcMar>
              <w:left w:w="57" w:type="dxa"/>
              <w:right w:w="57" w:type="dxa"/>
            </w:tcMar>
            <w:vAlign w:val="center"/>
          </w:tcPr>
          <w:p>
            <w:pPr>
              <w:snapToGrid w:val="0"/>
              <w:spacing w:line="480" w:lineRule="exact"/>
              <w:jc w:val="center"/>
              <w:rPr>
                <w:rFonts w:hint="eastAsia" w:ascii="宋体" w:hAnsi="宋体" w:eastAsia="宋体" w:cs="宋体"/>
                <w:color w:val="auto"/>
                <w:sz w:val="24"/>
                <w:highlight w:val="none"/>
              </w:rPr>
            </w:pPr>
          </w:p>
        </w:tc>
        <w:tc>
          <w:tcPr>
            <w:tcW w:w="1895" w:type="dxa"/>
            <w:noWrap w:val="0"/>
            <w:tcMar>
              <w:left w:w="57" w:type="dxa"/>
              <w:right w:w="57" w:type="dxa"/>
            </w:tcMar>
            <w:vAlign w:val="center"/>
          </w:tcPr>
          <w:p>
            <w:pPr>
              <w:snapToGrid w:val="0"/>
              <w:spacing w:line="480" w:lineRule="exact"/>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供应商须出具本企业无商业贿赂和不正当竞争行为</w:t>
            </w:r>
          </w:p>
        </w:tc>
        <w:tc>
          <w:tcPr>
            <w:tcW w:w="5968" w:type="dxa"/>
            <w:noWrap w:val="0"/>
            <w:vAlign w:val="center"/>
          </w:tcPr>
          <w:p>
            <w:pPr>
              <w:snapToGrid w:val="0"/>
              <w:spacing w:line="480" w:lineRule="exact"/>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color w:val="auto"/>
                <w:sz w:val="24"/>
                <w:szCs w:val="24"/>
                <w:highlight w:val="none"/>
                <w:lang w:eastAsia="zh-CN"/>
              </w:rPr>
              <w:t>供应商须出具本企业无商业贿赂和不正当竞争行为承诺书；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615" w:type="dxa"/>
            <w:vMerge w:val="continue"/>
            <w:noWrap w:val="0"/>
            <w:tcMar>
              <w:left w:w="57" w:type="dxa"/>
              <w:right w:w="57" w:type="dxa"/>
            </w:tcMar>
            <w:vAlign w:val="center"/>
          </w:tcPr>
          <w:p>
            <w:pPr>
              <w:snapToGrid w:val="0"/>
              <w:spacing w:line="480" w:lineRule="exact"/>
              <w:jc w:val="center"/>
              <w:rPr>
                <w:rFonts w:hint="eastAsia" w:ascii="宋体" w:hAnsi="宋体" w:eastAsia="宋体" w:cs="宋体"/>
                <w:color w:val="auto"/>
                <w:sz w:val="24"/>
                <w:highlight w:val="none"/>
              </w:rPr>
            </w:pPr>
          </w:p>
        </w:tc>
        <w:tc>
          <w:tcPr>
            <w:tcW w:w="1208" w:type="dxa"/>
            <w:vMerge w:val="continue"/>
            <w:noWrap w:val="0"/>
            <w:tcMar>
              <w:left w:w="57" w:type="dxa"/>
              <w:right w:w="57" w:type="dxa"/>
            </w:tcMar>
            <w:vAlign w:val="center"/>
          </w:tcPr>
          <w:p>
            <w:pPr>
              <w:snapToGrid w:val="0"/>
              <w:spacing w:line="480" w:lineRule="exact"/>
              <w:jc w:val="center"/>
              <w:rPr>
                <w:rFonts w:hint="eastAsia" w:ascii="宋体" w:hAnsi="宋体" w:eastAsia="宋体" w:cs="宋体"/>
                <w:color w:val="auto"/>
                <w:sz w:val="24"/>
                <w:highlight w:val="none"/>
              </w:rPr>
            </w:pPr>
          </w:p>
        </w:tc>
        <w:tc>
          <w:tcPr>
            <w:tcW w:w="1895" w:type="dxa"/>
            <w:noWrap w:val="0"/>
            <w:tcMar>
              <w:left w:w="57" w:type="dxa"/>
              <w:right w:w="57" w:type="dxa"/>
            </w:tcMar>
            <w:vAlign w:val="center"/>
          </w:tcPr>
          <w:p>
            <w:pPr>
              <w:snapToGrid w:val="0"/>
              <w:spacing w:line="480" w:lineRule="exact"/>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信用查询</w:t>
            </w:r>
          </w:p>
        </w:tc>
        <w:tc>
          <w:tcPr>
            <w:tcW w:w="5968" w:type="dxa"/>
            <w:noWrap w:val="0"/>
            <w:vAlign w:val="center"/>
          </w:tcPr>
          <w:p>
            <w:pPr>
              <w:snapToGrid w:val="0"/>
              <w:spacing w:line="480" w:lineRule="exact"/>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color w:val="auto"/>
                <w:sz w:val="24"/>
                <w:szCs w:val="24"/>
                <w:highlight w:val="none"/>
                <w:lang w:eastAsia="zh-CN"/>
              </w:rPr>
              <w:t>根据《关于在政府采购活动中查询及使用信用记录有关问题的通知》(财库[2016]125 号)和豫财购【2016】15 号的规定，对列入失信被执行人、重大税收违法失信主体、政府采购严重违法失信行为记录名单的供应商，拒绝参与本项目采购活动；（查询渠道：“信用中国”网站（www.creditchina.gov.cn）、中国政府采购网（www.ccgp.gov.cn）（提供“信用中国”和“中国政府采购网”网站的查询信息截图，查询时间须在本项目自发布公告之日起至项目开标之日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615" w:type="dxa"/>
            <w:vMerge w:val="continue"/>
            <w:noWrap w:val="0"/>
            <w:tcMar>
              <w:left w:w="57" w:type="dxa"/>
              <w:right w:w="57" w:type="dxa"/>
            </w:tcMar>
            <w:vAlign w:val="center"/>
          </w:tcPr>
          <w:p>
            <w:pPr>
              <w:snapToGrid w:val="0"/>
              <w:spacing w:line="480" w:lineRule="exact"/>
              <w:jc w:val="center"/>
              <w:rPr>
                <w:rFonts w:hint="eastAsia" w:ascii="宋体" w:hAnsi="宋体" w:eastAsia="宋体" w:cs="宋体"/>
                <w:color w:val="auto"/>
                <w:sz w:val="24"/>
                <w:highlight w:val="none"/>
              </w:rPr>
            </w:pPr>
          </w:p>
        </w:tc>
        <w:tc>
          <w:tcPr>
            <w:tcW w:w="1208" w:type="dxa"/>
            <w:vMerge w:val="continue"/>
            <w:noWrap w:val="0"/>
            <w:tcMar>
              <w:left w:w="57" w:type="dxa"/>
              <w:right w:w="57" w:type="dxa"/>
            </w:tcMar>
            <w:vAlign w:val="center"/>
          </w:tcPr>
          <w:p>
            <w:pPr>
              <w:snapToGrid w:val="0"/>
              <w:spacing w:line="480" w:lineRule="exact"/>
              <w:jc w:val="center"/>
              <w:rPr>
                <w:rFonts w:hint="eastAsia" w:ascii="宋体" w:hAnsi="宋体" w:eastAsia="宋体" w:cs="宋体"/>
                <w:color w:val="auto"/>
                <w:sz w:val="24"/>
                <w:highlight w:val="none"/>
              </w:rPr>
            </w:pPr>
          </w:p>
        </w:tc>
        <w:tc>
          <w:tcPr>
            <w:tcW w:w="1895" w:type="dxa"/>
            <w:noWrap w:val="0"/>
            <w:tcMar>
              <w:left w:w="57" w:type="dxa"/>
              <w:right w:w="57" w:type="dxa"/>
            </w:tcMar>
            <w:vAlign w:val="center"/>
          </w:tcPr>
          <w:p>
            <w:pPr>
              <w:snapToGrid w:val="0"/>
              <w:spacing w:line="48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非联合体磋商</w:t>
            </w:r>
          </w:p>
        </w:tc>
        <w:tc>
          <w:tcPr>
            <w:tcW w:w="5968" w:type="dxa"/>
            <w:noWrap w:val="0"/>
            <w:vAlign w:val="center"/>
          </w:tcPr>
          <w:p>
            <w:pPr>
              <w:snapToGrid w:val="0"/>
              <w:spacing w:line="480" w:lineRule="exact"/>
              <w:jc w:val="lef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eastAsia="zh-CN"/>
              </w:rPr>
              <w:t>本项目不接受联合体</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提供承诺书，格式自拟</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615" w:type="dxa"/>
            <w:vMerge w:val="restart"/>
            <w:noWrap w:val="0"/>
            <w:tcMar>
              <w:left w:w="57" w:type="dxa"/>
              <w:right w:w="57" w:type="dxa"/>
            </w:tcMar>
            <w:vAlign w:val="center"/>
          </w:tcPr>
          <w:p>
            <w:pPr>
              <w:snapToGrid w:val="0"/>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2.1.3</w:t>
            </w:r>
          </w:p>
        </w:tc>
        <w:tc>
          <w:tcPr>
            <w:tcW w:w="1208" w:type="dxa"/>
            <w:vMerge w:val="restart"/>
            <w:noWrap w:val="0"/>
            <w:tcMar>
              <w:left w:w="57" w:type="dxa"/>
              <w:right w:w="57" w:type="dxa"/>
            </w:tcMar>
            <w:vAlign w:val="center"/>
          </w:tcPr>
          <w:p>
            <w:pPr>
              <w:snapToGrid w:val="0"/>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响应性评审标准</w:t>
            </w:r>
          </w:p>
        </w:tc>
        <w:tc>
          <w:tcPr>
            <w:tcW w:w="1895" w:type="dxa"/>
            <w:noWrap w:val="0"/>
            <w:tcMar>
              <w:left w:w="57" w:type="dxa"/>
              <w:right w:w="57" w:type="dxa"/>
            </w:tcMar>
            <w:vAlign w:val="center"/>
          </w:tcPr>
          <w:p>
            <w:pPr>
              <w:snapToGrid w:val="0"/>
              <w:spacing w:line="48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lang w:val="en-US" w:eastAsia="zh-CN"/>
              </w:rPr>
              <w:t>内容</w:t>
            </w:r>
          </w:p>
        </w:tc>
        <w:tc>
          <w:tcPr>
            <w:tcW w:w="5968" w:type="dxa"/>
            <w:noWrap w:val="0"/>
            <w:vAlign w:val="center"/>
          </w:tcPr>
          <w:p>
            <w:pPr>
              <w:snapToGrid w:val="0"/>
              <w:spacing w:line="48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本项目为三门峡市湖滨区人力资源和社会保障局就业创业平台技术服务项目；主要内容</w:t>
            </w:r>
            <w:r>
              <w:rPr>
                <w:rFonts w:hint="eastAsia" w:ascii="宋体" w:hAnsi="宋体" w:eastAsia="宋体" w:cs="宋体"/>
                <w:color w:val="auto"/>
                <w:sz w:val="24"/>
                <w:highlight w:val="none"/>
                <w:lang w:val="en-US" w:eastAsia="zh-CN"/>
              </w:rPr>
              <w:t>为</w:t>
            </w:r>
            <w:r>
              <w:rPr>
                <w:rFonts w:hint="eastAsia" w:ascii="宋体" w:hAnsi="宋体" w:eastAsia="宋体" w:cs="宋体"/>
                <w:color w:val="auto"/>
                <w:sz w:val="24"/>
                <w:highlight w:val="none"/>
              </w:rPr>
              <w:t>相关软件开发技术及维护等服务。</w:t>
            </w:r>
            <w:r>
              <w:rPr>
                <w:rFonts w:hint="eastAsia" w:ascii="宋体" w:hAnsi="宋体" w:eastAsia="宋体" w:cs="宋体"/>
                <w:color w:val="auto"/>
                <w:sz w:val="24"/>
                <w:highlight w:val="none"/>
                <w:lang w:val="en-US" w:eastAsia="zh-CN"/>
              </w:rPr>
              <w:t>详见采购清单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5" w:type="dxa"/>
            <w:vMerge w:val="continue"/>
            <w:noWrap w:val="0"/>
            <w:tcMar>
              <w:left w:w="57" w:type="dxa"/>
              <w:right w:w="57" w:type="dxa"/>
            </w:tcMar>
            <w:vAlign w:val="center"/>
          </w:tcPr>
          <w:p>
            <w:pPr>
              <w:snapToGrid w:val="0"/>
              <w:spacing w:line="480" w:lineRule="exact"/>
              <w:jc w:val="center"/>
              <w:rPr>
                <w:rFonts w:hint="eastAsia" w:ascii="宋体" w:hAnsi="宋体" w:eastAsia="宋体" w:cs="宋体"/>
                <w:color w:val="auto"/>
                <w:sz w:val="24"/>
                <w:highlight w:val="none"/>
              </w:rPr>
            </w:pPr>
          </w:p>
        </w:tc>
        <w:tc>
          <w:tcPr>
            <w:tcW w:w="1208" w:type="dxa"/>
            <w:vMerge w:val="continue"/>
            <w:noWrap w:val="0"/>
            <w:tcMar>
              <w:left w:w="57" w:type="dxa"/>
              <w:right w:w="57" w:type="dxa"/>
            </w:tcMar>
            <w:vAlign w:val="center"/>
          </w:tcPr>
          <w:p>
            <w:pPr>
              <w:snapToGrid w:val="0"/>
              <w:spacing w:line="480" w:lineRule="exact"/>
              <w:jc w:val="center"/>
              <w:rPr>
                <w:rFonts w:hint="eastAsia" w:ascii="宋体" w:hAnsi="宋体" w:eastAsia="宋体" w:cs="宋体"/>
                <w:color w:val="auto"/>
                <w:sz w:val="24"/>
                <w:highlight w:val="none"/>
              </w:rPr>
            </w:pPr>
          </w:p>
        </w:tc>
        <w:tc>
          <w:tcPr>
            <w:tcW w:w="1895" w:type="dxa"/>
            <w:noWrap w:val="0"/>
            <w:tcMar>
              <w:left w:w="57" w:type="dxa"/>
              <w:right w:w="57" w:type="dxa"/>
            </w:tcMar>
            <w:vAlign w:val="center"/>
          </w:tcPr>
          <w:p>
            <w:pPr>
              <w:snapToGrid w:val="0"/>
              <w:spacing w:line="480" w:lineRule="exact"/>
              <w:jc w:val="center"/>
              <w:rPr>
                <w:rFonts w:hint="eastAsia" w:ascii="宋体" w:hAnsi="宋体" w:cs="宋体"/>
                <w:color w:val="auto"/>
                <w:sz w:val="24"/>
                <w:highlight w:val="none"/>
                <w:lang w:val="en-US" w:eastAsia="zh-CN"/>
              </w:rPr>
            </w:pPr>
            <w:r>
              <w:rPr>
                <w:rFonts w:hint="eastAsia" w:ascii="宋体" w:hAnsi="宋体" w:eastAsia="宋体" w:cs="宋体"/>
                <w:color w:val="auto"/>
                <w:sz w:val="24"/>
                <w:highlight w:val="none"/>
                <w:lang w:val="en-US" w:eastAsia="zh-CN"/>
              </w:rPr>
              <w:t>服务期限</w:t>
            </w:r>
          </w:p>
        </w:tc>
        <w:tc>
          <w:tcPr>
            <w:tcW w:w="5968" w:type="dxa"/>
            <w:noWrap w:val="0"/>
            <w:vAlign w:val="center"/>
          </w:tcPr>
          <w:p>
            <w:pPr>
              <w:rPr>
                <w:rFonts w:hint="eastAsia" w:ascii="宋体" w:hAnsi="宋体" w:cs="宋体"/>
                <w:color w:val="auto"/>
                <w:sz w:val="24"/>
                <w:highlight w:val="none"/>
                <w:lang w:val="en-US" w:eastAsia="zh-CN"/>
              </w:rPr>
            </w:pPr>
            <w:r>
              <w:rPr>
                <w:rFonts w:hint="eastAsia" w:ascii="宋体" w:hAnsi="宋体" w:eastAsia="宋体" w:cs="宋体"/>
                <w:color w:val="auto"/>
                <w:kern w:val="0"/>
                <w:sz w:val="24"/>
                <w:szCs w:val="24"/>
                <w:highlight w:val="none"/>
                <w:lang w:val="en-US" w:eastAsia="zh-CN"/>
              </w:rPr>
              <w:t>自合同签订之日起30日历天服务至成果验收通过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5" w:type="dxa"/>
            <w:vMerge w:val="continue"/>
            <w:noWrap w:val="0"/>
            <w:tcMar>
              <w:left w:w="57" w:type="dxa"/>
              <w:right w:w="57" w:type="dxa"/>
            </w:tcMar>
            <w:vAlign w:val="center"/>
          </w:tcPr>
          <w:p>
            <w:pPr>
              <w:snapToGrid w:val="0"/>
              <w:spacing w:line="480" w:lineRule="exact"/>
              <w:jc w:val="center"/>
              <w:rPr>
                <w:rFonts w:hint="eastAsia" w:ascii="宋体" w:hAnsi="宋体" w:eastAsia="宋体" w:cs="宋体"/>
                <w:color w:val="auto"/>
                <w:sz w:val="24"/>
                <w:highlight w:val="none"/>
              </w:rPr>
            </w:pPr>
          </w:p>
        </w:tc>
        <w:tc>
          <w:tcPr>
            <w:tcW w:w="1208" w:type="dxa"/>
            <w:vMerge w:val="continue"/>
            <w:noWrap w:val="0"/>
            <w:tcMar>
              <w:left w:w="57" w:type="dxa"/>
              <w:right w:w="57" w:type="dxa"/>
            </w:tcMar>
            <w:vAlign w:val="center"/>
          </w:tcPr>
          <w:p>
            <w:pPr>
              <w:snapToGrid w:val="0"/>
              <w:spacing w:line="480" w:lineRule="exact"/>
              <w:jc w:val="center"/>
              <w:rPr>
                <w:rFonts w:hint="eastAsia" w:ascii="宋体" w:hAnsi="宋体" w:eastAsia="宋体" w:cs="宋体"/>
                <w:color w:val="auto"/>
                <w:sz w:val="24"/>
                <w:highlight w:val="none"/>
              </w:rPr>
            </w:pPr>
          </w:p>
        </w:tc>
        <w:tc>
          <w:tcPr>
            <w:tcW w:w="1895" w:type="dxa"/>
            <w:noWrap w:val="0"/>
            <w:tcMar>
              <w:left w:w="57" w:type="dxa"/>
              <w:right w:w="57" w:type="dxa"/>
            </w:tcMar>
            <w:vAlign w:val="center"/>
          </w:tcPr>
          <w:p>
            <w:pPr>
              <w:snapToGrid w:val="0"/>
              <w:spacing w:line="48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kern w:val="0"/>
                <w:sz w:val="24"/>
                <w:szCs w:val="24"/>
                <w:highlight w:val="none"/>
                <w:lang w:val="en-US" w:eastAsia="zh-CN"/>
              </w:rPr>
              <w:t>服务</w:t>
            </w:r>
            <w:r>
              <w:rPr>
                <w:rFonts w:hint="eastAsia" w:ascii="宋体" w:hAnsi="宋体" w:eastAsia="宋体" w:cs="宋体"/>
                <w:color w:val="auto"/>
                <w:kern w:val="0"/>
                <w:sz w:val="24"/>
                <w:szCs w:val="24"/>
                <w:highlight w:val="none"/>
              </w:rPr>
              <w:t>要求</w:t>
            </w:r>
          </w:p>
        </w:tc>
        <w:tc>
          <w:tcPr>
            <w:tcW w:w="5968" w:type="dxa"/>
            <w:noWrap w:val="0"/>
            <w:vAlign w:val="center"/>
          </w:tcPr>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符合国家及行业相关规范和标准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5" w:type="dxa"/>
            <w:vMerge w:val="continue"/>
            <w:noWrap w:val="0"/>
            <w:tcMar>
              <w:left w:w="57" w:type="dxa"/>
              <w:right w:w="57" w:type="dxa"/>
            </w:tcMar>
            <w:vAlign w:val="center"/>
          </w:tcPr>
          <w:p>
            <w:pPr>
              <w:snapToGrid w:val="0"/>
              <w:spacing w:line="480" w:lineRule="exact"/>
              <w:jc w:val="center"/>
              <w:rPr>
                <w:rFonts w:hint="eastAsia" w:ascii="宋体" w:hAnsi="宋体" w:eastAsia="宋体" w:cs="宋体"/>
                <w:color w:val="auto"/>
                <w:sz w:val="24"/>
                <w:highlight w:val="none"/>
              </w:rPr>
            </w:pPr>
          </w:p>
        </w:tc>
        <w:tc>
          <w:tcPr>
            <w:tcW w:w="1208" w:type="dxa"/>
            <w:vMerge w:val="continue"/>
            <w:noWrap w:val="0"/>
            <w:tcMar>
              <w:left w:w="57" w:type="dxa"/>
              <w:right w:w="57" w:type="dxa"/>
            </w:tcMar>
            <w:vAlign w:val="center"/>
          </w:tcPr>
          <w:p>
            <w:pPr>
              <w:snapToGrid w:val="0"/>
              <w:spacing w:line="480" w:lineRule="exact"/>
              <w:jc w:val="center"/>
              <w:rPr>
                <w:rFonts w:hint="eastAsia" w:ascii="宋体" w:hAnsi="宋体" w:eastAsia="宋体" w:cs="宋体"/>
                <w:color w:val="auto"/>
                <w:sz w:val="24"/>
                <w:highlight w:val="none"/>
              </w:rPr>
            </w:pPr>
          </w:p>
        </w:tc>
        <w:tc>
          <w:tcPr>
            <w:tcW w:w="1895" w:type="dxa"/>
            <w:noWrap w:val="0"/>
            <w:tcMar>
              <w:left w:w="57" w:type="dxa"/>
              <w:right w:w="57" w:type="dxa"/>
            </w:tcMar>
            <w:vAlign w:val="center"/>
          </w:tcPr>
          <w:p>
            <w:pPr>
              <w:snapToGrid w:val="0"/>
              <w:spacing w:line="48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合同履行期限</w:t>
            </w:r>
          </w:p>
        </w:tc>
        <w:tc>
          <w:tcPr>
            <w:tcW w:w="5968" w:type="dxa"/>
            <w:noWrap w:val="0"/>
            <w:vAlign w:val="center"/>
          </w:tcPr>
          <w:p>
            <w:pPr>
              <w:snapToGrid w:val="0"/>
              <w:spacing w:line="48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按合同约定执行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5" w:type="dxa"/>
            <w:vMerge w:val="continue"/>
            <w:noWrap w:val="0"/>
            <w:tcMar>
              <w:left w:w="57" w:type="dxa"/>
              <w:right w:w="57" w:type="dxa"/>
            </w:tcMar>
            <w:vAlign w:val="center"/>
          </w:tcPr>
          <w:p>
            <w:pPr>
              <w:snapToGrid w:val="0"/>
              <w:spacing w:line="480" w:lineRule="exact"/>
              <w:jc w:val="center"/>
              <w:rPr>
                <w:rFonts w:hint="eastAsia" w:ascii="宋体" w:hAnsi="宋体" w:eastAsia="宋体" w:cs="宋体"/>
                <w:color w:val="auto"/>
                <w:sz w:val="24"/>
                <w:highlight w:val="none"/>
              </w:rPr>
            </w:pPr>
          </w:p>
        </w:tc>
        <w:tc>
          <w:tcPr>
            <w:tcW w:w="1208" w:type="dxa"/>
            <w:vMerge w:val="continue"/>
            <w:noWrap w:val="0"/>
            <w:tcMar>
              <w:left w:w="57" w:type="dxa"/>
              <w:right w:w="57" w:type="dxa"/>
            </w:tcMar>
            <w:vAlign w:val="center"/>
          </w:tcPr>
          <w:p>
            <w:pPr>
              <w:snapToGrid w:val="0"/>
              <w:spacing w:line="480" w:lineRule="exact"/>
              <w:jc w:val="center"/>
              <w:rPr>
                <w:rFonts w:hint="eastAsia" w:ascii="宋体" w:hAnsi="宋体" w:eastAsia="宋体" w:cs="宋体"/>
                <w:color w:val="auto"/>
                <w:sz w:val="24"/>
                <w:highlight w:val="none"/>
              </w:rPr>
            </w:pPr>
          </w:p>
        </w:tc>
        <w:tc>
          <w:tcPr>
            <w:tcW w:w="1895" w:type="dxa"/>
            <w:noWrap w:val="0"/>
            <w:tcMar>
              <w:left w:w="57" w:type="dxa"/>
              <w:right w:w="57" w:type="dxa"/>
            </w:tcMar>
            <w:vAlign w:val="center"/>
          </w:tcPr>
          <w:p>
            <w:pPr>
              <w:snapToGrid w:val="0"/>
              <w:spacing w:line="480" w:lineRule="exact"/>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磋商范围</w:t>
            </w:r>
          </w:p>
        </w:tc>
        <w:tc>
          <w:tcPr>
            <w:tcW w:w="5968" w:type="dxa"/>
            <w:noWrap w:val="0"/>
            <w:vAlign w:val="center"/>
          </w:tcPr>
          <w:p>
            <w:pPr>
              <w:snapToGrid w:val="0"/>
              <w:spacing w:line="48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磋商文件及答疑、澄清文件、</w:t>
            </w:r>
            <w:r>
              <w:rPr>
                <w:rFonts w:hint="eastAsia" w:ascii="宋体" w:hAnsi="宋体" w:eastAsia="宋体" w:cs="宋体"/>
                <w:color w:val="auto"/>
                <w:sz w:val="24"/>
                <w:highlight w:val="none"/>
                <w:lang w:val="en-US" w:eastAsia="zh-CN"/>
              </w:rPr>
              <w:t>采购清单内</w:t>
            </w:r>
            <w:r>
              <w:rPr>
                <w:rFonts w:hint="eastAsia" w:ascii="宋体" w:hAnsi="宋体" w:eastAsia="宋体" w:cs="宋体"/>
                <w:color w:val="auto"/>
                <w:sz w:val="24"/>
                <w:highlight w:val="none"/>
                <w:lang w:eastAsia="zh-CN"/>
              </w:rPr>
              <w:t>的所有内容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5" w:type="dxa"/>
            <w:vMerge w:val="continue"/>
            <w:noWrap w:val="0"/>
            <w:tcMar>
              <w:left w:w="57" w:type="dxa"/>
              <w:right w:w="57" w:type="dxa"/>
            </w:tcMar>
            <w:vAlign w:val="center"/>
          </w:tcPr>
          <w:p>
            <w:pPr>
              <w:snapToGrid w:val="0"/>
              <w:spacing w:line="480" w:lineRule="exact"/>
              <w:jc w:val="center"/>
              <w:rPr>
                <w:rFonts w:hint="eastAsia" w:ascii="宋体" w:hAnsi="宋体" w:eastAsia="宋体" w:cs="宋体"/>
                <w:color w:val="auto"/>
                <w:sz w:val="24"/>
                <w:highlight w:val="none"/>
              </w:rPr>
            </w:pPr>
          </w:p>
        </w:tc>
        <w:tc>
          <w:tcPr>
            <w:tcW w:w="1208" w:type="dxa"/>
            <w:vMerge w:val="continue"/>
            <w:noWrap w:val="0"/>
            <w:tcMar>
              <w:left w:w="57" w:type="dxa"/>
              <w:right w:w="57" w:type="dxa"/>
            </w:tcMar>
            <w:vAlign w:val="center"/>
          </w:tcPr>
          <w:p>
            <w:pPr>
              <w:snapToGrid w:val="0"/>
              <w:spacing w:line="480" w:lineRule="exact"/>
              <w:jc w:val="center"/>
              <w:rPr>
                <w:rFonts w:hint="eastAsia" w:ascii="宋体" w:hAnsi="宋体" w:eastAsia="宋体" w:cs="宋体"/>
                <w:color w:val="auto"/>
                <w:sz w:val="24"/>
                <w:highlight w:val="none"/>
              </w:rPr>
            </w:pPr>
          </w:p>
        </w:tc>
        <w:tc>
          <w:tcPr>
            <w:tcW w:w="1895" w:type="dxa"/>
            <w:noWrap w:val="0"/>
            <w:tcMar>
              <w:left w:w="57" w:type="dxa"/>
              <w:right w:w="57" w:type="dxa"/>
            </w:tcMar>
            <w:vAlign w:val="center"/>
          </w:tcPr>
          <w:p>
            <w:pPr>
              <w:snapToGrid w:val="0"/>
              <w:spacing w:line="480" w:lineRule="exact"/>
              <w:jc w:val="center"/>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磋商</w:t>
            </w:r>
            <w:r>
              <w:rPr>
                <w:rFonts w:hint="eastAsia" w:ascii="宋体" w:hAnsi="宋体" w:eastAsia="宋体" w:cs="宋体"/>
                <w:color w:val="auto"/>
                <w:sz w:val="24"/>
                <w:highlight w:val="none"/>
              </w:rPr>
              <w:t>有效期</w:t>
            </w:r>
          </w:p>
        </w:tc>
        <w:tc>
          <w:tcPr>
            <w:tcW w:w="5968" w:type="dxa"/>
            <w:noWrap w:val="0"/>
            <w:vAlign w:val="center"/>
          </w:tcPr>
          <w:p>
            <w:pPr>
              <w:snapToGrid w:val="0"/>
              <w:spacing w:line="48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自</w:t>
            </w:r>
            <w:r>
              <w:rPr>
                <w:rFonts w:hint="eastAsia" w:ascii="宋体" w:hAnsi="宋体" w:eastAsia="宋体" w:cs="宋体"/>
                <w:color w:val="auto"/>
                <w:sz w:val="24"/>
                <w:highlight w:val="none"/>
              </w:rPr>
              <w:t>磋商截止之日起60日历天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23" w:type="dxa"/>
            <w:gridSpan w:val="2"/>
            <w:noWrap w:val="0"/>
            <w:tcMar>
              <w:left w:w="57" w:type="dxa"/>
              <w:right w:w="57" w:type="dxa"/>
            </w:tcMar>
            <w:vAlign w:val="center"/>
          </w:tcPr>
          <w:p>
            <w:pPr>
              <w:pStyle w:val="16"/>
              <w:tabs>
                <w:tab w:val="right" w:pos="2948"/>
              </w:tabs>
              <w:spacing w:before="0" w:beforeAutospacing="0" w:after="0" w:afterAutospacing="0"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条款号</w:t>
            </w:r>
          </w:p>
        </w:tc>
        <w:tc>
          <w:tcPr>
            <w:tcW w:w="1895" w:type="dxa"/>
            <w:noWrap w:val="0"/>
            <w:tcMar>
              <w:left w:w="57" w:type="dxa"/>
              <w:right w:w="57" w:type="dxa"/>
            </w:tcMar>
            <w:vAlign w:val="center"/>
          </w:tcPr>
          <w:p>
            <w:pPr>
              <w:pStyle w:val="16"/>
              <w:spacing w:before="0" w:beforeAutospacing="0" w:after="0" w:afterAutospacing="0"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条款内容</w:t>
            </w:r>
          </w:p>
        </w:tc>
        <w:tc>
          <w:tcPr>
            <w:tcW w:w="5968" w:type="dxa"/>
            <w:noWrap w:val="0"/>
            <w:tcMar>
              <w:left w:w="57" w:type="dxa"/>
              <w:right w:w="57" w:type="dxa"/>
            </w:tcMar>
            <w:vAlign w:val="center"/>
          </w:tcPr>
          <w:p>
            <w:pPr>
              <w:pStyle w:val="16"/>
              <w:spacing w:before="0" w:beforeAutospacing="0" w:after="0" w:afterAutospacing="0"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823" w:type="dxa"/>
            <w:gridSpan w:val="2"/>
            <w:noWrap w:val="0"/>
            <w:tcMar>
              <w:left w:w="57" w:type="dxa"/>
              <w:right w:w="57" w:type="dxa"/>
            </w:tcMar>
            <w:vAlign w:val="center"/>
          </w:tcPr>
          <w:p>
            <w:pPr>
              <w:pStyle w:val="16"/>
              <w:spacing w:before="0" w:beforeAutospacing="0" w:after="0" w:afterAutospacing="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2.2.1</w:t>
            </w:r>
          </w:p>
        </w:tc>
        <w:tc>
          <w:tcPr>
            <w:tcW w:w="1895" w:type="dxa"/>
            <w:noWrap w:val="0"/>
            <w:tcMar>
              <w:left w:w="57" w:type="dxa"/>
              <w:right w:w="57" w:type="dxa"/>
            </w:tcMar>
            <w:vAlign w:val="center"/>
          </w:tcPr>
          <w:p>
            <w:pPr>
              <w:pStyle w:val="16"/>
              <w:spacing w:before="0" w:beforeAutospacing="0" w:after="0" w:afterAutospacing="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分值构成</w:t>
            </w:r>
          </w:p>
          <w:p>
            <w:pPr>
              <w:pStyle w:val="16"/>
              <w:spacing w:before="0" w:beforeAutospacing="0" w:after="0" w:afterAutospacing="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（总分100分）</w:t>
            </w:r>
          </w:p>
        </w:tc>
        <w:tc>
          <w:tcPr>
            <w:tcW w:w="5968" w:type="dxa"/>
            <w:noWrap w:val="0"/>
            <w:tcMar>
              <w:left w:w="57" w:type="dxa"/>
              <w:right w:w="57" w:type="dxa"/>
            </w:tcMar>
            <w:vAlign w:val="center"/>
          </w:tcPr>
          <w:p>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磋商</w:t>
            </w:r>
            <w:r>
              <w:rPr>
                <w:rFonts w:hint="eastAsia" w:ascii="宋体" w:hAnsi="宋体" w:eastAsia="宋体" w:cs="宋体"/>
                <w:color w:val="auto"/>
                <w:sz w:val="24"/>
                <w:highlight w:val="none"/>
              </w:rPr>
              <w:t>报价：</w:t>
            </w:r>
            <w:r>
              <w:rPr>
                <w:rFonts w:hint="eastAsia" w:ascii="宋体" w:hAnsi="宋体" w:cs="宋体"/>
                <w:color w:val="auto"/>
                <w:sz w:val="24"/>
                <w:highlight w:val="none"/>
                <w:lang w:val="en-US" w:eastAsia="zh-CN"/>
              </w:rPr>
              <w:t>20</w:t>
            </w:r>
            <w:r>
              <w:rPr>
                <w:rFonts w:hint="eastAsia" w:ascii="宋体" w:hAnsi="宋体" w:eastAsia="宋体" w:cs="宋体"/>
                <w:color w:val="auto"/>
                <w:sz w:val="24"/>
                <w:highlight w:val="none"/>
              </w:rPr>
              <w:t>分</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技术评分标准：</w:t>
            </w:r>
            <w:r>
              <w:rPr>
                <w:rFonts w:hint="eastAsia" w:ascii="宋体" w:hAnsi="宋体" w:cs="宋体"/>
                <w:color w:val="auto"/>
                <w:sz w:val="24"/>
                <w:highlight w:val="none"/>
                <w:lang w:val="en-US" w:eastAsia="zh-CN"/>
              </w:rPr>
              <w:t>50</w:t>
            </w:r>
            <w:r>
              <w:rPr>
                <w:rFonts w:hint="eastAsia" w:ascii="宋体" w:hAnsi="宋体" w:eastAsia="宋体" w:cs="宋体"/>
                <w:color w:val="auto"/>
                <w:sz w:val="24"/>
                <w:highlight w:val="none"/>
              </w:rPr>
              <w:t>分</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综合评分标准：</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823" w:type="dxa"/>
            <w:gridSpan w:val="2"/>
            <w:noWrap w:val="0"/>
            <w:tcMar>
              <w:left w:w="57" w:type="dxa"/>
              <w:right w:w="57" w:type="dxa"/>
            </w:tcMar>
            <w:vAlign w:val="center"/>
          </w:tcPr>
          <w:p>
            <w:pPr>
              <w:snapToGrid w:val="0"/>
              <w:spacing w:line="480" w:lineRule="exact"/>
              <w:jc w:val="center"/>
              <w:rPr>
                <w:rFonts w:hint="eastAsia" w:ascii="宋体" w:hAnsi="宋体" w:eastAsia="宋体" w:cs="宋体"/>
                <w:color w:val="auto"/>
                <w:highlight w:val="none"/>
              </w:rPr>
            </w:pPr>
            <w:r>
              <w:rPr>
                <w:rFonts w:hint="eastAsia" w:ascii="宋体" w:hAnsi="宋体" w:eastAsia="宋体" w:cs="宋体"/>
                <w:b/>
                <w:color w:val="auto"/>
                <w:sz w:val="24"/>
                <w:highlight w:val="none"/>
              </w:rPr>
              <w:t>条款号</w:t>
            </w:r>
          </w:p>
        </w:tc>
        <w:tc>
          <w:tcPr>
            <w:tcW w:w="1895" w:type="dxa"/>
            <w:noWrap w:val="0"/>
            <w:tcMar>
              <w:left w:w="57" w:type="dxa"/>
              <w:right w:w="57" w:type="dxa"/>
            </w:tcMar>
            <w:vAlign w:val="center"/>
          </w:tcPr>
          <w:p>
            <w:pPr>
              <w:snapToGrid w:val="0"/>
              <w:spacing w:line="480" w:lineRule="exact"/>
              <w:jc w:val="center"/>
              <w:rPr>
                <w:rFonts w:hint="eastAsia" w:ascii="宋体" w:hAnsi="宋体" w:eastAsia="宋体" w:cs="宋体"/>
                <w:color w:val="auto"/>
                <w:highlight w:val="none"/>
              </w:rPr>
            </w:pPr>
            <w:r>
              <w:rPr>
                <w:rFonts w:hint="eastAsia" w:ascii="宋体" w:hAnsi="宋体" w:eastAsia="宋体" w:cs="宋体"/>
                <w:b/>
                <w:color w:val="auto"/>
                <w:sz w:val="24"/>
                <w:highlight w:val="none"/>
              </w:rPr>
              <w:t>评分因素</w:t>
            </w:r>
          </w:p>
        </w:tc>
        <w:tc>
          <w:tcPr>
            <w:tcW w:w="5968" w:type="dxa"/>
            <w:noWrap w:val="0"/>
            <w:tcMar>
              <w:left w:w="57" w:type="dxa"/>
              <w:right w:w="57" w:type="dxa"/>
            </w:tcMar>
            <w:vAlign w:val="center"/>
          </w:tcPr>
          <w:p>
            <w:pPr>
              <w:snapToGrid w:val="0"/>
              <w:spacing w:line="480" w:lineRule="exact"/>
              <w:jc w:val="center"/>
              <w:rPr>
                <w:rFonts w:hint="eastAsia" w:ascii="宋体" w:hAnsi="宋体" w:eastAsia="宋体" w:cs="宋体"/>
                <w:color w:val="auto"/>
                <w:highlight w:val="none"/>
              </w:rPr>
            </w:pPr>
            <w:r>
              <w:rPr>
                <w:rFonts w:hint="eastAsia" w:ascii="宋体" w:hAnsi="宋体" w:eastAsia="宋体" w:cs="宋体"/>
                <w:b/>
                <w:color w:val="auto"/>
                <w:sz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615" w:type="dxa"/>
            <w:noWrap w:val="0"/>
            <w:tcMar>
              <w:left w:w="57" w:type="dxa"/>
              <w:right w:w="57" w:type="dxa"/>
            </w:tcMar>
            <w:vAlign w:val="center"/>
          </w:tcPr>
          <w:p>
            <w:pPr>
              <w:pStyle w:val="16"/>
              <w:spacing w:before="0" w:beforeAutospacing="0" w:after="0" w:afterAutospacing="0" w:line="360" w:lineRule="auto"/>
              <w:jc w:val="center"/>
              <w:rPr>
                <w:rFonts w:hint="default" w:ascii="宋体" w:hAnsi="宋体" w:eastAsia="宋体" w:cs="宋体"/>
                <w:color w:val="auto"/>
                <w:highlight w:val="none"/>
                <w:lang w:val="en-US" w:eastAsia="zh-CN"/>
              </w:rPr>
            </w:pPr>
            <w:r>
              <w:rPr>
                <w:rFonts w:hint="eastAsia" w:cs="宋体"/>
                <w:color w:val="auto"/>
                <w:highlight w:val="none"/>
                <w:lang w:val="en-US" w:eastAsia="zh-CN"/>
              </w:rPr>
              <w:t>2.2.2（1）</w:t>
            </w:r>
          </w:p>
        </w:tc>
        <w:tc>
          <w:tcPr>
            <w:tcW w:w="1208" w:type="dxa"/>
            <w:noWrap w:val="0"/>
            <w:tcMar>
              <w:left w:w="57" w:type="dxa"/>
              <w:right w:w="57" w:type="dxa"/>
            </w:tcMar>
            <w:vAlign w:val="center"/>
          </w:tcPr>
          <w:p>
            <w:pPr>
              <w:snapToGrid w:val="0"/>
              <w:spacing w:line="480" w:lineRule="exact"/>
              <w:jc w:val="center"/>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磋商</w:t>
            </w:r>
            <w:r>
              <w:rPr>
                <w:rFonts w:hint="eastAsia" w:ascii="宋体" w:hAnsi="宋体" w:eastAsia="宋体" w:cs="宋体"/>
                <w:color w:val="auto"/>
                <w:sz w:val="24"/>
                <w:highlight w:val="none"/>
              </w:rPr>
              <w:t>报价（</w:t>
            </w:r>
            <w:r>
              <w:rPr>
                <w:rFonts w:hint="eastAsia" w:ascii="宋体" w:hAnsi="宋体" w:cs="宋体"/>
                <w:color w:val="auto"/>
                <w:sz w:val="24"/>
                <w:highlight w:val="none"/>
                <w:lang w:val="en-US" w:eastAsia="zh-CN"/>
              </w:rPr>
              <w:t>20</w:t>
            </w:r>
            <w:r>
              <w:rPr>
                <w:rFonts w:hint="eastAsia" w:ascii="宋体" w:hAnsi="宋体" w:eastAsia="宋体" w:cs="宋体"/>
                <w:color w:val="auto"/>
                <w:sz w:val="24"/>
                <w:highlight w:val="none"/>
              </w:rPr>
              <w:t>分）</w:t>
            </w:r>
          </w:p>
        </w:tc>
        <w:tc>
          <w:tcPr>
            <w:tcW w:w="7863" w:type="dxa"/>
            <w:gridSpan w:val="2"/>
            <w:noWrap w:val="0"/>
            <w:tcMar>
              <w:left w:w="57" w:type="dxa"/>
              <w:right w:w="57" w:type="dxa"/>
            </w:tcMar>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1、价格分统一采用低价优先法计算，即满足磋商文件要求且最后报价最低的供应商的价格为磋商基准价，其价格分为满分。其他供应商的价格分统一按照下列公式计算：</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磋商报价得分=（磋商基准价/最后磋商报价）×</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0%×100</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价格扣除：1.供应商为中小微企业的（监狱企业/残疾人福利性企业视同小型、微型企业），对所投标的小型和微型企业制造的产品的价格给予20%的扣除，用扣除后的价格参与评审。参加投标的中小微企业，应当按照《政府采购促进中小企业发展管理办法》（财库〔2020〕46号）的规定提供《中小企业声明函》（中小企业划型标准详见《关于印发中小企业划型标准规定的通知》工信部联企业〔2011〕300号）。供应商为大型企业的不适用本款规定。</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财政部司法部《关于政府采购支持监狱企业发展有关问题的通知》（财库〔2014〕68号）规定，本项目对监狱企业作为投标供应商所提供的本企业生产的产品的价格给予20%的扣除。监狱企业，应当提供由省级以上监狱管理局、戒毒管理局（含新疆生产建设兵团）出具的属于监狱企业的证明文件。</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4、参加政府采购活动的残疾人福利性单位应当提供《残疾人福利性单位声明函》，未填写残疾人福利性单位声明函的在开标过程中不予认可。</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5、同一投标供应商，中小微企业产品和监狱企业产品价格扣除优惠只享受一次，不得重复享受</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价格分计算保留小数点后二位。在评标过程中，磋商小组发现供应商的报价明显低于成本价时或明显低于其他通过初步审查供应商的报价，有可能影响产品质量或者不能诚信履约的，磋商小组可向该供应商提出询问，要求该供应商作出书面说明并提供相关证明材料。供应商不能合理说明及不能提供相关证明材料的，磋商小组认定该供应商以低于成本价恶意竞标，其投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615" w:type="dxa"/>
            <w:vMerge w:val="restart"/>
            <w:noWrap w:val="0"/>
            <w:tcMar>
              <w:left w:w="57" w:type="dxa"/>
              <w:right w:w="57" w:type="dxa"/>
            </w:tcMar>
            <w:vAlign w:val="center"/>
          </w:tcPr>
          <w:p>
            <w:pPr>
              <w:pStyle w:val="16"/>
              <w:spacing w:before="0" w:beforeAutospacing="0" w:after="0" w:afterAutospacing="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2.2.</w:t>
            </w:r>
            <w:r>
              <w:rPr>
                <w:rFonts w:hint="eastAsia" w:cs="宋体"/>
                <w:color w:val="auto"/>
                <w:highlight w:val="none"/>
                <w:lang w:val="en-US" w:eastAsia="zh-CN"/>
              </w:rPr>
              <w:t>2</w:t>
            </w:r>
            <w:r>
              <w:rPr>
                <w:rFonts w:hint="eastAsia" w:ascii="宋体" w:hAnsi="宋体" w:eastAsia="宋体" w:cs="宋体"/>
                <w:color w:val="auto"/>
                <w:highlight w:val="none"/>
              </w:rPr>
              <w:br w:type="textWrapping"/>
            </w:r>
            <w:r>
              <w:rPr>
                <w:rFonts w:hint="eastAsia" w:ascii="宋体" w:hAnsi="宋体" w:eastAsia="宋体" w:cs="宋体"/>
                <w:color w:val="auto"/>
                <w:highlight w:val="none"/>
              </w:rPr>
              <w:t>(</w:t>
            </w:r>
            <w:r>
              <w:rPr>
                <w:rFonts w:hint="eastAsia" w:cs="宋体"/>
                <w:color w:val="auto"/>
                <w:highlight w:val="none"/>
                <w:lang w:val="en-US" w:eastAsia="zh-CN"/>
              </w:rPr>
              <w:t>2</w:t>
            </w:r>
            <w:r>
              <w:rPr>
                <w:rFonts w:hint="eastAsia" w:ascii="宋体" w:hAnsi="宋体" w:eastAsia="宋体" w:cs="宋体"/>
                <w:color w:val="auto"/>
                <w:highlight w:val="none"/>
              </w:rPr>
              <w:t>)</w:t>
            </w:r>
          </w:p>
        </w:tc>
        <w:tc>
          <w:tcPr>
            <w:tcW w:w="1208" w:type="dxa"/>
            <w:vMerge w:val="restart"/>
            <w:noWrap w:val="0"/>
            <w:tcMar>
              <w:left w:w="57" w:type="dxa"/>
              <w:right w:w="57" w:type="dxa"/>
            </w:tcMar>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技术评分标准</w:t>
            </w:r>
          </w:p>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50</w:t>
            </w:r>
            <w:r>
              <w:rPr>
                <w:rFonts w:hint="eastAsia" w:ascii="宋体" w:hAnsi="宋体" w:eastAsia="宋体" w:cs="宋体"/>
                <w:color w:val="auto"/>
                <w:sz w:val="24"/>
                <w:highlight w:val="none"/>
              </w:rPr>
              <w:t>分）</w:t>
            </w:r>
          </w:p>
        </w:tc>
        <w:tc>
          <w:tcPr>
            <w:tcW w:w="1895" w:type="dxa"/>
            <w:noWrap w:val="0"/>
            <w:tcMar>
              <w:left w:w="57" w:type="dxa"/>
              <w:right w:w="57" w:type="dxa"/>
            </w:tcMar>
            <w:vAlign w:val="center"/>
          </w:tcPr>
          <w:p>
            <w:pPr>
              <w:autoSpaceDE w:val="0"/>
              <w:autoSpaceDN w:val="0"/>
              <w:adjustRightInd w:val="0"/>
              <w:snapToGrid w:val="0"/>
              <w:spacing w:line="360" w:lineRule="auto"/>
              <w:ind w:leftChars="-5" w:right="97" w:hanging="9" w:hangingChars="4"/>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实施方案</w:t>
            </w:r>
          </w:p>
          <w:p>
            <w:pPr>
              <w:autoSpaceDE w:val="0"/>
              <w:autoSpaceDN w:val="0"/>
              <w:adjustRightInd w:val="0"/>
              <w:snapToGrid w:val="0"/>
              <w:spacing w:line="360" w:lineRule="auto"/>
              <w:ind w:left="-1" w:leftChars="-5" w:right="97" w:rightChars="0" w:hanging="9" w:hangingChars="4"/>
              <w:jc w:val="center"/>
              <w:rPr>
                <w:rFonts w:hint="eastAsia" w:ascii="宋体" w:hAnsi="宋体" w:eastAsia="宋体" w:cs="宋体"/>
                <w:color w:val="auto"/>
                <w:highlight w:val="none"/>
              </w:rPr>
            </w:pPr>
            <w:r>
              <w:rPr>
                <w:rFonts w:hint="eastAsia" w:ascii="宋体" w:hAnsi="宋体" w:cs="宋体"/>
                <w:color w:val="auto"/>
                <w:sz w:val="24"/>
                <w:szCs w:val="24"/>
                <w:highlight w:val="none"/>
              </w:rPr>
              <w:t>（10分）</w:t>
            </w:r>
          </w:p>
        </w:tc>
        <w:tc>
          <w:tcPr>
            <w:tcW w:w="5968" w:type="dxa"/>
            <w:noWrap w:val="0"/>
            <w:tcMar>
              <w:left w:w="57" w:type="dxa"/>
              <w:right w:w="57" w:type="dxa"/>
            </w:tcMar>
            <w:vAlign w:val="center"/>
          </w:tcPr>
          <w:p>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整体实施方案与服务完善，实施计划操作性强、交付物清晰完善、合理的得10分；项目整体实施方案与服务较完善，实施计划操作性较强、交付物清晰较完善、较合理的的得6分；项目整体实施方案与服务不完善，实施计划操作性不强、交付物清晰不完善的得</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分；</w:t>
            </w:r>
            <w:r>
              <w:rPr>
                <w:rFonts w:hint="eastAsia" w:ascii="宋体" w:hAnsi="宋体" w:eastAsia="宋体" w:cs="Times New Roman"/>
                <w:color w:val="auto"/>
                <w:sz w:val="24"/>
                <w:highlight w:val="none"/>
                <w:lang w:eastAsia="zh-CN"/>
              </w:rPr>
              <w:t>不提供</w:t>
            </w:r>
            <w:r>
              <w:rPr>
                <w:rFonts w:hint="eastAsia" w:ascii="宋体" w:hAnsi="宋体" w:eastAsia="宋体" w:cs="Times New Roman"/>
                <w:color w:val="auto"/>
                <w:sz w:val="24"/>
                <w:highlight w:val="none"/>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615" w:type="dxa"/>
            <w:vMerge w:val="continue"/>
            <w:noWrap w:val="0"/>
            <w:tcMar>
              <w:left w:w="57" w:type="dxa"/>
              <w:right w:w="57" w:type="dxa"/>
            </w:tcMar>
            <w:vAlign w:val="center"/>
          </w:tcPr>
          <w:p>
            <w:pPr>
              <w:pStyle w:val="16"/>
              <w:spacing w:before="0" w:beforeAutospacing="0" w:after="0" w:afterAutospacing="0" w:line="360" w:lineRule="auto"/>
              <w:jc w:val="center"/>
              <w:rPr>
                <w:rFonts w:hint="eastAsia" w:ascii="宋体" w:hAnsi="宋体" w:eastAsia="宋体" w:cs="宋体"/>
                <w:color w:val="auto"/>
                <w:highlight w:val="none"/>
              </w:rPr>
            </w:pPr>
          </w:p>
        </w:tc>
        <w:tc>
          <w:tcPr>
            <w:tcW w:w="1208" w:type="dxa"/>
            <w:vMerge w:val="continue"/>
            <w:noWrap w:val="0"/>
            <w:tcMar>
              <w:left w:w="57" w:type="dxa"/>
              <w:right w:w="57" w:type="dxa"/>
            </w:tcMar>
            <w:vAlign w:val="center"/>
          </w:tcPr>
          <w:p>
            <w:pPr>
              <w:pStyle w:val="16"/>
              <w:spacing w:before="0" w:beforeAutospacing="0" w:after="0" w:afterAutospacing="0" w:line="360" w:lineRule="auto"/>
              <w:jc w:val="center"/>
              <w:rPr>
                <w:rFonts w:hint="eastAsia" w:ascii="宋体" w:hAnsi="宋体" w:eastAsia="宋体" w:cs="宋体"/>
                <w:color w:val="auto"/>
                <w:highlight w:val="none"/>
              </w:rPr>
            </w:pPr>
          </w:p>
        </w:tc>
        <w:tc>
          <w:tcPr>
            <w:tcW w:w="1895" w:type="dxa"/>
            <w:noWrap w:val="0"/>
            <w:tcMar>
              <w:left w:w="57" w:type="dxa"/>
              <w:right w:w="57" w:type="dxa"/>
            </w:tcMar>
            <w:vAlign w:val="center"/>
          </w:tcPr>
          <w:p>
            <w:pPr>
              <w:snapToGrid w:val="0"/>
              <w:spacing w:line="360" w:lineRule="auto"/>
              <w:jc w:val="center"/>
              <w:rPr>
                <w:rFonts w:hint="eastAsia" w:ascii="宋体" w:hAnsi="宋体" w:eastAsia="宋体" w:cs="宋体"/>
                <w:color w:val="auto"/>
                <w:sz w:val="24"/>
                <w:highlight w:val="none"/>
              </w:rPr>
            </w:pPr>
            <w:r>
              <w:rPr>
                <w:rFonts w:hint="eastAsia" w:ascii="宋体" w:hAnsi="宋体" w:cs="宋体"/>
                <w:color w:val="auto"/>
                <w:kern w:val="0"/>
                <w:sz w:val="24"/>
                <w:highlight w:val="none"/>
              </w:rPr>
              <w:t>项目风险管理方案（10分）</w:t>
            </w:r>
          </w:p>
        </w:tc>
        <w:tc>
          <w:tcPr>
            <w:tcW w:w="5968" w:type="dxa"/>
            <w:noWrap w:val="0"/>
            <w:tcMar>
              <w:left w:w="57" w:type="dxa"/>
              <w:right w:w="57" w:type="dxa"/>
            </w:tcMar>
            <w:vAlign w:val="center"/>
          </w:tcPr>
          <w:p>
            <w:pPr>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提供完整的项目风险管理方案，方案全面、合理、可行性强的，得</w:t>
            </w:r>
            <w:r>
              <w:rPr>
                <w:rFonts w:hint="eastAsia" w:ascii="宋体" w:hAnsi="宋体" w:cs="宋体"/>
                <w:color w:val="auto"/>
                <w:kern w:val="0"/>
                <w:sz w:val="24"/>
                <w:highlight w:val="none"/>
                <w:lang w:val="en-US" w:eastAsia="zh-CN"/>
              </w:rPr>
              <w:t>10</w:t>
            </w:r>
            <w:r>
              <w:rPr>
                <w:rFonts w:hint="eastAsia" w:ascii="宋体" w:hAnsi="宋体" w:cs="宋体"/>
                <w:color w:val="auto"/>
                <w:kern w:val="0"/>
                <w:sz w:val="24"/>
                <w:highlight w:val="none"/>
              </w:rPr>
              <w:t>分；方案较为全面、合理、切实可行的，得</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分；方案一般，基本可行的，得</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分</w:t>
            </w:r>
            <w:r>
              <w:rPr>
                <w:rFonts w:hint="eastAsia" w:ascii="宋体" w:hAnsi="宋体" w:cs="宋体"/>
                <w:color w:val="auto"/>
                <w:kern w:val="0"/>
                <w:sz w:val="24"/>
                <w:highlight w:val="none"/>
                <w:lang w:val="en-US" w:eastAsia="zh-CN"/>
              </w:rPr>
              <w:t>；</w:t>
            </w:r>
            <w:r>
              <w:rPr>
                <w:rFonts w:hint="eastAsia" w:ascii="宋体" w:hAnsi="宋体" w:eastAsia="宋体" w:cs="Times New Roman"/>
                <w:color w:val="auto"/>
                <w:sz w:val="24"/>
                <w:highlight w:val="none"/>
                <w:lang w:eastAsia="zh-CN"/>
              </w:rPr>
              <w:t>不提供</w:t>
            </w:r>
            <w:r>
              <w:rPr>
                <w:rFonts w:hint="eastAsia" w:ascii="宋体" w:hAnsi="宋体" w:eastAsia="宋体" w:cs="Times New Roman"/>
                <w:color w:val="auto"/>
                <w:sz w:val="24"/>
                <w:highlight w:val="none"/>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615" w:type="dxa"/>
            <w:vMerge w:val="continue"/>
            <w:noWrap w:val="0"/>
            <w:tcMar>
              <w:left w:w="57" w:type="dxa"/>
              <w:right w:w="57" w:type="dxa"/>
            </w:tcMar>
            <w:vAlign w:val="center"/>
          </w:tcPr>
          <w:p>
            <w:pPr>
              <w:pStyle w:val="16"/>
              <w:spacing w:before="0" w:beforeAutospacing="0" w:after="0" w:afterAutospacing="0" w:line="360" w:lineRule="auto"/>
              <w:jc w:val="center"/>
              <w:rPr>
                <w:rFonts w:hint="eastAsia" w:ascii="宋体" w:hAnsi="宋体" w:eastAsia="宋体" w:cs="宋体"/>
                <w:color w:val="auto"/>
                <w:highlight w:val="none"/>
              </w:rPr>
            </w:pPr>
          </w:p>
        </w:tc>
        <w:tc>
          <w:tcPr>
            <w:tcW w:w="1208" w:type="dxa"/>
            <w:vMerge w:val="continue"/>
            <w:noWrap w:val="0"/>
            <w:tcMar>
              <w:left w:w="57" w:type="dxa"/>
              <w:right w:w="57" w:type="dxa"/>
            </w:tcMar>
            <w:vAlign w:val="center"/>
          </w:tcPr>
          <w:p>
            <w:pPr>
              <w:pStyle w:val="16"/>
              <w:spacing w:before="0" w:beforeAutospacing="0" w:after="0" w:afterAutospacing="0" w:line="360" w:lineRule="auto"/>
              <w:jc w:val="center"/>
              <w:rPr>
                <w:rFonts w:hint="eastAsia" w:ascii="宋体" w:hAnsi="宋体" w:eastAsia="宋体" w:cs="宋体"/>
                <w:color w:val="auto"/>
                <w:highlight w:val="none"/>
              </w:rPr>
            </w:pPr>
          </w:p>
        </w:tc>
        <w:tc>
          <w:tcPr>
            <w:tcW w:w="1895" w:type="dxa"/>
            <w:noWrap w:val="0"/>
            <w:tcMar>
              <w:left w:w="57" w:type="dxa"/>
              <w:right w:w="57" w:type="dxa"/>
            </w:tcMar>
            <w:vAlign w:val="center"/>
          </w:tcPr>
          <w:p>
            <w:pPr>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质量保障措施</w:t>
            </w:r>
          </w:p>
          <w:p>
            <w:pPr>
              <w:snapToGrid w:val="0"/>
              <w:spacing w:line="360" w:lineRule="auto"/>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rPr>
              <w:t>（10分）</w:t>
            </w:r>
          </w:p>
        </w:tc>
        <w:tc>
          <w:tcPr>
            <w:tcW w:w="5968" w:type="dxa"/>
            <w:noWrap w:val="0"/>
            <w:tcMar>
              <w:left w:w="57" w:type="dxa"/>
              <w:right w:w="57" w:type="dxa"/>
            </w:tcMar>
            <w:vAlign w:val="center"/>
          </w:tcPr>
          <w:p>
            <w:pPr>
              <w:snapToGrid w:val="0"/>
              <w:spacing w:line="360" w:lineRule="auto"/>
              <w:jc w:val="left"/>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提供完整的质量及保证措施方案，质量保障措施具体详实、可行性强，得</w:t>
            </w:r>
            <w:r>
              <w:rPr>
                <w:rFonts w:hint="eastAsia" w:ascii="宋体" w:hAnsi="宋体" w:cs="宋体"/>
                <w:color w:val="auto"/>
                <w:kern w:val="0"/>
                <w:sz w:val="24"/>
                <w:highlight w:val="none"/>
                <w:lang w:val="en-US" w:eastAsia="zh-CN"/>
              </w:rPr>
              <w:t>10</w:t>
            </w:r>
            <w:r>
              <w:rPr>
                <w:rFonts w:hint="eastAsia" w:ascii="宋体" w:hAnsi="宋体" w:cs="宋体"/>
                <w:color w:val="auto"/>
                <w:kern w:val="0"/>
                <w:sz w:val="24"/>
                <w:highlight w:val="none"/>
              </w:rPr>
              <w:t>分；质量保障措施比较具体、可行性一般，得</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分；质量保障措施简单、基本可行，得</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分</w:t>
            </w:r>
            <w:r>
              <w:rPr>
                <w:rFonts w:hint="eastAsia" w:ascii="宋体" w:hAnsi="宋体" w:cs="宋体"/>
                <w:color w:val="auto"/>
                <w:kern w:val="0"/>
                <w:sz w:val="24"/>
                <w:highlight w:val="none"/>
                <w:lang w:val="en-US" w:eastAsia="zh-CN"/>
              </w:rPr>
              <w:t>；</w:t>
            </w:r>
            <w:r>
              <w:rPr>
                <w:rFonts w:hint="eastAsia" w:ascii="宋体" w:hAnsi="宋体" w:eastAsia="宋体" w:cs="Times New Roman"/>
                <w:color w:val="auto"/>
                <w:sz w:val="24"/>
                <w:highlight w:val="none"/>
                <w:lang w:eastAsia="zh-CN"/>
              </w:rPr>
              <w:t>不提供</w:t>
            </w:r>
            <w:r>
              <w:rPr>
                <w:rFonts w:hint="eastAsia" w:ascii="宋体" w:hAnsi="宋体" w:eastAsia="宋体" w:cs="Times New Roman"/>
                <w:color w:val="auto"/>
                <w:sz w:val="24"/>
                <w:highlight w:val="none"/>
              </w:rPr>
              <w:t>不得分</w:t>
            </w:r>
            <w:r>
              <w:rPr>
                <w:rFonts w:hint="eastAsia" w:ascii="宋体" w:hAnsi="宋体" w:cs="宋体"/>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15" w:type="dxa"/>
            <w:vMerge w:val="continue"/>
            <w:noWrap w:val="0"/>
            <w:tcMar>
              <w:left w:w="57" w:type="dxa"/>
              <w:right w:w="57" w:type="dxa"/>
            </w:tcMar>
            <w:vAlign w:val="center"/>
          </w:tcPr>
          <w:p>
            <w:pPr>
              <w:pStyle w:val="16"/>
              <w:spacing w:before="0" w:beforeAutospacing="0" w:after="0" w:afterAutospacing="0" w:line="360" w:lineRule="auto"/>
              <w:jc w:val="center"/>
              <w:rPr>
                <w:rFonts w:hint="eastAsia" w:ascii="宋体" w:hAnsi="宋体" w:eastAsia="宋体" w:cs="宋体"/>
                <w:color w:val="auto"/>
                <w:highlight w:val="none"/>
              </w:rPr>
            </w:pPr>
          </w:p>
        </w:tc>
        <w:tc>
          <w:tcPr>
            <w:tcW w:w="1208" w:type="dxa"/>
            <w:vMerge w:val="continue"/>
            <w:noWrap w:val="0"/>
            <w:tcMar>
              <w:left w:w="57" w:type="dxa"/>
              <w:right w:w="57" w:type="dxa"/>
            </w:tcMar>
            <w:vAlign w:val="center"/>
          </w:tcPr>
          <w:p>
            <w:pPr>
              <w:pStyle w:val="16"/>
              <w:spacing w:before="0" w:beforeAutospacing="0" w:after="0" w:afterAutospacing="0" w:line="360" w:lineRule="auto"/>
              <w:jc w:val="center"/>
              <w:rPr>
                <w:rFonts w:hint="eastAsia" w:ascii="宋体" w:hAnsi="宋体" w:eastAsia="宋体" w:cs="宋体"/>
                <w:color w:val="auto"/>
                <w:highlight w:val="none"/>
              </w:rPr>
            </w:pPr>
          </w:p>
        </w:tc>
        <w:tc>
          <w:tcPr>
            <w:tcW w:w="1895" w:type="dxa"/>
            <w:noWrap w:val="0"/>
            <w:tcMar>
              <w:left w:w="57" w:type="dxa"/>
              <w:right w:w="57" w:type="dxa"/>
            </w:tcMar>
            <w:vAlign w:val="center"/>
          </w:tcPr>
          <w:p>
            <w:pPr>
              <w:autoSpaceDE w:val="0"/>
              <w:autoSpaceDN w:val="0"/>
              <w:adjustRightInd w:val="0"/>
              <w:snapToGrid w:val="0"/>
              <w:spacing w:line="360" w:lineRule="auto"/>
              <w:ind w:leftChars="-5" w:right="97" w:hanging="9" w:hangingChars="4"/>
              <w:jc w:val="center"/>
              <w:rPr>
                <w:rFonts w:hint="eastAsia" w:ascii="宋体" w:hAnsi="宋体" w:cs="宋体"/>
                <w:color w:val="auto"/>
                <w:spacing w:val="1"/>
                <w:kern w:val="0"/>
                <w:sz w:val="24"/>
                <w:szCs w:val="24"/>
                <w:highlight w:val="none"/>
              </w:rPr>
            </w:pPr>
            <w:r>
              <w:rPr>
                <w:rFonts w:hint="eastAsia" w:ascii="宋体" w:hAnsi="宋体" w:cs="宋体"/>
                <w:color w:val="auto"/>
                <w:spacing w:val="1"/>
                <w:kern w:val="0"/>
                <w:sz w:val="24"/>
                <w:szCs w:val="24"/>
                <w:highlight w:val="none"/>
              </w:rPr>
              <w:t>人员配备</w:t>
            </w:r>
          </w:p>
          <w:p>
            <w:pPr>
              <w:autoSpaceDE w:val="0"/>
              <w:autoSpaceDN w:val="0"/>
              <w:adjustRightInd w:val="0"/>
              <w:snapToGrid w:val="0"/>
              <w:spacing w:line="360" w:lineRule="auto"/>
              <w:ind w:left="-1" w:leftChars="-5" w:right="97" w:rightChars="0" w:hanging="9" w:hangingChars="4"/>
              <w:jc w:val="center"/>
              <w:rPr>
                <w:rFonts w:hint="eastAsia" w:ascii="宋体" w:hAnsi="宋体" w:eastAsia="宋体" w:cs="宋体"/>
                <w:color w:val="auto"/>
                <w:sz w:val="24"/>
                <w:highlight w:val="none"/>
              </w:rPr>
            </w:pPr>
            <w:r>
              <w:rPr>
                <w:rFonts w:hint="eastAsia" w:ascii="宋体" w:hAnsi="宋体" w:cs="宋体"/>
                <w:color w:val="auto"/>
                <w:spacing w:val="1"/>
                <w:kern w:val="0"/>
                <w:sz w:val="24"/>
                <w:szCs w:val="24"/>
                <w:highlight w:val="none"/>
              </w:rPr>
              <w:t>（</w:t>
            </w:r>
            <w:r>
              <w:rPr>
                <w:rFonts w:hint="eastAsia" w:ascii="宋体" w:hAnsi="宋体" w:cs="宋体"/>
                <w:color w:val="auto"/>
                <w:spacing w:val="1"/>
                <w:kern w:val="0"/>
                <w:sz w:val="24"/>
                <w:szCs w:val="24"/>
                <w:highlight w:val="none"/>
                <w:lang w:val="en-US" w:eastAsia="zh-CN"/>
              </w:rPr>
              <w:t>10</w:t>
            </w:r>
            <w:r>
              <w:rPr>
                <w:rFonts w:hint="eastAsia" w:ascii="宋体" w:hAnsi="宋体" w:cs="宋体"/>
                <w:color w:val="auto"/>
                <w:spacing w:val="1"/>
                <w:kern w:val="0"/>
                <w:sz w:val="24"/>
                <w:szCs w:val="24"/>
                <w:highlight w:val="none"/>
              </w:rPr>
              <w:t>分）</w:t>
            </w:r>
          </w:p>
        </w:tc>
        <w:tc>
          <w:tcPr>
            <w:tcW w:w="5968" w:type="dxa"/>
            <w:noWrap w:val="0"/>
            <w:tcMar>
              <w:left w:w="57" w:type="dxa"/>
              <w:right w:w="57" w:type="dxa"/>
            </w:tcMar>
            <w:vAlign w:val="center"/>
          </w:tcPr>
          <w:p>
            <w:pPr>
              <w:numPr>
                <w:ilvl w:val="0"/>
                <w:numId w:val="0"/>
              </w:numPr>
              <w:snapToGrid w:val="0"/>
              <w:spacing w:line="360" w:lineRule="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eastAsia="zh-CN"/>
              </w:rPr>
              <w:t>拟投入的人员中具有高级工程师</w:t>
            </w:r>
            <w:r>
              <w:rPr>
                <w:rFonts w:hint="eastAsia" w:ascii="宋体" w:hAnsi="宋体" w:cs="宋体"/>
                <w:color w:val="auto"/>
                <w:sz w:val="24"/>
                <w:highlight w:val="none"/>
                <w:lang w:eastAsia="zh-CN"/>
              </w:rPr>
              <w:t>职称证</w:t>
            </w:r>
            <w:r>
              <w:rPr>
                <w:rFonts w:hint="eastAsia" w:ascii="宋体" w:hAnsi="宋体" w:eastAsia="宋体" w:cs="宋体"/>
                <w:color w:val="auto"/>
                <w:sz w:val="24"/>
                <w:highlight w:val="none"/>
                <w:lang w:eastAsia="zh-CN"/>
              </w:rPr>
              <w:t>的，每提供一个得</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eastAsia="zh-CN"/>
              </w:rPr>
              <w:t>分</w:t>
            </w:r>
            <w:r>
              <w:rPr>
                <w:rFonts w:hint="eastAsia" w:ascii="宋体" w:hAnsi="宋体" w:cs="宋体"/>
                <w:color w:val="auto"/>
                <w:sz w:val="24"/>
                <w:highlight w:val="none"/>
                <w:lang w:eastAsia="zh-CN"/>
              </w:rPr>
              <w:t>，最高得</w:t>
            </w:r>
            <w:r>
              <w:rPr>
                <w:rFonts w:hint="eastAsia" w:ascii="宋体" w:hAnsi="宋体" w:cs="宋体"/>
                <w:color w:val="auto"/>
                <w:sz w:val="24"/>
                <w:highlight w:val="none"/>
                <w:lang w:val="en-US" w:eastAsia="zh-CN"/>
              </w:rPr>
              <w:t>3分</w:t>
            </w:r>
            <w:r>
              <w:rPr>
                <w:rFonts w:hint="eastAsia" w:ascii="宋体" w:hAnsi="宋体" w:cs="宋体"/>
                <w:color w:val="auto"/>
                <w:sz w:val="24"/>
                <w:highlight w:val="none"/>
                <w:lang w:eastAsia="zh-CN"/>
              </w:rPr>
              <w:t>；</w:t>
            </w:r>
          </w:p>
          <w:p>
            <w:pPr>
              <w:numPr>
                <w:ilvl w:val="0"/>
                <w:numId w:val="0"/>
              </w:numPr>
              <w:snapToGrid w:val="0"/>
              <w:spacing w:line="360" w:lineRule="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eastAsia="zh-CN"/>
              </w:rPr>
              <w:t>具有信息系统项目管理师（高级）证书的，每提供一个得</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eastAsia="zh-CN"/>
              </w:rPr>
              <w:t>分</w:t>
            </w:r>
            <w:r>
              <w:rPr>
                <w:rFonts w:hint="eastAsia" w:ascii="宋体" w:hAnsi="宋体" w:cs="宋体"/>
                <w:color w:val="auto"/>
                <w:sz w:val="24"/>
                <w:highlight w:val="none"/>
                <w:lang w:eastAsia="zh-CN"/>
              </w:rPr>
              <w:t>，最高得</w:t>
            </w:r>
            <w:r>
              <w:rPr>
                <w:rFonts w:hint="eastAsia" w:ascii="宋体" w:hAnsi="宋体" w:cs="宋体"/>
                <w:color w:val="auto"/>
                <w:sz w:val="24"/>
                <w:highlight w:val="none"/>
                <w:lang w:val="en-US" w:eastAsia="zh-CN"/>
              </w:rPr>
              <w:t>2分</w:t>
            </w:r>
            <w:r>
              <w:rPr>
                <w:rFonts w:hint="eastAsia" w:ascii="宋体" w:hAnsi="宋体" w:eastAsia="宋体" w:cs="宋体"/>
                <w:color w:val="auto"/>
                <w:sz w:val="24"/>
                <w:highlight w:val="none"/>
                <w:lang w:eastAsia="zh-CN"/>
              </w:rPr>
              <w:t>；</w:t>
            </w:r>
          </w:p>
          <w:p>
            <w:pPr>
              <w:numPr>
                <w:ilvl w:val="0"/>
                <w:numId w:val="0"/>
              </w:numPr>
              <w:snapToGrid w:val="0"/>
              <w:spacing w:line="360" w:lineRule="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eastAsia="zh-CN"/>
              </w:rPr>
              <w:t>具有系统分析师、软件设计师等相关专业中级或以上技术职称的，每提供一个得</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eastAsia="zh-CN"/>
              </w:rPr>
              <w:t>分</w:t>
            </w:r>
            <w:r>
              <w:rPr>
                <w:rFonts w:hint="eastAsia" w:ascii="宋体" w:hAnsi="宋体" w:cs="宋体"/>
                <w:color w:val="auto"/>
                <w:sz w:val="24"/>
                <w:highlight w:val="none"/>
                <w:lang w:eastAsia="zh-CN"/>
              </w:rPr>
              <w:t>，最高得</w:t>
            </w:r>
            <w:r>
              <w:rPr>
                <w:rFonts w:hint="eastAsia" w:ascii="宋体" w:hAnsi="宋体" w:cs="宋体"/>
                <w:color w:val="auto"/>
                <w:sz w:val="24"/>
                <w:highlight w:val="none"/>
                <w:lang w:val="en-US" w:eastAsia="zh-CN"/>
              </w:rPr>
              <w:t>2分</w:t>
            </w:r>
            <w:r>
              <w:rPr>
                <w:rFonts w:hint="eastAsia" w:ascii="宋体" w:hAnsi="宋体" w:cs="宋体"/>
                <w:color w:val="auto"/>
                <w:sz w:val="24"/>
                <w:highlight w:val="none"/>
                <w:lang w:eastAsia="zh-CN"/>
              </w:rPr>
              <w:t>。</w:t>
            </w:r>
          </w:p>
          <w:p>
            <w:pPr>
              <w:numPr>
                <w:ilvl w:val="0"/>
                <w:numId w:val="0"/>
              </w:numPr>
              <w:snapToGrid w:val="0"/>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不提供不得分。</w:t>
            </w:r>
          </w:p>
          <w:p>
            <w:pPr>
              <w:numPr>
                <w:ilvl w:val="0"/>
                <w:numId w:val="0"/>
              </w:numPr>
              <w:snapToGrid w:val="0"/>
              <w:spacing w:line="360" w:lineRule="auto"/>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（以上证书</w:t>
            </w:r>
            <w:r>
              <w:rPr>
                <w:rFonts w:hint="eastAsia" w:ascii="宋体" w:hAnsi="宋体" w:eastAsia="宋体" w:cs="宋体"/>
                <w:b/>
                <w:bCs/>
                <w:color w:val="auto"/>
                <w:sz w:val="24"/>
                <w:highlight w:val="none"/>
                <w:lang w:eastAsia="zh-CN"/>
              </w:rPr>
              <w:t>提供</w:t>
            </w:r>
            <w:r>
              <w:rPr>
                <w:rFonts w:hint="eastAsia" w:ascii="宋体" w:hAnsi="宋体" w:cs="宋体"/>
                <w:b/>
                <w:bCs/>
                <w:color w:val="auto"/>
                <w:sz w:val="24"/>
                <w:highlight w:val="none"/>
                <w:lang w:val="en-US" w:eastAsia="zh-CN"/>
              </w:rPr>
              <w:t>相关原件扫描件）</w:t>
            </w:r>
          </w:p>
          <w:p>
            <w:pPr>
              <w:numPr>
                <w:ilvl w:val="0"/>
                <w:numId w:val="0"/>
              </w:numPr>
              <w:snapToGrid w:val="0"/>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项目实施期间，团队组建15人及以上人员驻场团队的得</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分；维护期间，长期安排3人现场支持，</w:t>
            </w:r>
            <w:r>
              <w:rPr>
                <w:rFonts w:hint="eastAsia" w:ascii="宋体" w:hAnsi="宋体" w:cs="宋体"/>
                <w:color w:val="auto"/>
                <w:sz w:val="24"/>
                <w:highlight w:val="none"/>
                <w:lang w:val="en-US" w:eastAsia="zh-CN"/>
              </w:rPr>
              <w:t>得1分；每</w:t>
            </w:r>
            <w:r>
              <w:rPr>
                <w:rFonts w:hint="eastAsia" w:ascii="宋体" w:hAnsi="宋体" w:eastAsia="宋体" w:cs="宋体"/>
                <w:color w:val="auto"/>
                <w:sz w:val="24"/>
                <w:highlight w:val="none"/>
                <w:lang w:val="en-US" w:eastAsia="zh-CN"/>
              </w:rPr>
              <w:t>少1人的扣1分</w:t>
            </w:r>
            <w:r>
              <w:rPr>
                <w:rFonts w:hint="eastAsia" w:ascii="宋体" w:hAnsi="宋体" w:cs="宋体"/>
                <w:color w:val="auto"/>
                <w:sz w:val="24"/>
                <w:highlight w:val="none"/>
                <w:lang w:val="en-US" w:eastAsia="zh-CN"/>
              </w:rPr>
              <w:t>，扣完为止</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eastAsia="zh-CN"/>
              </w:rPr>
              <w:t>本项最高得</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eastAsia="zh-CN"/>
              </w:rPr>
              <w:t>分</w:t>
            </w:r>
            <w:r>
              <w:rPr>
                <w:rFonts w:hint="eastAsia" w:ascii="宋体" w:hAnsi="宋体" w:eastAsia="宋体" w:cs="宋体"/>
                <w:color w:val="auto"/>
                <w:sz w:val="24"/>
                <w:highlight w:val="none"/>
                <w:lang w:val="en-US" w:eastAsia="zh-CN"/>
              </w:rPr>
              <w:t>。</w:t>
            </w:r>
          </w:p>
          <w:p>
            <w:pPr>
              <w:numPr>
                <w:ilvl w:val="0"/>
                <w:numId w:val="0"/>
              </w:numPr>
              <w:snapToGrid w:val="0"/>
              <w:spacing w:line="360" w:lineRule="auto"/>
              <w:rPr>
                <w:rFonts w:hint="eastAsia" w:ascii="宋体" w:hAnsi="宋体" w:eastAsia="宋体" w:cs="宋体"/>
                <w:color w:val="auto"/>
                <w:sz w:val="24"/>
                <w:highlight w:val="none"/>
                <w:lang w:eastAsia="zh-CN"/>
              </w:rPr>
            </w:pPr>
            <w:r>
              <w:rPr>
                <w:rFonts w:hint="eastAsia" w:ascii="宋体" w:hAnsi="宋体" w:eastAsia="宋体" w:cs="宋体"/>
                <w:b/>
                <w:bCs/>
                <w:color w:val="auto"/>
                <w:sz w:val="24"/>
                <w:highlight w:val="none"/>
                <w:lang w:val="en-US" w:eastAsia="zh-CN"/>
              </w:rPr>
              <w:t>(提供人员名单及承诺书)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615" w:type="dxa"/>
            <w:vMerge w:val="continue"/>
            <w:noWrap w:val="0"/>
            <w:tcMar>
              <w:left w:w="57" w:type="dxa"/>
              <w:right w:w="57" w:type="dxa"/>
            </w:tcMar>
            <w:vAlign w:val="center"/>
          </w:tcPr>
          <w:p>
            <w:pPr>
              <w:pStyle w:val="16"/>
              <w:spacing w:before="0" w:beforeAutospacing="0" w:after="0" w:afterAutospacing="0" w:line="360" w:lineRule="auto"/>
              <w:jc w:val="center"/>
              <w:rPr>
                <w:rFonts w:hint="eastAsia" w:ascii="宋体" w:hAnsi="宋体" w:eastAsia="宋体" w:cs="宋体"/>
                <w:color w:val="auto"/>
                <w:highlight w:val="none"/>
              </w:rPr>
            </w:pPr>
          </w:p>
        </w:tc>
        <w:tc>
          <w:tcPr>
            <w:tcW w:w="1208" w:type="dxa"/>
            <w:vMerge w:val="continue"/>
            <w:noWrap w:val="0"/>
            <w:tcMar>
              <w:left w:w="57" w:type="dxa"/>
              <w:right w:w="57" w:type="dxa"/>
            </w:tcMar>
            <w:vAlign w:val="center"/>
          </w:tcPr>
          <w:p>
            <w:pPr>
              <w:pStyle w:val="16"/>
              <w:spacing w:before="0" w:beforeAutospacing="0" w:after="0" w:afterAutospacing="0" w:line="360" w:lineRule="auto"/>
              <w:jc w:val="center"/>
              <w:rPr>
                <w:rFonts w:hint="eastAsia" w:ascii="宋体" w:hAnsi="宋体" w:eastAsia="宋体" w:cs="宋体"/>
                <w:color w:val="auto"/>
                <w:highlight w:val="none"/>
              </w:rPr>
            </w:pPr>
          </w:p>
        </w:tc>
        <w:tc>
          <w:tcPr>
            <w:tcW w:w="1895" w:type="dxa"/>
            <w:noWrap w:val="0"/>
            <w:tcMar>
              <w:left w:w="57" w:type="dxa"/>
              <w:right w:w="57" w:type="dxa"/>
            </w:tcMar>
            <w:vAlign w:val="center"/>
          </w:tcPr>
          <w:p>
            <w:pPr>
              <w:autoSpaceDE w:val="0"/>
              <w:autoSpaceDN w:val="0"/>
              <w:adjustRightInd w:val="0"/>
              <w:snapToGrid w:val="0"/>
              <w:spacing w:line="360" w:lineRule="auto"/>
              <w:ind w:left="-1" w:leftChars="-5" w:right="97" w:rightChars="0" w:hanging="9" w:hangingChars="4"/>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pacing w:val="1"/>
                <w:kern w:val="0"/>
                <w:sz w:val="24"/>
                <w:szCs w:val="24"/>
                <w:highlight w:val="none"/>
              </w:rPr>
              <w:t>培训指导方案（10分）</w:t>
            </w:r>
          </w:p>
        </w:tc>
        <w:tc>
          <w:tcPr>
            <w:tcW w:w="5968" w:type="dxa"/>
            <w:noWrap w:val="0"/>
            <w:tcMar>
              <w:left w:w="57" w:type="dxa"/>
              <w:right w:w="57" w:type="dxa"/>
            </w:tcMar>
            <w:vAlign w:val="center"/>
          </w:tcPr>
          <w:p>
            <w:pPr>
              <w:pStyle w:val="18"/>
              <w:snapToGrid w:val="0"/>
              <w:spacing w:after="0" w:line="360" w:lineRule="auto"/>
              <w:ind w:left="0" w:leftChars="0" w:right="0" w:rightChars="0"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根据供应商设计的用户培训指导方案详尽程度及相关承诺，综合对比所有供应商的方案，</w:t>
            </w:r>
            <w:r>
              <w:rPr>
                <w:rFonts w:hint="eastAsia" w:ascii="宋体" w:hAnsi="宋体" w:cs="宋体"/>
                <w:color w:val="auto"/>
                <w:kern w:val="2"/>
                <w:sz w:val="24"/>
                <w:szCs w:val="24"/>
                <w:highlight w:val="none"/>
                <w:lang w:val="en-US" w:eastAsia="zh-CN" w:bidi="ar-SA"/>
              </w:rPr>
              <w:t>优秀得10分，一般得5分，较差得1分，</w:t>
            </w:r>
            <w:r>
              <w:rPr>
                <w:rFonts w:hint="eastAsia" w:ascii="宋体" w:hAnsi="宋体" w:eastAsia="宋体" w:cs="宋体"/>
                <w:color w:val="auto"/>
                <w:kern w:val="2"/>
                <w:sz w:val="24"/>
                <w:szCs w:val="24"/>
                <w:highlight w:val="none"/>
                <w:lang w:val="en-US" w:eastAsia="zh-CN" w:bidi="ar-SA"/>
              </w:rPr>
              <w:t>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615" w:type="dxa"/>
            <w:vMerge w:val="restart"/>
            <w:noWrap w:val="0"/>
            <w:tcMar>
              <w:left w:w="57" w:type="dxa"/>
              <w:right w:w="57" w:type="dxa"/>
            </w:tcMar>
            <w:vAlign w:val="center"/>
          </w:tcPr>
          <w:p>
            <w:pPr>
              <w:pStyle w:val="16"/>
              <w:spacing w:before="0" w:beforeAutospacing="0" w:after="0" w:afterAutospacing="0" w:line="360" w:lineRule="auto"/>
              <w:jc w:val="center"/>
              <w:rPr>
                <w:rFonts w:hint="eastAsia" w:ascii="宋体" w:hAnsi="宋体" w:eastAsia="宋体" w:cs="宋体"/>
                <w:color w:val="auto"/>
                <w:highlight w:val="none"/>
              </w:rPr>
            </w:pPr>
          </w:p>
          <w:p>
            <w:pPr>
              <w:pStyle w:val="16"/>
              <w:spacing w:before="0" w:beforeAutospacing="0" w:after="0" w:afterAutospacing="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2.2.</w:t>
            </w:r>
            <w:r>
              <w:rPr>
                <w:rFonts w:hint="eastAsia" w:cs="宋体"/>
                <w:color w:val="auto"/>
                <w:highlight w:val="none"/>
                <w:lang w:val="en-US" w:eastAsia="zh-CN"/>
              </w:rPr>
              <w:t>2</w:t>
            </w:r>
            <w:r>
              <w:rPr>
                <w:rFonts w:hint="eastAsia" w:ascii="宋体" w:hAnsi="宋体" w:eastAsia="宋体" w:cs="宋体"/>
                <w:color w:val="auto"/>
                <w:highlight w:val="none"/>
              </w:rPr>
              <w:br w:type="textWrapping"/>
            </w:r>
            <w:r>
              <w:rPr>
                <w:rFonts w:hint="eastAsia" w:ascii="宋体" w:hAnsi="宋体" w:eastAsia="宋体" w:cs="宋体"/>
                <w:color w:val="auto"/>
                <w:highlight w:val="none"/>
              </w:rPr>
              <w:t>(</w:t>
            </w:r>
            <w:r>
              <w:rPr>
                <w:rFonts w:hint="eastAsia" w:cs="宋体"/>
                <w:color w:val="auto"/>
                <w:highlight w:val="none"/>
                <w:lang w:val="en-US" w:eastAsia="zh-CN"/>
              </w:rPr>
              <w:t>3</w:t>
            </w:r>
            <w:r>
              <w:rPr>
                <w:rFonts w:hint="eastAsia" w:ascii="宋体" w:hAnsi="宋体" w:eastAsia="宋体" w:cs="宋体"/>
                <w:color w:val="auto"/>
                <w:highlight w:val="none"/>
              </w:rPr>
              <w:t>)</w:t>
            </w:r>
          </w:p>
          <w:p>
            <w:pPr>
              <w:snapToGrid w:val="0"/>
              <w:spacing w:line="480" w:lineRule="exact"/>
              <w:jc w:val="center"/>
              <w:rPr>
                <w:rFonts w:hint="eastAsia" w:ascii="宋体" w:hAnsi="宋体" w:eastAsia="宋体" w:cs="宋体"/>
                <w:color w:val="auto"/>
                <w:highlight w:val="none"/>
              </w:rPr>
            </w:pPr>
          </w:p>
        </w:tc>
        <w:tc>
          <w:tcPr>
            <w:tcW w:w="1208" w:type="dxa"/>
            <w:vMerge w:val="restart"/>
            <w:noWrap w:val="0"/>
            <w:tcMar>
              <w:left w:w="57" w:type="dxa"/>
              <w:right w:w="57" w:type="dxa"/>
            </w:tcMar>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综合</w:t>
            </w:r>
          </w:p>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评分标准（</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rPr>
              <w:t>分）</w:t>
            </w:r>
          </w:p>
        </w:tc>
        <w:tc>
          <w:tcPr>
            <w:tcW w:w="1895" w:type="dxa"/>
            <w:noWrap w:val="0"/>
            <w:tcMar>
              <w:left w:w="57" w:type="dxa"/>
              <w:right w:w="57" w:type="dxa"/>
            </w:tcMar>
            <w:vAlign w:val="center"/>
          </w:tcPr>
          <w:p>
            <w:pPr>
              <w:autoSpaceDE w:val="0"/>
              <w:autoSpaceDN w:val="0"/>
              <w:adjustRightInd w:val="0"/>
              <w:snapToGrid w:val="0"/>
              <w:spacing w:line="360" w:lineRule="auto"/>
              <w:ind w:leftChars="-5" w:right="97" w:hanging="9" w:hangingChars="4"/>
              <w:jc w:val="center"/>
              <w:rPr>
                <w:rFonts w:hint="eastAsia" w:ascii="宋体" w:hAnsi="宋体" w:cs="宋体"/>
                <w:color w:val="auto"/>
                <w:spacing w:val="1"/>
                <w:kern w:val="0"/>
                <w:sz w:val="24"/>
                <w:szCs w:val="24"/>
                <w:highlight w:val="none"/>
              </w:rPr>
            </w:pPr>
            <w:r>
              <w:rPr>
                <w:rFonts w:hint="eastAsia" w:ascii="宋体" w:hAnsi="宋体" w:cs="宋体"/>
                <w:color w:val="auto"/>
                <w:spacing w:val="1"/>
                <w:kern w:val="0"/>
                <w:sz w:val="24"/>
                <w:szCs w:val="24"/>
                <w:highlight w:val="none"/>
              </w:rPr>
              <w:t>企业业绩</w:t>
            </w:r>
          </w:p>
          <w:p>
            <w:pPr>
              <w:autoSpaceDE w:val="0"/>
              <w:autoSpaceDN w:val="0"/>
              <w:adjustRightInd w:val="0"/>
              <w:snapToGrid w:val="0"/>
              <w:spacing w:line="360" w:lineRule="auto"/>
              <w:ind w:left="-1" w:leftChars="-5" w:right="97" w:rightChars="0" w:hanging="9" w:hangingChars="4"/>
              <w:jc w:val="center"/>
              <w:rPr>
                <w:rFonts w:hint="eastAsia" w:ascii="宋体" w:hAnsi="宋体" w:eastAsia="宋体" w:cs="宋体"/>
                <w:color w:val="auto"/>
                <w:highlight w:val="none"/>
              </w:rPr>
            </w:pPr>
            <w:r>
              <w:rPr>
                <w:rFonts w:hint="eastAsia" w:ascii="宋体" w:hAnsi="宋体" w:cs="宋体"/>
                <w:color w:val="auto"/>
                <w:spacing w:val="1"/>
                <w:kern w:val="0"/>
                <w:sz w:val="24"/>
                <w:szCs w:val="24"/>
                <w:highlight w:val="none"/>
              </w:rPr>
              <w:t>（</w:t>
            </w:r>
            <w:r>
              <w:rPr>
                <w:rFonts w:hint="eastAsia" w:ascii="宋体" w:hAnsi="宋体" w:cs="宋体"/>
                <w:color w:val="auto"/>
                <w:spacing w:val="1"/>
                <w:kern w:val="0"/>
                <w:sz w:val="24"/>
                <w:szCs w:val="24"/>
                <w:highlight w:val="none"/>
                <w:lang w:val="en-US" w:eastAsia="zh-CN"/>
              </w:rPr>
              <w:t>9</w:t>
            </w:r>
            <w:r>
              <w:rPr>
                <w:rFonts w:hint="eastAsia" w:ascii="宋体" w:hAnsi="宋体" w:cs="宋体"/>
                <w:color w:val="auto"/>
                <w:spacing w:val="1"/>
                <w:kern w:val="0"/>
                <w:sz w:val="24"/>
                <w:szCs w:val="24"/>
                <w:highlight w:val="none"/>
              </w:rPr>
              <w:t>分）</w:t>
            </w:r>
          </w:p>
        </w:tc>
        <w:tc>
          <w:tcPr>
            <w:tcW w:w="5968" w:type="dxa"/>
            <w:noWrap w:val="0"/>
            <w:tcMar>
              <w:left w:w="57" w:type="dxa"/>
              <w:right w:w="57" w:type="dxa"/>
            </w:tcMar>
            <w:vAlign w:val="center"/>
          </w:tcPr>
          <w:p>
            <w:pPr>
              <w:snapToGrid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202</w:t>
            </w: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年以来有类似项目业绩的，</w:t>
            </w:r>
            <w:r>
              <w:rPr>
                <w:rFonts w:hint="eastAsia" w:ascii="宋体" w:hAnsi="宋体" w:cs="宋体"/>
                <w:color w:val="auto"/>
                <w:kern w:val="2"/>
                <w:sz w:val="24"/>
                <w:szCs w:val="24"/>
                <w:highlight w:val="none"/>
                <w:lang w:val="en-US" w:eastAsia="zh-CN" w:bidi="ar-SA"/>
              </w:rPr>
              <w:t>每提供</w:t>
            </w:r>
            <w:r>
              <w:rPr>
                <w:rFonts w:hint="eastAsia" w:ascii="宋体" w:hAnsi="宋体" w:eastAsia="宋体" w:cs="宋体"/>
                <w:color w:val="auto"/>
                <w:kern w:val="2"/>
                <w:sz w:val="24"/>
                <w:szCs w:val="24"/>
                <w:highlight w:val="none"/>
                <w:lang w:val="en-US" w:eastAsia="zh-CN" w:bidi="ar-SA"/>
              </w:rPr>
              <w:t>一</w:t>
            </w:r>
            <w:r>
              <w:rPr>
                <w:rFonts w:hint="eastAsia" w:ascii="宋体" w:hAnsi="宋体" w:cs="宋体"/>
                <w:color w:val="auto"/>
                <w:kern w:val="2"/>
                <w:sz w:val="24"/>
                <w:szCs w:val="24"/>
                <w:highlight w:val="none"/>
                <w:lang w:val="en-US" w:eastAsia="zh-CN" w:bidi="ar-SA"/>
              </w:rPr>
              <w:t>份</w:t>
            </w:r>
            <w:r>
              <w:rPr>
                <w:rFonts w:hint="eastAsia" w:ascii="宋体" w:hAnsi="宋体" w:eastAsia="宋体" w:cs="宋体"/>
                <w:color w:val="auto"/>
                <w:kern w:val="2"/>
                <w:sz w:val="24"/>
                <w:szCs w:val="24"/>
                <w:highlight w:val="none"/>
                <w:lang w:val="en-US" w:eastAsia="zh-CN" w:bidi="ar-SA"/>
              </w:rPr>
              <w:t>得</w:t>
            </w: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分，最多得</w:t>
            </w:r>
            <w:r>
              <w:rPr>
                <w:rFonts w:hint="eastAsia" w:ascii="宋体" w:hAnsi="宋体" w:cs="宋体"/>
                <w:color w:val="auto"/>
                <w:kern w:val="2"/>
                <w:sz w:val="24"/>
                <w:szCs w:val="24"/>
                <w:highlight w:val="none"/>
                <w:lang w:val="en-US" w:eastAsia="zh-CN" w:bidi="ar-SA"/>
              </w:rPr>
              <w:t>9</w:t>
            </w:r>
            <w:r>
              <w:rPr>
                <w:rFonts w:hint="eastAsia" w:ascii="宋体" w:hAnsi="宋体" w:eastAsia="宋体" w:cs="宋体"/>
                <w:color w:val="auto"/>
                <w:kern w:val="2"/>
                <w:sz w:val="24"/>
                <w:szCs w:val="24"/>
                <w:highlight w:val="none"/>
                <w:lang w:val="en-US" w:eastAsia="zh-CN" w:bidi="ar-SA"/>
              </w:rPr>
              <w:t>分。</w:t>
            </w:r>
            <w:r>
              <w:rPr>
                <w:rFonts w:hint="eastAsia" w:ascii="宋体" w:hAnsi="宋体" w:cs="宋体"/>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en-US" w:eastAsia="zh-CN" w:bidi="ar-SA"/>
              </w:rPr>
              <w:t>提供中标通知书和合同原件扫描件，签订时间以合同签订时间为准</w:t>
            </w:r>
            <w:r>
              <w:rPr>
                <w:rFonts w:hint="eastAsia" w:ascii="宋体" w:hAnsi="宋体" w:cs="宋体"/>
                <w:color w:val="auto"/>
                <w:kern w:val="2"/>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615" w:type="dxa"/>
            <w:vMerge w:val="continue"/>
            <w:noWrap w:val="0"/>
            <w:tcMar>
              <w:left w:w="57" w:type="dxa"/>
              <w:right w:w="57" w:type="dxa"/>
            </w:tcMar>
            <w:vAlign w:val="center"/>
          </w:tcPr>
          <w:p>
            <w:pPr>
              <w:pStyle w:val="16"/>
              <w:spacing w:before="0" w:beforeAutospacing="0" w:after="0" w:afterAutospacing="0" w:line="360" w:lineRule="auto"/>
              <w:jc w:val="center"/>
              <w:rPr>
                <w:rFonts w:hint="eastAsia" w:ascii="宋体" w:hAnsi="宋体" w:eastAsia="宋体" w:cs="宋体"/>
                <w:color w:val="auto"/>
                <w:highlight w:val="none"/>
              </w:rPr>
            </w:pPr>
          </w:p>
        </w:tc>
        <w:tc>
          <w:tcPr>
            <w:tcW w:w="1208" w:type="dxa"/>
            <w:vMerge w:val="continue"/>
            <w:noWrap w:val="0"/>
            <w:tcMar>
              <w:left w:w="57" w:type="dxa"/>
              <w:right w:w="57" w:type="dxa"/>
            </w:tcMar>
            <w:vAlign w:val="center"/>
          </w:tcPr>
          <w:p>
            <w:pPr>
              <w:spacing w:line="360" w:lineRule="auto"/>
              <w:jc w:val="center"/>
              <w:rPr>
                <w:rFonts w:hint="eastAsia" w:ascii="宋体" w:hAnsi="宋体" w:eastAsia="宋体" w:cs="宋体"/>
                <w:color w:val="auto"/>
                <w:sz w:val="24"/>
                <w:highlight w:val="none"/>
              </w:rPr>
            </w:pPr>
          </w:p>
        </w:tc>
        <w:tc>
          <w:tcPr>
            <w:tcW w:w="1895" w:type="dxa"/>
            <w:noWrap w:val="0"/>
            <w:tcMar>
              <w:left w:w="57" w:type="dxa"/>
              <w:right w:w="57" w:type="dxa"/>
            </w:tcMar>
            <w:vAlign w:val="center"/>
          </w:tcPr>
          <w:p>
            <w:pPr>
              <w:autoSpaceDE w:val="0"/>
              <w:autoSpaceDN w:val="0"/>
              <w:adjustRightInd w:val="0"/>
              <w:snapToGrid w:val="0"/>
              <w:spacing w:line="360" w:lineRule="auto"/>
              <w:ind w:leftChars="-5" w:right="97" w:hanging="9" w:hangingChars="4"/>
              <w:jc w:val="center"/>
              <w:rPr>
                <w:rFonts w:hint="eastAsia" w:ascii="宋体" w:hAnsi="宋体" w:cs="宋体"/>
                <w:color w:val="auto"/>
                <w:spacing w:val="1"/>
                <w:kern w:val="0"/>
                <w:sz w:val="24"/>
                <w:szCs w:val="24"/>
                <w:highlight w:val="none"/>
              </w:rPr>
            </w:pPr>
            <w:r>
              <w:rPr>
                <w:rFonts w:hint="eastAsia" w:ascii="宋体" w:hAnsi="宋体" w:cs="宋体"/>
                <w:color w:val="auto"/>
                <w:spacing w:val="1"/>
                <w:kern w:val="0"/>
                <w:sz w:val="24"/>
                <w:szCs w:val="24"/>
                <w:highlight w:val="none"/>
              </w:rPr>
              <w:t>企业实力</w:t>
            </w:r>
          </w:p>
          <w:p>
            <w:pPr>
              <w:autoSpaceDE w:val="0"/>
              <w:autoSpaceDN w:val="0"/>
              <w:adjustRightInd w:val="0"/>
              <w:snapToGrid w:val="0"/>
              <w:spacing w:line="360" w:lineRule="auto"/>
              <w:ind w:left="-1" w:leftChars="-5" w:right="97" w:rightChars="0" w:hanging="9" w:hangingChars="4"/>
              <w:jc w:val="center"/>
              <w:rPr>
                <w:rFonts w:hint="eastAsia" w:ascii="宋体" w:hAnsi="宋体" w:eastAsia="宋体" w:cs="宋体"/>
                <w:color w:val="auto"/>
                <w:sz w:val="24"/>
                <w:highlight w:val="none"/>
              </w:rPr>
            </w:pPr>
            <w:r>
              <w:rPr>
                <w:rFonts w:hint="eastAsia" w:ascii="宋体" w:hAnsi="宋体" w:cs="宋体"/>
                <w:color w:val="auto"/>
                <w:spacing w:val="1"/>
                <w:kern w:val="0"/>
                <w:sz w:val="24"/>
                <w:szCs w:val="24"/>
                <w:highlight w:val="none"/>
              </w:rPr>
              <w:t>（</w:t>
            </w:r>
            <w:r>
              <w:rPr>
                <w:rFonts w:hint="eastAsia" w:ascii="宋体" w:hAnsi="宋体" w:cs="宋体"/>
                <w:color w:val="auto"/>
                <w:spacing w:val="1"/>
                <w:kern w:val="0"/>
                <w:sz w:val="24"/>
                <w:szCs w:val="24"/>
                <w:highlight w:val="none"/>
                <w:lang w:val="en-US" w:eastAsia="zh-CN"/>
              </w:rPr>
              <w:t>5</w:t>
            </w:r>
            <w:r>
              <w:rPr>
                <w:rFonts w:hint="eastAsia" w:ascii="宋体" w:hAnsi="宋体" w:cs="宋体"/>
                <w:color w:val="auto"/>
                <w:spacing w:val="1"/>
                <w:kern w:val="0"/>
                <w:sz w:val="24"/>
                <w:szCs w:val="24"/>
                <w:highlight w:val="none"/>
              </w:rPr>
              <w:t>分）</w:t>
            </w:r>
          </w:p>
        </w:tc>
        <w:tc>
          <w:tcPr>
            <w:tcW w:w="5968" w:type="dxa"/>
            <w:noWrap w:val="0"/>
            <w:tcMar>
              <w:left w:w="57" w:type="dxa"/>
              <w:right w:w="57" w:type="dxa"/>
            </w:tcMar>
            <w:vAlign w:val="center"/>
          </w:tcPr>
          <w:p>
            <w:pPr>
              <w:snapToGrid w:val="0"/>
              <w:spacing w:line="360" w:lineRule="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w:t>
            </w:r>
            <w:r>
              <w:rPr>
                <w:rFonts w:hint="eastAsia" w:ascii="宋体" w:hAnsi="宋体" w:cs="宋体"/>
                <w:sz w:val="24"/>
                <w:szCs w:val="24"/>
                <w:lang w:eastAsia="zh-CN"/>
              </w:rPr>
              <w:t>供应商</w:t>
            </w:r>
            <w:r>
              <w:rPr>
                <w:rFonts w:hint="eastAsia" w:ascii="宋体" w:hAnsi="宋体" w:cs="宋体"/>
                <w:sz w:val="24"/>
                <w:szCs w:val="24"/>
              </w:rPr>
              <w:t>提供</w:t>
            </w:r>
            <w:r>
              <w:rPr>
                <w:rFonts w:hint="eastAsia" w:ascii="宋体" w:hAnsi="宋体" w:eastAsia="宋体" w:cs="宋体"/>
                <w:sz w:val="24"/>
                <w:szCs w:val="24"/>
              </w:rPr>
              <w:t>CMMI</w:t>
            </w:r>
            <w:r>
              <w:rPr>
                <w:rFonts w:hint="eastAsia" w:ascii="宋体" w:hAnsi="宋体" w:eastAsia="宋体" w:cs="宋体"/>
                <w:sz w:val="24"/>
                <w:szCs w:val="24"/>
                <w:lang w:val="en-US" w:eastAsia="zh-CN"/>
              </w:rPr>
              <w:t xml:space="preserve"> 3</w:t>
            </w:r>
            <w:r>
              <w:rPr>
                <w:rFonts w:hint="eastAsia"/>
                <w:sz w:val="24"/>
                <w:szCs w:val="24"/>
              </w:rPr>
              <w:t>级</w:t>
            </w:r>
            <w:r>
              <w:rPr>
                <w:rFonts w:hint="eastAsia"/>
                <w:sz w:val="24"/>
                <w:szCs w:val="24"/>
                <w:lang w:eastAsia="zh-CN"/>
              </w:rPr>
              <w:t>及以上</w:t>
            </w:r>
            <w:r>
              <w:rPr>
                <w:rFonts w:hint="eastAsia"/>
                <w:sz w:val="24"/>
                <w:szCs w:val="24"/>
              </w:rPr>
              <w:t>国际认证证书</w:t>
            </w:r>
            <w:r>
              <w:rPr>
                <w:rFonts w:hint="eastAsia"/>
                <w:sz w:val="24"/>
                <w:szCs w:val="24"/>
                <w:lang w:eastAsia="zh-CN"/>
              </w:rPr>
              <w:t>，</w:t>
            </w:r>
            <w:r>
              <w:rPr>
                <w:rFonts w:hint="eastAsia"/>
                <w:sz w:val="24"/>
                <w:szCs w:val="24"/>
              </w:rPr>
              <w:t>信息技术服务标准</w:t>
            </w:r>
            <w:r>
              <w:rPr>
                <w:rFonts w:hint="eastAsia" w:ascii="宋体" w:hAnsi="宋体" w:eastAsia="宋体" w:cs="宋体"/>
                <w:sz w:val="24"/>
                <w:szCs w:val="24"/>
              </w:rPr>
              <w:t>ITSS</w:t>
            </w:r>
            <w:r>
              <w:rPr>
                <w:rFonts w:hint="eastAsia" w:ascii="宋体" w:hAnsi="宋体" w:cs="宋体"/>
                <w:sz w:val="24"/>
                <w:szCs w:val="24"/>
                <w:lang w:val="en-US" w:eastAsia="zh-CN"/>
              </w:rPr>
              <w:t xml:space="preserve"> </w:t>
            </w:r>
            <w:r>
              <w:rPr>
                <w:rFonts w:hint="eastAsia" w:ascii="宋体" w:hAnsi="宋体" w:eastAsia="宋体" w:cs="宋体"/>
                <w:sz w:val="24"/>
                <w:szCs w:val="24"/>
              </w:rPr>
              <w:t>2</w:t>
            </w:r>
            <w:r>
              <w:rPr>
                <w:rFonts w:hint="eastAsia"/>
                <w:sz w:val="24"/>
                <w:szCs w:val="24"/>
              </w:rPr>
              <w:t>级及以上证书</w:t>
            </w:r>
            <w:r>
              <w:rPr>
                <w:rFonts w:hint="eastAsia"/>
                <w:sz w:val="24"/>
                <w:szCs w:val="24"/>
                <w:lang w:eastAsia="zh-CN"/>
              </w:rPr>
              <w:t>，</w:t>
            </w:r>
            <w:r>
              <w:rPr>
                <w:rFonts w:hint="eastAsia" w:ascii="宋体" w:hAnsi="宋体" w:cs="宋体"/>
                <w:color w:val="auto"/>
                <w:kern w:val="2"/>
                <w:sz w:val="24"/>
                <w:szCs w:val="24"/>
                <w:highlight w:val="none"/>
                <w:lang w:val="en-US" w:eastAsia="zh-CN" w:bidi="ar-SA"/>
              </w:rPr>
              <w:t>每项得1分，本项最高得2分，不提供不得分。</w:t>
            </w: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cs="宋体"/>
                <w:b/>
                <w:bCs/>
                <w:color w:val="auto"/>
                <w:kern w:val="2"/>
                <w:sz w:val="24"/>
                <w:szCs w:val="24"/>
                <w:highlight w:val="none"/>
                <w:lang w:val="en-US" w:eastAsia="zh-CN" w:bidi="ar-SA"/>
              </w:rPr>
              <w:t>提供</w:t>
            </w:r>
            <w:r>
              <w:rPr>
                <w:rFonts w:hint="eastAsia" w:ascii="宋体" w:hAnsi="宋体" w:eastAsia="宋体" w:cs="宋体"/>
                <w:b/>
                <w:bCs/>
                <w:color w:val="auto"/>
                <w:sz w:val="24"/>
                <w:highlight w:val="none"/>
                <w:lang w:eastAsia="zh-CN"/>
              </w:rPr>
              <w:t>证书</w:t>
            </w:r>
            <w:r>
              <w:rPr>
                <w:rFonts w:hint="eastAsia" w:ascii="宋体" w:hAnsi="宋体" w:cs="宋体"/>
                <w:b/>
                <w:bCs/>
                <w:color w:val="auto"/>
                <w:sz w:val="24"/>
                <w:highlight w:val="none"/>
                <w:lang w:val="en-US" w:eastAsia="zh-CN"/>
              </w:rPr>
              <w:t>原件扫描件</w:t>
            </w:r>
            <w:r>
              <w:rPr>
                <w:rFonts w:hint="eastAsia" w:ascii="宋体" w:hAnsi="宋体" w:eastAsia="宋体" w:cs="宋体"/>
                <w:b w:val="0"/>
                <w:bCs w:val="0"/>
                <w:color w:val="auto"/>
                <w:kern w:val="2"/>
                <w:sz w:val="24"/>
                <w:szCs w:val="24"/>
                <w:highlight w:val="none"/>
                <w:lang w:val="en-US" w:eastAsia="zh-CN" w:bidi="ar-SA"/>
              </w:rPr>
              <w:t>)</w:t>
            </w:r>
          </w:p>
          <w:p>
            <w:pPr>
              <w:snapToGrid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（2）供应商</w:t>
            </w:r>
            <w:r>
              <w:rPr>
                <w:rFonts w:hint="eastAsia" w:ascii="宋体" w:hAnsi="宋体" w:eastAsia="宋体" w:cs="宋体"/>
                <w:color w:val="auto"/>
                <w:kern w:val="2"/>
                <w:sz w:val="24"/>
                <w:szCs w:val="24"/>
                <w:highlight w:val="none"/>
                <w:lang w:val="en-US" w:eastAsia="zh-CN" w:bidi="ar-SA"/>
              </w:rPr>
              <w:t>提供</w:t>
            </w:r>
            <w:r>
              <w:rPr>
                <w:rFonts w:hint="eastAsia" w:ascii="宋体" w:hAnsi="宋体" w:cs="宋体"/>
                <w:color w:val="auto"/>
                <w:kern w:val="2"/>
                <w:sz w:val="24"/>
                <w:szCs w:val="24"/>
                <w:highlight w:val="none"/>
                <w:lang w:val="en-US" w:eastAsia="zh-CN" w:bidi="ar-SA"/>
              </w:rPr>
              <w:t>ISO</w:t>
            </w:r>
            <w:r>
              <w:rPr>
                <w:rFonts w:hint="eastAsia" w:ascii="宋体" w:hAnsi="宋体" w:eastAsia="宋体" w:cs="宋体"/>
                <w:color w:val="auto"/>
                <w:kern w:val="2"/>
                <w:sz w:val="24"/>
                <w:szCs w:val="24"/>
                <w:highlight w:val="none"/>
                <w:lang w:val="en-US" w:eastAsia="zh-CN" w:bidi="ar-SA"/>
              </w:rPr>
              <w:t>质量管理体系认证证书，</w:t>
            </w:r>
            <w:r>
              <w:rPr>
                <w:rFonts w:hint="eastAsia" w:ascii="宋体" w:hAnsi="宋体" w:cs="宋体"/>
                <w:color w:val="auto"/>
                <w:kern w:val="2"/>
                <w:sz w:val="24"/>
                <w:szCs w:val="24"/>
                <w:highlight w:val="none"/>
                <w:lang w:val="en-US" w:eastAsia="zh-CN" w:bidi="ar-SA"/>
              </w:rPr>
              <w:t>ISO</w:t>
            </w:r>
            <w:r>
              <w:rPr>
                <w:rFonts w:hint="eastAsia" w:ascii="宋体" w:hAnsi="宋体" w:eastAsia="宋体" w:cs="宋体"/>
                <w:color w:val="auto"/>
                <w:kern w:val="2"/>
                <w:sz w:val="24"/>
                <w:szCs w:val="24"/>
                <w:highlight w:val="none"/>
                <w:lang w:val="en-US" w:eastAsia="zh-CN" w:bidi="ar-SA"/>
              </w:rPr>
              <w:t>信息安全管理体系认证证书，</w:t>
            </w:r>
            <w:r>
              <w:rPr>
                <w:rFonts w:hint="eastAsia" w:ascii="宋体" w:hAnsi="宋体" w:cs="宋体"/>
                <w:color w:val="auto"/>
                <w:kern w:val="2"/>
                <w:sz w:val="24"/>
                <w:szCs w:val="24"/>
                <w:highlight w:val="none"/>
                <w:lang w:val="en-US" w:eastAsia="zh-CN" w:bidi="ar-SA"/>
              </w:rPr>
              <w:t>ISO</w:t>
            </w:r>
            <w:r>
              <w:rPr>
                <w:rFonts w:hint="eastAsia" w:ascii="宋体" w:hAnsi="宋体" w:eastAsia="宋体" w:cs="宋体"/>
                <w:color w:val="auto"/>
                <w:kern w:val="2"/>
                <w:sz w:val="24"/>
                <w:szCs w:val="24"/>
                <w:highlight w:val="none"/>
                <w:lang w:val="en-US" w:eastAsia="zh-CN" w:bidi="ar-SA"/>
              </w:rPr>
              <w:t>信息技术服务管理体系认证证书</w:t>
            </w:r>
            <w:r>
              <w:rPr>
                <w:rFonts w:hint="eastAsia" w:ascii="宋体" w:hAnsi="宋体" w:cs="宋体"/>
                <w:color w:val="auto"/>
                <w:kern w:val="2"/>
                <w:sz w:val="24"/>
                <w:szCs w:val="24"/>
                <w:highlight w:val="none"/>
                <w:lang w:val="en-US" w:eastAsia="zh-CN" w:bidi="ar-SA"/>
              </w:rPr>
              <w:t>的，每项得1分，本项最高得3分，不提供不得分。</w:t>
            </w: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cs="宋体"/>
                <w:b/>
                <w:bCs/>
                <w:color w:val="auto"/>
                <w:kern w:val="2"/>
                <w:sz w:val="24"/>
                <w:szCs w:val="24"/>
                <w:highlight w:val="none"/>
                <w:lang w:val="en-US" w:eastAsia="zh-CN" w:bidi="ar-SA"/>
              </w:rPr>
              <w:t>提供</w:t>
            </w:r>
            <w:r>
              <w:rPr>
                <w:rFonts w:hint="eastAsia" w:ascii="宋体" w:hAnsi="宋体" w:eastAsia="宋体" w:cs="宋体"/>
                <w:b/>
                <w:bCs/>
                <w:color w:val="auto"/>
                <w:sz w:val="24"/>
                <w:highlight w:val="none"/>
                <w:lang w:eastAsia="zh-CN"/>
              </w:rPr>
              <w:t>证书</w:t>
            </w:r>
            <w:r>
              <w:rPr>
                <w:rFonts w:hint="eastAsia" w:ascii="宋体" w:hAnsi="宋体" w:cs="宋体"/>
                <w:b/>
                <w:bCs/>
                <w:color w:val="auto"/>
                <w:sz w:val="24"/>
                <w:highlight w:val="none"/>
                <w:lang w:val="en-US" w:eastAsia="zh-CN"/>
              </w:rPr>
              <w:t>原件扫描件</w:t>
            </w:r>
            <w:r>
              <w:rPr>
                <w:rFonts w:hint="eastAsia" w:ascii="宋体" w:hAnsi="宋体" w:eastAsia="宋体" w:cs="宋体"/>
                <w:b w:val="0"/>
                <w:bCs w:val="0"/>
                <w:color w:val="auto"/>
                <w:kern w:val="2"/>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615" w:type="dxa"/>
            <w:vMerge w:val="continue"/>
            <w:noWrap w:val="0"/>
            <w:tcMar>
              <w:left w:w="57" w:type="dxa"/>
              <w:right w:w="57" w:type="dxa"/>
            </w:tcMar>
            <w:vAlign w:val="center"/>
          </w:tcPr>
          <w:p>
            <w:pPr>
              <w:pStyle w:val="16"/>
              <w:spacing w:before="0" w:beforeAutospacing="0" w:after="0" w:afterAutospacing="0" w:line="360" w:lineRule="auto"/>
              <w:jc w:val="center"/>
              <w:rPr>
                <w:rFonts w:hint="eastAsia" w:ascii="宋体" w:hAnsi="宋体" w:eastAsia="宋体" w:cs="宋体"/>
                <w:color w:val="auto"/>
                <w:highlight w:val="none"/>
              </w:rPr>
            </w:pPr>
          </w:p>
        </w:tc>
        <w:tc>
          <w:tcPr>
            <w:tcW w:w="1208" w:type="dxa"/>
            <w:vMerge w:val="continue"/>
            <w:noWrap w:val="0"/>
            <w:tcMar>
              <w:left w:w="57" w:type="dxa"/>
              <w:right w:w="57" w:type="dxa"/>
            </w:tcMar>
            <w:vAlign w:val="center"/>
          </w:tcPr>
          <w:p>
            <w:pPr>
              <w:spacing w:line="360" w:lineRule="auto"/>
              <w:jc w:val="center"/>
              <w:rPr>
                <w:rFonts w:hint="eastAsia" w:ascii="宋体" w:hAnsi="宋体" w:eastAsia="宋体" w:cs="宋体"/>
                <w:color w:val="auto"/>
                <w:sz w:val="24"/>
                <w:highlight w:val="none"/>
              </w:rPr>
            </w:pPr>
          </w:p>
        </w:tc>
        <w:tc>
          <w:tcPr>
            <w:tcW w:w="1895" w:type="dxa"/>
            <w:noWrap w:val="0"/>
            <w:tcMar>
              <w:left w:w="57" w:type="dxa"/>
              <w:right w:w="57" w:type="dxa"/>
            </w:tcMar>
            <w:vAlign w:val="center"/>
          </w:tcPr>
          <w:p>
            <w:pPr>
              <w:autoSpaceDE w:val="0"/>
              <w:autoSpaceDN w:val="0"/>
              <w:adjustRightInd w:val="0"/>
              <w:snapToGrid w:val="0"/>
              <w:spacing w:line="360" w:lineRule="auto"/>
              <w:ind w:leftChars="-5" w:right="97" w:hanging="9" w:hangingChars="4"/>
              <w:jc w:val="center"/>
              <w:rPr>
                <w:rFonts w:hint="eastAsia" w:ascii="宋体" w:hAnsi="宋体" w:cs="宋体"/>
                <w:color w:val="auto"/>
                <w:spacing w:val="1"/>
                <w:kern w:val="0"/>
                <w:sz w:val="24"/>
                <w:szCs w:val="24"/>
                <w:highlight w:val="none"/>
              </w:rPr>
            </w:pPr>
            <w:r>
              <w:rPr>
                <w:rFonts w:hint="eastAsia" w:ascii="宋体" w:hAnsi="宋体" w:cs="宋体"/>
                <w:color w:val="auto"/>
                <w:spacing w:val="1"/>
                <w:kern w:val="0"/>
                <w:sz w:val="24"/>
                <w:szCs w:val="24"/>
                <w:highlight w:val="none"/>
              </w:rPr>
              <w:t>服务承诺</w:t>
            </w:r>
          </w:p>
          <w:p>
            <w:pPr>
              <w:autoSpaceDE w:val="0"/>
              <w:autoSpaceDN w:val="0"/>
              <w:adjustRightInd w:val="0"/>
              <w:snapToGrid w:val="0"/>
              <w:spacing w:line="360" w:lineRule="auto"/>
              <w:ind w:left="-1" w:leftChars="-5" w:right="97" w:rightChars="0" w:hanging="9" w:hangingChars="4"/>
              <w:jc w:val="center"/>
              <w:rPr>
                <w:rFonts w:hint="eastAsia" w:ascii="宋体" w:hAnsi="宋体" w:cs="宋体"/>
                <w:bCs/>
                <w:color w:val="auto"/>
                <w:sz w:val="24"/>
                <w:szCs w:val="24"/>
                <w:highlight w:val="none"/>
              </w:rPr>
            </w:pPr>
            <w:r>
              <w:rPr>
                <w:rFonts w:hint="eastAsia" w:ascii="宋体" w:hAnsi="宋体" w:cs="宋体"/>
                <w:color w:val="auto"/>
                <w:spacing w:val="1"/>
                <w:kern w:val="0"/>
                <w:sz w:val="24"/>
                <w:szCs w:val="24"/>
                <w:highlight w:val="none"/>
              </w:rPr>
              <w:t>（</w:t>
            </w:r>
            <w:r>
              <w:rPr>
                <w:rFonts w:hint="eastAsia" w:ascii="宋体" w:hAnsi="宋体" w:cs="宋体"/>
                <w:color w:val="auto"/>
                <w:spacing w:val="1"/>
                <w:kern w:val="0"/>
                <w:sz w:val="24"/>
                <w:szCs w:val="24"/>
                <w:highlight w:val="none"/>
                <w:lang w:val="en-US" w:eastAsia="zh-CN"/>
              </w:rPr>
              <w:t>8</w:t>
            </w:r>
            <w:r>
              <w:rPr>
                <w:rFonts w:hint="eastAsia" w:ascii="宋体" w:hAnsi="宋体" w:cs="宋体"/>
                <w:color w:val="auto"/>
                <w:spacing w:val="1"/>
                <w:kern w:val="0"/>
                <w:sz w:val="24"/>
                <w:szCs w:val="24"/>
                <w:highlight w:val="none"/>
              </w:rPr>
              <w:t>分）</w:t>
            </w:r>
          </w:p>
        </w:tc>
        <w:tc>
          <w:tcPr>
            <w:tcW w:w="5968" w:type="dxa"/>
            <w:noWrap w:val="0"/>
            <w:tcMar>
              <w:left w:w="57" w:type="dxa"/>
              <w:right w:w="57" w:type="dxa"/>
            </w:tcMar>
            <w:vAlign w:val="center"/>
          </w:tcPr>
          <w:p>
            <w:pPr>
              <w:tabs>
                <w:tab w:val="left" w:pos="284"/>
              </w:tabs>
              <w:snapToGrid w:val="0"/>
              <w:spacing w:line="360" w:lineRule="auto"/>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提供的服务承诺内容科学、合理、服务系统完善、针对性强，综合实力强。应急处理时间安排合理，能够及时到达现场处理故障，</w:t>
            </w:r>
            <w:r>
              <w:rPr>
                <w:rFonts w:hint="eastAsia" w:ascii="宋体" w:hAnsi="宋体" w:cs="宋体"/>
                <w:color w:val="auto"/>
                <w:sz w:val="24"/>
                <w:szCs w:val="24"/>
                <w:highlight w:val="none"/>
                <w:lang w:val="en-US" w:eastAsia="zh-CN"/>
              </w:rPr>
              <w:t>能</w:t>
            </w:r>
            <w:r>
              <w:rPr>
                <w:rFonts w:hint="eastAsia" w:ascii="宋体" w:hAnsi="宋体" w:cs="宋体"/>
                <w:color w:val="auto"/>
                <w:sz w:val="24"/>
                <w:szCs w:val="24"/>
                <w:highlight w:val="none"/>
              </w:rPr>
              <w:t>够充分满足</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的需求的得</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分；</w:t>
            </w:r>
          </w:p>
          <w:p>
            <w:pPr>
              <w:tabs>
                <w:tab w:val="left" w:pos="284"/>
              </w:tabs>
              <w:snapToGrid w:val="0"/>
              <w:spacing w:line="360" w:lineRule="auto"/>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提供的服务承诺内容比较科学、合理、服务系统完善、针对性强，综合实力比较强，应急处理时间安排较合理，能够基本满足</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的需求的得</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分。</w:t>
            </w:r>
          </w:p>
          <w:p>
            <w:pPr>
              <w:tabs>
                <w:tab w:val="left" w:pos="284"/>
              </w:tabs>
              <w:snapToGrid w:val="0"/>
              <w:spacing w:line="360" w:lineRule="auto"/>
              <w:ind w:firstLine="240" w:firstLineChars="1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提供的服务承诺内容服务系统完善、针对性</w:t>
            </w:r>
            <w:r>
              <w:rPr>
                <w:rFonts w:hint="eastAsia" w:ascii="宋体" w:hAnsi="宋体" w:cs="宋体"/>
                <w:color w:val="auto"/>
                <w:sz w:val="24"/>
                <w:szCs w:val="24"/>
                <w:highlight w:val="none"/>
                <w:lang w:eastAsia="zh-CN"/>
              </w:rPr>
              <w:t>较差</w:t>
            </w:r>
            <w:r>
              <w:rPr>
                <w:rFonts w:hint="eastAsia" w:ascii="宋体" w:hAnsi="宋体" w:cs="宋体"/>
                <w:color w:val="auto"/>
                <w:sz w:val="24"/>
                <w:szCs w:val="24"/>
                <w:highlight w:val="none"/>
              </w:rPr>
              <w:t>，综合实力</w:t>
            </w:r>
            <w:r>
              <w:rPr>
                <w:rFonts w:hint="eastAsia" w:ascii="宋体" w:hAnsi="宋体" w:cs="宋体"/>
                <w:color w:val="auto"/>
                <w:sz w:val="24"/>
                <w:szCs w:val="24"/>
                <w:highlight w:val="none"/>
                <w:lang w:eastAsia="zh-CN"/>
              </w:rPr>
              <w:t>一般</w:t>
            </w:r>
            <w:r>
              <w:rPr>
                <w:rFonts w:hint="eastAsia" w:ascii="宋体" w:hAnsi="宋体" w:cs="宋体"/>
                <w:color w:val="auto"/>
                <w:sz w:val="24"/>
                <w:szCs w:val="24"/>
                <w:highlight w:val="none"/>
              </w:rPr>
              <w:t>，应急处理时间安排较合理，</w:t>
            </w:r>
            <w:r>
              <w:rPr>
                <w:rFonts w:hint="eastAsia" w:ascii="宋体" w:hAnsi="宋体" w:cs="宋体"/>
                <w:color w:val="auto"/>
                <w:sz w:val="24"/>
                <w:szCs w:val="24"/>
                <w:highlight w:val="none"/>
                <w:lang w:eastAsia="zh-CN"/>
              </w:rPr>
              <w:t>得</w:t>
            </w:r>
            <w:r>
              <w:rPr>
                <w:rFonts w:hint="eastAsia" w:ascii="宋体" w:hAnsi="宋体" w:cs="宋体"/>
                <w:color w:val="auto"/>
                <w:sz w:val="24"/>
                <w:szCs w:val="24"/>
                <w:highlight w:val="none"/>
                <w:lang w:val="en-US" w:eastAsia="zh-CN"/>
              </w:rPr>
              <w:t>2分。</w:t>
            </w:r>
          </w:p>
          <w:p>
            <w:pPr>
              <w:tabs>
                <w:tab w:val="left" w:pos="284"/>
              </w:tabs>
              <w:snapToGrid w:val="0"/>
              <w:spacing w:line="360" w:lineRule="auto"/>
              <w:ind w:firstLine="240" w:firstLineChars="100"/>
              <w:rPr>
                <w:rFonts w:hint="default" w:ascii="宋体" w:hAnsi="宋体" w:cs="宋体"/>
                <w:color w:val="auto"/>
                <w:sz w:val="24"/>
                <w:szCs w:val="24"/>
                <w:highlight w:val="none"/>
                <w:lang w:val="en-US" w:eastAsia="zh-CN"/>
              </w:rPr>
            </w:pPr>
            <w:r>
              <w:rPr>
                <w:rFonts w:hint="eastAsia" w:ascii="宋体" w:hAnsi="宋体" w:cs="宋体"/>
                <w:color w:val="auto"/>
                <w:kern w:val="2"/>
                <w:sz w:val="24"/>
                <w:szCs w:val="24"/>
                <w:highlight w:val="none"/>
                <w:lang w:val="en-US" w:eastAsia="zh-CN" w:bidi="ar-SA"/>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615" w:type="dxa"/>
            <w:vMerge w:val="continue"/>
            <w:noWrap w:val="0"/>
            <w:tcMar>
              <w:left w:w="57" w:type="dxa"/>
              <w:right w:w="57" w:type="dxa"/>
            </w:tcMar>
            <w:vAlign w:val="center"/>
          </w:tcPr>
          <w:p>
            <w:pPr>
              <w:pStyle w:val="16"/>
              <w:spacing w:before="0" w:beforeAutospacing="0" w:after="0" w:afterAutospacing="0" w:line="360" w:lineRule="auto"/>
              <w:jc w:val="center"/>
              <w:rPr>
                <w:rFonts w:hint="eastAsia" w:ascii="宋体" w:hAnsi="宋体" w:eastAsia="宋体" w:cs="宋体"/>
                <w:color w:val="auto"/>
                <w:highlight w:val="none"/>
              </w:rPr>
            </w:pPr>
          </w:p>
        </w:tc>
        <w:tc>
          <w:tcPr>
            <w:tcW w:w="1208" w:type="dxa"/>
            <w:vMerge w:val="continue"/>
            <w:noWrap w:val="0"/>
            <w:tcMar>
              <w:left w:w="57" w:type="dxa"/>
              <w:right w:w="57" w:type="dxa"/>
            </w:tcMar>
            <w:vAlign w:val="center"/>
          </w:tcPr>
          <w:p>
            <w:pPr>
              <w:spacing w:line="360" w:lineRule="auto"/>
              <w:jc w:val="center"/>
              <w:rPr>
                <w:rFonts w:hint="eastAsia" w:ascii="宋体" w:hAnsi="宋体" w:eastAsia="宋体" w:cs="宋体"/>
                <w:color w:val="auto"/>
                <w:sz w:val="24"/>
                <w:highlight w:val="none"/>
              </w:rPr>
            </w:pPr>
          </w:p>
        </w:tc>
        <w:tc>
          <w:tcPr>
            <w:tcW w:w="1895" w:type="dxa"/>
            <w:noWrap w:val="0"/>
            <w:tcMar>
              <w:left w:w="57" w:type="dxa"/>
              <w:right w:w="57" w:type="dxa"/>
            </w:tcMar>
            <w:vAlign w:val="center"/>
          </w:tcPr>
          <w:p>
            <w:pPr>
              <w:tabs>
                <w:tab w:val="left" w:pos="284"/>
              </w:tabs>
              <w:snapToGrid w:val="0"/>
              <w:spacing w:line="360" w:lineRule="auto"/>
              <w:ind w:firstLine="240" w:firstLineChars="100"/>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售后服务方案</w:t>
            </w:r>
          </w:p>
          <w:p>
            <w:pPr>
              <w:autoSpaceDE w:val="0"/>
              <w:autoSpaceDN w:val="0"/>
              <w:adjustRightInd w:val="0"/>
              <w:snapToGrid w:val="0"/>
              <w:spacing w:line="360" w:lineRule="auto"/>
              <w:ind w:left="-1" w:leftChars="-5" w:right="97" w:rightChars="0" w:hanging="9" w:hangingChars="4"/>
              <w:jc w:val="center"/>
              <w:rPr>
                <w:rFonts w:hint="eastAsia" w:ascii="宋体" w:hAnsi="宋体" w:cs="宋体"/>
                <w:color w:val="auto"/>
                <w:spacing w:val="1"/>
                <w:kern w:val="0"/>
                <w:sz w:val="24"/>
                <w:szCs w:val="24"/>
                <w:highlight w:val="none"/>
              </w:rPr>
            </w:pPr>
            <w:r>
              <w:rPr>
                <w:rFonts w:hint="eastAsia" w:ascii="宋体" w:hAnsi="宋体" w:cs="宋体"/>
                <w:color w:val="auto"/>
                <w:spacing w:val="1"/>
                <w:kern w:val="0"/>
                <w:sz w:val="24"/>
                <w:szCs w:val="24"/>
                <w:highlight w:val="none"/>
              </w:rPr>
              <w:t>（</w:t>
            </w:r>
            <w:r>
              <w:rPr>
                <w:rFonts w:hint="eastAsia" w:ascii="宋体" w:hAnsi="宋体" w:cs="宋体"/>
                <w:color w:val="auto"/>
                <w:spacing w:val="1"/>
                <w:kern w:val="0"/>
                <w:sz w:val="24"/>
                <w:szCs w:val="24"/>
                <w:highlight w:val="none"/>
                <w:lang w:val="en-US" w:eastAsia="zh-CN"/>
              </w:rPr>
              <w:t>8</w:t>
            </w:r>
            <w:r>
              <w:rPr>
                <w:rFonts w:hint="eastAsia" w:ascii="宋体" w:hAnsi="宋体" w:cs="宋体"/>
                <w:color w:val="auto"/>
                <w:spacing w:val="1"/>
                <w:kern w:val="0"/>
                <w:sz w:val="24"/>
                <w:szCs w:val="24"/>
                <w:highlight w:val="none"/>
              </w:rPr>
              <w:t>分）</w:t>
            </w:r>
          </w:p>
        </w:tc>
        <w:tc>
          <w:tcPr>
            <w:tcW w:w="5968" w:type="dxa"/>
            <w:noWrap w:val="0"/>
            <w:tcMar>
              <w:left w:w="57" w:type="dxa"/>
              <w:right w:w="57" w:type="dxa"/>
            </w:tcMar>
            <w:vAlign w:val="center"/>
          </w:tcPr>
          <w:p>
            <w:pPr>
              <w:tabs>
                <w:tab w:val="left" w:pos="284"/>
              </w:tabs>
              <w:snapToGrid w:val="0"/>
              <w:spacing w:line="360" w:lineRule="auto"/>
              <w:ind w:firstLine="240" w:firstLineChars="100"/>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供应商对质保和售后服务响应等，制定有完善的售</w:t>
            </w:r>
          </w:p>
          <w:p>
            <w:pPr>
              <w:tabs>
                <w:tab w:val="left" w:pos="284"/>
              </w:tabs>
              <w:snapToGrid w:val="0"/>
              <w:spacing w:line="360" w:lineRule="auto"/>
              <w:ind w:firstLine="240" w:firstLineChars="100"/>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后服务方案 (包括:服务内容、服务响应方式、响应时</w:t>
            </w:r>
          </w:p>
          <w:p>
            <w:pPr>
              <w:tabs>
                <w:tab w:val="left" w:pos="284"/>
              </w:tabs>
              <w:snapToGrid w:val="0"/>
              <w:spacing w:line="360" w:lineRule="auto"/>
              <w:ind w:firstLine="240" w:firstLineChars="100"/>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间、售后人员配备等)，符合质保和售后服务响应的得</w:t>
            </w:r>
          </w:p>
          <w:p>
            <w:pPr>
              <w:tabs>
                <w:tab w:val="left" w:pos="284"/>
              </w:tabs>
              <w:snapToGrid w:val="0"/>
              <w:spacing w:line="360" w:lineRule="auto"/>
              <w:ind w:firstLine="240" w:firstLineChars="100"/>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得8分，</w:t>
            </w:r>
          </w:p>
          <w:p>
            <w:pPr>
              <w:tabs>
                <w:tab w:val="left" w:pos="284"/>
              </w:tabs>
              <w:snapToGrid w:val="0"/>
              <w:spacing w:line="360" w:lineRule="auto"/>
              <w:ind w:firstLine="240" w:firstLineChars="100"/>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内容一般、合理性不强、逻辑一般、可行性程度一般的得4分；不提供的不得分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9686" w:type="dxa"/>
            <w:gridSpan w:val="4"/>
            <w:noWrap w:val="0"/>
            <w:tcMar>
              <w:left w:w="57" w:type="dxa"/>
              <w:right w:w="57" w:type="dxa"/>
            </w:tcMar>
            <w:vAlign w:val="center"/>
          </w:tcPr>
          <w:p>
            <w:pPr>
              <w:spacing w:line="360" w:lineRule="auto"/>
              <w:rPr>
                <w:rFonts w:hint="default" w:eastAsia="宋体" w:cs="Times New Roman"/>
                <w:b/>
                <w:bCs/>
                <w:color w:val="auto"/>
                <w:sz w:val="24"/>
                <w:highlight w:val="none"/>
                <w:lang w:val="en-US" w:eastAsia="zh-CN"/>
              </w:rPr>
            </w:pPr>
            <w:r>
              <w:rPr>
                <w:rFonts w:hint="eastAsia" w:cs="Times New Roman"/>
                <w:b/>
                <w:bCs/>
                <w:color w:val="auto"/>
                <w:sz w:val="24"/>
                <w:highlight w:val="none"/>
                <w:lang w:val="en-US" w:eastAsia="zh-CN"/>
              </w:rPr>
              <w:t>注：以上评分标准要求提供相关证明材料的，供应商未提供的不得分。</w:t>
            </w:r>
          </w:p>
        </w:tc>
      </w:tr>
    </w:tbl>
    <w:p/>
    <w:p>
      <w:pPr>
        <w:spacing w:line="600" w:lineRule="exact"/>
        <w:ind w:firstLine="482" w:firstLineChars="200"/>
        <w:jc w:val="left"/>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1.评标办法</w:t>
      </w:r>
    </w:p>
    <w:p>
      <w:pPr>
        <w:spacing w:line="6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本次评标采用综合评分法。磋商小组对满足磋商文件实质性要求的响应文件，按照本章规定的评分标准进行打分，并按得分由高到低顺序推荐成交候选人，综合评分相等时，以报价得分高的优先；报价得分也相等的，由采购人自行确定。</w:t>
      </w:r>
    </w:p>
    <w:p>
      <w:pPr>
        <w:spacing w:line="600" w:lineRule="exact"/>
        <w:ind w:firstLine="482" w:firstLineChars="200"/>
        <w:jc w:val="left"/>
        <w:rPr>
          <w:rFonts w:hint="eastAsia" w:ascii="宋体" w:hAnsi="宋体" w:eastAsia="宋体" w:cs="宋体"/>
          <w:b/>
          <w:bCs/>
          <w:color w:val="auto"/>
          <w:sz w:val="24"/>
        </w:rPr>
      </w:pPr>
      <w:bookmarkStart w:id="115" w:name="_Toc26640_WPSOffice_Level2"/>
      <w:bookmarkStart w:id="116" w:name="_Toc152042378"/>
      <w:bookmarkStart w:id="117" w:name="_Toc24936"/>
      <w:bookmarkStart w:id="118" w:name="_Toc455080157"/>
      <w:bookmarkStart w:id="119" w:name="_Toc318450723"/>
      <w:bookmarkStart w:id="120" w:name="_Toc281405529"/>
      <w:bookmarkStart w:id="121" w:name="_Toc144974568"/>
      <w:bookmarkStart w:id="122" w:name="_Toc20649"/>
      <w:bookmarkStart w:id="123" w:name="_Toc152045601"/>
      <w:bookmarkStart w:id="124" w:name="_Toc16578"/>
      <w:bookmarkStart w:id="125" w:name="_Toc487498487"/>
      <w:bookmarkStart w:id="126" w:name="_Toc30189"/>
      <w:bookmarkStart w:id="127" w:name="_Toc281405531"/>
      <w:bookmarkStart w:id="128" w:name="_Toc11061"/>
      <w:bookmarkStart w:id="129" w:name="_Toc464035560"/>
      <w:bookmarkStart w:id="130" w:name="_Toc12013"/>
      <w:bookmarkStart w:id="131" w:name="_Toc463701081"/>
      <w:bookmarkStart w:id="132" w:name="_Toc318450725"/>
      <w:bookmarkStart w:id="133" w:name="_Toc22439"/>
      <w:bookmarkStart w:id="134" w:name="_Toc152045603"/>
      <w:bookmarkStart w:id="135" w:name="_Toc455080159"/>
      <w:bookmarkStart w:id="136" w:name="_Toc152042380"/>
      <w:bookmarkStart w:id="137" w:name="_Toc25492"/>
      <w:bookmarkStart w:id="138" w:name="_Toc144974570"/>
      <w:r>
        <w:rPr>
          <w:rFonts w:hint="eastAsia" w:ascii="宋体" w:hAnsi="宋体" w:eastAsia="宋体" w:cs="宋体"/>
          <w:b/>
          <w:bCs/>
          <w:color w:val="auto"/>
          <w:sz w:val="24"/>
        </w:rPr>
        <w:t>2. 评审标准</w:t>
      </w:r>
      <w:bookmarkEnd w:id="115"/>
      <w:bookmarkEnd w:id="116"/>
      <w:bookmarkEnd w:id="117"/>
      <w:bookmarkEnd w:id="118"/>
      <w:bookmarkEnd w:id="119"/>
      <w:bookmarkEnd w:id="120"/>
      <w:bookmarkEnd w:id="121"/>
      <w:bookmarkEnd w:id="122"/>
      <w:bookmarkEnd w:id="123"/>
      <w:bookmarkEnd w:id="124"/>
      <w:bookmarkEnd w:id="125"/>
    </w:p>
    <w:bookmarkEnd w:id="126"/>
    <w:bookmarkEnd w:id="127"/>
    <w:bookmarkEnd w:id="128"/>
    <w:bookmarkEnd w:id="129"/>
    <w:bookmarkEnd w:id="130"/>
    <w:bookmarkEnd w:id="131"/>
    <w:bookmarkEnd w:id="132"/>
    <w:bookmarkEnd w:id="133"/>
    <w:bookmarkEnd w:id="134"/>
    <w:bookmarkEnd w:id="135"/>
    <w:bookmarkEnd w:id="136"/>
    <w:bookmarkEnd w:id="137"/>
    <w:bookmarkEnd w:id="138"/>
    <w:p>
      <w:pPr>
        <w:spacing w:line="600" w:lineRule="exact"/>
        <w:ind w:firstLine="480" w:firstLineChars="200"/>
        <w:jc w:val="left"/>
        <w:rPr>
          <w:rFonts w:hint="eastAsia" w:ascii="宋体" w:hAnsi="宋体" w:eastAsia="宋体" w:cs="宋体"/>
          <w:color w:val="auto"/>
          <w:sz w:val="24"/>
        </w:rPr>
      </w:pPr>
      <w:bookmarkStart w:id="139" w:name="_Toc16952"/>
      <w:bookmarkStart w:id="140" w:name="_Toc15878"/>
      <w:bookmarkStart w:id="141" w:name="_Toc30922_WPSOffice_Level3"/>
      <w:bookmarkStart w:id="142" w:name="_Toc318450726"/>
      <w:bookmarkStart w:id="143" w:name="_Toc281405532"/>
      <w:bookmarkStart w:id="144" w:name="_Toc455080160"/>
      <w:bookmarkStart w:id="145" w:name="_Toc17308"/>
      <w:r>
        <w:rPr>
          <w:rFonts w:hint="eastAsia" w:ascii="宋体" w:hAnsi="宋体" w:eastAsia="宋体" w:cs="宋体"/>
          <w:color w:val="auto"/>
          <w:sz w:val="24"/>
        </w:rPr>
        <w:t>2.1 初步评审标准</w:t>
      </w:r>
      <w:bookmarkEnd w:id="139"/>
      <w:bookmarkEnd w:id="140"/>
      <w:bookmarkEnd w:id="141"/>
    </w:p>
    <w:p>
      <w:pPr>
        <w:spacing w:line="6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2.1.1 资格评审标准：由磋商小组审核。</w:t>
      </w:r>
    </w:p>
    <w:p>
      <w:pPr>
        <w:spacing w:line="6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2.1.2 形式评审标准：由磋商小组审核。</w:t>
      </w:r>
    </w:p>
    <w:p>
      <w:pPr>
        <w:spacing w:line="6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2.1.3 响应性评审标准：由磋商小组审核。</w:t>
      </w:r>
    </w:p>
    <w:p>
      <w:pPr>
        <w:spacing w:line="6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以上有一项不符合要求的按无效标处理。</w:t>
      </w:r>
    </w:p>
    <w:p>
      <w:pPr>
        <w:spacing w:line="600" w:lineRule="exact"/>
        <w:ind w:firstLine="480" w:firstLineChars="200"/>
        <w:jc w:val="left"/>
        <w:rPr>
          <w:rFonts w:hint="eastAsia" w:ascii="宋体" w:hAnsi="宋体" w:eastAsia="宋体" w:cs="宋体"/>
          <w:color w:val="auto"/>
          <w:sz w:val="24"/>
        </w:rPr>
      </w:pPr>
      <w:bookmarkStart w:id="146" w:name="_Toc17292_WPSOffice_Level3"/>
      <w:r>
        <w:rPr>
          <w:rFonts w:hint="eastAsia" w:ascii="宋体" w:hAnsi="宋体" w:eastAsia="宋体" w:cs="宋体"/>
          <w:color w:val="auto"/>
          <w:sz w:val="24"/>
        </w:rPr>
        <w:t>2.2 分值构成与评分标准</w:t>
      </w:r>
      <w:bookmarkEnd w:id="146"/>
    </w:p>
    <w:p>
      <w:pPr>
        <w:spacing w:line="6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2.2.1 分值构成</w:t>
      </w:r>
    </w:p>
    <w:p>
      <w:pPr>
        <w:spacing w:line="6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（1）最后磋商报价：见</w:t>
      </w:r>
      <w:r>
        <w:rPr>
          <w:rFonts w:hint="eastAsia" w:ascii="宋体" w:hAnsi="宋体" w:cs="宋体"/>
          <w:color w:val="auto"/>
          <w:sz w:val="24"/>
          <w:lang w:val="en-US" w:eastAsia="zh-CN"/>
        </w:rPr>
        <w:t>评审标准</w:t>
      </w:r>
      <w:r>
        <w:rPr>
          <w:rFonts w:hint="eastAsia" w:ascii="宋体" w:hAnsi="宋体" w:eastAsia="宋体" w:cs="宋体"/>
          <w:color w:val="auto"/>
          <w:sz w:val="24"/>
        </w:rPr>
        <w:t>前附表</w:t>
      </w:r>
    </w:p>
    <w:p>
      <w:pPr>
        <w:spacing w:line="6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（2）技术</w:t>
      </w:r>
      <w:r>
        <w:rPr>
          <w:rFonts w:hint="eastAsia" w:ascii="宋体" w:hAnsi="宋体" w:cs="宋体"/>
          <w:color w:val="auto"/>
          <w:sz w:val="24"/>
          <w:lang w:val="en-US" w:eastAsia="zh-CN"/>
        </w:rPr>
        <w:t>部分</w:t>
      </w:r>
      <w:r>
        <w:rPr>
          <w:rFonts w:hint="eastAsia" w:ascii="宋体" w:hAnsi="宋体" w:eastAsia="宋体" w:cs="宋体"/>
          <w:color w:val="auto"/>
          <w:sz w:val="24"/>
        </w:rPr>
        <w:t>：见</w:t>
      </w:r>
      <w:r>
        <w:rPr>
          <w:rFonts w:hint="eastAsia" w:ascii="宋体" w:hAnsi="宋体" w:cs="宋体"/>
          <w:color w:val="auto"/>
          <w:sz w:val="24"/>
          <w:lang w:val="en-US" w:eastAsia="zh-CN"/>
        </w:rPr>
        <w:t>评审标准</w:t>
      </w:r>
      <w:r>
        <w:rPr>
          <w:rFonts w:hint="eastAsia" w:ascii="宋体" w:hAnsi="宋体" w:eastAsia="宋体" w:cs="宋体"/>
          <w:color w:val="auto"/>
          <w:sz w:val="24"/>
        </w:rPr>
        <w:t>前附表</w:t>
      </w:r>
    </w:p>
    <w:p>
      <w:pPr>
        <w:spacing w:line="6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cs="宋体"/>
          <w:color w:val="auto"/>
          <w:sz w:val="24"/>
          <w:lang w:val="en-US" w:eastAsia="zh-CN"/>
        </w:rPr>
        <w:t>综合部分</w:t>
      </w:r>
      <w:r>
        <w:rPr>
          <w:rFonts w:hint="eastAsia" w:ascii="宋体" w:hAnsi="宋体" w:eastAsia="宋体" w:cs="宋体"/>
          <w:color w:val="auto"/>
          <w:sz w:val="24"/>
        </w:rPr>
        <w:t>：见</w:t>
      </w:r>
      <w:r>
        <w:rPr>
          <w:rFonts w:hint="eastAsia" w:ascii="宋体" w:hAnsi="宋体" w:cs="宋体"/>
          <w:color w:val="auto"/>
          <w:sz w:val="24"/>
          <w:lang w:val="en-US" w:eastAsia="zh-CN"/>
        </w:rPr>
        <w:t>评审标准</w:t>
      </w:r>
      <w:r>
        <w:rPr>
          <w:rFonts w:hint="eastAsia" w:ascii="宋体" w:hAnsi="宋体" w:eastAsia="宋体" w:cs="宋体"/>
          <w:color w:val="auto"/>
          <w:sz w:val="24"/>
        </w:rPr>
        <w:t>前附表</w:t>
      </w:r>
    </w:p>
    <w:p>
      <w:pPr>
        <w:spacing w:line="6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2.2.2 评分标准</w:t>
      </w:r>
    </w:p>
    <w:p>
      <w:pPr>
        <w:spacing w:line="600" w:lineRule="exact"/>
        <w:ind w:firstLine="480" w:firstLineChars="200"/>
        <w:jc w:val="left"/>
        <w:rPr>
          <w:rFonts w:hint="eastAsia" w:ascii="宋体" w:hAnsi="宋体" w:eastAsia="宋体" w:cs="宋体"/>
          <w:color w:val="auto"/>
          <w:sz w:val="24"/>
        </w:rPr>
      </w:pPr>
      <w:bookmarkStart w:id="147" w:name="_Toc487498488"/>
      <w:bookmarkStart w:id="148" w:name="_Toc25340"/>
      <w:r>
        <w:rPr>
          <w:rFonts w:hint="eastAsia" w:ascii="宋体" w:hAnsi="宋体" w:eastAsia="宋体" w:cs="宋体"/>
          <w:color w:val="auto"/>
          <w:sz w:val="24"/>
        </w:rPr>
        <w:t>（1）最后磋商报价：见</w:t>
      </w:r>
      <w:r>
        <w:rPr>
          <w:rFonts w:hint="eastAsia" w:ascii="宋体" w:hAnsi="宋体" w:cs="宋体"/>
          <w:color w:val="auto"/>
          <w:sz w:val="24"/>
          <w:lang w:val="en-US" w:eastAsia="zh-CN"/>
        </w:rPr>
        <w:t>评审标准</w:t>
      </w:r>
      <w:r>
        <w:rPr>
          <w:rFonts w:hint="eastAsia" w:ascii="宋体" w:hAnsi="宋体" w:eastAsia="宋体" w:cs="宋体"/>
          <w:color w:val="auto"/>
          <w:sz w:val="24"/>
        </w:rPr>
        <w:t>前附表</w:t>
      </w:r>
    </w:p>
    <w:p>
      <w:pPr>
        <w:spacing w:line="6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（2）技术</w:t>
      </w:r>
      <w:r>
        <w:rPr>
          <w:rFonts w:hint="eastAsia" w:ascii="宋体" w:hAnsi="宋体" w:cs="宋体"/>
          <w:color w:val="auto"/>
          <w:sz w:val="24"/>
          <w:lang w:val="en-US" w:eastAsia="zh-CN"/>
        </w:rPr>
        <w:t>部分</w:t>
      </w:r>
      <w:r>
        <w:rPr>
          <w:rFonts w:hint="eastAsia" w:ascii="宋体" w:hAnsi="宋体" w:eastAsia="宋体" w:cs="宋体"/>
          <w:color w:val="auto"/>
          <w:sz w:val="24"/>
        </w:rPr>
        <w:t>：见</w:t>
      </w:r>
      <w:r>
        <w:rPr>
          <w:rFonts w:hint="eastAsia" w:ascii="宋体" w:hAnsi="宋体" w:cs="宋体"/>
          <w:color w:val="auto"/>
          <w:sz w:val="24"/>
          <w:lang w:val="en-US" w:eastAsia="zh-CN"/>
        </w:rPr>
        <w:t>评审标准</w:t>
      </w:r>
      <w:r>
        <w:rPr>
          <w:rFonts w:hint="eastAsia" w:ascii="宋体" w:hAnsi="宋体" w:eastAsia="宋体" w:cs="宋体"/>
          <w:color w:val="auto"/>
          <w:sz w:val="24"/>
        </w:rPr>
        <w:t>前附表</w:t>
      </w:r>
    </w:p>
    <w:p>
      <w:pPr>
        <w:spacing w:line="600" w:lineRule="exact"/>
        <w:ind w:firstLine="480" w:firstLineChars="200"/>
        <w:jc w:val="left"/>
        <w:rPr>
          <w:rFonts w:hint="eastAsia"/>
          <w:color w:val="auto"/>
        </w:rPr>
      </w:pPr>
      <w:r>
        <w:rPr>
          <w:rFonts w:hint="eastAsia" w:ascii="宋体" w:hAnsi="宋体" w:eastAsia="宋体" w:cs="宋体"/>
          <w:color w:val="auto"/>
          <w:sz w:val="24"/>
        </w:rPr>
        <w:t>（3）</w:t>
      </w:r>
      <w:r>
        <w:rPr>
          <w:rFonts w:hint="eastAsia" w:ascii="宋体" w:hAnsi="宋体" w:cs="宋体"/>
          <w:color w:val="auto"/>
          <w:sz w:val="24"/>
          <w:lang w:val="en-US" w:eastAsia="zh-CN"/>
        </w:rPr>
        <w:t>综合部分</w:t>
      </w:r>
      <w:r>
        <w:rPr>
          <w:rFonts w:hint="eastAsia" w:ascii="宋体" w:hAnsi="宋体" w:eastAsia="宋体" w:cs="宋体"/>
          <w:color w:val="auto"/>
          <w:sz w:val="24"/>
        </w:rPr>
        <w:t>：见</w:t>
      </w:r>
      <w:r>
        <w:rPr>
          <w:rFonts w:hint="eastAsia" w:ascii="宋体" w:hAnsi="宋体" w:cs="宋体"/>
          <w:color w:val="auto"/>
          <w:sz w:val="24"/>
          <w:lang w:val="en-US" w:eastAsia="zh-CN"/>
        </w:rPr>
        <w:t>评审标准</w:t>
      </w:r>
      <w:r>
        <w:rPr>
          <w:rFonts w:hint="eastAsia" w:ascii="宋体" w:hAnsi="宋体" w:eastAsia="宋体" w:cs="宋体"/>
          <w:color w:val="auto"/>
          <w:sz w:val="24"/>
        </w:rPr>
        <w:t>前附表</w:t>
      </w:r>
    </w:p>
    <w:p>
      <w:pPr>
        <w:spacing w:line="600" w:lineRule="exact"/>
        <w:ind w:firstLine="482" w:firstLineChars="200"/>
        <w:jc w:val="left"/>
        <w:rPr>
          <w:rFonts w:hint="eastAsia" w:ascii="宋体" w:hAnsi="宋体" w:eastAsia="宋体" w:cs="宋体"/>
          <w:b/>
          <w:bCs/>
          <w:color w:val="auto"/>
          <w:sz w:val="24"/>
        </w:rPr>
      </w:pPr>
      <w:bookmarkStart w:id="149" w:name="_Toc14449_WPSOffice_Level2"/>
      <w:bookmarkStart w:id="150" w:name="_Toc15225"/>
      <w:r>
        <w:rPr>
          <w:rFonts w:hint="eastAsia" w:ascii="宋体" w:hAnsi="宋体" w:eastAsia="宋体" w:cs="宋体"/>
          <w:b/>
          <w:bCs/>
          <w:color w:val="auto"/>
          <w:sz w:val="24"/>
        </w:rPr>
        <w:t>3. 评审程序</w:t>
      </w:r>
      <w:bookmarkEnd w:id="142"/>
      <w:bookmarkEnd w:id="143"/>
      <w:bookmarkEnd w:id="144"/>
      <w:bookmarkEnd w:id="145"/>
      <w:bookmarkEnd w:id="147"/>
      <w:bookmarkEnd w:id="148"/>
      <w:bookmarkEnd w:id="149"/>
      <w:bookmarkEnd w:id="150"/>
    </w:p>
    <w:p>
      <w:pPr>
        <w:spacing w:line="600" w:lineRule="exact"/>
        <w:ind w:firstLine="480" w:firstLineChars="200"/>
        <w:jc w:val="left"/>
        <w:rPr>
          <w:rFonts w:hint="eastAsia" w:ascii="宋体" w:hAnsi="宋体" w:eastAsia="宋体" w:cs="宋体"/>
          <w:color w:val="auto"/>
          <w:sz w:val="24"/>
        </w:rPr>
      </w:pPr>
      <w:bookmarkStart w:id="151" w:name="_Toc463701083"/>
      <w:bookmarkStart w:id="152" w:name="_Toc318450727"/>
      <w:bookmarkStart w:id="153" w:name="_Toc30986"/>
      <w:bookmarkStart w:id="154" w:name="_Toc455080161"/>
      <w:bookmarkStart w:id="155" w:name="_Toc14633"/>
      <w:bookmarkStart w:id="156" w:name="_Toc18886"/>
      <w:bookmarkStart w:id="157" w:name="_Toc281405533"/>
      <w:bookmarkStart w:id="158" w:name="_Toc7272"/>
      <w:bookmarkStart w:id="159" w:name="_Toc5427"/>
      <w:bookmarkStart w:id="160" w:name="_Toc11862_WPSOffice_Level3"/>
      <w:bookmarkStart w:id="161" w:name="_Toc29614"/>
      <w:bookmarkStart w:id="162" w:name="_Toc464035562"/>
      <w:r>
        <w:rPr>
          <w:rFonts w:hint="eastAsia" w:ascii="宋体" w:hAnsi="宋体" w:eastAsia="宋体" w:cs="宋体"/>
          <w:color w:val="auto"/>
          <w:sz w:val="24"/>
        </w:rPr>
        <w:t>3.1 初步评审</w:t>
      </w:r>
      <w:bookmarkEnd w:id="151"/>
      <w:bookmarkEnd w:id="152"/>
      <w:bookmarkEnd w:id="153"/>
      <w:bookmarkEnd w:id="154"/>
      <w:bookmarkEnd w:id="155"/>
      <w:bookmarkEnd w:id="156"/>
      <w:bookmarkEnd w:id="157"/>
      <w:bookmarkEnd w:id="158"/>
      <w:bookmarkEnd w:id="159"/>
      <w:bookmarkEnd w:id="160"/>
      <w:bookmarkEnd w:id="161"/>
      <w:bookmarkEnd w:id="162"/>
    </w:p>
    <w:p>
      <w:pPr>
        <w:spacing w:line="6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3.1.1 磋商小组依据本章</w:t>
      </w:r>
      <w:r>
        <w:rPr>
          <w:rFonts w:hint="eastAsia" w:ascii="宋体" w:hAnsi="宋体" w:cs="宋体"/>
          <w:color w:val="auto"/>
          <w:sz w:val="24"/>
          <w:lang w:val="en-US" w:eastAsia="zh-CN"/>
        </w:rPr>
        <w:t>评审标准</w:t>
      </w:r>
      <w:r>
        <w:rPr>
          <w:rFonts w:hint="eastAsia" w:ascii="宋体" w:hAnsi="宋体" w:eastAsia="宋体" w:cs="宋体"/>
          <w:color w:val="auto"/>
          <w:sz w:val="24"/>
        </w:rPr>
        <w:t>前附表规定的标准对响应文件进行初步评审。有一项不符合评审标准的，作废标处理。</w:t>
      </w:r>
    </w:p>
    <w:p>
      <w:pPr>
        <w:spacing w:line="6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 xml:space="preserve">3.1.2 </w:t>
      </w:r>
      <w:r>
        <w:rPr>
          <w:rFonts w:hint="eastAsia" w:ascii="宋体" w:hAnsi="宋体" w:cs="宋体"/>
          <w:color w:val="auto"/>
          <w:kern w:val="0"/>
          <w:sz w:val="24"/>
          <w:szCs w:val="24"/>
          <w:lang w:val="en-US" w:eastAsia="zh-CN"/>
        </w:rPr>
        <w:t>供应商</w:t>
      </w:r>
      <w:r>
        <w:rPr>
          <w:rFonts w:hint="eastAsia" w:ascii="宋体" w:hAnsi="宋体" w:eastAsia="宋体" w:cs="宋体"/>
          <w:color w:val="auto"/>
          <w:sz w:val="24"/>
        </w:rPr>
        <w:t>有以下情形之一的，其投标作废标处理：</w:t>
      </w:r>
    </w:p>
    <w:p>
      <w:pPr>
        <w:spacing w:line="6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cs="宋体"/>
          <w:color w:val="auto"/>
          <w:kern w:val="0"/>
          <w:sz w:val="24"/>
          <w:szCs w:val="24"/>
          <w:lang w:val="en-US" w:eastAsia="zh-CN"/>
        </w:rPr>
        <w:t>供应商</w:t>
      </w:r>
      <w:r>
        <w:rPr>
          <w:rFonts w:hint="eastAsia" w:ascii="宋体" w:hAnsi="宋体" w:eastAsia="宋体" w:cs="宋体"/>
          <w:color w:val="auto"/>
          <w:sz w:val="24"/>
        </w:rPr>
        <w:t>未</w:t>
      </w:r>
      <w:r>
        <w:rPr>
          <w:rFonts w:hint="eastAsia" w:ascii="宋体" w:hAnsi="宋体" w:eastAsia="宋体" w:cs="宋体"/>
          <w:color w:val="auto"/>
          <w:sz w:val="24"/>
          <w:lang w:val="en-US" w:eastAsia="zh-CN"/>
        </w:rPr>
        <w:t>按要求</w:t>
      </w:r>
      <w:r>
        <w:rPr>
          <w:rFonts w:hint="eastAsia" w:ascii="宋体" w:hAnsi="宋体" w:eastAsia="宋体" w:cs="宋体"/>
          <w:color w:val="auto"/>
          <w:sz w:val="24"/>
        </w:rPr>
        <w:t>提交磋商保证金或金额不足的；</w:t>
      </w:r>
    </w:p>
    <w:p>
      <w:pPr>
        <w:spacing w:line="6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（2）串通投标或弄虚作假或有其他违法行为的；</w:t>
      </w:r>
    </w:p>
    <w:p>
      <w:pPr>
        <w:spacing w:line="6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（3）不按磋商小组要求澄清、说明或补正的；</w:t>
      </w:r>
    </w:p>
    <w:p>
      <w:pPr>
        <w:spacing w:line="6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（4）未按规定格式填写、内容不全或关键字迹模糊、无法辨认的；</w:t>
      </w:r>
    </w:p>
    <w:p>
      <w:pPr>
        <w:spacing w:line="6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（5）响应文件附有采购人不能接受的条件；</w:t>
      </w:r>
    </w:p>
    <w:p>
      <w:pPr>
        <w:spacing w:line="6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（6）不符合磋商文件规定的其他实质性要求。</w:t>
      </w:r>
    </w:p>
    <w:p>
      <w:pPr>
        <w:spacing w:line="600" w:lineRule="exact"/>
        <w:ind w:firstLine="480" w:firstLineChars="200"/>
        <w:jc w:val="left"/>
        <w:rPr>
          <w:rFonts w:hint="eastAsia" w:ascii="宋体" w:hAnsi="宋体" w:eastAsia="宋体" w:cs="宋体"/>
          <w:color w:val="auto"/>
          <w:sz w:val="24"/>
        </w:rPr>
      </w:pPr>
      <w:bookmarkStart w:id="163" w:name="_Toc463701084"/>
      <w:bookmarkStart w:id="164" w:name="_Toc7121"/>
      <w:bookmarkStart w:id="165" w:name="_Toc26049"/>
      <w:bookmarkStart w:id="166" w:name="_Toc464035563"/>
      <w:bookmarkStart w:id="167" w:name="_Toc10295_WPSOffice_Level3"/>
      <w:bookmarkStart w:id="168" w:name="_Toc21032"/>
      <w:bookmarkStart w:id="169" w:name="_Toc12406"/>
      <w:bookmarkStart w:id="170" w:name="_Toc281405534"/>
      <w:bookmarkStart w:id="171" w:name="_Toc10692"/>
      <w:bookmarkStart w:id="172" w:name="_Toc318450728"/>
      <w:bookmarkStart w:id="173" w:name="_Toc455080162"/>
      <w:bookmarkStart w:id="174" w:name="_Toc21570"/>
      <w:r>
        <w:rPr>
          <w:rFonts w:hint="eastAsia" w:ascii="宋体" w:hAnsi="宋体" w:eastAsia="宋体" w:cs="宋体"/>
          <w:color w:val="auto"/>
          <w:sz w:val="24"/>
        </w:rPr>
        <w:t>3.2 详细评审</w:t>
      </w:r>
      <w:bookmarkEnd w:id="163"/>
      <w:bookmarkEnd w:id="164"/>
      <w:bookmarkEnd w:id="165"/>
      <w:bookmarkEnd w:id="166"/>
      <w:bookmarkEnd w:id="167"/>
      <w:bookmarkEnd w:id="168"/>
      <w:bookmarkEnd w:id="169"/>
      <w:bookmarkEnd w:id="170"/>
      <w:bookmarkEnd w:id="171"/>
      <w:bookmarkEnd w:id="172"/>
      <w:bookmarkEnd w:id="173"/>
      <w:bookmarkEnd w:id="174"/>
    </w:p>
    <w:p>
      <w:pPr>
        <w:spacing w:line="6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3.2.1磋商小组邀请通过初步评审的</w:t>
      </w:r>
      <w:r>
        <w:rPr>
          <w:rFonts w:hint="eastAsia" w:ascii="宋体" w:hAnsi="宋体" w:cs="宋体"/>
          <w:color w:val="auto"/>
          <w:kern w:val="0"/>
          <w:sz w:val="24"/>
          <w:szCs w:val="24"/>
          <w:lang w:val="en-US" w:eastAsia="zh-CN"/>
        </w:rPr>
        <w:t>供应商</w:t>
      </w:r>
      <w:r>
        <w:rPr>
          <w:rFonts w:hint="eastAsia" w:ascii="宋体" w:hAnsi="宋体" w:eastAsia="宋体" w:cs="宋体"/>
          <w:color w:val="auto"/>
          <w:sz w:val="24"/>
        </w:rPr>
        <w:t>进行磋商报价，磋商报价为</w:t>
      </w:r>
      <w:r>
        <w:rPr>
          <w:rFonts w:hint="eastAsia" w:ascii="宋体" w:hAnsi="宋体" w:cs="宋体"/>
          <w:color w:val="auto"/>
          <w:kern w:val="0"/>
          <w:sz w:val="24"/>
          <w:szCs w:val="24"/>
          <w:lang w:val="en-US" w:eastAsia="zh-CN"/>
        </w:rPr>
        <w:t>供应商</w:t>
      </w:r>
      <w:r>
        <w:rPr>
          <w:rFonts w:hint="eastAsia" w:ascii="宋体" w:hAnsi="宋体" w:eastAsia="宋体" w:cs="宋体"/>
          <w:color w:val="auto"/>
          <w:sz w:val="24"/>
        </w:rPr>
        <w:t>最终有效报价。</w:t>
      </w:r>
    </w:p>
    <w:p>
      <w:pPr>
        <w:spacing w:line="6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lang w:val="en-US"/>
        </w:rPr>
        <w:t>3.2.2磋商小组</w:t>
      </w:r>
      <w:r>
        <w:rPr>
          <w:rFonts w:hint="eastAsia" w:ascii="宋体" w:hAnsi="宋体" w:eastAsia="宋体" w:cs="宋体"/>
          <w:color w:val="auto"/>
          <w:sz w:val="24"/>
        </w:rPr>
        <w:t>认为</w:t>
      </w:r>
      <w:r>
        <w:rPr>
          <w:rFonts w:hint="eastAsia" w:ascii="宋体" w:hAnsi="宋体" w:cs="宋体"/>
          <w:color w:val="auto"/>
          <w:kern w:val="0"/>
          <w:sz w:val="24"/>
          <w:szCs w:val="24"/>
          <w:lang w:val="en-US" w:eastAsia="zh-CN"/>
        </w:rPr>
        <w:t>供应商</w:t>
      </w:r>
      <w:r>
        <w:rPr>
          <w:rFonts w:hint="eastAsia" w:ascii="宋体" w:hAnsi="宋体" w:eastAsia="宋体" w:cs="宋体"/>
          <w:color w:val="auto"/>
          <w:sz w:val="24"/>
        </w:rPr>
        <w:t>的报价明显低于其他通过符合性审查</w:t>
      </w:r>
      <w:r>
        <w:rPr>
          <w:rFonts w:hint="eastAsia" w:ascii="宋体" w:hAnsi="宋体" w:cs="宋体"/>
          <w:color w:val="auto"/>
          <w:kern w:val="0"/>
          <w:sz w:val="24"/>
          <w:szCs w:val="24"/>
          <w:lang w:val="en-US" w:eastAsia="zh-CN"/>
        </w:rPr>
        <w:t>供应商</w:t>
      </w:r>
      <w:r>
        <w:rPr>
          <w:rFonts w:hint="eastAsia" w:ascii="宋体" w:hAnsi="宋体" w:eastAsia="宋体" w:cs="宋体"/>
          <w:color w:val="auto"/>
          <w:sz w:val="24"/>
        </w:rPr>
        <w:t>的报价，有可能影响产品质量或者不能诚信履约的，应当要求其在评标现场合理的时间内提供书面说明，必要时提交相关证明材料；</w:t>
      </w:r>
      <w:r>
        <w:rPr>
          <w:rFonts w:hint="eastAsia" w:ascii="宋体" w:hAnsi="宋体" w:cs="宋体"/>
          <w:color w:val="auto"/>
          <w:kern w:val="0"/>
          <w:sz w:val="24"/>
          <w:szCs w:val="24"/>
          <w:lang w:val="en-US" w:eastAsia="zh-CN"/>
        </w:rPr>
        <w:t>供应商</w:t>
      </w:r>
      <w:r>
        <w:rPr>
          <w:rFonts w:hint="eastAsia" w:ascii="宋体" w:hAnsi="宋体" w:eastAsia="宋体" w:cs="宋体"/>
          <w:color w:val="auto"/>
          <w:sz w:val="24"/>
        </w:rPr>
        <w:t>不能证明其报价合理性的，</w:t>
      </w:r>
      <w:r>
        <w:rPr>
          <w:rFonts w:hint="eastAsia" w:ascii="宋体" w:hAnsi="宋体" w:eastAsia="宋体" w:cs="宋体"/>
          <w:color w:val="auto"/>
          <w:sz w:val="24"/>
          <w:lang w:val="en-US"/>
        </w:rPr>
        <w:t>磋商小组</w:t>
      </w:r>
      <w:r>
        <w:rPr>
          <w:rFonts w:hint="eastAsia" w:ascii="宋体" w:hAnsi="宋体" w:eastAsia="宋体" w:cs="宋体"/>
          <w:color w:val="auto"/>
          <w:sz w:val="24"/>
        </w:rPr>
        <w:t>应当将其作为无效投标处理。</w:t>
      </w:r>
    </w:p>
    <w:p>
      <w:pPr>
        <w:spacing w:line="600" w:lineRule="exact"/>
        <w:ind w:firstLine="480" w:firstLineChars="200"/>
        <w:jc w:val="left"/>
        <w:rPr>
          <w:rFonts w:hint="eastAsia" w:eastAsia="宋体"/>
          <w:color w:val="auto"/>
          <w:lang w:eastAsia="zh-CN"/>
        </w:rPr>
      </w:pPr>
      <w:r>
        <w:rPr>
          <w:rFonts w:hint="eastAsia" w:ascii="宋体" w:hAnsi="宋体" w:eastAsia="宋体" w:cs="宋体"/>
          <w:color w:val="auto"/>
          <w:sz w:val="24"/>
        </w:rPr>
        <w:t>3.2.</w:t>
      </w:r>
      <w:r>
        <w:rPr>
          <w:rFonts w:hint="eastAsia" w:ascii="宋体" w:hAnsi="宋体" w:eastAsia="宋体" w:cs="宋体"/>
          <w:color w:val="auto"/>
          <w:sz w:val="24"/>
          <w:lang w:val="en-US"/>
        </w:rPr>
        <w:t>3</w:t>
      </w:r>
      <w:r>
        <w:rPr>
          <w:rFonts w:hint="eastAsia" w:ascii="宋体" w:hAnsi="宋体" w:eastAsia="宋体" w:cs="宋体"/>
          <w:color w:val="auto"/>
          <w:sz w:val="24"/>
        </w:rPr>
        <w:t>磋商小组按本章评标办法前附表规定的量化因素和分值进行打分，并计算出综合评分得分。</w:t>
      </w:r>
    </w:p>
    <w:p>
      <w:pPr>
        <w:spacing w:line="6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3.2.</w:t>
      </w:r>
      <w:r>
        <w:rPr>
          <w:rFonts w:hint="eastAsia" w:ascii="宋体" w:hAnsi="宋体" w:eastAsia="宋体" w:cs="宋体"/>
          <w:color w:val="auto"/>
          <w:sz w:val="24"/>
          <w:lang w:val="en-US"/>
        </w:rPr>
        <w:t>4</w:t>
      </w:r>
      <w:r>
        <w:rPr>
          <w:rFonts w:hint="eastAsia" w:ascii="宋体" w:hAnsi="宋体" w:eastAsia="宋体" w:cs="宋体"/>
          <w:color w:val="auto"/>
          <w:sz w:val="24"/>
        </w:rPr>
        <w:t>评分分值计算保留小数点后两位，</w:t>
      </w:r>
      <w:r>
        <w:rPr>
          <w:rFonts w:hint="eastAsia" w:ascii="宋体" w:hAnsi="宋体" w:eastAsia="宋体" w:cs="宋体"/>
          <w:color w:val="auto"/>
          <w:sz w:val="24"/>
          <w:lang w:val="en-US"/>
        </w:rPr>
        <w:t>计分过程中按四舍五入的法则，取至小数点后</w:t>
      </w:r>
      <w:r>
        <w:rPr>
          <w:rFonts w:hint="eastAsia" w:ascii="宋体" w:hAnsi="宋体" w:cs="宋体"/>
          <w:color w:val="auto"/>
          <w:sz w:val="24"/>
          <w:lang w:val="en-US" w:eastAsia="zh-CN"/>
        </w:rPr>
        <w:t>三</w:t>
      </w:r>
      <w:r>
        <w:rPr>
          <w:rFonts w:hint="eastAsia" w:ascii="宋体" w:hAnsi="宋体" w:eastAsia="宋体" w:cs="宋体"/>
          <w:color w:val="auto"/>
          <w:sz w:val="24"/>
          <w:lang w:val="en-US"/>
        </w:rPr>
        <w:t>位，最终结果取至小数点后</w:t>
      </w:r>
      <w:r>
        <w:rPr>
          <w:rFonts w:hint="eastAsia" w:ascii="宋体" w:hAnsi="宋体" w:cs="宋体"/>
          <w:color w:val="auto"/>
          <w:sz w:val="24"/>
          <w:lang w:val="en-US" w:eastAsia="zh-CN"/>
        </w:rPr>
        <w:t>两</w:t>
      </w:r>
      <w:r>
        <w:rPr>
          <w:rFonts w:hint="eastAsia" w:ascii="宋体" w:hAnsi="宋体" w:eastAsia="宋体" w:cs="宋体"/>
          <w:color w:val="auto"/>
          <w:sz w:val="24"/>
          <w:lang w:val="en-US"/>
        </w:rPr>
        <w:t>位</w:t>
      </w:r>
      <w:r>
        <w:rPr>
          <w:rFonts w:hint="eastAsia" w:ascii="宋体" w:hAnsi="宋体" w:eastAsia="宋体" w:cs="宋体"/>
          <w:color w:val="auto"/>
          <w:sz w:val="24"/>
        </w:rPr>
        <w:t xml:space="preserve">。 </w:t>
      </w:r>
    </w:p>
    <w:p>
      <w:pPr>
        <w:spacing w:line="6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3.2.</w:t>
      </w:r>
      <w:r>
        <w:rPr>
          <w:rFonts w:hint="eastAsia" w:ascii="宋体" w:hAnsi="宋体" w:eastAsia="宋体" w:cs="宋体"/>
          <w:color w:val="auto"/>
          <w:sz w:val="24"/>
          <w:lang w:val="en-US"/>
        </w:rPr>
        <w:t>5</w:t>
      </w:r>
      <w:r>
        <w:rPr>
          <w:rFonts w:hint="eastAsia" w:ascii="宋体" w:hAnsi="宋体" w:cs="宋体"/>
          <w:color w:val="auto"/>
          <w:kern w:val="0"/>
          <w:sz w:val="24"/>
          <w:szCs w:val="24"/>
          <w:lang w:val="en-US" w:eastAsia="zh-CN"/>
        </w:rPr>
        <w:t>供应商</w:t>
      </w:r>
      <w:r>
        <w:rPr>
          <w:rFonts w:hint="eastAsia" w:ascii="宋体" w:hAnsi="宋体" w:eastAsia="宋体" w:cs="宋体"/>
          <w:color w:val="auto"/>
          <w:sz w:val="24"/>
        </w:rPr>
        <w:t>的最终得分以全部小组成员打分的算术平均值为准，作为该</w:t>
      </w:r>
      <w:r>
        <w:rPr>
          <w:rFonts w:hint="eastAsia" w:ascii="宋体" w:hAnsi="宋体" w:cs="宋体"/>
          <w:color w:val="auto"/>
          <w:kern w:val="0"/>
          <w:sz w:val="24"/>
          <w:szCs w:val="24"/>
          <w:lang w:val="en-US" w:eastAsia="zh-CN"/>
        </w:rPr>
        <w:t>供应商</w:t>
      </w:r>
      <w:r>
        <w:rPr>
          <w:rFonts w:hint="eastAsia" w:ascii="宋体" w:hAnsi="宋体" w:eastAsia="宋体" w:cs="宋体"/>
          <w:color w:val="auto"/>
          <w:sz w:val="24"/>
        </w:rPr>
        <w:t>的最终得分。</w:t>
      </w:r>
    </w:p>
    <w:p>
      <w:pPr>
        <w:spacing w:line="6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3.2.</w:t>
      </w:r>
      <w:r>
        <w:rPr>
          <w:rFonts w:hint="eastAsia" w:ascii="宋体" w:hAnsi="宋体" w:eastAsia="宋体" w:cs="宋体"/>
          <w:color w:val="auto"/>
          <w:sz w:val="24"/>
          <w:lang w:val="en-US"/>
        </w:rPr>
        <w:t>6</w:t>
      </w:r>
      <w:r>
        <w:rPr>
          <w:rFonts w:hint="eastAsia" w:ascii="宋体" w:hAnsi="宋体" w:eastAsia="宋体" w:cs="宋体"/>
          <w:color w:val="auto"/>
          <w:sz w:val="24"/>
        </w:rPr>
        <w:t>在磋商过程中，凡遇到磋商文件中无界定或界定不清、前后不一致使磋商小组意见有分歧且又难以协商一致的问题，均由磋商小组予以表决，获半数以上同意的即为通过，未获半数同意的即为否决。</w:t>
      </w:r>
    </w:p>
    <w:p>
      <w:pPr>
        <w:spacing w:line="600" w:lineRule="exact"/>
        <w:ind w:firstLine="480" w:firstLineChars="200"/>
        <w:jc w:val="left"/>
        <w:rPr>
          <w:rFonts w:hint="eastAsia" w:ascii="宋体" w:hAnsi="宋体" w:eastAsia="宋体" w:cs="宋体"/>
          <w:color w:val="auto"/>
          <w:sz w:val="24"/>
        </w:rPr>
      </w:pPr>
      <w:bookmarkStart w:id="175" w:name="_Toc8813"/>
      <w:bookmarkStart w:id="176" w:name="_Toc28633"/>
      <w:bookmarkStart w:id="177" w:name="_Toc31110_WPSOffice_Level3"/>
      <w:bookmarkStart w:id="178" w:name="_Toc281405535"/>
      <w:bookmarkStart w:id="179" w:name="_Toc8342"/>
      <w:bookmarkStart w:id="180" w:name="_Toc455080163"/>
      <w:bookmarkStart w:id="181" w:name="_Toc11958"/>
      <w:bookmarkStart w:id="182" w:name="_Toc10153"/>
      <w:bookmarkStart w:id="183" w:name="_Toc318450729"/>
      <w:bookmarkStart w:id="184" w:name="_Toc464035564"/>
      <w:bookmarkStart w:id="185" w:name="_Toc24862"/>
      <w:bookmarkStart w:id="186" w:name="_Toc463701085"/>
      <w:r>
        <w:rPr>
          <w:rFonts w:hint="eastAsia" w:ascii="宋体" w:hAnsi="宋体" w:eastAsia="宋体" w:cs="宋体"/>
          <w:color w:val="auto"/>
          <w:sz w:val="24"/>
        </w:rPr>
        <w:t>3.3 响应文件的澄清和补正</w:t>
      </w:r>
      <w:bookmarkEnd w:id="175"/>
      <w:bookmarkEnd w:id="176"/>
      <w:bookmarkEnd w:id="177"/>
      <w:bookmarkEnd w:id="178"/>
      <w:bookmarkEnd w:id="179"/>
      <w:bookmarkEnd w:id="180"/>
      <w:bookmarkEnd w:id="181"/>
      <w:bookmarkEnd w:id="182"/>
      <w:bookmarkEnd w:id="183"/>
      <w:bookmarkEnd w:id="184"/>
      <w:bookmarkEnd w:id="185"/>
      <w:bookmarkEnd w:id="186"/>
    </w:p>
    <w:p>
      <w:pPr>
        <w:spacing w:line="6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3.3.1在磋商过程中，磋商小组可以书面形式要求</w:t>
      </w:r>
      <w:r>
        <w:rPr>
          <w:rFonts w:hint="eastAsia" w:ascii="宋体" w:hAnsi="宋体" w:cs="宋体"/>
          <w:color w:val="auto"/>
          <w:kern w:val="0"/>
          <w:sz w:val="24"/>
          <w:szCs w:val="24"/>
          <w:lang w:val="en-US" w:eastAsia="zh-CN"/>
        </w:rPr>
        <w:t>供应商</w:t>
      </w:r>
      <w:r>
        <w:rPr>
          <w:rFonts w:hint="eastAsia" w:ascii="宋体" w:hAnsi="宋体" w:eastAsia="宋体" w:cs="宋体"/>
          <w:color w:val="auto"/>
          <w:sz w:val="24"/>
        </w:rPr>
        <w:t>对所提交的响应文件中不明确的内容进行书面澄清或说明，或者对细微偏离进行补正。磋商小组不接受</w:t>
      </w:r>
      <w:r>
        <w:rPr>
          <w:rFonts w:hint="eastAsia" w:ascii="宋体" w:hAnsi="宋体" w:cs="宋体"/>
          <w:color w:val="auto"/>
          <w:kern w:val="0"/>
          <w:sz w:val="24"/>
          <w:szCs w:val="24"/>
          <w:lang w:val="en-US" w:eastAsia="zh-CN"/>
        </w:rPr>
        <w:t>供应商</w:t>
      </w:r>
      <w:r>
        <w:rPr>
          <w:rFonts w:hint="eastAsia" w:ascii="宋体" w:hAnsi="宋体" w:eastAsia="宋体" w:cs="宋体"/>
          <w:color w:val="auto"/>
          <w:sz w:val="24"/>
        </w:rPr>
        <w:t>主动提出的澄清、说明或补正。</w:t>
      </w:r>
    </w:p>
    <w:p>
      <w:pPr>
        <w:spacing w:line="6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3.3.2 澄清、说明和补正不得超出响应文件的范围或者改变响应文件的实质性内容（算术性错误修正的除外）。</w:t>
      </w:r>
      <w:r>
        <w:rPr>
          <w:rFonts w:hint="eastAsia" w:ascii="宋体" w:hAnsi="宋体" w:cs="宋体"/>
          <w:color w:val="auto"/>
          <w:kern w:val="0"/>
          <w:sz w:val="24"/>
          <w:szCs w:val="24"/>
          <w:lang w:val="en-US" w:eastAsia="zh-CN"/>
        </w:rPr>
        <w:t>供应商</w:t>
      </w:r>
      <w:r>
        <w:rPr>
          <w:rFonts w:hint="eastAsia" w:ascii="宋体" w:hAnsi="宋体" w:eastAsia="宋体" w:cs="宋体"/>
          <w:color w:val="auto"/>
          <w:sz w:val="24"/>
        </w:rPr>
        <w:t>的书面澄清、说明和补正属于响应文件的组成部分。</w:t>
      </w:r>
    </w:p>
    <w:p>
      <w:pPr>
        <w:spacing w:line="6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3.3.3 磋商小组对</w:t>
      </w:r>
      <w:r>
        <w:rPr>
          <w:rFonts w:hint="eastAsia" w:ascii="宋体" w:hAnsi="宋体" w:cs="宋体"/>
          <w:color w:val="auto"/>
          <w:kern w:val="0"/>
          <w:sz w:val="24"/>
          <w:szCs w:val="24"/>
          <w:lang w:val="en-US" w:eastAsia="zh-CN"/>
        </w:rPr>
        <w:t>供应商</w:t>
      </w:r>
      <w:r>
        <w:rPr>
          <w:rFonts w:hint="eastAsia" w:ascii="宋体" w:hAnsi="宋体" w:eastAsia="宋体" w:cs="宋体"/>
          <w:color w:val="auto"/>
          <w:sz w:val="24"/>
        </w:rPr>
        <w:t>提交的澄清、说明或补正有疑问的，可以要求</w:t>
      </w:r>
      <w:r>
        <w:rPr>
          <w:rFonts w:hint="eastAsia" w:ascii="宋体" w:hAnsi="宋体" w:cs="宋体"/>
          <w:color w:val="auto"/>
          <w:kern w:val="0"/>
          <w:sz w:val="24"/>
          <w:szCs w:val="24"/>
          <w:lang w:val="en-US" w:eastAsia="zh-CN"/>
        </w:rPr>
        <w:t>供应商</w:t>
      </w:r>
      <w:r>
        <w:rPr>
          <w:rFonts w:hint="eastAsia" w:ascii="宋体" w:hAnsi="宋体" w:eastAsia="宋体" w:cs="宋体"/>
          <w:color w:val="auto"/>
          <w:sz w:val="24"/>
        </w:rPr>
        <w:t>进一步澄清、说明或补正，直至满足磋商小组的要求。</w:t>
      </w:r>
    </w:p>
    <w:p>
      <w:pPr>
        <w:spacing w:line="600" w:lineRule="exact"/>
        <w:ind w:firstLine="480" w:firstLineChars="200"/>
        <w:jc w:val="left"/>
        <w:rPr>
          <w:rFonts w:hint="eastAsia" w:ascii="宋体" w:hAnsi="宋体" w:eastAsia="宋体" w:cs="宋体"/>
          <w:color w:val="auto"/>
          <w:sz w:val="24"/>
        </w:rPr>
      </w:pPr>
      <w:bookmarkStart w:id="187" w:name="_Toc455080164"/>
      <w:bookmarkStart w:id="188" w:name="_Toc19453"/>
      <w:bookmarkStart w:id="189" w:name="_Toc16310_WPSOffice_Level3"/>
      <w:bookmarkStart w:id="190" w:name="_Toc464035565"/>
      <w:bookmarkStart w:id="191" w:name="_Toc463701086"/>
      <w:bookmarkStart w:id="192" w:name="_Toc318450730"/>
      <w:bookmarkStart w:id="193" w:name="_Toc32183"/>
      <w:bookmarkStart w:id="194" w:name="_Toc26894"/>
      <w:bookmarkStart w:id="195" w:name="_Toc5903"/>
      <w:bookmarkStart w:id="196" w:name="_Toc281405536"/>
      <w:bookmarkStart w:id="197" w:name="_Toc1857"/>
      <w:bookmarkStart w:id="198" w:name="_Toc22986"/>
      <w:r>
        <w:rPr>
          <w:rFonts w:hint="eastAsia" w:ascii="宋体" w:hAnsi="宋体" w:eastAsia="宋体" w:cs="宋体"/>
          <w:color w:val="auto"/>
          <w:sz w:val="24"/>
        </w:rPr>
        <w:t>3.4 评标结果</w:t>
      </w:r>
      <w:bookmarkEnd w:id="187"/>
      <w:bookmarkEnd w:id="188"/>
      <w:bookmarkEnd w:id="189"/>
      <w:bookmarkEnd w:id="190"/>
      <w:bookmarkEnd w:id="191"/>
      <w:bookmarkEnd w:id="192"/>
      <w:bookmarkEnd w:id="193"/>
      <w:bookmarkEnd w:id="194"/>
      <w:bookmarkEnd w:id="195"/>
      <w:bookmarkEnd w:id="196"/>
      <w:bookmarkEnd w:id="197"/>
      <w:bookmarkEnd w:id="198"/>
    </w:p>
    <w:p>
      <w:pPr>
        <w:spacing w:line="6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3.4.1除第二</w:t>
      </w:r>
      <w:r>
        <w:rPr>
          <w:rFonts w:hint="eastAsia" w:ascii="宋体" w:hAnsi="宋体" w:eastAsia="宋体" w:cs="宋体"/>
          <w:color w:val="auto"/>
          <w:sz w:val="24"/>
          <w:highlight w:val="none"/>
        </w:rPr>
        <w:t>章“</w:t>
      </w:r>
      <w:r>
        <w:rPr>
          <w:rFonts w:hint="eastAsia" w:ascii="宋体" w:hAnsi="宋体" w:cs="宋体"/>
          <w:color w:val="auto"/>
          <w:kern w:val="0"/>
          <w:sz w:val="24"/>
          <w:szCs w:val="24"/>
          <w:highlight w:val="none"/>
          <w:lang w:val="en-US" w:eastAsia="zh-CN"/>
        </w:rPr>
        <w:t>供应商</w:t>
      </w:r>
      <w:r>
        <w:rPr>
          <w:rFonts w:hint="eastAsia" w:ascii="宋体" w:hAnsi="宋体" w:eastAsia="宋体" w:cs="宋体"/>
          <w:color w:val="auto"/>
          <w:sz w:val="24"/>
          <w:highlight w:val="none"/>
        </w:rPr>
        <w:t>须知”前附表</w:t>
      </w:r>
      <w:r>
        <w:rPr>
          <w:rFonts w:hint="eastAsia" w:ascii="宋体" w:hAnsi="宋体" w:eastAsia="宋体" w:cs="宋体"/>
          <w:color w:val="auto"/>
          <w:sz w:val="24"/>
        </w:rPr>
        <w:t>授权直接确定成交人外，磋商小组按照得分由高到低的顺序推荐成交候选人。</w:t>
      </w:r>
    </w:p>
    <w:p>
      <w:pPr>
        <w:spacing w:line="600" w:lineRule="exact"/>
        <w:ind w:firstLine="480" w:firstLineChars="200"/>
        <w:jc w:val="left"/>
        <w:rPr>
          <w:rFonts w:hint="eastAsia" w:ascii="宋体" w:hAnsi="宋体" w:eastAsia="宋体" w:cs="宋体"/>
          <w:color w:val="auto"/>
          <w:sz w:val="24"/>
          <w:lang w:val="en-US"/>
        </w:rPr>
      </w:pPr>
      <w:r>
        <w:rPr>
          <w:rFonts w:hint="eastAsia" w:ascii="宋体" w:hAnsi="宋体" w:eastAsia="宋体" w:cs="宋体"/>
          <w:color w:val="auto"/>
          <w:sz w:val="24"/>
          <w:lang w:val="en-US"/>
        </w:rPr>
        <w:t>3.4.</w:t>
      </w:r>
      <w:r>
        <w:rPr>
          <w:rFonts w:hint="eastAsia" w:ascii="宋体" w:hAnsi="宋体" w:eastAsia="宋体" w:cs="宋体"/>
          <w:color w:val="auto"/>
          <w:sz w:val="24"/>
          <w:lang w:val="en-US" w:eastAsia="zh-CN"/>
        </w:rPr>
        <w:t>2</w:t>
      </w:r>
      <w:r>
        <w:rPr>
          <w:rFonts w:hint="eastAsia" w:ascii="宋体" w:hAnsi="宋体" w:eastAsia="宋体" w:cs="宋体"/>
          <w:color w:val="auto"/>
          <w:sz w:val="24"/>
          <w:lang w:val="en-US"/>
        </w:rPr>
        <w:t xml:space="preserve"> 磋商小组完成评标后，应当向采购人提交书面评审报告。</w:t>
      </w:r>
    </w:p>
    <w:p>
      <w:pPr>
        <w:widowControl/>
        <w:jc w:val="center"/>
        <w:outlineLvl w:val="0"/>
        <w:rPr>
          <w:rFonts w:ascii="宋体" w:hAnsi="宋体" w:eastAsia="宋体"/>
          <w:color w:val="auto"/>
          <w:sz w:val="32"/>
          <w:szCs w:val="32"/>
        </w:rPr>
      </w:pPr>
      <w:r>
        <w:rPr>
          <w:rFonts w:ascii="宋体" w:hAnsi="宋体" w:eastAsia="宋体"/>
          <w:color w:val="auto"/>
          <w:sz w:val="24"/>
        </w:rPr>
        <w:br w:type="page"/>
      </w:r>
      <w:bookmarkStart w:id="199" w:name="_Toc22305"/>
      <w:bookmarkStart w:id="200" w:name="_Toc31562"/>
      <w:r>
        <w:rPr>
          <w:rFonts w:hint="eastAsia" w:ascii="宋体" w:hAnsi="宋体" w:eastAsia="宋体"/>
          <w:b/>
          <w:bCs/>
          <w:color w:val="auto"/>
          <w:sz w:val="32"/>
          <w:szCs w:val="32"/>
        </w:rPr>
        <w:t xml:space="preserve">第四章  </w:t>
      </w:r>
      <w:bookmarkEnd w:id="108"/>
      <w:bookmarkEnd w:id="199"/>
      <w:r>
        <w:rPr>
          <w:rFonts w:hint="eastAsia" w:ascii="宋体" w:hAnsi="宋体" w:eastAsia="宋体"/>
          <w:b/>
          <w:bCs/>
          <w:color w:val="auto"/>
          <w:sz w:val="32"/>
          <w:szCs w:val="32"/>
        </w:rPr>
        <w:t>合同条款及格式</w:t>
      </w:r>
      <w:bookmarkEnd w:id="200"/>
    </w:p>
    <w:p>
      <w:pPr>
        <w:jc w:val="center"/>
        <w:outlineLvl w:val="9"/>
        <w:rPr>
          <w:rFonts w:hint="eastAsia" w:ascii="宋体" w:hAnsi="宋体" w:eastAsia="宋体" w:cs="宋体"/>
          <w:color w:val="auto"/>
          <w:highlight w:val="none"/>
        </w:rPr>
      </w:pPr>
    </w:p>
    <w:p>
      <w:pPr>
        <w:pStyle w:val="35"/>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宋体" w:hAnsi="宋体" w:eastAsia="宋体" w:cs="宋体"/>
          <w:b/>
          <w:bCs/>
          <w:color w:val="auto"/>
          <w:kern w:val="0"/>
          <w:sz w:val="24"/>
          <w:highlight w:val="none"/>
        </w:rPr>
      </w:pPr>
      <w:bookmarkStart w:id="201" w:name="_Toc11081"/>
      <w:bookmarkStart w:id="202" w:name="_Toc24784"/>
      <w:r>
        <w:rPr>
          <w:rFonts w:hint="eastAsia"/>
          <w:b/>
          <w:bCs/>
          <w:sz w:val="24"/>
          <w:szCs w:val="24"/>
          <w:highlight w:val="none"/>
        </w:rPr>
        <w:t>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bookmarkEnd w:id="201"/>
    </w:p>
    <w:p>
      <w:pPr>
        <w:snapToGrid w:val="0"/>
        <w:spacing w:line="450" w:lineRule="exact"/>
        <w:ind w:firstLine="482" w:firstLineChars="200"/>
        <w:jc w:val="center"/>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w:t>
      </w:r>
      <w:r>
        <w:rPr>
          <w:rFonts w:hint="eastAsia" w:ascii="宋体" w:hAnsi="宋体" w:cs="宋体"/>
          <w:b/>
          <w:bCs/>
          <w:color w:val="auto"/>
          <w:kern w:val="0"/>
          <w:sz w:val="24"/>
          <w:highlight w:val="none"/>
          <w:lang w:eastAsia="zh-CN"/>
        </w:rPr>
        <w:t>采购人</w:t>
      </w:r>
      <w:r>
        <w:rPr>
          <w:rFonts w:hint="eastAsia" w:ascii="宋体" w:hAnsi="宋体" w:eastAsia="宋体" w:cs="宋体"/>
          <w:b/>
          <w:bCs/>
          <w:color w:val="auto"/>
          <w:kern w:val="0"/>
          <w:sz w:val="24"/>
          <w:highlight w:val="none"/>
        </w:rPr>
        <w:t>可根据采购项目的实际情况增减条款和内容）</w:t>
      </w:r>
      <w:bookmarkEnd w:id="202"/>
    </w:p>
    <w:p>
      <w:pPr>
        <w:keepNext w:val="0"/>
        <w:keepLines w:val="0"/>
        <w:pageBreakBefore w:val="0"/>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highlight w:val="none"/>
        </w:rPr>
      </w:pPr>
    </w:p>
    <w:p>
      <w:pPr>
        <w:keepNext w:val="0"/>
        <w:keepLines w:val="0"/>
        <w:pageBreakBefore w:val="0"/>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甲方：</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eastAsia="zh-CN"/>
        </w:rPr>
        <w:t>（</w:t>
      </w:r>
      <w:r>
        <w:rPr>
          <w:rFonts w:hint="eastAsia" w:ascii="宋体" w:hAnsi="宋体" w:cs="宋体"/>
          <w:color w:val="auto"/>
          <w:kern w:val="0"/>
          <w:sz w:val="24"/>
          <w:highlight w:val="none"/>
          <w:lang w:val="en-US" w:eastAsia="zh-CN"/>
        </w:rPr>
        <w:t>采购人</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 xml:space="preserve">         </w:t>
      </w:r>
    </w:p>
    <w:p>
      <w:pPr>
        <w:keepNext w:val="0"/>
        <w:keepLines w:val="0"/>
        <w:pageBreakBefore w:val="0"/>
        <w:kinsoku/>
        <w:overflowPunct/>
        <w:topLinePunct w:val="0"/>
        <w:autoSpaceDE/>
        <w:autoSpaceDN/>
        <w:bidi w:val="0"/>
        <w:adjustRightInd/>
        <w:snapToGrid w:val="0"/>
        <w:spacing w:line="360" w:lineRule="auto"/>
        <w:ind w:firstLine="240" w:firstLineChars="1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乙方：</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（中标人）</w:t>
      </w:r>
    </w:p>
    <w:p>
      <w:pPr>
        <w:keepNext w:val="0"/>
        <w:keepLines w:val="0"/>
        <w:pageBreakBefore w:val="0"/>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甲、乙双方根据《中华人民共和国政府采购法》、《中华人民共和国民法典》等法律法规的规定，按照招标结果签订本合同。</w:t>
      </w:r>
    </w:p>
    <w:p>
      <w:pPr>
        <w:keepNext w:val="0"/>
        <w:keepLines w:val="0"/>
        <w:pageBreakBefore w:val="0"/>
        <w:kinsoku/>
        <w:overflowPunct/>
        <w:topLinePunct w:val="0"/>
        <w:autoSpaceDE/>
        <w:autoSpaceDN/>
        <w:bidi w:val="0"/>
        <w:adjustRightInd/>
        <w:spacing w:line="360" w:lineRule="auto"/>
        <w:ind w:firstLine="482" w:firstLineChars="200"/>
        <w:textAlignment w:val="auto"/>
        <w:outlineLvl w:val="1"/>
        <w:rPr>
          <w:rFonts w:hint="eastAsia" w:ascii="宋体" w:hAnsi="宋体" w:eastAsia="宋体" w:cs="宋体"/>
          <w:color w:val="auto"/>
          <w:sz w:val="24"/>
          <w:highlight w:val="none"/>
        </w:rPr>
      </w:pPr>
      <w:bookmarkStart w:id="203" w:name="_Toc4477"/>
      <w:r>
        <w:rPr>
          <w:rFonts w:hint="eastAsia" w:ascii="宋体" w:hAnsi="宋体" w:eastAsia="宋体" w:cs="宋体"/>
          <w:b/>
          <w:color w:val="auto"/>
          <w:sz w:val="24"/>
          <w:highlight w:val="none"/>
        </w:rPr>
        <w:t>1.服务内容</w:t>
      </w:r>
      <w:bookmarkEnd w:id="203"/>
    </w:p>
    <w:p>
      <w:pPr>
        <w:keepNext w:val="0"/>
        <w:keepLines w:val="0"/>
        <w:pageBreakBefore w:val="0"/>
        <w:kinsoku/>
        <w:overflowPunct/>
        <w:topLinePunct w:val="0"/>
        <w:autoSpaceDE/>
        <w:autoSpaceDN/>
        <w:bidi w:val="0"/>
        <w:adjustRightInd/>
        <w:snapToGrid w:val="0"/>
        <w:spacing w:line="360" w:lineRule="auto"/>
        <w:ind w:left="479" w:leftChars="228"/>
        <w:jc w:val="left"/>
        <w:textAlignment w:val="auto"/>
        <w:rPr>
          <w:rFonts w:hint="eastAsia" w:ascii="宋体" w:hAnsi="宋体" w:eastAsia="宋体" w:cs="宋体"/>
          <w:b w:val="0"/>
          <w:bCs w:val="0"/>
          <w:color w:val="auto"/>
          <w:sz w:val="24"/>
          <w:highlight w:val="none"/>
          <w:u w:val="single"/>
          <w:lang w:val="en-US" w:eastAsia="zh-CN"/>
        </w:rPr>
      </w:pPr>
      <w:r>
        <w:rPr>
          <w:rFonts w:hint="eastAsia" w:ascii="宋体" w:hAnsi="宋体" w:eastAsia="宋体" w:cs="宋体"/>
          <w:b w:val="0"/>
          <w:bCs w:val="0"/>
          <w:color w:val="auto"/>
          <w:kern w:val="0"/>
          <w:sz w:val="24"/>
          <w:highlight w:val="none"/>
          <w:lang w:val="en-US" w:eastAsia="zh-CN"/>
        </w:rPr>
        <w:t>1.1</w:t>
      </w:r>
      <w:r>
        <w:rPr>
          <w:rFonts w:hint="eastAsia" w:ascii="宋体" w:hAnsi="宋体" w:eastAsia="宋体" w:cs="宋体"/>
          <w:b w:val="0"/>
          <w:bCs w:val="0"/>
          <w:color w:val="auto"/>
          <w:kern w:val="0"/>
          <w:sz w:val="24"/>
          <w:highlight w:val="none"/>
        </w:rPr>
        <w:t>项目名称：</w:t>
      </w:r>
      <w:r>
        <w:rPr>
          <w:rFonts w:hint="eastAsia" w:ascii="宋体" w:hAnsi="宋体" w:eastAsia="宋体" w:cs="宋体"/>
          <w:b w:val="0"/>
          <w:bCs w:val="0"/>
          <w:color w:val="auto"/>
          <w:sz w:val="24"/>
          <w:highlight w:val="none"/>
          <w:u w:val="single"/>
          <w:lang w:val="en-US" w:eastAsia="zh-CN"/>
        </w:rPr>
        <w:t xml:space="preserve">                  </w:t>
      </w:r>
    </w:p>
    <w:p>
      <w:pPr>
        <w:keepNext w:val="0"/>
        <w:keepLines w:val="0"/>
        <w:pageBreakBefore w:val="0"/>
        <w:kinsoku/>
        <w:overflowPunct/>
        <w:topLinePunct w:val="0"/>
        <w:autoSpaceDE/>
        <w:autoSpaceDN/>
        <w:bidi w:val="0"/>
        <w:adjustRightInd/>
        <w:snapToGrid w:val="0"/>
        <w:spacing w:line="360" w:lineRule="auto"/>
        <w:ind w:left="479" w:leftChars="228"/>
        <w:jc w:val="left"/>
        <w:textAlignment w:val="auto"/>
        <w:rPr>
          <w:rFonts w:hint="eastAsia" w:ascii="宋体" w:hAnsi="宋体" w:eastAsia="宋体" w:cs="宋体"/>
          <w:b w:val="0"/>
          <w:bCs w:val="0"/>
          <w:color w:val="auto"/>
          <w:kern w:val="0"/>
          <w:sz w:val="24"/>
          <w:highlight w:val="none"/>
          <w:u w:val="single"/>
        </w:rPr>
      </w:pPr>
      <w:r>
        <w:rPr>
          <w:rFonts w:hint="eastAsia" w:ascii="宋体" w:hAnsi="宋体" w:eastAsia="宋体" w:cs="宋体"/>
          <w:b w:val="0"/>
          <w:bCs w:val="0"/>
          <w:color w:val="auto"/>
          <w:kern w:val="0"/>
          <w:sz w:val="24"/>
          <w:highlight w:val="none"/>
          <w:lang w:val="en-US" w:eastAsia="zh-CN"/>
        </w:rPr>
        <w:t>1.2项目</w:t>
      </w:r>
      <w:r>
        <w:rPr>
          <w:rFonts w:hint="eastAsia" w:ascii="宋体" w:hAnsi="宋体" w:eastAsia="宋体" w:cs="宋体"/>
          <w:b w:val="0"/>
          <w:bCs w:val="0"/>
          <w:color w:val="auto"/>
          <w:kern w:val="0"/>
          <w:sz w:val="24"/>
          <w:highlight w:val="none"/>
        </w:rPr>
        <w:t>编号：</w:t>
      </w:r>
      <w:r>
        <w:rPr>
          <w:rFonts w:hint="eastAsia" w:ascii="宋体" w:hAnsi="宋体" w:eastAsia="宋体" w:cs="宋体"/>
          <w:b w:val="0"/>
          <w:bCs w:val="0"/>
          <w:color w:val="auto"/>
          <w:sz w:val="24"/>
          <w:highlight w:val="none"/>
          <w:u w:val="single"/>
          <w:lang w:val="en-US" w:eastAsia="zh-CN"/>
        </w:rPr>
        <w:t xml:space="preserve">                  </w:t>
      </w:r>
    </w:p>
    <w:p>
      <w:pPr>
        <w:keepNext w:val="0"/>
        <w:keepLines w:val="0"/>
        <w:pageBreakBefore w:val="0"/>
        <w:kinsoku/>
        <w:overflowPunct/>
        <w:topLinePunct w:val="0"/>
        <w:autoSpaceDE/>
        <w:autoSpaceDN/>
        <w:bidi w:val="0"/>
        <w:adjustRightInd/>
        <w:snapToGrid w:val="0"/>
        <w:spacing w:line="360" w:lineRule="auto"/>
        <w:ind w:left="479" w:leftChars="228"/>
        <w:jc w:val="left"/>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1.3项目概况：</w:t>
      </w:r>
      <w:r>
        <w:rPr>
          <w:rFonts w:hint="eastAsia" w:ascii="宋体" w:hAnsi="宋体" w:eastAsia="宋体" w:cs="宋体"/>
          <w:b w:val="0"/>
          <w:bCs w:val="0"/>
          <w:color w:val="auto"/>
          <w:sz w:val="24"/>
          <w:highlight w:val="none"/>
          <w:u w:val="single"/>
          <w:lang w:val="en-US" w:eastAsia="zh-CN"/>
        </w:rPr>
        <w:t xml:space="preserve">                  </w:t>
      </w:r>
    </w:p>
    <w:p>
      <w:pPr>
        <w:keepNext w:val="0"/>
        <w:keepLines w:val="0"/>
        <w:pageBreakBefore w:val="0"/>
        <w:kinsoku/>
        <w:overflowPunct/>
        <w:topLinePunct w:val="0"/>
        <w:autoSpaceDE/>
        <w:autoSpaceDN/>
        <w:bidi w:val="0"/>
        <w:adjustRightInd/>
        <w:spacing w:line="360" w:lineRule="auto"/>
        <w:ind w:firstLine="482" w:firstLineChars="200"/>
        <w:textAlignment w:val="auto"/>
        <w:outlineLvl w:val="1"/>
        <w:rPr>
          <w:rFonts w:hint="eastAsia" w:ascii="宋体" w:hAnsi="宋体" w:eastAsia="宋体" w:cs="宋体"/>
          <w:b/>
          <w:color w:val="auto"/>
          <w:sz w:val="24"/>
          <w:highlight w:val="none"/>
        </w:rPr>
      </w:pPr>
      <w:bookmarkStart w:id="204" w:name="_Toc3599"/>
      <w:r>
        <w:rPr>
          <w:rFonts w:hint="eastAsia" w:ascii="宋体" w:hAnsi="宋体" w:eastAsia="宋体" w:cs="宋体"/>
          <w:b/>
          <w:color w:val="auto"/>
          <w:sz w:val="24"/>
          <w:highlight w:val="none"/>
        </w:rPr>
        <w:t>2.合同金额</w:t>
      </w:r>
      <w:bookmarkEnd w:id="204"/>
    </w:p>
    <w:p>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2.1</w:t>
      </w:r>
      <w:r>
        <w:rPr>
          <w:rFonts w:hint="eastAsia" w:ascii="宋体" w:hAnsi="宋体" w:eastAsia="宋体" w:cs="宋体"/>
          <w:color w:val="auto"/>
          <w:sz w:val="24"/>
          <w:highlight w:val="none"/>
        </w:rPr>
        <w:t>本合同金额为（大写）：</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小写</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p>
    <w:p>
      <w:pPr>
        <w:keepNext w:val="0"/>
        <w:keepLines w:val="0"/>
        <w:pageBreakBefore w:val="0"/>
        <w:kinsoku/>
        <w:overflowPunct/>
        <w:topLinePunct w:val="0"/>
        <w:autoSpaceDE/>
        <w:autoSpaceDN/>
        <w:bidi w:val="0"/>
        <w:adjustRightInd/>
        <w:spacing w:line="360" w:lineRule="auto"/>
        <w:ind w:firstLine="482" w:firstLineChars="200"/>
        <w:textAlignment w:val="auto"/>
        <w:outlineLvl w:val="1"/>
        <w:rPr>
          <w:rFonts w:hint="eastAsia" w:ascii="宋体" w:hAnsi="宋体" w:eastAsia="宋体" w:cs="宋体"/>
          <w:b/>
          <w:color w:val="auto"/>
          <w:sz w:val="24"/>
          <w:highlight w:val="none"/>
        </w:rPr>
      </w:pPr>
      <w:bookmarkStart w:id="205" w:name="_Toc22970"/>
      <w:r>
        <w:rPr>
          <w:rFonts w:hint="eastAsia" w:ascii="宋体" w:hAnsi="宋体" w:eastAsia="宋体" w:cs="宋体"/>
          <w:b/>
          <w:color w:val="auto"/>
          <w:sz w:val="24"/>
          <w:highlight w:val="none"/>
        </w:rPr>
        <w:t>3.服务期限和服务地点</w:t>
      </w:r>
      <w:bookmarkEnd w:id="205"/>
    </w:p>
    <w:p>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3.1</w:t>
      </w:r>
      <w:r>
        <w:rPr>
          <w:rFonts w:hint="eastAsia" w:ascii="宋体" w:hAnsi="宋体" w:cs="宋体"/>
          <w:color w:val="auto"/>
          <w:sz w:val="24"/>
          <w:highlight w:val="none"/>
          <w:lang w:val="en-US" w:eastAsia="zh-CN"/>
        </w:rPr>
        <w:t>服务期</w:t>
      </w:r>
      <w:r>
        <w:rPr>
          <w:rFonts w:hint="eastAsia" w:ascii="宋体" w:hAnsi="宋体" w:eastAsia="宋体" w:cs="宋体"/>
          <w:color w:val="auto"/>
          <w:sz w:val="24"/>
          <w:highlight w:val="none"/>
        </w:rPr>
        <w:t>：</w:t>
      </w:r>
      <w:r>
        <w:rPr>
          <w:rFonts w:hint="eastAsia" w:ascii="宋体" w:hAnsi="宋体" w:eastAsia="宋体" w:cs="宋体"/>
          <w:b w:val="0"/>
          <w:bCs w:val="0"/>
          <w:color w:val="auto"/>
          <w:sz w:val="24"/>
          <w:highlight w:val="none"/>
          <w:u w:val="single"/>
          <w:lang w:val="en-US" w:eastAsia="zh-CN"/>
        </w:rPr>
        <w:t xml:space="preserve">                  </w:t>
      </w:r>
    </w:p>
    <w:p>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3.2服务地点：</w:t>
      </w:r>
      <w:r>
        <w:rPr>
          <w:rFonts w:hint="eastAsia" w:ascii="宋体" w:hAnsi="宋体" w:eastAsia="宋体" w:cs="宋体"/>
          <w:b w:val="0"/>
          <w:bCs w:val="0"/>
          <w:color w:val="auto"/>
          <w:sz w:val="24"/>
          <w:highlight w:val="none"/>
          <w:u w:val="single"/>
          <w:lang w:val="en-US" w:eastAsia="zh-CN"/>
        </w:rPr>
        <w:t xml:space="preserve">                  </w:t>
      </w:r>
    </w:p>
    <w:p>
      <w:pPr>
        <w:keepNext w:val="0"/>
        <w:keepLines w:val="0"/>
        <w:pageBreakBefore w:val="0"/>
        <w:numPr>
          <w:ilvl w:val="0"/>
          <w:numId w:val="4"/>
        </w:numPr>
        <w:kinsoku/>
        <w:overflowPunct/>
        <w:topLinePunct w:val="0"/>
        <w:autoSpaceDE/>
        <w:autoSpaceDN/>
        <w:bidi w:val="0"/>
        <w:adjustRightInd/>
        <w:spacing w:line="360" w:lineRule="auto"/>
        <w:ind w:firstLine="482" w:firstLineChars="200"/>
        <w:textAlignment w:val="auto"/>
        <w:outlineLvl w:val="1"/>
        <w:rPr>
          <w:rFonts w:hint="eastAsia" w:ascii="宋体" w:hAnsi="宋体" w:eastAsia="宋体" w:cs="宋体"/>
          <w:b/>
          <w:color w:val="auto"/>
          <w:sz w:val="24"/>
          <w:highlight w:val="none"/>
        </w:rPr>
      </w:pPr>
      <w:bookmarkStart w:id="206" w:name="_Toc11008"/>
      <w:r>
        <w:rPr>
          <w:rFonts w:hint="eastAsia" w:ascii="宋体" w:hAnsi="宋体" w:eastAsia="宋体" w:cs="宋体"/>
          <w:b/>
          <w:color w:val="auto"/>
          <w:sz w:val="24"/>
          <w:highlight w:val="none"/>
        </w:rPr>
        <w:t>付款方式</w:t>
      </w:r>
      <w:bookmarkEnd w:id="206"/>
    </w:p>
    <w:p>
      <w:pPr>
        <w:pStyle w:val="18"/>
        <w:keepNext w:val="0"/>
        <w:keepLines w:val="0"/>
        <w:pageBreakBefore w:val="0"/>
        <w:kinsoku/>
        <w:overflowPunct/>
        <w:topLinePunct w:val="0"/>
        <w:autoSpaceDE/>
        <w:autoSpaceDN/>
        <w:bidi w:val="0"/>
        <w:adjustRightInd/>
        <w:spacing w:line="360" w:lineRule="auto"/>
        <w:ind w:firstLine="0" w:firstLineChars="0"/>
        <w:textAlignment w:val="auto"/>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 xml:space="preserve">    付款方式：</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 xml:space="preserve"> </w:t>
      </w:r>
    </w:p>
    <w:p>
      <w:pPr>
        <w:keepNext w:val="0"/>
        <w:keepLines w:val="0"/>
        <w:pageBreakBefore w:val="0"/>
        <w:kinsoku/>
        <w:overflowPunct/>
        <w:topLinePunct w:val="0"/>
        <w:autoSpaceDE/>
        <w:autoSpaceDN/>
        <w:bidi w:val="0"/>
        <w:adjustRightInd/>
        <w:spacing w:line="360" w:lineRule="auto"/>
        <w:ind w:firstLine="482" w:firstLineChars="200"/>
        <w:textAlignment w:val="auto"/>
        <w:outlineLvl w:val="1"/>
        <w:rPr>
          <w:rFonts w:hint="eastAsia" w:ascii="宋体" w:hAnsi="宋体" w:eastAsia="宋体" w:cs="宋体"/>
          <w:b/>
          <w:color w:val="auto"/>
          <w:sz w:val="24"/>
          <w:highlight w:val="none"/>
        </w:rPr>
      </w:pPr>
      <w:bookmarkStart w:id="207" w:name="_Toc28940"/>
      <w:r>
        <w:rPr>
          <w:rFonts w:hint="eastAsia" w:ascii="宋体" w:hAnsi="宋体" w:eastAsia="宋体" w:cs="宋体"/>
          <w:b/>
          <w:color w:val="auto"/>
          <w:sz w:val="24"/>
          <w:highlight w:val="none"/>
        </w:rPr>
        <w:t>5.税费</w:t>
      </w:r>
      <w:bookmarkEnd w:id="207"/>
    </w:p>
    <w:p>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本合同执行中相关的一切税费均由乙方负担。</w:t>
      </w:r>
    </w:p>
    <w:p>
      <w:pPr>
        <w:keepNext w:val="0"/>
        <w:keepLines w:val="0"/>
        <w:pageBreakBefore w:val="0"/>
        <w:kinsoku/>
        <w:overflowPunct/>
        <w:topLinePunct w:val="0"/>
        <w:autoSpaceDE/>
        <w:autoSpaceDN/>
        <w:bidi w:val="0"/>
        <w:adjustRightInd/>
        <w:spacing w:line="360" w:lineRule="auto"/>
        <w:ind w:firstLine="482" w:firstLineChars="200"/>
        <w:textAlignment w:val="auto"/>
        <w:outlineLvl w:val="1"/>
        <w:rPr>
          <w:rFonts w:hint="eastAsia" w:ascii="宋体" w:hAnsi="宋体" w:eastAsia="宋体" w:cs="宋体"/>
          <w:b/>
          <w:color w:val="auto"/>
          <w:sz w:val="24"/>
          <w:highlight w:val="none"/>
        </w:rPr>
      </w:pPr>
      <w:bookmarkStart w:id="208" w:name="_Toc11581"/>
      <w:r>
        <w:rPr>
          <w:rFonts w:hint="eastAsia" w:ascii="宋体" w:hAnsi="宋体" w:eastAsia="宋体" w:cs="宋体"/>
          <w:b/>
          <w:color w:val="auto"/>
          <w:sz w:val="24"/>
          <w:highlight w:val="none"/>
        </w:rPr>
        <w:t>6.技术资料</w:t>
      </w:r>
      <w:bookmarkEnd w:id="208"/>
    </w:p>
    <w:p>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没有甲方事先书面同意，乙方不得将由甲方提供的有关合同或任何合同条文、规格、计划、图纸等资料提供给与履行本合同无关的任何其他人。</w:t>
      </w:r>
    </w:p>
    <w:p>
      <w:pPr>
        <w:keepNext w:val="0"/>
        <w:keepLines w:val="0"/>
        <w:pageBreakBefore w:val="0"/>
        <w:kinsoku/>
        <w:overflowPunct/>
        <w:topLinePunct w:val="0"/>
        <w:autoSpaceDE/>
        <w:autoSpaceDN/>
        <w:bidi w:val="0"/>
        <w:adjustRightInd/>
        <w:spacing w:line="360" w:lineRule="auto"/>
        <w:ind w:firstLine="482" w:firstLineChars="200"/>
        <w:textAlignment w:val="auto"/>
        <w:outlineLvl w:val="1"/>
        <w:rPr>
          <w:rFonts w:hint="eastAsia" w:ascii="宋体" w:hAnsi="宋体" w:eastAsia="宋体" w:cs="宋体"/>
          <w:b/>
          <w:color w:val="auto"/>
          <w:sz w:val="24"/>
          <w:highlight w:val="none"/>
        </w:rPr>
      </w:pPr>
      <w:bookmarkStart w:id="209" w:name="_Toc23002"/>
      <w:r>
        <w:rPr>
          <w:rFonts w:hint="eastAsia" w:ascii="宋体" w:hAnsi="宋体" w:eastAsia="宋体" w:cs="宋体"/>
          <w:b/>
          <w:color w:val="auto"/>
          <w:sz w:val="24"/>
          <w:highlight w:val="none"/>
        </w:rPr>
        <w:t>7.服务质量</w:t>
      </w:r>
      <w:bookmarkEnd w:id="209"/>
    </w:p>
    <w:p>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乙方保证所提供的服务符合招标需求及相关法律、法规要求。</w:t>
      </w:r>
    </w:p>
    <w:p>
      <w:pPr>
        <w:keepNext w:val="0"/>
        <w:keepLines w:val="0"/>
        <w:pageBreakBefore w:val="0"/>
        <w:kinsoku/>
        <w:overflowPunct/>
        <w:topLinePunct w:val="0"/>
        <w:autoSpaceDE/>
        <w:autoSpaceDN/>
        <w:bidi w:val="0"/>
        <w:adjustRightInd/>
        <w:spacing w:line="360" w:lineRule="auto"/>
        <w:ind w:firstLine="482" w:firstLineChars="200"/>
        <w:textAlignment w:val="auto"/>
        <w:outlineLvl w:val="1"/>
        <w:rPr>
          <w:rFonts w:hint="eastAsia" w:ascii="宋体" w:hAnsi="宋体" w:eastAsia="宋体" w:cs="宋体"/>
          <w:b/>
          <w:color w:val="auto"/>
          <w:sz w:val="24"/>
          <w:highlight w:val="none"/>
        </w:rPr>
      </w:pPr>
      <w:bookmarkStart w:id="210" w:name="_Toc19426"/>
      <w:r>
        <w:rPr>
          <w:rFonts w:hint="eastAsia" w:ascii="宋体" w:hAnsi="宋体" w:eastAsia="宋体" w:cs="宋体"/>
          <w:b/>
          <w:color w:val="auto"/>
          <w:sz w:val="24"/>
          <w:highlight w:val="none"/>
        </w:rPr>
        <w:t>8.无产权瑕疵条款</w:t>
      </w:r>
      <w:bookmarkEnd w:id="210"/>
    </w:p>
    <w:p>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乙方保证所提供的服务的所有权完全属于乙方且无任何抵押、查封等产权瑕疵。如有产权瑕疵的，视为乙方违约。乙方应负担由此而产生的一切损失。</w:t>
      </w:r>
    </w:p>
    <w:p>
      <w:pPr>
        <w:keepNext w:val="0"/>
        <w:keepLines w:val="0"/>
        <w:pageBreakBefore w:val="0"/>
        <w:kinsoku/>
        <w:overflowPunct/>
        <w:topLinePunct w:val="0"/>
        <w:autoSpaceDE/>
        <w:autoSpaceDN/>
        <w:bidi w:val="0"/>
        <w:adjustRightInd/>
        <w:spacing w:line="360" w:lineRule="auto"/>
        <w:ind w:firstLine="482" w:firstLineChars="200"/>
        <w:textAlignment w:val="auto"/>
        <w:outlineLvl w:val="1"/>
        <w:rPr>
          <w:rFonts w:hint="eastAsia" w:ascii="宋体" w:hAnsi="宋体" w:eastAsia="宋体" w:cs="宋体"/>
          <w:b/>
          <w:bCs w:val="0"/>
          <w:color w:val="auto"/>
          <w:sz w:val="24"/>
          <w:highlight w:val="none"/>
        </w:rPr>
      </w:pPr>
      <w:bookmarkStart w:id="211" w:name="_Toc31707"/>
      <w:r>
        <w:rPr>
          <w:rFonts w:hint="eastAsia" w:ascii="宋体" w:hAnsi="宋体" w:cs="宋体"/>
          <w:b/>
          <w:bCs w:val="0"/>
          <w:color w:val="auto"/>
          <w:sz w:val="24"/>
          <w:highlight w:val="none"/>
          <w:lang w:val="en-US" w:eastAsia="zh-CN"/>
        </w:rPr>
        <w:t>9</w:t>
      </w:r>
      <w:r>
        <w:rPr>
          <w:rFonts w:hint="eastAsia" w:ascii="宋体" w:hAnsi="宋体" w:eastAsia="宋体" w:cs="宋体"/>
          <w:b/>
          <w:bCs w:val="0"/>
          <w:color w:val="auto"/>
          <w:sz w:val="24"/>
          <w:highlight w:val="none"/>
        </w:rPr>
        <w:t>.转包或分包</w:t>
      </w:r>
      <w:bookmarkEnd w:id="211"/>
    </w:p>
    <w:p>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bCs/>
          <w:color w:val="auto"/>
          <w:sz w:val="24"/>
          <w:highlight w:val="none"/>
        </w:rPr>
      </w:pPr>
      <w:r>
        <w:rPr>
          <w:rFonts w:hint="eastAsia" w:ascii="宋体" w:hAnsi="宋体" w:cs="宋体"/>
          <w:bCs/>
          <w:color w:val="auto"/>
          <w:sz w:val="24"/>
          <w:highlight w:val="none"/>
          <w:lang w:val="en-US" w:eastAsia="zh-CN"/>
        </w:rPr>
        <w:t>9</w:t>
      </w:r>
      <w:r>
        <w:rPr>
          <w:rFonts w:hint="eastAsia" w:ascii="宋体" w:hAnsi="宋体" w:eastAsia="宋体" w:cs="宋体"/>
          <w:bCs/>
          <w:color w:val="auto"/>
          <w:sz w:val="24"/>
          <w:highlight w:val="none"/>
        </w:rPr>
        <w:t>.1</w:t>
      </w:r>
      <w:r>
        <w:rPr>
          <w:rFonts w:hint="eastAsia" w:ascii="宋体" w:hAnsi="宋体" w:cs="宋体"/>
          <w:color w:val="auto"/>
          <w:sz w:val="24"/>
          <w:highlight w:val="none"/>
          <w:lang w:val="en-US" w:eastAsia="zh-CN"/>
        </w:rPr>
        <w:t>乙方</w:t>
      </w:r>
      <w:r>
        <w:rPr>
          <w:rFonts w:hint="eastAsia" w:ascii="宋体" w:hAnsi="宋体" w:eastAsia="宋体" w:cs="宋体"/>
          <w:color w:val="auto"/>
          <w:sz w:val="24"/>
          <w:highlight w:val="none"/>
        </w:rPr>
        <w:t>未经</w:t>
      </w:r>
      <w:r>
        <w:rPr>
          <w:rFonts w:hint="eastAsia" w:ascii="宋体" w:hAnsi="宋体" w:cs="宋体"/>
          <w:color w:val="auto"/>
          <w:sz w:val="24"/>
          <w:highlight w:val="none"/>
          <w:lang w:eastAsia="zh-CN"/>
        </w:rPr>
        <w:t>甲方</w:t>
      </w:r>
      <w:r>
        <w:rPr>
          <w:rFonts w:hint="eastAsia" w:ascii="宋体" w:hAnsi="宋体" w:eastAsia="宋体" w:cs="宋体"/>
          <w:color w:val="auto"/>
          <w:sz w:val="24"/>
          <w:highlight w:val="none"/>
        </w:rPr>
        <w:t>同意，不得将所承包</w:t>
      </w:r>
      <w:r>
        <w:rPr>
          <w:rFonts w:hint="eastAsia" w:ascii="宋体" w:hAnsi="宋体" w:cs="宋体"/>
          <w:color w:val="auto"/>
          <w:sz w:val="24"/>
          <w:highlight w:val="none"/>
          <w:lang w:eastAsia="zh-CN"/>
        </w:rPr>
        <w:t>项目</w:t>
      </w:r>
      <w:r>
        <w:rPr>
          <w:rFonts w:hint="eastAsia" w:ascii="宋体" w:hAnsi="宋体" w:eastAsia="宋体" w:cs="宋体"/>
          <w:color w:val="auto"/>
          <w:sz w:val="24"/>
          <w:highlight w:val="none"/>
        </w:rPr>
        <w:t>的任何部分分包，也不允许转包给他人，更不得将其承包的全部</w:t>
      </w:r>
      <w:r>
        <w:rPr>
          <w:rFonts w:hint="eastAsia" w:ascii="宋体" w:hAnsi="宋体" w:cs="宋体"/>
          <w:color w:val="auto"/>
          <w:sz w:val="24"/>
          <w:highlight w:val="none"/>
          <w:lang w:eastAsia="zh-CN"/>
        </w:rPr>
        <w:t>项目</w:t>
      </w:r>
      <w:r>
        <w:rPr>
          <w:rFonts w:hint="eastAsia" w:ascii="宋体" w:hAnsi="宋体" w:eastAsia="宋体" w:cs="宋体"/>
          <w:color w:val="auto"/>
          <w:sz w:val="24"/>
          <w:highlight w:val="none"/>
        </w:rPr>
        <w:t>肢解以后以分包的名义分别转包给他人。如发现转包，</w:t>
      </w:r>
      <w:r>
        <w:rPr>
          <w:rFonts w:hint="eastAsia" w:ascii="宋体" w:hAnsi="宋体" w:cs="宋体"/>
          <w:color w:val="auto"/>
          <w:sz w:val="24"/>
          <w:highlight w:val="none"/>
          <w:lang w:eastAsia="zh-CN"/>
        </w:rPr>
        <w:t>甲方</w:t>
      </w:r>
      <w:r>
        <w:rPr>
          <w:rFonts w:hint="eastAsia" w:ascii="宋体" w:hAnsi="宋体" w:eastAsia="宋体" w:cs="宋体"/>
          <w:color w:val="auto"/>
          <w:sz w:val="24"/>
          <w:highlight w:val="none"/>
        </w:rPr>
        <w:t>有权终止合同，由此而造成的经济损失，由</w:t>
      </w:r>
      <w:r>
        <w:rPr>
          <w:rFonts w:hint="eastAsia" w:ascii="宋体" w:hAnsi="宋体" w:cs="宋体"/>
          <w:color w:val="auto"/>
          <w:sz w:val="24"/>
          <w:highlight w:val="none"/>
          <w:lang w:val="en-US" w:eastAsia="zh-CN"/>
        </w:rPr>
        <w:t>乙方</w:t>
      </w:r>
      <w:r>
        <w:rPr>
          <w:rFonts w:hint="eastAsia" w:ascii="宋体" w:hAnsi="宋体" w:eastAsia="宋体" w:cs="宋体"/>
          <w:color w:val="auto"/>
          <w:sz w:val="24"/>
          <w:highlight w:val="none"/>
        </w:rPr>
        <w:t>负责赔偿。</w:t>
      </w:r>
    </w:p>
    <w:p>
      <w:pPr>
        <w:keepNext w:val="0"/>
        <w:keepLines w:val="0"/>
        <w:pageBreakBefore w:val="0"/>
        <w:kinsoku/>
        <w:overflowPunct/>
        <w:topLinePunct w:val="0"/>
        <w:autoSpaceDE/>
        <w:autoSpaceDN/>
        <w:bidi w:val="0"/>
        <w:adjustRightInd/>
        <w:spacing w:line="360" w:lineRule="auto"/>
        <w:ind w:firstLine="482" w:firstLineChars="200"/>
        <w:textAlignment w:val="auto"/>
        <w:outlineLvl w:val="1"/>
        <w:rPr>
          <w:rFonts w:hint="eastAsia" w:ascii="宋体" w:hAnsi="宋体" w:eastAsia="宋体" w:cs="宋体"/>
          <w:b/>
          <w:color w:val="auto"/>
          <w:sz w:val="24"/>
          <w:highlight w:val="none"/>
        </w:rPr>
      </w:pPr>
      <w:bookmarkStart w:id="212" w:name="_Toc20653"/>
      <w:r>
        <w:rPr>
          <w:rFonts w:hint="eastAsia" w:ascii="宋体" w:hAnsi="宋体" w:cs="宋体"/>
          <w:b/>
          <w:color w:val="auto"/>
          <w:sz w:val="24"/>
          <w:highlight w:val="none"/>
          <w:lang w:val="en-US" w:eastAsia="zh-CN"/>
        </w:rPr>
        <w:t>10</w:t>
      </w:r>
      <w:r>
        <w:rPr>
          <w:rFonts w:hint="eastAsia" w:ascii="宋体" w:hAnsi="宋体" w:eastAsia="宋体" w:cs="宋体"/>
          <w:b/>
          <w:color w:val="auto"/>
          <w:sz w:val="24"/>
          <w:highlight w:val="none"/>
        </w:rPr>
        <w:t>.质量保证</w:t>
      </w:r>
      <w:bookmarkEnd w:id="212"/>
    </w:p>
    <w:p>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乙方应提供优质服务，保证服务质量，且不能低于合同规定的范围和种类。</w:t>
      </w:r>
    </w:p>
    <w:p>
      <w:pPr>
        <w:keepNext w:val="0"/>
        <w:keepLines w:val="0"/>
        <w:pageBreakBefore w:val="0"/>
        <w:kinsoku/>
        <w:overflowPunct/>
        <w:topLinePunct w:val="0"/>
        <w:autoSpaceDE/>
        <w:autoSpaceDN/>
        <w:bidi w:val="0"/>
        <w:adjustRightInd/>
        <w:spacing w:line="360" w:lineRule="auto"/>
        <w:ind w:firstLine="482" w:firstLineChars="200"/>
        <w:textAlignment w:val="auto"/>
        <w:outlineLvl w:val="1"/>
        <w:rPr>
          <w:rFonts w:hint="eastAsia" w:ascii="宋体" w:hAnsi="宋体" w:eastAsia="宋体" w:cs="宋体"/>
          <w:b/>
          <w:color w:val="auto"/>
          <w:sz w:val="24"/>
          <w:highlight w:val="none"/>
        </w:rPr>
      </w:pPr>
      <w:bookmarkStart w:id="213" w:name="_Toc32561"/>
      <w:r>
        <w:rPr>
          <w:rFonts w:hint="eastAsia" w:ascii="宋体" w:hAnsi="宋体" w:cs="宋体"/>
          <w:b/>
          <w:color w:val="auto"/>
          <w:sz w:val="24"/>
          <w:highlight w:val="none"/>
          <w:lang w:val="en-US" w:eastAsia="zh-CN"/>
        </w:rPr>
        <w:t>11</w:t>
      </w:r>
      <w:r>
        <w:rPr>
          <w:rFonts w:hint="eastAsia" w:ascii="宋体" w:hAnsi="宋体" w:eastAsia="宋体" w:cs="宋体"/>
          <w:b/>
          <w:color w:val="auto"/>
          <w:sz w:val="24"/>
          <w:highlight w:val="none"/>
        </w:rPr>
        <w:t>.验收</w:t>
      </w:r>
      <w:bookmarkEnd w:id="213"/>
    </w:p>
    <w:p>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验收严格按照招标文件和投标文件规定的标准进行验收。</w:t>
      </w:r>
    </w:p>
    <w:p>
      <w:pPr>
        <w:keepNext w:val="0"/>
        <w:keepLines w:val="0"/>
        <w:pageBreakBefore w:val="0"/>
        <w:kinsoku/>
        <w:overflowPunct/>
        <w:topLinePunct w:val="0"/>
        <w:autoSpaceDE/>
        <w:autoSpaceDN/>
        <w:bidi w:val="0"/>
        <w:adjustRightInd/>
        <w:spacing w:line="360" w:lineRule="auto"/>
        <w:ind w:firstLine="482" w:firstLineChars="200"/>
        <w:textAlignment w:val="auto"/>
        <w:outlineLvl w:val="1"/>
        <w:rPr>
          <w:rFonts w:hint="eastAsia" w:ascii="宋体" w:hAnsi="宋体" w:eastAsia="宋体" w:cs="宋体"/>
          <w:b/>
          <w:color w:val="auto"/>
          <w:sz w:val="24"/>
          <w:highlight w:val="none"/>
        </w:rPr>
      </w:pPr>
      <w:bookmarkStart w:id="214" w:name="_Toc6956"/>
      <w:r>
        <w:rPr>
          <w:rFonts w:hint="eastAsia" w:ascii="宋体" w:hAnsi="宋体" w:cs="宋体"/>
          <w:b/>
          <w:color w:val="auto"/>
          <w:sz w:val="24"/>
          <w:highlight w:val="none"/>
          <w:lang w:val="en-US" w:eastAsia="zh-CN"/>
        </w:rPr>
        <w:t>12</w:t>
      </w:r>
      <w:r>
        <w:rPr>
          <w:rFonts w:hint="eastAsia" w:ascii="宋体" w:hAnsi="宋体" w:eastAsia="宋体" w:cs="宋体"/>
          <w:b/>
          <w:color w:val="auto"/>
          <w:sz w:val="24"/>
          <w:highlight w:val="none"/>
        </w:rPr>
        <w:t>.甲方的权利和义务</w:t>
      </w:r>
      <w:bookmarkEnd w:id="214"/>
    </w:p>
    <w:p>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.1甲方有权对合同规定范围内乙方的服务行为进行监督和检查，拥有监管权。有权定期核对乙方提供服务所配备的人员数量等。对乙方未按照合同履行的部分有权下达整改通知书，并要求乙方限期整改。</w:t>
      </w:r>
    </w:p>
    <w:p>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.2甲方有权依据双方签订的考评办法对乙方提供的服务进行定期考评。当考评结果未达到标准时，有权依据考评办法约定的数额扣除履约保证金。</w:t>
      </w:r>
    </w:p>
    <w:p>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.3负责检查监督乙方管理工作的实施及制度的执行情况。</w:t>
      </w:r>
    </w:p>
    <w:p>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.4国家法律、法规所规定由甲方承担的其它责任。</w:t>
      </w:r>
    </w:p>
    <w:p>
      <w:pPr>
        <w:keepNext w:val="0"/>
        <w:keepLines w:val="0"/>
        <w:pageBreakBefore w:val="0"/>
        <w:kinsoku/>
        <w:overflowPunct/>
        <w:topLinePunct w:val="0"/>
        <w:autoSpaceDE/>
        <w:autoSpaceDN/>
        <w:bidi w:val="0"/>
        <w:adjustRightInd/>
        <w:spacing w:line="360" w:lineRule="auto"/>
        <w:ind w:firstLine="482" w:firstLineChars="200"/>
        <w:textAlignment w:val="auto"/>
        <w:outlineLvl w:val="1"/>
        <w:rPr>
          <w:rFonts w:hint="eastAsia" w:ascii="宋体" w:hAnsi="宋体" w:eastAsia="宋体" w:cs="宋体"/>
          <w:b/>
          <w:color w:val="auto"/>
          <w:sz w:val="24"/>
          <w:highlight w:val="none"/>
        </w:rPr>
      </w:pPr>
      <w:bookmarkStart w:id="215" w:name="_Toc1370"/>
      <w:r>
        <w:rPr>
          <w:rFonts w:hint="eastAsia" w:ascii="宋体" w:hAnsi="宋体" w:eastAsia="宋体" w:cs="宋体"/>
          <w:b/>
          <w:color w:val="auto"/>
          <w:sz w:val="24"/>
          <w:highlight w:val="none"/>
        </w:rPr>
        <w:t>1</w:t>
      </w:r>
      <w:r>
        <w:rPr>
          <w:rFonts w:hint="eastAsia" w:ascii="宋体" w:hAnsi="宋体" w:cs="宋体"/>
          <w:b/>
          <w:color w:val="auto"/>
          <w:sz w:val="24"/>
          <w:highlight w:val="none"/>
          <w:lang w:val="en-US" w:eastAsia="zh-CN"/>
        </w:rPr>
        <w:t>3</w:t>
      </w:r>
      <w:r>
        <w:rPr>
          <w:rFonts w:hint="eastAsia" w:ascii="宋体" w:hAnsi="宋体" w:eastAsia="宋体" w:cs="宋体"/>
          <w:b/>
          <w:color w:val="auto"/>
          <w:sz w:val="24"/>
          <w:highlight w:val="none"/>
        </w:rPr>
        <w:t>.乙方的权利和义务</w:t>
      </w:r>
      <w:bookmarkEnd w:id="215"/>
    </w:p>
    <w:p>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.1对本合同规定的委托服务范围内的项目享有管理权及服务义务。</w:t>
      </w:r>
    </w:p>
    <w:p>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.2对甲方下达整改通知书及时配合处理。</w:t>
      </w:r>
    </w:p>
    <w:p>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.3接受项目行业管理部门及政府有关部门的指导，接受甲方的监督。</w:t>
      </w:r>
    </w:p>
    <w:p>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.4国家法律、法规所规定由乙方承担的其它责任。</w:t>
      </w:r>
    </w:p>
    <w:p>
      <w:pPr>
        <w:keepNext w:val="0"/>
        <w:keepLines w:val="0"/>
        <w:pageBreakBefore w:val="0"/>
        <w:kinsoku/>
        <w:overflowPunct/>
        <w:topLinePunct w:val="0"/>
        <w:autoSpaceDE/>
        <w:autoSpaceDN/>
        <w:bidi w:val="0"/>
        <w:adjustRightInd/>
        <w:spacing w:line="360" w:lineRule="auto"/>
        <w:ind w:firstLine="482" w:firstLineChars="200"/>
        <w:textAlignment w:val="auto"/>
        <w:outlineLvl w:val="1"/>
        <w:rPr>
          <w:rFonts w:hint="eastAsia" w:ascii="宋体" w:hAnsi="宋体" w:eastAsia="宋体" w:cs="宋体"/>
          <w:b/>
          <w:color w:val="auto"/>
          <w:sz w:val="24"/>
          <w:highlight w:val="none"/>
        </w:rPr>
      </w:pPr>
      <w:bookmarkStart w:id="216" w:name="_Toc11872"/>
      <w:r>
        <w:rPr>
          <w:rFonts w:hint="eastAsia" w:ascii="宋体" w:hAnsi="宋体" w:eastAsia="宋体" w:cs="宋体"/>
          <w:b/>
          <w:color w:val="auto"/>
          <w:sz w:val="24"/>
          <w:highlight w:val="none"/>
        </w:rPr>
        <w:t>1</w:t>
      </w:r>
      <w:r>
        <w:rPr>
          <w:rFonts w:hint="eastAsia" w:ascii="宋体" w:hAnsi="宋体" w:cs="宋体"/>
          <w:b/>
          <w:color w:val="auto"/>
          <w:sz w:val="24"/>
          <w:highlight w:val="none"/>
          <w:lang w:val="en-US" w:eastAsia="zh-CN"/>
        </w:rPr>
        <w:t>4</w:t>
      </w:r>
      <w:r>
        <w:rPr>
          <w:rFonts w:hint="eastAsia" w:ascii="宋体" w:hAnsi="宋体" w:eastAsia="宋体" w:cs="宋体"/>
          <w:b/>
          <w:color w:val="auto"/>
          <w:sz w:val="24"/>
          <w:highlight w:val="none"/>
        </w:rPr>
        <w:t>. 违约责任</w:t>
      </w:r>
      <w:bookmarkEnd w:id="216"/>
    </w:p>
    <w:p>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.1甲乙双方必须遵守本合同并执行合同中的各项规定，保证本合同的正常履行。</w:t>
      </w:r>
    </w:p>
    <w:p>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pPr>
        <w:keepNext w:val="0"/>
        <w:keepLines w:val="0"/>
        <w:pageBreakBefore w:val="0"/>
        <w:kinsoku/>
        <w:overflowPunct/>
        <w:topLinePunct w:val="0"/>
        <w:autoSpaceDE/>
        <w:autoSpaceDN/>
        <w:bidi w:val="0"/>
        <w:adjustRightInd/>
        <w:spacing w:line="360" w:lineRule="auto"/>
        <w:ind w:firstLine="482" w:firstLineChars="200"/>
        <w:textAlignment w:val="auto"/>
        <w:outlineLvl w:val="1"/>
        <w:rPr>
          <w:rFonts w:hint="eastAsia" w:ascii="宋体" w:hAnsi="宋体" w:eastAsia="宋体" w:cs="宋体"/>
          <w:b/>
          <w:color w:val="auto"/>
          <w:sz w:val="24"/>
          <w:highlight w:val="none"/>
        </w:rPr>
      </w:pPr>
      <w:bookmarkStart w:id="217" w:name="_Toc22219"/>
      <w:r>
        <w:rPr>
          <w:rFonts w:hint="eastAsia" w:ascii="宋体" w:hAnsi="宋体" w:eastAsia="宋体" w:cs="宋体"/>
          <w:b/>
          <w:color w:val="auto"/>
          <w:sz w:val="24"/>
          <w:highlight w:val="none"/>
        </w:rPr>
        <w:t>1</w:t>
      </w:r>
      <w:r>
        <w:rPr>
          <w:rFonts w:hint="eastAsia" w:ascii="宋体" w:hAnsi="宋体" w:cs="宋体"/>
          <w:b/>
          <w:color w:val="auto"/>
          <w:sz w:val="24"/>
          <w:highlight w:val="none"/>
          <w:lang w:val="en-US" w:eastAsia="zh-CN"/>
        </w:rPr>
        <w:t>5</w:t>
      </w:r>
      <w:r>
        <w:rPr>
          <w:rFonts w:hint="eastAsia" w:ascii="宋体" w:hAnsi="宋体" w:eastAsia="宋体" w:cs="宋体"/>
          <w:b/>
          <w:color w:val="auto"/>
          <w:sz w:val="24"/>
          <w:highlight w:val="none"/>
        </w:rPr>
        <w:t>.不可抗力事件处理</w:t>
      </w:r>
      <w:bookmarkEnd w:id="217"/>
    </w:p>
    <w:p>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.2 本合同中的不可抗力指不能预见、不能避免并不能克服的客观情况。包括但不限于：自然灾害如地震、台风、洪水、火灾；政府行为、法律规定或其适用的变化或者其他任何无法预见、避免或者控制的事件。</w:t>
      </w:r>
    </w:p>
    <w:p>
      <w:pPr>
        <w:keepNext w:val="0"/>
        <w:keepLines w:val="0"/>
        <w:pageBreakBefore w:val="0"/>
        <w:kinsoku/>
        <w:overflowPunct/>
        <w:topLinePunct w:val="0"/>
        <w:autoSpaceDE/>
        <w:autoSpaceDN/>
        <w:bidi w:val="0"/>
        <w:adjustRightInd/>
        <w:spacing w:line="360" w:lineRule="auto"/>
        <w:ind w:firstLine="482" w:firstLineChars="200"/>
        <w:textAlignment w:val="auto"/>
        <w:outlineLvl w:val="1"/>
        <w:rPr>
          <w:rFonts w:hint="eastAsia" w:ascii="宋体" w:hAnsi="宋体" w:eastAsia="宋体" w:cs="宋体"/>
          <w:b/>
          <w:color w:val="auto"/>
          <w:sz w:val="24"/>
          <w:highlight w:val="none"/>
        </w:rPr>
      </w:pPr>
      <w:bookmarkStart w:id="218" w:name="_Toc9345"/>
      <w:r>
        <w:rPr>
          <w:rFonts w:hint="eastAsia" w:ascii="宋体" w:hAnsi="宋体" w:eastAsia="宋体" w:cs="宋体"/>
          <w:b/>
          <w:color w:val="auto"/>
          <w:sz w:val="24"/>
          <w:highlight w:val="none"/>
        </w:rPr>
        <w:t>1</w:t>
      </w:r>
      <w:r>
        <w:rPr>
          <w:rFonts w:hint="eastAsia" w:ascii="宋体" w:hAnsi="宋体" w:cs="宋体"/>
          <w:b/>
          <w:color w:val="auto"/>
          <w:sz w:val="24"/>
          <w:highlight w:val="none"/>
          <w:lang w:val="en-US" w:eastAsia="zh-CN"/>
        </w:rPr>
        <w:t>6</w:t>
      </w:r>
      <w:r>
        <w:rPr>
          <w:rFonts w:hint="eastAsia" w:ascii="宋体" w:hAnsi="宋体" w:eastAsia="宋体" w:cs="宋体"/>
          <w:b/>
          <w:color w:val="auto"/>
          <w:sz w:val="24"/>
          <w:highlight w:val="none"/>
        </w:rPr>
        <w:t>.合同纠纷处理</w:t>
      </w:r>
      <w:bookmarkEnd w:id="218"/>
    </w:p>
    <w:p>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因本合同或与本合同有关的一切事项发生争议，由双方友好协商解决。协商不成的，任何一方均可选择向合同签订地人民法院提起诉讼解决</w:t>
      </w:r>
      <w:r>
        <w:rPr>
          <w:rFonts w:hint="eastAsia" w:ascii="宋体" w:hAnsi="宋体" w:eastAsia="宋体" w:cs="宋体"/>
          <w:color w:val="auto"/>
          <w:sz w:val="24"/>
          <w:highlight w:val="none"/>
          <w:lang w:eastAsia="zh-CN"/>
        </w:rPr>
        <w:t>。</w:t>
      </w:r>
    </w:p>
    <w:p>
      <w:pPr>
        <w:keepNext w:val="0"/>
        <w:keepLines w:val="0"/>
        <w:pageBreakBefore w:val="0"/>
        <w:kinsoku/>
        <w:overflowPunct/>
        <w:topLinePunct w:val="0"/>
        <w:autoSpaceDE/>
        <w:autoSpaceDN/>
        <w:bidi w:val="0"/>
        <w:adjustRightInd/>
        <w:spacing w:line="360" w:lineRule="auto"/>
        <w:ind w:firstLine="482" w:firstLineChars="200"/>
        <w:textAlignment w:val="auto"/>
        <w:outlineLvl w:val="1"/>
        <w:rPr>
          <w:rFonts w:hint="eastAsia" w:ascii="宋体" w:hAnsi="宋体" w:eastAsia="宋体" w:cs="宋体"/>
          <w:b/>
          <w:color w:val="auto"/>
          <w:sz w:val="24"/>
          <w:highlight w:val="none"/>
        </w:rPr>
      </w:pPr>
      <w:bookmarkStart w:id="219" w:name="_Toc4650"/>
      <w:r>
        <w:rPr>
          <w:rFonts w:hint="eastAsia" w:ascii="宋体" w:hAnsi="宋体" w:eastAsia="宋体" w:cs="宋体"/>
          <w:b/>
          <w:color w:val="auto"/>
          <w:sz w:val="24"/>
          <w:highlight w:val="none"/>
        </w:rPr>
        <w:t>1</w:t>
      </w:r>
      <w:r>
        <w:rPr>
          <w:rFonts w:hint="eastAsia" w:ascii="宋体" w:hAnsi="宋体" w:cs="宋体"/>
          <w:b/>
          <w:color w:val="auto"/>
          <w:sz w:val="24"/>
          <w:highlight w:val="none"/>
          <w:lang w:val="en-US" w:eastAsia="zh-CN"/>
        </w:rPr>
        <w:t>7</w:t>
      </w:r>
      <w:r>
        <w:rPr>
          <w:rFonts w:hint="eastAsia" w:ascii="宋体" w:hAnsi="宋体" w:eastAsia="宋体" w:cs="宋体"/>
          <w:b/>
          <w:color w:val="auto"/>
          <w:sz w:val="24"/>
          <w:highlight w:val="none"/>
        </w:rPr>
        <w:t>.违约解除合同</w:t>
      </w:r>
      <w:bookmarkEnd w:id="219"/>
    </w:p>
    <w:p>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.1违反本合同第10条的规定的</w:t>
      </w:r>
      <w:r>
        <w:rPr>
          <w:rFonts w:hint="eastAsia" w:ascii="宋体" w:hAnsi="宋体" w:eastAsia="宋体" w:cs="宋体"/>
          <w:color w:val="auto"/>
          <w:sz w:val="24"/>
          <w:highlight w:val="none"/>
          <w:lang w:eastAsia="zh-CN"/>
        </w:rPr>
        <w:t>；</w:t>
      </w:r>
    </w:p>
    <w:p>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.2 乙方未能履行合同规定的其它主要义务的</w:t>
      </w:r>
      <w:r>
        <w:rPr>
          <w:rFonts w:hint="eastAsia" w:ascii="宋体" w:hAnsi="宋体" w:eastAsia="宋体" w:cs="宋体"/>
          <w:color w:val="auto"/>
          <w:sz w:val="24"/>
          <w:highlight w:val="none"/>
          <w:lang w:eastAsia="zh-CN"/>
        </w:rPr>
        <w:t>；</w:t>
      </w:r>
    </w:p>
    <w:p>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.3 在本合同履行过程中有腐败和欺诈行为的。</w:t>
      </w:r>
    </w:p>
    <w:p>
      <w:pPr>
        <w:keepNext w:val="0"/>
        <w:keepLines w:val="0"/>
        <w:pageBreakBefore w:val="0"/>
        <w:kinsoku/>
        <w:overflowPunct/>
        <w:topLinePunct w:val="0"/>
        <w:autoSpaceDE/>
        <w:autoSpaceDN/>
        <w:bidi w:val="0"/>
        <w:adjustRightInd/>
        <w:spacing w:line="360" w:lineRule="auto"/>
        <w:ind w:firstLine="482" w:firstLineChars="200"/>
        <w:textAlignment w:val="auto"/>
        <w:outlineLvl w:val="1"/>
        <w:rPr>
          <w:rFonts w:hint="eastAsia" w:ascii="宋体" w:hAnsi="宋体" w:eastAsia="宋体" w:cs="宋体"/>
          <w:b/>
          <w:color w:val="auto"/>
          <w:sz w:val="24"/>
          <w:highlight w:val="none"/>
        </w:rPr>
      </w:pPr>
      <w:bookmarkStart w:id="220" w:name="_Toc448"/>
      <w:r>
        <w:rPr>
          <w:rFonts w:hint="eastAsia" w:ascii="宋体" w:hAnsi="宋体" w:eastAsia="宋体" w:cs="宋体"/>
          <w:b/>
          <w:color w:val="auto"/>
          <w:sz w:val="24"/>
          <w:highlight w:val="none"/>
        </w:rPr>
        <w:t>1</w:t>
      </w:r>
      <w:r>
        <w:rPr>
          <w:rFonts w:hint="eastAsia" w:ascii="宋体" w:hAnsi="宋体" w:cs="宋体"/>
          <w:b/>
          <w:color w:val="auto"/>
          <w:sz w:val="24"/>
          <w:highlight w:val="none"/>
          <w:lang w:val="en-US" w:eastAsia="zh-CN"/>
        </w:rPr>
        <w:t>8</w:t>
      </w:r>
      <w:r>
        <w:rPr>
          <w:rFonts w:hint="eastAsia" w:ascii="宋体" w:hAnsi="宋体" w:eastAsia="宋体" w:cs="宋体"/>
          <w:b/>
          <w:color w:val="auto"/>
          <w:sz w:val="24"/>
          <w:highlight w:val="none"/>
        </w:rPr>
        <w:t>.其他约定</w:t>
      </w:r>
      <w:bookmarkEnd w:id="220"/>
    </w:p>
    <w:p>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.1 本采购项目的招标文件、中标</w:t>
      </w:r>
      <w:r>
        <w:rPr>
          <w:rFonts w:hint="eastAsia" w:ascii="宋体" w:hAnsi="宋体" w:eastAsia="宋体" w:cs="宋体"/>
          <w:color w:val="auto"/>
          <w:sz w:val="24"/>
          <w:highlight w:val="none"/>
          <w:lang w:val="en-US" w:eastAsia="zh-CN"/>
        </w:rPr>
        <w:t>人</w:t>
      </w:r>
      <w:r>
        <w:rPr>
          <w:rFonts w:hint="eastAsia" w:ascii="宋体" w:hAnsi="宋体" w:eastAsia="宋体" w:cs="宋体"/>
          <w:color w:val="auto"/>
          <w:sz w:val="24"/>
          <w:highlight w:val="none"/>
        </w:rPr>
        <w:t>的投标文件以及相关的澄清确认函（如有）均为本合同不可分割的一部分，与本合同具有同等法律效力。</w:t>
      </w:r>
    </w:p>
    <w:p>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.2 本合同未尽事宜，双方另行补充。</w:t>
      </w:r>
    </w:p>
    <w:p>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.3本合同正本一式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份，具有同等法律效力，甲、乙双方各执</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份。</w:t>
      </w:r>
    </w:p>
    <w:p>
      <w:pPr>
        <w:keepNext w:val="0"/>
        <w:keepLines w:val="0"/>
        <w:pageBreakBefore w:val="0"/>
        <w:widowControl/>
        <w:kinsoku/>
        <w:wordWrap w:val="0"/>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甲    方：                            乙    方：</w:t>
      </w:r>
    </w:p>
    <w:p>
      <w:pPr>
        <w:keepNext w:val="0"/>
        <w:keepLines w:val="0"/>
        <w:pageBreakBefore w:val="0"/>
        <w:widowControl/>
        <w:kinsoku/>
        <w:wordWrap w:val="0"/>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单位地址：                            单位地址：</w:t>
      </w:r>
    </w:p>
    <w:p>
      <w:pPr>
        <w:keepNext w:val="0"/>
        <w:keepLines w:val="0"/>
        <w:pageBreakBefore w:val="0"/>
        <w:widowControl/>
        <w:kinsoku/>
        <w:wordWrap w:val="0"/>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                          法定代表人：</w:t>
      </w:r>
    </w:p>
    <w:p>
      <w:pPr>
        <w:keepNext w:val="0"/>
        <w:keepLines w:val="0"/>
        <w:pageBreakBefore w:val="0"/>
        <w:widowControl/>
        <w:kinsoku/>
        <w:wordWrap w:val="0"/>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                          委托代理人：</w:t>
      </w:r>
    </w:p>
    <w:p>
      <w:pPr>
        <w:keepNext w:val="0"/>
        <w:keepLines w:val="0"/>
        <w:pageBreakBefore w:val="0"/>
        <w:widowControl/>
        <w:kinsoku/>
        <w:wordWrap w:val="0"/>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电    话：                            电    话：  </w:t>
      </w:r>
    </w:p>
    <w:p>
      <w:pPr>
        <w:keepNext w:val="0"/>
        <w:keepLines w:val="0"/>
        <w:pageBreakBefore w:val="0"/>
        <w:widowControl/>
        <w:kinsoku/>
        <w:wordWrap w:val="0"/>
        <w:overflowPunct/>
        <w:topLinePunct w:val="0"/>
        <w:autoSpaceDE/>
        <w:autoSpaceDN/>
        <w:bidi w:val="0"/>
        <w:adjustRightInd/>
        <w:snapToGrid w:val="0"/>
        <w:spacing w:line="360" w:lineRule="auto"/>
        <w:ind w:firstLine="480" w:firstLineChars="200"/>
        <w:jc w:val="righ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签订日期：</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pPr>
        <w:widowControl/>
        <w:jc w:val="center"/>
        <w:outlineLvl w:val="0"/>
        <w:rPr>
          <w:rFonts w:hint="eastAsia" w:ascii="宋体" w:hAnsi="宋体" w:eastAsia="宋体"/>
          <w:b/>
          <w:bCs/>
          <w:color w:val="auto"/>
          <w:sz w:val="32"/>
          <w:szCs w:val="32"/>
          <w:lang w:val="en-US"/>
        </w:rPr>
      </w:pPr>
      <w:r>
        <w:rPr>
          <w:rFonts w:ascii="宋体" w:hAnsi="宋体" w:eastAsia="宋体"/>
          <w:b/>
          <w:color w:val="auto"/>
          <w:sz w:val="30"/>
          <w:szCs w:val="30"/>
        </w:rPr>
        <w:br w:type="page"/>
      </w:r>
      <w:bookmarkStart w:id="221" w:name="_Toc351203633"/>
      <w:bookmarkEnd w:id="221"/>
      <w:bookmarkStart w:id="222" w:name="_Toc30457"/>
      <w:bookmarkStart w:id="223" w:name="_Toc10941"/>
      <w:bookmarkStart w:id="224" w:name="_Toc25270"/>
      <w:r>
        <w:rPr>
          <w:rFonts w:hint="eastAsia" w:ascii="宋体" w:hAnsi="宋体" w:eastAsia="宋体"/>
          <w:b/>
          <w:bCs/>
          <w:color w:val="auto"/>
          <w:sz w:val="32"/>
          <w:szCs w:val="32"/>
        </w:rPr>
        <w:t>第五章</w:t>
      </w:r>
      <w:bookmarkEnd w:id="222"/>
      <w:bookmarkEnd w:id="223"/>
      <w:r>
        <w:rPr>
          <w:rFonts w:hint="eastAsia" w:ascii="宋体" w:hAnsi="宋体" w:eastAsia="宋体"/>
          <w:b/>
          <w:bCs/>
          <w:color w:val="auto"/>
          <w:sz w:val="32"/>
          <w:szCs w:val="32"/>
        </w:rPr>
        <w:t xml:space="preserve"> </w:t>
      </w:r>
      <w:r>
        <w:rPr>
          <w:rFonts w:hint="eastAsia" w:ascii="宋体" w:hAnsi="宋体" w:eastAsia="宋体"/>
          <w:b/>
          <w:bCs/>
          <w:color w:val="auto"/>
          <w:sz w:val="32"/>
          <w:szCs w:val="32"/>
          <w:lang w:eastAsia="zh-CN"/>
        </w:rPr>
        <w:t>服务内容</w:t>
      </w:r>
      <w:bookmarkEnd w:id="224"/>
    </w:p>
    <w:p>
      <w:pPr>
        <w:spacing w:line="360" w:lineRule="auto"/>
        <w:ind w:firstLine="482" w:firstLineChars="200"/>
        <w:rPr>
          <w:rFonts w:hint="eastAsia" w:ascii="宋体" w:hAnsi="宋体" w:eastAsia="宋体" w:cs="宋体"/>
          <w:b/>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lang w:eastAsia="zh-CN"/>
        </w:rPr>
        <w:t>项目</w:t>
      </w:r>
      <w:r>
        <w:rPr>
          <w:rFonts w:hint="eastAsia" w:ascii="宋体" w:hAnsi="宋体" w:eastAsia="宋体" w:cs="宋体"/>
          <w:b w:val="0"/>
          <w:bCs/>
          <w:sz w:val="24"/>
          <w:szCs w:val="24"/>
          <w:lang w:val="en-US" w:eastAsia="zh-CN"/>
        </w:rPr>
        <w:t>名称</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三门峡市湖滨区人力资源和社会保障局就业创业平台技术服务项。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lang w:eastAsia="zh-CN"/>
        </w:rPr>
        <w:t>服务内容：本项目为三门峡市湖滨区人力资源和社会保障局就业创业平台技术服务项目；主要</w:t>
      </w:r>
      <w:r>
        <w:rPr>
          <w:rFonts w:hint="eastAsia" w:ascii="宋体" w:hAnsi="宋体" w:eastAsia="宋体" w:cs="宋体"/>
          <w:b w:val="0"/>
          <w:bCs/>
          <w:sz w:val="24"/>
          <w:szCs w:val="24"/>
          <w:lang w:val="en-US" w:eastAsia="zh-CN"/>
        </w:rPr>
        <w:t>内容为</w:t>
      </w:r>
      <w:r>
        <w:rPr>
          <w:rFonts w:hint="eastAsia" w:ascii="宋体" w:hAnsi="宋体" w:eastAsia="宋体" w:cs="宋体"/>
          <w:b w:val="0"/>
          <w:bCs/>
          <w:sz w:val="24"/>
          <w:szCs w:val="24"/>
          <w:lang w:eastAsia="zh-CN"/>
        </w:rPr>
        <w:t>相关软件开发技术及维护等服务。</w:t>
      </w:r>
      <w:r>
        <w:rPr>
          <w:rFonts w:hint="eastAsia" w:ascii="宋体" w:hAnsi="宋体" w:eastAsia="宋体" w:cs="宋体"/>
          <w:b w:val="0"/>
          <w:bCs/>
          <w:sz w:val="24"/>
          <w:szCs w:val="24"/>
          <w:lang w:val="en-US" w:eastAsia="zh-CN"/>
        </w:rPr>
        <w:t>详见采购清单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3、服务期限：自合同签订之日起30日历天服务至成果验收通过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4、服务</w:t>
      </w:r>
      <w:r>
        <w:rPr>
          <w:rFonts w:hint="eastAsia" w:ascii="宋体" w:hAnsi="宋体" w:eastAsia="宋体" w:cs="宋体"/>
          <w:b w:val="0"/>
          <w:bCs/>
          <w:sz w:val="24"/>
          <w:szCs w:val="24"/>
          <w:lang w:eastAsia="zh-CN"/>
        </w:rPr>
        <w:t>要求：符合国家及行业相关规范和标准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 w:val="24"/>
          <w:szCs w:val="24"/>
          <w:lang w:val="en-US" w:eastAsia="zh-CN"/>
        </w:rPr>
      </w:pPr>
      <w:bookmarkStart w:id="225" w:name="_Toc21"/>
      <w:r>
        <w:rPr>
          <w:rFonts w:hint="eastAsia" w:ascii="宋体" w:hAnsi="宋体" w:eastAsia="宋体" w:cs="宋体"/>
          <w:b w:val="0"/>
          <w:bCs/>
          <w:color w:val="auto"/>
          <w:sz w:val="24"/>
          <w:szCs w:val="24"/>
          <w:lang w:val="en-US" w:eastAsia="zh-CN"/>
        </w:rPr>
        <w:t>5、项目地点：采购人指定地点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6、合同履行期限：按合同约定执行</w:t>
      </w:r>
    </w:p>
    <w:p>
      <w:pPr>
        <w:ind w:firstLine="643" w:firstLineChars="200"/>
        <w:rPr>
          <w:rFonts w:hint="eastAsia" w:ascii="宋体" w:hAnsi="宋体" w:eastAsia="宋体" w:cs="Times New Roman"/>
          <w:b/>
          <w:bCs/>
          <w:color w:val="auto"/>
          <w:sz w:val="32"/>
          <w:szCs w:val="32"/>
          <w:lang w:val="en-US" w:eastAsia="zh-CN"/>
        </w:rPr>
      </w:pPr>
    </w:p>
    <w:p>
      <w:pPr>
        <w:ind w:firstLine="643" w:firstLineChars="200"/>
        <w:rPr>
          <w:rFonts w:hint="eastAsia" w:ascii="宋体" w:hAnsi="宋体" w:eastAsia="宋体" w:cs="Times New Roman"/>
          <w:b/>
          <w:bCs/>
          <w:color w:val="auto"/>
          <w:sz w:val="32"/>
          <w:szCs w:val="32"/>
          <w:lang w:val="en-US" w:eastAsia="zh-CN"/>
        </w:rPr>
      </w:pPr>
    </w:p>
    <w:p>
      <w:pPr>
        <w:ind w:firstLine="643" w:firstLineChars="200"/>
        <w:rPr>
          <w:rFonts w:hint="eastAsia" w:ascii="宋体" w:hAnsi="宋体" w:eastAsia="宋体" w:cs="Times New Roman"/>
          <w:b/>
          <w:bCs/>
          <w:color w:val="auto"/>
          <w:sz w:val="32"/>
          <w:szCs w:val="32"/>
          <w:lang w:val="en-US" w:eastAsia="zh-CN"/>
        </w:rPr>
      </w:pPr>
    </w:p>
    <w:p>
      <w:pPr>
        <w:ind w:firstLine="643" w:firstLineChars="200"/>
        <w:rPr>
          <w:rFonts w:hint="eastAsia" w:ascii="宋体" w:hAnsi="宋体" w:eastAsia="宋体" w:cs="Times New Roman"/>
          <w:b/>
          <w:bCs/>
          <w:color w:val="auto"/>
          <w:sz w:val="32"/>
          <w:szCs w:val="32"/>
          <w:lang w:val="en-US" w:eastAsia="zh-CN"/>
        </w:rPr>
      </w:pPr>
      <w:r>
        <w:rPr>
          <w:rFonts w:hint="eastAsia" w:ascii="宋体" w:hAnsi="宋体" w:eastAsia="宋体" w:cs="Times New Roman"/>
          <w:b/>
          <w:bCs/>
          <w:color w:val="auto"/>
          <w:sz w:val="32"/>
          <w:szCs w:val="32"/>
          <w:lang w:val="en-US" w:eastAsia="zh-CN"/>
        </w:rPr>
        <w:br w:type="page"/>
      </w:r>
    </w:p>
    <w:p>
      <w:pPr>
        <w:widowControl/>
        <w:jc w:val="center"/>
        <w:outlineLvl w:val="0"/>
        <w:rPr>
          <w:rFonts w:hint="eastAsia" w:ascii="宋体" w:hAnsi="宋体" w:eastAsia="宋体" w:cs="Times New Roman"/>
          <w:b/>
          <w:bCs/>
          <w:color w:val="auto"/>
          <w:sz w:val="32"/>
          <w:szCs w:val="32"/>
        </w:rPr>
      </w:pPr>
      <w:bookmarkStart w:id="226" w:name="_Toc23655"/>
      <w:r>
        <w:rPr>
          <w:rFonts w:hint="eastAsia" w:ascii="宋体" w:hAnsi="宋体" w:eastAsia="宋体" w:cs="Times New Roman"/>
          <w:b/>
          <w:bCs/>
          <w:color w:val="auto"/>
          <w:sz w:val="32"/>
          <w:szCs w:val="32"/>
          <w:lang w:val="en-US" w:eastAsia="zh-CN"/>
        </w:rPr>
        <w:t xml:space="preserve">第六章 </w:t>
      </w:r>
      <w:bookmarkEnd w:id="225"/>
      <w:bookmarkStart w:id="227" w:name="_Toc7917"/>
      <w:bookmarkStart w:id="228" w:name="_Toc1125"/>
      <w:r>
        <w:rPr>
          <w:rFonts w:hint="eastAsia" w:ascii="宋体" w:hAnsi="宋体" w:eastAsia="宋体" w:cs="Times New Roman"/>
          <w:b/>
          <w:bCs/>
          <w:color w:val="auto"/>
          <w:sz w:val="32"/>
          <w:szCs w:val="32"/>
        </w:rPr>
        <w:t>响应文件格式</w:t>
      </w:r>
      <w:bookmarkEnd w:id="226"/>
      <w:bookmarkEnd w:id="227"/>
      <w:bookmarkEnd w:id="228"/>
    </w:p>
    <w:p>
      <w:pPr>
        <w:jc w:val="center"/>
        <w:rPr>
          <w:rFonts w:ascii="宋体" w:hAnsi="宋体" w:eastAsia="宋体"/>
          <w:color w:val="auto"/>
          <w:sz w:val="28"/>
          <w:szCs w:val="28"/>
          <w:u w:val="single"/>
        </w:rPr>
      </w:pPr>
    </w:p>
    <w:p>
      <w:pPr>
        <w:jc w:val="center"/>
        <w:rPr>
          <w:rFonts w:ascii="宋体" w:hAnsi="宋体" w:eastAsia="宋体"/>
          <w:color w:val="auto"/>
          <w:sz w:val="28"/>
          <w:szCs w:val="28"/>
          <w:u w:val="single"/>
        </w:rPr>
      </w:pPr>
    </w:p>
    <w:p>
      <w:pPr>
        <w:jc w:val="center"/>
        <w:rPr>
          <w:rFonts w:ascii="宋体" w:hAnsi="宋体" w:eastAsia="宋体"/>
          <w:color w:val="auto"/>
          <w:sz w:val="28"/>
          <w:szCs w:val="28"/>
          <w:u w:val="single"/>
        </w:rPr>
      </w:pPr>
    </w:p>
    <w:p>
      <w:pPr>
        <w:pStyle w:val="6"/>
        <w:spacing w:before="11"/>
        <w:ind w:left="0"/>
        <w:jc w:val="center"/>
        <w:rPr>
          <w:rFonts w:hint="eastAsia" w:ascii="宋体" w:hAnsi="宋体" w:eastAsia="宋体" w:cs="宋体"/>
          <w:b/>
          <w:sz w:val="32"/>
          <w:szCs w:val="32"/>
          <w:u w:val="single"/>
          <w:lang w:val="en-US" w:eastAsia="zh-CN"/>
        </w:rPr>
      </w:pPr>
      <w:r>
        <w:rPr>
          <w:rFonts w:hint="eastAsia" w:ascii="宋体" w:hAnsi="宋体" w:eastAsia="宋体" w:cs="宋体"/>
          <w:b/>
          <w:sz w:val="32"/>
          <w:szCs w:val="32"/>
          <w:u w:val="single"/>
          <w:lang w:val="en-US" w:eastAsia="zh-CN"/>
        </w:rPr>
        <w:t>（项目名称）</w:t>
      </w:r>
    </w:p>
    <w:p>
      <w:pPr>
        <w:ind w:left="530" w:right="532"/>
        <w:jc w:val="center"/>
        <w:rPr>
          <w:b/>
          <w:sz w:val="72"/>
          <w:lang w:eastAsia="zh-CN"/>
        </w:rPr>
      </w:pPr>
    </w:p>
    <w:p>
      <w:pPr>
        <w:ind w:left="530" w:right="532"/>
        <w:jc w:val="center"/>
        <w:rPr>
          <w:b/>
          <w:sz w:val="72"/>
          <w:lang w:eastAsia="zh-CN"/>
        </w:rPr>
      </w:pPr>
      <w:r>
        <w:rPr>
          <w:b/>
          <w:sz w:val="72"/>
          <w:lang w:eastAsia="zh-CN"/>
        </w:rPr>
        <w:t>响 应 文 件</w:t>
      </w:r>
    </w:p>
    <w:p>
      <w:pPr>
        <w:pStyle w:val="6"/>
        <w:ind w:left="0" w:firstLine="3360" w:firstLineChars="1400"/>
        <w:jc w:val="both"/>
        <w:rPr>
          <w:rFonts w:hint="eastAsia"/>
          <w:b w:val="0"/>
          <w:bCs/>
          <w:sz w:val="24"/>
          <w:szCs w:val="8"/>
          <w:lang w:val="en-US" w:eastAsia="zh-CN"/>
        </w:rPr>
      </w:pPr>
    </w:p>
    <w:p>
      <w:pPr>
        <w:pStyle w:val="6"/>
        <w:ind w:left="0" w:firstLine="3373" w:firstLineChars="1400"/>
        <w:jc w:val="both"/>
        <w:rPr>
          <w:rFonts w:hint="default"/>
          <w:b/>
          <w:bCs w:val="0"/>
          <w:sz w:val="24"/>
          <w:szCs w:val="8"/>
          <w:lang w:val="en-US" w:eastAsia="zh-CN"/>
        </w:rPr>
      </w:pPr>
      <w:r>
        <w:rPr>
          <w:rFonts w:hint="eastAsia"/>
          <w:b/>
          <w:bCs w:val="0"/>
          <w:sz w:val="24"/>
          <w:szCs w:val="8"/>
          <w:lang w:val="en-US" w:eastAsia="zh-CN"/>
        </w:rPr>
        <w:t>项目编号：</w:t>
      </w:r>
    </w:p>
    <w:p>
      <w:pPr>
        <w:pStyle w:val="6"/>
        <w:ind w:left="0"/>
        <w:rPr>
          <w:b/>
          <w:sz w:val="72"/>
          <w:lang w:eastAsia="zh-CN"/>
        </w:rPr>
      </w:pPr>
    </w:p>
    <w:p>
      <w:pPr>
        <w:pStyle w:val="6"/>
        <w:ind w:left="0"/>
        <w:rPr>
          <w:b/>
          <w:sz w:val="72"/>
          <w:lang w:eastAsia="zh-CN"/>
        </w:rPr>
      </w:pPr>
    </w:p>
    <w:p>
      <w:pPr>
        <w:pStyle w:val="6"/>
        <w:spacing w:before="4"/>
        <w:ind w:left="0"/>
        <w:rPr>
          <w:b/>
          <w:sz w:val="88"/>
          <w:lang w:eastAsia="zh-CN"/>
        </w:rPr>
      </w:pPr>
    </w:p>
    <w:p>
      <w:pPr>
        <w:tabs>
          <w:tab w:val="left" w:pos="6156"/>
        </w:tabs>
        <w:spacing w:line="480" w:lineRule="auto"/>
        <w:ind w:firstLine="2021" w:firstLineChars="839"/>
        <w:jc w:val="both"/>
        <w:rPr>
          <w:b/>
          <w:sz w:val="24"/>
          <w:szCs w:val="24"/>
          <w:lang w:eastAsia="zh-CN"/>
        </w:rPr>
      </w:pPr>
    </w:p>
    <w:p>
      <w:pPr>
        <w:tabs>
          <w:tab w:val="left" w:pos="6156"/>
        </w:tabs>
        <w:spacing w:line="480" w:lineRule="auto"/>
        <w:ind w:firstLine="2021" w:firstLineChars="839"/>
        <w:jc w:val="both"/>
        <w:rPr>
          <w:b/>
          <w:sz w:val="24"/>
          <w:szCs w:val="24"/>
          <w:lang w:eastAsia="zh-CN"/>
        </w:rPr>
      </w:pPr>
    </w:p>
    <w:p>
      <w:pPr>
        <w:tabs>
          <w:tab w:val="left" w:pos="6156"/>
        </w:tabs>
        <w:spacing w:line="480" w:lineRule="auto"/>
        <w:ind w:firstLine="2021" w:firstLineChars="839"/>
        <w:jc w:val="both"/>
        <w:rPr>
          <w:b/>
          <w:sz w:val="24"/>
          <w:szCs w:val="24"/>
          <w:lang w:eastAsia="zh-CN"/>
        </w:rPr>
      </w:pPr>
    </w:p>
    <w:p>
      <w:pPr>
        <w:tabs>
          <w:tab w:val="left" w:pos="6156"/>
        </w:tabs>
        <w:spacing w:line="480" w:lineRule="auto"/>
        <w:ind w:firstLine="2021" w:firstLineChars="839"/>
        <w:jc w:val="both"/>
        <w:rPr>
          <w:b/>
          <w:sz w:val="24"/>
          <w:szCs w:val="24"/>
          <w:lang w:eastAsia="zh-CN"/>
        </w:rPr>
      </w:pPr>
    </w:p>
    <w:p>
      <w:pPr>
        <w:tabs>
          <w:tab w:val="left" w:pos="6156"/>
        </w:tabs>
        <w:spacing w:line="480" w:lineRule="auto"/>
        <w:ind w:firstLine="2021" w:firstLineChars="839"/>
        <w:jc w:val="both"/>
        <w:rPr>
          <w:b/>
          <w:spacing w:val="-13"/>
          <w:sz w:val="24"/>
          <w:szCs w:val="24"/>
          <w:lang w:eastAsia="zh-CN"/>
        </w:rPr>
      </w:pPr>
      <w:r>
        <w:rPr>
          <w:b/>
          <w:sz w:val="24"/>
          <w:szCs w:val="24"/>
          <w:lang w:eastAsia="zh-CN"/>
        </w:rPr>
        <w:t>供应商</w:t>
      </w:r>
      <w:r>
        <w:rPr>
          <w:rFonts w:hint="eastAsia"/>
          <w:b/>
          <w:sz w:val="24"/>
          <w:szCs w:val="24"/>
          <w:lang w:val="en-US" w:eastAsia="zh-CN"/>
        </w:rPr>
        <w:t>名称</w:t>
      </w:r>
      <w:r>
        <w:rPr>
          <w:b/>
          <w:sz w:val="24"/>
          <w:szCs w:val="24"/>
          <w:lang w:eastAsia="zh-CN"/>
        </w:rPr>
        <w:t>：</w:t>
      </w:r>
      <w:r>
        <w:rPr>
          <w:b/>
          <w:sz w:val="24"/>
          <w:szCs w:val="24"/>
          <w:u w:val="single"/>
          <w:lang w:eastAsia="zh-CN"/>
        </w:rPr>
        <w:t xml:space="preserve">             </w:t>
      </w:r>
      <w:r>
        <w:rPr>
          <w:b/>
          <w:sz w:val="24"/>
          <w:szCs w:val="24"/>
          <w:lang w:eastAsia="zh-CN"/>
        </w:rPr>
        <w:t>（</w:t>
      </w:r>
      <w:r>
        <w:rPr>
          <w:rFonts w:hint="eastAsia"/>
          <w:b/>
          <w:sz w:val="24"/>
          <w:szCs w:val="24"/>
          <w:lang w:val="en-US" w:eastAsia="zh-CN"/>
        </w:rPr>
        <w:t>电子</w:t>
      </w:r>
      <w:r>
        <w:rPr>
          <w:b/>
          <w:sz w:val="24"/>
          <w:szCs w:val="24"/>
          <w:lang w:eastAsia="zh-CN"/>
        </w:rPr>
        <w:t>签章</w:t>
      </w:r>
      <w:r>
        <w:rPr>
          <w:b/>
          <w:spacing w:val="-13"/>
          <w:sz w:val="24"/>
          <w:szCs w:val="24"/>
          <w:lang w:eastAsia="zh-CN"/>
        </w:rPr>
        <w:t xml:space="preserve">） </w:t>
      </w:r>
    </w:p>
    <w:p>
      <w:pPr>
        <w:tabs>
          <w:tab w:val="left" w:pos="6156"/>
        </w:tabs>
        <w:spacing w:line="480" w:lineRule="auto"/>
        <w:ind w:firstLine="2021" w:firstLineChars="839"/>
        <w:jc w:val="both"/>
        <w:rPr>
          <w:b/>
          <w:sz w:val="24"/>
          <w:szCs w:val="24"/>
          <w:lang w:eastAsia="zh-CN"/>
        </w:rPr>
      </w:pPr>
      <w:r>
        <w:rPr>
          <w:b/>
          <w:sz w:val="24"/>
          <w:szCs w:val="24"/>
          <w:lang w:eastAsia="zh-CN"/>
        </w:rPr>
        <w:t>法定代表人</w:t>
      </w:r>
      <w:r>
        <w:rPr>
          <w:b/>
          <w:spacing w:val="-4"/>
          <w:sz w:val="24"/>
          <w:szCs w:val="24"/>
          <w:lang w:eastAsia="zh-CN"/>
        </w:rPr>
        <w:t>：</w:t>
      </w:r>
      <w:r>
        <w:rPr>
          <w:b/>
          <w:spacing w:val="-4"/>
          <w:sz w:val="24"/>
          <w:szCs w:val="24"/>
          <w:u w:val="single"/>
          <w:lang w:eastAsia="zh-CN"/>
        </w:rPr>
        <w:t xml:space="preserve">            </w:t>
      </w:r>
      <w:r>
        <w:rPr>
          <w:b/>
          <w:sz w:val="24"/>
          <w:szCs w:val="24"/>
          <w:lang w:eastAsia="zh-CN"/>
        </w:rPr>
        <w:t xml:space="preserve">（电子签章） </w:t>
      </w:r>
      <w:bookmarkStart w:id="229" w:name="日__期：_____年__月___日"/>
      <w:bookmarkEnd w:id="229"/>
    </w:p>
    <w:p>
      <w:pPr>
        <w:tabs>
          <w:tab w:val="left" w:pos="6156"/>
        </w:tabs>
        <w:spacing w:line="480" w:lineRule="auto"/>
        <w:ind w:firstLine="2021" w:firstLineChars="839"/>
        <w:jc w:val="both"/>
        <w:rPr>
          <w:b/>
          <w:sz w:val="24"/>
          <w:szCs w:val="24"/>
          <w:lang w:eastAsia="zh-CN"/>
        </w:rPr>
      </w:pPr>
      <w:r>
        <w:rPr>
          <w:b/>
          <w:sz w:val="24"/>
          <w:szCs w:val="24"/>
          <w:lang w:eastAsia="zh-CN"/>
        </w:rPr>
        <w:t>日 期 ：</w:t>
      </w:r>
      <w:r>
        <w:rPr>
          <w:b/>
          <w:sz w:val="24"/>
          <w:szCs w:val="24"/>
          <w:u w:val="single"/>
          <w:lang w:eastAsia="zh-CN"/>
        </w:rPr>
        <w:t xml:space="preserve">   </w:t>
      </w:r>
      <w:r>
        <w:rPr>
          <w:rFonts w:hint="eastAsia"/>
          <w:b/>
          <w:sz w:val="24"/>
          <w:szCs w:val="24"/>
          <w:u w:val="single"/>
          <w:lang w:val="en-US" w:eastAsia="zh-CN"/>
        </w:rPr>
        <w:t xml:space="preserve">  </w:t>
      </w:r>
      <w:r>
        <w:rPr>
          <w:b/>
          <w:sz w:val="24"/>
          <w:szCs w:val="24"/>
          <w:u w:val="single"/>
          <w:lang w:eastAsia="zh-CN"/>
        </w:rPr>
        <w:t xml:space="preserve">   </w:t>
      </w:r>
      <w:r>
        <w:rPr>
          <w:b/>
          <w:sz w:val="24"/>
          <w:szCs w:val="24"/>
          <w:lang w:eastAsia="zh-CN"/>
        </w:rPr>
        <w:t>年</w:t>
      </w:r>
      <w:r>
        <w:rPr>
          <w:b/>
          <w:sz w:val="24"/>
          <w:szCs w:val="24"/>
          <w:u w:val="single"/>
          <w:lang w:eastAsia="zh-CN"/>
        </w:rPr>
        <w:t xml:space="preserve">      </w:t>
      </w:r>
      <w:r>
        <w:rPr>
          <w:b/>
          <w:sz w:val="24"/>
          <w:szCs w:val="24"/>
          <w:lang w:eastAsia="zh-CN"/>
        </w:rPr>
        <w:t>月</w:t>
      </w:r>
      <w:r>
        <w:rPr>
          <w:b/>
          <w:spacing w:val="134"/>
          <w:sz w:val="24"/>
          <w:szCs w:val="24"/>
          <w:u w:val="single"/>
          <w:lang w:eastAsia="zh-CN"/>
        </w:rPr>
        <w:t xml:space="preserve"> </w:t>
      </w:r>
      <w:r>
        <w:rPr>
          <w:rFonts w:hint="eastAsia"/>
          <w:b/>
          <w:spacing w:val="134"/>
          <w:sz w:val="24"/>
          <w:szCs w:val="24"/>
          <w:u w:val="single"/>
          <w:lang w:val="en-US" w:eastAsia="zh-CN"/>
        </w:rPr>
        <w:t xml:space="preserve"> </w:t>
      </w:r>
      <w:r>
        <w:rPr>
          <w:b/>
          <w:sz w:val="24"/>
          <w:szCs w:val="24"/>
          <w:lang w:eastAsia="zh-CN"/>
        </w:rPr>
        <w:t>日</w:t>
      </w:r>
    </w:p>
    <w:p>
      <w:pPr>
        <w:rPr>
          <w:b/>
          <w:sz w:val="36"/>
          <w:lang w:eastAsia="zh-CN"/>
        </w:rPr>
      </w:pPr>
      <w:r>
        <w:rPr>
          <w:b/>
          <w:sz w:val="36"/>
          <w:lang w:eastAsia="zh-CN"/>
        </w:rPr>
        <w:br w:type="page"/>
      </w:r>
    </w:p>
    <w:p>
      <w:pPr>
        <w:tabs>
          <w:tab w:val="left" w:pos="1164"/>
        </w:tabs>
        <w:spacing w:before="22"/>
        <w:ind w:left="81"/>
        <w:jc w:val="center"/>
        <w:rPr>
          <w:b/>
          <w:sz w:val="36"/>
          <w:lang w:eastAsia="zh-CN"/>
        </w:rPr>
      </w:pPr>
      <w:r>
        <w:rPr>
          <w:b/>
          <w:sz w:val="36"/>
          <w:lang w:eastAsia="zh-CN"/>
        </w:rPr>
        <w:t>目</w:t>
      </w:r>
      <w:r>
        <w:rPr>
          <w:b/>
          <w:sz w:val="36"/>
          <w:lang w:eastAsia="zh-CN"/>
        </w:rPr>
        <w:tab/>
      </w:r>
      <w:r>
        <w:rPr>
          <w:b/>
          <w:sz w:val="36"/>
          <w:lang w:eastAsia="zh-CN"/>
        </w:rPr>
        <w:t>录</w:t>
      </w:r>
    </w:p>
    <w:p>
      <w:pPr>
        <w:pStyle w:val="6"/>
        <w:spacing w:before="1"/>
        <w:ind w:left="0"/>
        <w:rPr>
          <w:b/>
          <w:sz w:val="12"/>
          <w:lang w:eastAsia="zh-CN"/>
        </w:rPr>
      </w:pPr>
    </w:p>
    <w:p>
      <w:pPr>
        <w:keepNext w:val="0"/>
        <w:keepLines w:val="0"/>
        <w:pageBreakBefore w:val="0"/>
        <w:widowControl w:val="0"/>
        <w:kinsoku/>
        <w:wordWrap/>
        <w:overflowPunct/>
        <w:topLinePunct w:val="0"/>
        <w:autoSpaceDE/>
        <w:autoSpaceDN/>
        <w:bidi w:val="0"/>
        <w:adjustRightInd/>
        <w:snapToGrid/>
        <w:spacing w:before="35" w:line="360" w:lineRule="auto"/>
        <w:ind w:left="527" w:right="533"/>
        <w:jc w:val="both"/>
        <w:textAlignment w:val="auto"/>
        <w:rPr>
          <w:rFonts w:hint="eastAsia" w:ascii="宋体" w:hAnsi="宋体" w:eastAsia="宋体" w:cs="宋体"/>
          <w:b w:val="0"/>
          <w:bCs/>
          <w:sz w:val="24"/>
          <w:szCs w:val="24"/>
          <w:lang w:eastAsia="zh-CN"/>
        </w:rPr>
      </w:pPr>
      <w:bookmarkStart w:id="230" w:name="一、磋商函及磋商函附录"/>
      <w:bookmarkEnd w:id="230"/>
      <w:bookmarkStart w:id="231" w:name="（二）磋商函附录"/>
      <w:bookmarkEnd w:id="231"/>
      <w:r>
        <w:rPr>
          <w:rFonts w:hint="eastAsia" w:ascii="宋体" w:hAnsi="宋体" w:eastAsia="宋体" w:cs="宋体"/>
          <w:b w:val="0"/>
          <w:bCs/>
          <w:sz w:val="24"/>
          <w:szCs w:val="24"/>
          <w:lang w:eastAsia="zh-CN"/>
        </w:rPr>
        <w:t>一、磋商函及磋商函附录</w:t>
      </w:r>
    </w:p>
    <w:p>
      <w:pPr>
        <w:keepNext w:val="0"/>
        <w:keepLines w:val="0"/>
        <w:pageBreakBefore w:val="0"/>
        <w:widowControl w:val="0"/>
        <w:kinsoku/>
        <w:wordWrap/>
        <w:overflowPunct/>
        <w:topLinePunct w:val="0"/>
        <w:autoSpaceDE/>
        <w:autoSpaceDN/>
        <w:bidi w:val="0"/>
        <w:adjustRightInd/>
        <w:snapToGrid/>
        <w:spacing w:before="35" w:line="360" w:lineRule="auto"/>
        <w:ind w:left="527" w:right="533"/>
        <w:jc w:val="both"/>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二、法定代表人身份证明书</w:t>
      </w:r>
    </w:p>
    <w:p>
      <w:pPr>
        <w:keepNext w:val="0"/>
        <w:keepLines w:val="0"/>
        <w:pageBreakBefore w:val="0"/>
        <w:widowControl w:val="0"/>
        <w:kinsoku/>
        <w:wordWrap/>
        <w:overflowPunct/>
        <w:topLinePunct w:val="0"/>
        <w:autoSpaceDE/>
        <w:autoSpaceDN/>
        <w:bidi w:val="0"/>
        <w:adjustRightInd/>
        <w:snapToGrid/>
        <w:spacing w:before="35" w:line="360" w:lineRule="auto"/>
        <w:ind w:left="527" w:right="533"/>
        <w:jc w:val="both"/>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三、授权委托书</w:t>
      </w:r>
    </w:p>
    <w:p>
      <w:pPr>
        <w:keepNext w:val="0"/>
        <w:keepLines w:val="0"/>
        <w:pageBreakBefore w:val="0"/>
        <w:widowControl w:val="0"/>
        <w:kinsoku/>
        <w:wordWrap/>
        <w:overflowPunct/>
        <w:topLinePunct w:val="0"/>
        <w:autoSpaceDE/>
        <w:autoSpaceDN/>
        <w:bidi w:val="0"/>
        <w:adjustRightInd/>
        <w:snapToGrid/>
        <w:spacing w:before="35" w:line="360" w:lineRule="auto"/>
        <w:ind w:left="527" w:right="533"/>
        <w:jc w:val="both"/>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四</w:t>
      </w:r>
      <w:r>
        <w:rPr>
          <w:rFonts w:hint="eastAsia" w:ascii="宋体" w:hAnsi="宋体" w:eastAsia="宋体" w:cs="宋体"/>
          <w:b w:val="0"/>
          <w:bCs/>
          <w:sz w:val="24"/>
          <w:szCs w:val="24"/>
          <w:lang w:eastAsia="zh-CN"/>
        </w:rPr>
        <w:t>、资格审查资料</w:t>
      </w:r>
    </w:p>
    <w:p>
      <w:pPr>
        <w:keepNext w:val="0"/>
        <w:keepLines w:val="0"/>
        <w:pageBreakBefore w:val="0"/>
        <w:widowControl w:val="0"/>
        <w:kinsoku/>
        <w:wordWrap/>
        <w:overflowPunct/>
        <w:topLinePunct w:val="0"/>
        <w:autoSpaceDE/>
        <w:autoSpaceDN/>
        <w:bidi w:val="0"/>
        <w:adjustRightInd/>
        <w:snapToGrid/>
        <w:spacing w:before="35" w:line="360" w:lineRule="auto"/>
        <w:ind w:left="527" w:right="533"/>
        <w:jc w:val="both"/>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五</w:t>
      </w:r>
      <w:r>
        <w:rPr>
          <w:rFonts w:hint="eastAsia" w:ascii="宋体" w:hAnsi="宋体" w:eastAsia="宋体" w:cs="宋体"/>
          <w:b w:val="0"/>
          <w:bCs/>
          <w:sz w:val="24"/>
          <w:szCs w:val="24"/>
          <w:lang w:eastAsia="zh-CN"/>
        </w:rPr>
        <w:t>、项目组成人员</w:t>
      </w:r>
    </w:p>
    <w:p>
      <w:pPr>
        <w:keepNext w:val="0"/>
        <w:keepLines w:val="0"/>
        <w:pageBreakBefore w:val="0"/>
        <w:widowControl w:val="0"/>
        <w:kinsoku/>
        <w:wordWrap/>
        <w:overflowPunct/>
        <w:topLinePunct w:val="0"/>
        <w:autoSpaceDE/>
        <w:autoSpaceDN/>
        <w:bidi w:val="0"/>
        <w:adjustRightInd/>
        <w:snapToGrid/>
        <w:spacing w:before="35" w:line="360" w:lineRule="auto"/>
        <w:ind w:left="527" w:right="533"/>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六、实施方案</w:t>
      </w:r>
    </w:p>
    <w:p>
      <w:pPr>
        <w:keepNext w:val="0"/>
        <w:keepLines w:val="0"/>
        <w:pageBreakBefore w:val="0"/>
        <w:widowControl w:val="0"/>
        <w:kinsoku/>
        <w:wordWrap/>
        <w:overflowPunct/>
        <w:topLinePunct w:val="0"/>
        <w:autoSpaceDE/>
        <w:autoSpaceDN/>
        <w:bidi w:val="0"/>
        <w:adjustRightInd/>
        <w:snapToGrid/>
        <w:spacing w:before="35" w:line="360" w:lineRule="auto"/>
        <w:ind w:left="527" w:right="533"/>
        <w:jc w:val="both"/>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七</w:t>
      </w:r>
      <w:r>
        <w:rPr>
          <w:rFonts w:hint="eastAsia" w:ascii="宋体" w:hAnsi="宋体" w:eastAsia="宋体" w:cs="宋体"/>
          <w:b w:val="0"/>
          <w:bCs/>
          <w:sz w:val="24"/>
          <w:szCs w:val="24"/>
          <w:lang w:eastAsia="zh-CN"/>
        </w:rPr>
        <w:t>、供应商认为需要提交的其他资料</w:t>
      </w:r>
    </w:p>
    <w:p>
      <w:pPr>
        <w:keepNext w:val="0"/>
        <w:keepLines w:val="0"/>
        <w:pageBreakBefore w:val="0"/>
        <w:widowControl w:val="0"/>
        <w:kinsoku/>
        <w:wordWrap/>
        <w:overflowPunct/>
        <w:topLinePunct w:val="0"/>
        <w:autoSpaceDE/>
        <w:autoSpaceDN/>
        <w:bidi w:val="0"/>
        <w:adjustRightInd/>
        <w:snapToGrid/>
        <w:spacing w:before="35" w:line="360" w:lineRule="auto"/>
        <w:ind w:left="527" w:right="533"/>
        <w:jc w:val="both"/>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八、</w:t>
      </w:r>
      <w:r>
        <w:rPr>
          <w:rFonts w:hint="eastAsia" w:ascii="宋体" w:hAnsi="宋体" w:eastAsia="宋体" w:cs="宋体"/>
          <w:b w:val="0"/>
          <w:bCs/>
          <w:sz w:val="24"/>
          <w:szCs w:val="24"/>
          <w:lang w:eastAsia="zh-CN"/>
        </w:rPr>
        <w:t>残疾人福利性单位声明函</w:t>
      </w:r>
    </w:p>
    <w:p>
      <w:pPr>
        <w:keepNext w:val="0"/>
        <w:keepLines w:val="0"/>
        <w:pageBreakBefore w:val="0"/>
        <w:widowControl w:val="0"/>
        <w:kinsoku/>
        <w:wordWrap/>
        <w:overflowPunct/>
        <w:topLinePunct w:val="0"/>
        <w:autoSpaceDE/>
        <w:autoSpaceDN/>
        <w:bidi w:val="0"/>
        <w:adjustRightInd/>
        <w:snapToGrid/>
        <w:spacing w:before="35" w:line="360" w:lineRule="auto"/>
        <w:ind w:left="527" w:right="533"/>
        <w:jc w:val="both"/>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九、</w:t>
      </w:r>
      <w:r>
        <w:rPr>
          <w:rFonts w:hint="eastAsia" w:ascii="宋体" w:hAnsi="宋体" w:eastAsia="宋体" w:cs="宋体"/>
          <w:b w:val="0"/>
          <w:bCs/>
          <w:sz w:val="24"/>
          <w:szCs w:val="24"/>
          <w:lang w:eastAsia="zh-CN"/>
        </w:rPr>
        <w:t>监狱企业证明文件</w:t>
      </w:r>
    </w:p>
    <w:p>
      <w:pPr>
        <w:keepNext w:val="0"/>
        <w:keepLines w:val="0"/>
        <w:pageBreakBefore w:val="0"/>
        <w:widowControl w:val="0"/>
        <w:kinsoku/>
        <w:wordWrap/>
        <w:overflowPunct/>
        <w:topLinePunct w:val="0"/>
        <w:autoSpaceDE/>
        <w:autoSpaceDN/>
        <w:bidi w:val="0"/>
        <w:adjustRightInd/>
        <w:snapToGrid/>
        <w:spacing w:before="35" w:line="360" w:lineRule="auto"/>
        <w:ind w:left="527" w:right="533"/>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十、中小微企业声明函（工程、服务）</w:t>
      </w:r>
    </w:p>
    <w:p>
      <w:pPr>
        <w:rPr>
          <w:lang w:eastAsia="zh-CN"/>
        </w:rPr>
      </w:pPr>
    </w:p>
    <w:p>
      <w:pPr>
        <w:rPr>
          <w:lang w:eastAsia="zh-CN"/>
        </w:rPr>
      </w:pPr>
      <w:r>
        <w:rPr>
          <w:lang w:eastAsia="zh-CN"/>
        </w:rPr>
        <w:br w:type="page"/>
      </w:r>
    </w:p>
    <w:p>
      <w:pPr>
        <w:spacing w:before="35"/>
        <w:ind w:left="530" w:right="531"/>
        <w:jc w:val="center"/>
        <w:rPr>
          <w:b/>
          <w:sz w:val="28"/>
          <w:lang w:eastAsia="zh-CN"/>
        </w:rPr>
      </w:pPr>
      <w:r>
        <w:rPr>
          <w:b/>
          <w:sz w:val="28"/>
          <w:lang w:eastAsia="zh-CN"/>
        </w:rPr>
        <w:t>一、磋商函及磋商函附录</w:t>
      </w:r>
    </w:p>
    <w:p>
      <w:pPr>
        <w:spacing w:before="134"/>
        <w:ind w:left="530" w:right="531"/>
        <w:jc w:val="center"/>
        <w:rPr>
          <w:b/>
          <w:sz w:val="28"/>
          <w:lang w:eastAsia="zh-CN"/>
        </w:rPr>
      </w:pPr>
      <w:bookmarkStart w:id="232" w:name="（一）磋商函"/>
      <w:bookmarkEnd w:id="232"/>
      <w:r>
        <w:rPr>
          <w:b/>
          <w:sz w:val="28"/>
          <w:lang w:eastAsia="zh-CN"/>
        </w:rPr>
        <w:t>（一）磋商函</w:t>
      </w:r>
    </w:p>
    <w:p>
      <w:pPr>
        <w:pStyle w:val="6"/>
        <w:ind w:left="0"/>
        <w:rPr>
          <w:lang w:eastAsia="zh-CN"/>
        </w:rPr>
      </w:pPr>
    </w:p>
    <w:p>
      <w:pPr>
        <w:pStyle w:val="6"/>
        <w:ind w:left="0"/>
        <w:rPr>
          <w:lang w:eastAsia="zh-CN"/>
        </w:rPr>
      </w:pPr>
      <w:r>
        <w:rPr>
          <w:lang w:eastAsia="zh-CN"/>
        </w:rPr>
        <w:t>致：</w:t>
      </w:r>
      <w:r>
        <w:rPr>
          <w:rFonts w:hint="eastAsia"/>
          <w:u w:val="single"/>
          <w:lang w:val="en-US" w:eastAsia="zh-CN"/>
        </w:rPr>
        <w:t xml:space="preserve">            </w:t>
      </w:r>
      <w:r>
        <w:rPr>
          <w:u w:val="none"/>
          <w:lang w:eastAsia="zh-CN"/>
        </w:rPr>
        <w:t>（采购单位名称）</w:t>
      </w:r>
    </w:p>
    <w:p>
      <w:pPr>
        <w:pStyle w:val="6"/>
        <w:ind w:left="0"/>
        <w:rPr>
          <w:sz w:val="18"/>
          <w:lang w:eastAsia="zh-CN"/>
        </w:rPr>
      </w:pPr>
    </w:p>
    <w:p>
      <w:pPr>
        <w:pStyle w:val="6"/>
        <w:tabs>
          <w:tab w:val="left" w:pos="5160"/>
          <w:tab w:val="left" w:pos="8304"/>
        </w:tabs>
        <w:spacing w:line="436" w:lineRule="auto"/>
        <w:ind w:left="0" w:firstLine="559"/>
        <w:jc w:val="both"/>
        <w:rPr>
          <w:lang w:eastAsia="zh-CN"/>
        </w:rPr>
      </w:pPr>
      <w:r>
        <w:rPr>
          <w:lang w:eastAsia="zh-CN"/>
        </w:rPr>
        <w:t>1</w:t>
      </w:r>
      <w:r>
        <w:rPr>
          <w:spacing w:val="-99"/>
          <w:lang w:eastAsia="zh-CN"/>
        </w:rPr>
        <w:t>、</w:t>
      </w:r>
      <w:r>
        <w:rPr>
          <w:lang w:eastAsia="zh-CN"/>
        </w:rPr>
        <w:t>根据已收到的项目编号为</w:t>
      </w:r>
      <w:r>
        <w:rPr>
          <w:u w:val="single"/>
          <w:lang w:eastAsia="zh-CN"/>
        </w:rPr>
        <w:t xml:space="preserve"> </w:t>
      </w:r>
      <w:r>
        <w:rPr>
          <w:rFonts w:hint="eastAsia"/>
          <w:u w:val="single"/>
          <w:lang w:val="en-US" w:eastAsia="zh-CN"/>
        </w:rPr>
        <w:t xml:space="preserve">       </w:t>
      </w:r>
      <w:r>
        <w:rPr>
          <w:lang w:eastAsia="zh-CN"/>
        </w:rPr>
        <w:t>的</w:t>
      </w:r>
      <w:r>
        <w:rPr>
          <w:spacing w:val="-1"/>
          <w:u w:val="single"/>
          <w:lang w:eastAsia="zh-CN"/>
        </w:rPr>
        <w:t xml:space="preserve">       </w:t>
      </w:r>
      <w:r>
        <w:rPr>
          <w:rFonts w:hint="eastAsia"/>
          <w:spacing w:val="-1"/>
          <w:u w:val="single"/>
          <w:lang w:val="en-US" w:eastAsia="zh-CN"/>
        </w:rPr>
        <w:t xml:space="preserve">      </w:t>
      </w:r>
      <w:r>
        <w:rPr>
          <w:spacing w:val="-1"/>
          <w:u w:val="none"/>
          <w:lang w:eastAsia="zh-CN"/>
        </w:rPr>
        <w:t xml:space="preserve"> </w:t>
      </w:r>
      <w:r>
        <w:rPr>
          <w:rFonts w:hint="eastAsia"/>
          <w:spacing w:val="-1"/>
          <w:u w:val="none"/>
          <w:lang w:eastAsia="zh-CN"/>
        </w:rPr>
        <w:t>（</w:t>
      </w:r>
      <w:r>
        <w:rPr>
          <w:u w:val="none"/>
          <w:lang w:eastAsia="zh-CN"/>
        </w:rPr>
        <w:t>项目名称</w:t>
      </w:r>
      <w:r>
        <w:rPr>
          <w:rFonts w:hint="eastAsia"/>
          <w:spacing w:val="-1"/>
          <w:u w:val="none"/>
          <w:lang w:eastAsia="zh-CN"/>
        </w:rPr>
        <w:t>）</w:t>
      </w:r>
      <w:r>
        <w:rPr>
          <w:lang w:eastAsia="zh-CN"/>
        </w:rPr>
        <w:t>的磋商文件</w:t>
      </w:r>
      <w:r>
        <w:rPr>
          <w:spacing w:val="-101"/>
          <w:lang w:eastAsia="zh-CN"/>
        </w:rPr>
        <w:t>，</w:t>
      </w:r>
      <w:r>
        <w:rPr>
          <w:lang w:eastAsia="zh-CN"/>
        </w:rPr>
        <w:t>遵</w:t>
      </w:r>
      <w:r>
        <w:rPr>
          <w:spacing w:val="-94"/>
          <w:lang w:eastAsia="zh-CN"/>
        </w:rPr>
        <w:t>守</w:t>
      </w:r>
      <w:r>
        <w:rPr>
          <w:lang w:eastAsia="zh-CN"/>
        </w:rPr>
        <w:t>《</w:t>
      </w:r>
      <w:r>
        <w:rPr>
          <w:spacing w:val="-14"/>
          <w:lang w:eastAsia="zh-CN"/>
        </w:rPr>
        <w:t>中</w:t>
      </w:r>
      <w:r>
        <w:rPr>
          <w:lang w:eastAsia="zh-CN"/>
        </w:rPr>
        <w:t>华人民共和国政府采购法</w:t>
      </w:r>
      <w:r>
        <w:rPr>
          <w:spacing w:val="-63"/>
          <w:lang w:eastAsia="zh-CN"/>
        </w:rPr>
        <w:t>》</w:t>
      </w:r>
      <w:r>
        <w:rPr>
          <w:lang w:eastAsia="zh-CN"/>
        </w:rPr>
        <w:t>《政府采购竞争性磋商采购方式管理暂行办法</w:t>
      </w:r>
      <w:r>
        <w:rPr>
          <w:spacing w:val="-32"/>
          <w:lang w:eastAsia="zh-CN"/>
        </w:rPr>
        <w:t>》</w:t>
      </w:r>
      <w:r>
        <w:rPr>
          <w:lang w:eastAsia="zh-CN"/>
        </w:rPr>
        <w:t>及</w:t>
      </w:r>
      <w:r>
        <w:rPr>
          <w:spacing w:val="-16"/>
          <w:lang w:eastAsia="zh-CN"/>
        </w:rPr>
        <w:t>财</w:t>
      </w:r>
      <w:r>
        <w:rPr>
          <w:spacing w:val="-12"/>
          <w:lang w:eastAsia="zh-CN"/>
        </w:rPr>
        <w:t>库</w:t>
      </w:r>
      <w:r>
        <w:rPr>
          <w:lang w:eastAsia="zh-CN"/>
        </w:rPr>
        <w:t>〔2015</w:t>
      </w:r>
      <w:r>
        <w:rPr>
          <w:spacing w:val="-12"/>
          <w:lang w:eastAsia="zh-CN"/>
        </w:rPr>
        <w:t>〕</w:t>
      </w:r>
      <w:r>
        <w:rPr>
          <w:lang w:eastAsia="zh-CN"/>
        </w:rPr>
        <w:t>124</w:t>
      </w:r>
      <w:r>
        <w:rPr>
          <w:spacing w:val="-60"/>
          <w:lang w:eastAsia="zh-CN"/>
        </w:rPr>
        <w:t xml:space="preserve"> </w:t>
      </w:r>
      <w:r>
        <w:rPr>
          <w:lang w:eastAsia="zh-CN"/>
        </w:rPr>
        <w:t>号文和有关文件的规定</w:t>
      </w:r>
      <w:r>
        <w:rPr>
          <w:spacing w:val="-10"/>
          <w:lang w:eastAsia="zh-CN"/>
        </w:rPr>
        <w:t>，</w:t>
      </w:r>
      <w:r>
        <w:rPr>
          <w:lang w:eastAsia="zh-CN"/>
        </w:rPr>
        <w:t>我单位经考察现场并研究上述项目磋</w:t>
      </w:r>
      <w:r>
        <w:rPr>
          <w:spacing w:val="-17"/>
          <w:lang w:eastAsia="zh-CN"/>
        </w:rPr>
        <w:t>商</w:t>
      </w:r>
      <w:r>
        <w:rPr>
          <w:spacing w:val="7"/>
          <w:lang w:eastAsia="zh-CN"/>
        </w:rPr>
        <w:t>文件的供应商须知和其他有关文件后，我公司愿以(大写</w:t>
      </w:r>
      <w:r>
        <w:rPr>
          <w:lang w:eastAsia="zh-CN"/>
        </w:rPr>
        <w:t>)</w:t>
      </w:r>
      <w:r>
        <w:rPr>
          <w:u w:val="single"/>
          <w:lang w:eastAsia="zh-CN"/>
        </w:rPr>
        <w:t xml:space="preserve"> </w:t>
      </w:r>
      <w:r>
        <w:rPr>
          <w:rFonts w:hint="eastAsia"/>
          <w:u w:val="single"/>
          <w:lang w:val="en-US" w:eastAsia="zh-CN"/>
        </w:rPr>
        <w:t xml:space="preserve">  </w:t>
      </w:r>
      <w:r>
        <w:rPr>
          <w:spacing w:val="7"/>
          <w:lang w:eastAsia="zh-CN"/>
        </w:rPr>
        <w:t>（小写</w:t>
      </w:r>
      <w:r>
        <w:rPr>
          <w:spacing w:val="-16"/>
          <w:lang w:eastAsia="zh-CN"/>
        </w:rPr>
        <w:t>）</w:t>
      </w:r>
      <w:r>
        <w:rPr>
          <w:rFonts w:hint="eastAsia"/>
          <w:spacing w:val="-16"/>
          <w:u w:val="single"/>
          <w:lang w:val="en-US" w:eastAsia="zh-CN"/>
        </w:rPr>
        <w:t xml:space="preserve">    </w:t>
      </w:r>
      <w:r>
        <w:rPr>
          <w:u w:val="single"/>
          <w:lang w:eastAsia="zh-CN"/>
        </w:rPr>
        <w:tab/>
      </w:r>
      <w:r>
        <w:rPr>
          <w:rFonts w:hint="eastAsia"/>
          <w:spacing w:val="-16"/>
          <w:lang w:eastAsia="zh-CN"/>
        </w:rPr>
        <w:t xml:space="preserve"> </w:t>
      </w:r>
      <w:r>
        <w:rPr>
          <w:lang w:eastAsia="zh-CN"/>
        </w:rPr>
        <w:t>元的报价参加该项目的投标，并按上述文件中的条款承包该项目。</w:t>
      </w:r>
    </w:p>
    <w:p>
      <w:pPr>
        <w:pStyle w:val="6"/>
        <w:spacing w:line="436" w:lineRule="auto"/>
        <w:ind w:left="0" w:firstLine="400" w:firstLineChars="200"/>
        <w:rPr>
          <w:lang w:eastAsia="zh-CN"/>
        </w:rPr>
      </w:pPr>
      <w:r>
        <w:rPr>
          <w:lang w:eastAsia="zh-CN"/>
        </w:rPr>
        <w:t>2、我公司完全响应磋商文件中提出的所有实质性要求。</w:t>
      </w:r>
    </w:p>
    <w:p>
      <w:pPr>
        <w:pStyle w:val="6"/>
        <w:spacing w:line="436" w:lineRule="auto"/>
        <w:ind w:left="0" w:firstLine="480"/>
        <w:rPr>
          <w:lang w:eastAsia="zh-CN"/>
        </w:rPr>
      </w:pPr>
      <w:r>
        <w:rPr>
          <w:lang w:eastAsia="zh-CN"/>
        </w:rPr>
        <w:t>3、我公司同意在磋商文件规定的投标期限内，本响应文件始终对我公司具有约束力，且随时可以按此文件成交。</w:t>
      </w:r>
    </w:p>
    <w:p>
      <w:pPr>
        <w:pStyle w:val="6"/>
        <w:tabs>
          <w:tab w:val="left" w:pos="2655"/>
          <w:tab w:val="left" w:pos="7219"/>
        </w:tabs>
        <w:spacing w:line="439" w:lineRule="auto"/>
        <w:ind w:left="0" w:firstLine="480"/>
        <w:rPr>
          <w:lang w:eastAsia="zh-CN"/>
        </w:rPr>
      </w:pPr>
      <w:r>
        <w:rPr>
          <w:lang w:eastAsia="zh-CN"/>
        </w:rPr>
        <w:t>4、一旦我公司成交，我公司保证在成交后的规定期限内签订项目合同，</w:t>
      </w:r>
      <w:r>
        <w:rPr>
          <w:rFonts w:hint="eastAsia"/>
          <w:spacing w:val="-13"/>
          <w:lang w:val="en-US" w:eastAsia="zh-CN"/>
        </w:rPr>
        <w:t>服务期限</w:t>
      </w:r>
      <w:r>
        <w:rPr>
          <w:u w:val="single"/>
          <w:lang w:eastAsia="zh-CN"/>
        </w:rPr>
        <w:t xml:space="preserve"> </w:t>
      </w:r>
      <w:r>
        <w:rPr>
          <w:rFonts w:hint="eastAsia"/>
          <w:u w:val="single"/>
          <w:lang w:val="en-US" w:eastAsia="zh-CN"/>
        </w:rPr>
        <w:t xml:space="preserve">    </w:t>
      </w:r>
      <w:r>
        <w:rPr>
          <w:u w:val="single"/>
          <w:lang w:eastAsia="zh-CN"/>
        </w:rPr>
        <w:tab/>
      </w:r>
      <w:r>
        <w:rPr>
          <w:lang w:eastAsia="zh-CN"/>
        </w:rPr>
        <w:t>，确保</w:t>
      </w:r>
      <w:r>
        <w:rPr>
          <w:rFonts w:hint="eastAsia"/>
          <w:lang w:val="en-US" w:eastAsia="zh-CN"/>
        </w:rPr>
        <w:t>服务</w:t>
      </w:r>
      <w:r>
        <w:rPr>
          <w:lang w:eastAsia="zh-CN"/>
        </w:rPr>
        <w:t>要求达到</w:t>
      </w:r>
      <w:r>
        <w:rPr>
          <w:rFonts w:hint="eastAsia"/>
          <w:u w:val="single"/>
          <w:lang w:val="en-US" w:eastAsia="zh-CN"/>
        </w:rPr>
        <w:t xml:space="preserve">        </w:t>
      </w:r>
      <w:r>
        <w:rPr>
          <w:lang w:eastAsia="zh-CN"/>
        </w:rPr>
        <w:t>。</w:t>
      </w:r>
    </w:p>
    <w:p>
      <w:pPr>
        <w:pStyle w:val="6"/>
        <w:spacing w:line="436" w:lineRule="auto"/>
        <w:ind w:left="0" w:firstLine="480"/>
        <w:rPr>
          <w:lang w:eastAsia="zh-CN"/>
        </w:rPr>
      </w:pPr>
      <w:r>
        <w:rPr>
          <w:lang w:eastAsia="zh-CN"/>
        </w:rPr>
        <w:t>5、成交后，我公司将提交规定数额的履约保证金（如有），并对此承担责任。</w:t>
      </w:r>
    </w:p>
    <w:p>
      <w:pPr>
        <w:pStyle w:val="6"/>
        <w:ind w:left="0" w:firstLine="400" w:firstLineChars="200"/>
        <w:rPr>
          <w:lang w:eastAsia="zh-CN"/>
        </w:rPr>
      </w:pPr>
      <w:r>
        <w:rPr>
          <w:lang w:eastAsia="zh-CN"/>
        </w:rPr>
        <w:t>6、我们承诺最低报价是成交的重要选择，但不是唯一选择。</w:t>
      </w:r>
    </w:p>
    <w:p>
      <w:pPr>
        <w:pStyle w:val="6"/>
        <w:spacing w:line="560" w:lineRule="atLeast"/>
        <w:ind w:left="0" w:firstLine="480"/>
        <w:rPr>
          <w:lang w:eastAsia="zh-CN"/>
        </w:rPr>
      </w:pPr>
      <w:r>
        <w:rPr>
          <w:lang w:eastAsia="zh-CN"/>
        </w:rPr>
        <w:t>7、除非与贵方另外达成协议并生效，贵方的成交通知书、本响应文件将与双方签订的合同具有同等的约束力。</w:t>
      </w:r>
    </w:p>
    <w:p>
      <w:pPr>
        <w:pStyle w:val="6"/>
        <w:tabs>
          <w:tab w:val="left" w:pos="4819"/>
        </w:tabs>
        <w:ind w:left="0"/>
        <w:rPr>
          <w:lang w:eastAsia="zh-CN"/>
        </w:rPr>
      </w:pPr>
    </w:p>
    <w:p>
      <w:pPr>
        <w:pStyle w:val="6"/>
        <w:tabs>
          <w:tab w:val="left" w:pos="4819"/>
        </w:tabs>
        <w:ind w:left="0"/>
        <w:rPr>
          <w:lang w:eastAsia="zh-CN"/>
        </w:rPr>
      </w:pPr>
    </w:p>
    <w:p>
      <w:pPr>
        <w:pStyle w:val="6"/>
        <w:tabs>
          <w:tab w:val="left" w:pos="4819"/>
        </w:tabs>
        <w:ind w:left="0"/>
        <w:rPr>
          <w:lang w:eastAsia="zh-CN"/>
        </w:rPr>
      </w:pPr>
    </w:p>
    <w:p>
      <w:pPr>
        <w:pStyle w:val="6"/>
        <w:tabs>
          <w:tab w:val="left" w:pos="4819"/>
        </w:tabs>
        <w:ind w:left="0"/>
        <w:rPr>
          <w:lang w:eastAsia="zh-CN"/>
        </w:rPr>
      </w:pPr>
    </w:p>
    <w:p>
      <w:pPr>
        <w:pStyle w:val="6"/>
        <w:tabs>
          <w:tab w:val="left" w:pos="4819"/>
        </w:tabs>
        <w:ind w:left="0"/>
        <w:jc w:val="right"/>
        <w:rPr>
          <w:lang w:eastAsia="zh-CN"/>
        </w:rPr>
      </w:pPr>
      <w:r>
        <w:rPr>
          <w:lang w:eastAsia="zh-CN"/>
        </w:rPr>
        <w:t>供应商：</w:t>
      </w:r>
      <w:r>
        <w:rPr>
          <w:u w:val="single"/>
          <w:lang w:eastAsia="zh-CN"/>
        </w:rPr>
        <w:t xml:space="preserve"> </w:t>
      </w:r>
      <w:r>
        <w:rPr>
          <w:rFonts w:hint="eastAsia"/>
          <w:u w:val="single"/>
          <w:lang w:val="en-US" w:eastAsia="zh-CN"/>
        </w:rPr>
        <w:t xml:space="preserve">                     </w:t>
      </w:r>
      <w:r>
        <w:rPr>
          <w:lang w:eastAsia="zh-CN"/>
        </w:rPr>
        <w:t>（</w:t>
      </w:r>
      <w:r>
        <w:rPr>
          <w:rFonts w:hint="eastAsia"/>
          <w:lang w:val="en-US" w:eastAsia="zh-CN"/>
        </w:rPr>
        <w:t>电子</w:t>
      </w:r>
      <w:r>
        <w:rPr>
          <w:lang w:eastAsia="zh-CN"/>
        </w:rPr>
        <w:t>签章）</w:t>
      </w:r>
    </w:p>
    <w:p>
      <w:pPr>
        <w:pStyle w:val="6"/>
        <w:ind w:left="0"/>
        <w:jc w:val="right"/>
        <w:rPr>
          <w:lang w:eastAsia="zh-CN"/>
        </w:rPr>
      </w:pPr>
    </w:p>
    <w:p>
      <w:pPr>
        <w:pStyle w:val="6"/>
        <w:tabs>
          <w:tab w:val="left" w:pos="4935"/>
        </w:tabs>
        <w:ind w:left="0"/>
        <w:jc w:val="right"/>
        <w:rPr>
          <w:lang w:eastAsia="zh-CN"/>
        </w:rPr>
      </w:pPr>
      <w:r>
        <w:rPr>
          <w:lang w:eastAsia="zh-CN"/>
        </w:rPr>
        <w:t>法定代表人：</w:t>
      </w:r>
      <w:r>
        <w:rPr>
          <w:u w:val="single"/>
          <w:lang w:eastAsia="zh-CN"/>
        </w:rPr>
        <w:t xml:space="preserve"> </w:t>
      </w:r>
      <w:r>
        <w:rPr>
          <w:rFonts w:hint="eastAsia"/>
          <w:u w:val="single"/>
          <w:lang w:val="en-US" w:eastAsia="zh-CN"/>
        </w:rPr>
        <w:t xml:space="preserve">                 </w:t>
      </w:r>
      <w:r>
        <w:rPr>
          <w:lang w:eastAsia="zh-CN"/>
        </w:rPr>
        <w:t>（电子签章）</w:t>
      </w:r>
    </w:p>
    <w:p>
      <w:pPr>
        <w:pStyle w:val="6"/>
        <w:ind w:left="0"/>
        <w:jc w:val="right"/>
        <w:rPr>
          <w:sz w:val="19"/>
          <w:lang w:eastAsia="zh-CN"/>
        </w:rPr>
      </w:pPr>
    </w:p>
    <w:p>
      <w:pPr>
        <w:pStyle w:val="6"/>
        <w:tabs>
          <w:tab w:val="left" w:pos="1077"/>
          <w:tab w:val="left" w:pos="1797"/>
          <w:tab w:val="left" w:pos="2757"/>
        </w:tabs>
        <w:ind w:left="0" w:firstLine="1800" w:firstLineChars="900"/>
        <w:jc w:val="right"/>
        <w:rPr>
          <w:rFonts w:hint="eastAsia"/>
          <w:u w:val="single"/>
          <w:lang w:val="en-US" w:eastAsia="zh-CN"/>
        </w:rPr>
      </w:pPr>
    </w:p>
    <w:p>
      <w:pPr>
        <w:jc w:val="right"/>
        <w:rPr>
          <w:lang w:eastAsia="zh-CN"/>
        </w:rPr>
      </w:pPr>
      <w:r>
        <w:rPr>
          <w:rFonts w:hint="eastAsia"/>
          <w:u w:val="single"/>
          <w:lang w:val="en-US" w:eastAsia="zh-CN"/>
        </w:rPr>
        <w:t xml:space="preserve">       </w:t>
      </w:r>
      <w:r>
        <w:rPr>
          <w:lang w:eastAsia="zh-CN"/>
        </w:rPr>
        <w:t>年</w:t>
      </w:r>
      <w:r>
        <w:rPr>
          <w:u w:val="single"/>
          <w:lang w:eastAsia="zh-CN"/>
        </w:rPr>
        <w:t xml:space="preserve"> </w:t>
      </w:r>
      <w:r>
        <w:rPr>
          <w:rFonts w:hint="eastAsia"/>
          <w:u w:val="single"/>
          <w:lang w:val="en-US" w:eastAsia="zh-CN"/>
        </w:rPr>
        <w:t xml:space="preserve">   </w:t>
      </w:r>
      <w:r>
        <w:rPr>
          <w:u w:val="single"/>
          <w:lang w:eastAsia="zh-CN"/>
        </w:rPr>
        <w:tab/>
      </w:r>
      <w:r>
        <w:rPr>
          <w:lang w:eastAsia="zh-CN"/>
        </w:rPr>
        <w:t>月</w:t>
      </w:r>
      <w:r>
        <w:rPr>
          <w:u w:val="single"/>
          <w:lang w:eastAsia="zh-CN"/>
        </w:rPr>
        <w:t xml:space="preserve"> </w:t>
      </w:r>
      <w:r>
        <w:rPr>
          <w:rFonts w:hint="eastAsia"/>
          <w:u w:val="single"/>
          <w:lang w:val="en-US" w:eastAsia="zh-CN"/>
        </w:rPr>
        <w:t xml:space="preserve">   </w:t>
      </w:r>
      <w:r>
        <w:rPr>
          <w:u w:val="single"/>
          <w:lang w:eastAsia="zh-CN"/>
        </w:rPr>
        <w:tab/>
      </w:r>
      <w:r>
        <w:rPr>
          <w:lang w:eastAsia="zh-CN"/>
        </w:rPr>
        <w:t>日</w:t>
      </w:r>
    </w:p>
    <w:p>
      <w:pPr>
        <w:rPr>
          <w:lang w:eastAsia="zh-CN"/>
        </w:rPr>
      </w:pPr>
      <w:r>
        <w:rPr>
          <w:lang w:eastAsia="zh-CN"/>
        </w:rPr>
        <w:br w:type="page"/>
      </w:r>
    </w:p>
    <w:p>
      <w:pPr>
        <w:pStyle w:val="18"/>
        <w:rPr>
          <w:lang w:eastAsia="zh-CN"/>
        </w:rPr>
      </w:pPr>
    </w:p>
    <w:p>
      <w:pPr>
        <w:spacing w:before="35"/>
        <w:ind w:left="530" w:right="530"/>
        <w:jc w:val="center"/>
        <w:rPr>
          <w:b/>
          <w:sz w:val="32"/>
          <w:lang w:eastAsia="zh-CN"/>
        </w:rPr>
      </w:pPr>
      <w:r>
        <w:rPr>
          <w:b/>
          <w:sz w:val="32"/>
          <w:lang w:eastAsia="zh-CN"/>
        </w:rPr>
        <w:t>（二）磋商函附录</w:t>
      </w:r>
    </w:p>
    <w:p>
      <w:pPr>
        <w:pStyle w:val="6"/>
        <w:spacing w:before="1"/>
        <w:ind w:left="0"/>
        <w:rPr>
          <w:b/>
          <w:lang w:eastAsia="zh-CN"/>
        </w:rPr>
      </w:pPr>
    </w:p>
    <w:tbl>
      <w:tblPr>
        <w:tblStyle w:val="4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77"/>
        <w:gridCol w:w="70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1877" w:type="dxa"/>
          </w:tcPr>
          <w:p>
            <w:pPr>
              <w:pStyle w:val="42"/>
              <w:spacing w:before="10"/>
              <w:rPr>
                <w:b/>
                <w:sz w:val="19"/>
                <w:lang w:eastAsia="zh-CN"/>
              </w:rPr>
            </w:pPr>
          </w:p>
          <w:p>
            <w:pPr>
              <w:pStyle w:val="42"/>
              <w:spacing w:before="1"/>
              <w:ind w:left="317" w:right="309"/>
              <w:jc w:val="center"/>
              <w:rPr>
                <w:sz w:val="24"/>
              </w:rPr>
            </w:pPr>
            <w:r>
              <w:rPr>
                <w:sz w:val="24"/>
              </w:rPr>
              <w:t>项目名称</w:t>
            </w:r>
          </w:p>
        </w:tc>
        <w:tc>
          <w:tcPr>
            <w:tcW w:w="7049" w:type="dxa"/>
          </w:tcPr>
          <w:p>
            <w:pPr>
              <w:pStyle w:val="4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1877" w:type="dxa"/>
          </w:tcPr>
          <w:p>
            <w:pPr>
              <w:pStyle w:val="42"/>
              <w:spacing w:before="8"/>
              <w:rPr>
                <w:b/>
                <w:sz w:val="24"/>
              </w:rPr>
            </w:pPr>
          </w:p>
          <w:p>
            <w:pPr>
              <w:pStyle w:val="42"/>
              <w:spacing w:before="1"/>
              <w:ind w:left="317" w:right="309"/>
              <w:jc w:val="center"/>
              <w:rPr>
                <w:sz w:val="24"/>
              </w:rPr>
            </w:pPr>
            <w:r>
              <w:rPr>
                <w:sz w:val="24"/>
              </w:rPr>
              <w:t>供应商名称</w:t>
            </w:r>
          </w:p>
        </w:tc>
        <w:tc>
          <w:tcPr>
            <w:tcW w:w="7049" w:type="dxa"/>
          </w:tcPr>
          <w:p>
            <w:pPr>
              <w:pStyle w:val="4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1" w:hRule="atLeast"/>
        </w:trPr>
        <w:tc>
          <w:tcPr>
            <w:tcW w:w="1877" w:type="dxa"/>
          </w:tcPr>
          <w:p>
            <w:pPr>
              <w:pStyle w:val="42"/>
              <w:spacing w:before="1"/>
              <w:ind w:left="317" w:right="309"/>
              <w:jc w:val="center"/>
              <w:rPr>
                <w:rFonts w:ascii="Times New Roman" w:hAnsi="Times New Roman" w:eastAsia="宋体" w:cs="Times New Roman"/>
                <w:sz w:val="24"/>
              </w:rPr>
            </w:pPr>
          </w:p>
          <w:p>
            <w:pPr>
              <w:pStyle w:val="42"/>
              <w:spacing w:before="1"/>
              <w:ind w:left="317" w:right="309"/>
              <w:jc w:val="center"/>
              <w:rPr>
                <w:rFonts w:ascii="Times New Roman" w:hAnsi="Times New Roman" w:eastAsia="宋体" w:cs="Times New Roman"/>
                <w:sz w:val="24"/>
              </w:rPr>
            </w:pPr>
          </w:p>
          <w:p>
            <w:pPr>
              <w:pStyle w:val="42"/>
              <w:spacing w:before="1"/>
              <w:ind w:left="317" w:right="309"/>
              <w:jc w:val="center"/>
              <w:rPr>
                <w:rFonts w:ascii="Times New Roman" w:hAnsi="Times New Roman" w:eastAsia="宋体" w:cs="Times New Roman"/>
                <w:sz w:val="24"/>
              </w:rPr>
            </w:pPr>
            <w:r>
              <w:rPr>
                <w:rFonts w:ascii="Times New Roman" w:hAnsi="Times New Roman" w:eastAsia="宋体" w:cs="Times New Roman"/>
                <w:sz w:val="24"/>
              </w:rPr>
              <w:t>磋商报价</w:t>
            </w:r>
          </w:p>
        </w:tc>
        <w:tc>
          <w:tcPr>
            <w:tcW w:w="7049" w:type="dxa"/>
            <w:tcBorders>
              <w:right w:val="single" w:color="000000" w:sz="8" w:space="0"/>
            </w:tcBorders>
          </w:tcPr>
          <w:p>
            <w:pPr>
              <w:pStyle w:val="42"/>
              <w:rPr>
                <w:b/>
                <w:sz w:val="24"/>
              </w:rPr>
            </w:pPr>
          </w:p>
          <w:p>
            <w:pPr>
              <w:pStyle w:val="42"/>
              <w:spacing w:before="1"/>
              <w:rPr>
                <w:b/>
                <w:sz w:val="35"/>
              </w:rPr>
            </w:pPr>
          </w:p>
          <w:p>
            <w:pPr>
              <w:pStyle w:val="42"/>
              <w:tabs>
                <w:tab w:val="left" w:pos="2044"/>
              </w:tabs>
              <w:ind w:left="4"/>
              <w:rPr>
                <w:sz w:val="24"/>
              </w:rPr>
            </w:pPr>
            <w:r>
              <w:rPr>
                <w:sz w:val="24"/>
              </w:rPr>
              <w:t>大写：</w:t>
            </w:r>
            <w:r>
              <w:rPr>
                <w:sz w:val="24"/>
              </w:rPr>
              <w:tab/>
            </w:r>
            <w:r>
              <w:rPr>
                <w:sz w:val="24"/>
              </w:rPr>
              <w:t>小写：元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trPr>
        <w:tc>
          <w:tcPr>
            <w:tcW w:w="1877" w:type="dxa"/>
          </w:tcPr>
          <w:p>
            <w:pPr>
              <w:pStyle w:val="42"/>
              <w:spacing w:before="1"/>
              <w:ind w:left="317" w:right="309"/>
              <w:jc w:val="center"/>
              <w:rPr>
                <w:rFonts w:ascii="Times New Roman" w:hAnsi="Times New Roman" w:eastAsia="宋体" w:cs="Times New Roman"/>
                <w:sz w:val="24"/>
              </w:rPr>
            </w:pPr>
          </w:p>
          <w:p>
            <w:pPr>
              <w:pStyle w:val="42"/>
              <w:spacing w:before="1"/>
              <w:ind w:left="317" w:right="309"/>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采购内容</w:t>
            </w:r>
          </w:p>
        </w:tc>
        <w:tc>
          <w:tcPr>
            <w:tcW w:w="7049" w:type="dxa"/>
          </w:tcPr>
          <w:p>
            <w:pPr>
              <w:pStyle w:val="4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trPr>
        <w:tc>
          <w:tcPr>
            <w:tcW w:w="1877" w:type="dxa"/>
          </w:tcPr>
          <w:p>
            <w:pPr>
              <w:pStyle w:val="42"/>
              <w:spacing w:before="1"/>
              <w:ind w:left="317" w:right="309"/>
              <w:jc w:val="center"/>
              <w:rPr>
                <w:rFonts w:ascii="Times New Roman" w:hAnsi="Times New Roman" w:eastAsia="宋体" w:cs="Times New Roman"/>
                <w:sz w:val="24"/>
              </w:rPr>
            </w:pPr>
          </w:p>
          <w:p>
            <w:pPr>
              <w:pStyle w:val="42"/>
              <w:spacing w:before="1"/>
              <w:ind w:left="317" w:right="309"/>
              <w:jc w:val="center"/>
              <w:rPr>
                <w:rFonts w:hint="default" w:ascii="Times New Roman" w:hAnsi="Times New Roman" w:eastAsia="宋体" w:cs="Times New Roman"/>
                <w:sz w:val="24"/>
                <w:lang w:val="en-US"/>
              </w:rPr>
            </w:pPr>
            <w:r>
              <w:rPr>
                <w:rFonts w:hint="eastAsia" w:ascii="Times New Roman" w:hAnsi="Times New Roman" w:eastAsia="宋体" w:cs="Times New Roman"/>
                <w:sz w:val="24"/>
                <w:lang w:val="en-US" w:eastAsia="zh-CN"/>
              </w:rPr>
              <w:t>服务期限</w:t>
            </w:r>
          </w:p>
        </w:tc>
        <w:tc>
          <w:tcPr>
            <w:tcW w:w="7049" w:type="dxa"/>
          </w:tcPr>
          <w:p>
            <w:pPr>
              <w:pStyle w:val="4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6" w:hRule="atLeast"/>
        </w:trPr>
        <w:tc>
          <w:tcPr>
            <w:tcW w:w="1877" w:type="dxa"/>
          </w:tcPr>
          <w:p>
            <w:pPr>
              <w:pStyle w:val="42"/>
              <w:spacing w:before="1"/>
              <w:ind w:left="317" w:right="309"/>
              <w:jc w:val="center"/>
              <w:rPr>
                <w:rFonts w:ascii="Times New Roman" w:hAnsi="Times New Roman" w:eastAsia="宋体" w:cs="Times New Roman"/>
                <w:sz w:val="24"/>
              </w:rPr>
            </w:pPr>
          </w:p>
          <w:p>
            <w:pPr>
              <w:pStyle w:val="42"/>
              <w:spacing w:before="1"/>
              <w:ind w:left="317" w:right="309"/>
              <w:jc w:val="center"/>
              <w:rPr>
                <w:rFonts w:ascii="Times New Roman" w:hAnsi="Times New Roman" w:eastAsia="宋体" w:cs="Times New Roman"/>
                <w:sz w:val="24"/>
              </w:rPr>
            </w:pPr>
            <w:r>
              <w:rPr>
                <w:rFonts w:hint="eastAsia" w:ascii="Times New Roman" w:hAnsi="Times New Roman" w:eastAsia="宋体" w:cs="Times New Roman"/>
                <w:sz w:val="24"/>
                <w:lang w:val="en-US" w:eastAsia="zh-CN"/>
              </w:rPr>
              <w:t>服务</w:t>
            </w:r>
            <w:r>
              <w:rPr>
                <w:rFonts w:ascii="Times New Roman" w:hAnsi="Times New Roman" w:eastAsia="宋体" w:cs="Times New Roman"/>
                <w:sz w:val="24"/>
              </w:rPr>
              <w:t>要求</w:t>
            </w:r>
          </w:p>
        </w:tc>
        <w:tc>
          <w:tcPr>
            <w:tcW w:w="7049" w:type="dxa"/>
          </w:tcPr>
          <w:p>
            <w:pPr>
              <w:pStyle w:val="4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6" w:hRule="atLeast"/>
        </w:trPr>
        <w:tc>
          <w:tcPr>
            <w:tcW w:w="1877" w:type="dxa"/>
          </w:tcPr>
          <w:p>
            <w:pPr>
              <w:pStyle w:val="42"/>
              <w:spacing w:before="1"/>
              <w:ind w:left="317" w:right="309"/>
              <w:jc w:val="center"/>
              <w:rPr>
                <w:rFonts w:ascii="Times New Roman" w:hAnsi="Times New Roman" w:eastAsia="宋体" w:cs="Times New Roman"/>
                <w:sz w:val="24"/>
              </w:rPr>
            </w:pPr>
          </w:p>
          <w:p>
            <w:pPr>
              <w:pStyle w:val="42"/>
              <w:spacing w:before="1"/>
              <w:ind w:left="317" w:right="309"/>
              <w:jc w:val="center"/>
              <w:rPr>
                <w:rFonts w:ascii="Times New Roman" w:hAnsi="Times New Roman" w:eastAsia="宋体" w:cs="Times New Roman"/>
                <w:sz w:val="24"/>
              </w:rPr>
            </w:pPr>
            <w:r>
              <w:rPr>
                <w:rFonts w:ascii="Times New Roman" w:hAnsi="Times New Roman" w:eastAsia="宋体" w:cs="Times New Roman"/>
                <w:sz w:val="24"/>
              </w:rPr>
              <w:t>磋商有效期</w:t>
            </w:r>
          </w:p>
        </w:tc>
        <w:tc>
          <w:tcPr>
            <w:tcW w:w="7049" w:type="dxa"/>
          </w:tcPr>
          <w:p>
            <w:pPr>
              <w:pStyle w:val="4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2" w:hRule="atLeast"/>
        </w:trPr>
        <w:tc>
          <w:tcPr>
            <w:tcW w:w="1877" w:type="dxa"/>
          </w:tcPr>
          <w:p>
            <w:pPr>
              <w:pStyle w:val="42"/>
              <w:spacing w:before="1"/>
              <w:ind w:left="317" w:right="309"/>
              <w:jc w:val="center"/>
              <w:rPr>
                <w:rFonts w:ascii="Times New Roman" w:hAnsi="Times New Roman" w:eastAsia="宋体" w:cs="Times New Roman"/>
                <w:sz w:val="24"/>
              </w:rPr>
            </w:pPr>
          </w:p>
          <w:p>
            <w:pPr>
              <w:pStyle w:val="42"/>
              <w:spacing w:before="1"/>
              <w:ind w:left="317" w:right="309"/>
              <w:jc w:val="center"/>
              <w:rPr>
                <w:rFonts w:ascii="Times New Roman" w:hAnsi="Times New Roman" w:eastAsia="宋体" w:cs="Times New Roman"/>
                <w:sz w:val="24"/>
              </w:rPr>
            </w:pPr>
            <w:r>
              <w:rPr>
                <w:rFonts w:ascii="Times New Roman" w:hAnsi="Times New Roman" w:eastAsia="宋体" w:cs="Times New Roman"/>
                <w:sz w:val="24"/>
              </w:rPr>
              <w:t>备注</w:t>
            </w:r>
          </w:p>
        </w:tc>
        <w:tc>
          <w:tcPr>
            <w:tcW w:w="7049" w:type="dxa"/>
          </w:tcPr>
          <w:p>
            <w:pPr>
              <w:pStyle w:val="42"/>
              <w:rPr>
                <w:rFonts w:ascii="Times New Roman"/>
                <w:sz w:val="24"/>
              </w:rPr>
            </w:pPr>
          </w:p>
        </w:tc>
      </w:tr>
    </w:tbl>
    <w:p>
      <w:pPr>
        <w:spacing w:before="141"/>
        <w:ind w:left="980"/>
        <w:rPr>
          <w:b/>
          <w:sz w:val="21"/>
          <w:lang w:eastAsia="zh-CN"/>
        </w:rPr>
      </w:pPr>
      <w:r>
        <w:rPr>
          <w:b/>
          <w:sz w:val="21"/>
          <w:lang w:eastAsia="zh-CN"/>
        </w:rPr>
        <w:t>注：该表中所有空白项均为必填项。</w:t>
      </w:r>
    </w:p>
    <w:p>
      <w:pPr>
        <w:pStyle w:val="6"/>
        <w:ind w:left="0"/>
        <w:rPr>
          <w:b/>
          <w:sz w:val="20"/>
          <w:lang w:eastAsia="zh-CN"/>
        </w:rPr>
      </w:pPr>
    </w:p>
    <w:p>
      <w:pPr>
        <w:pStyle w:val="6"/>
        <w:spacing w:before="11"/>
        <w:ind w:left="0"/>
        <w:rPr>
          <w:b/>
          <w:sz w:val="27"/>
          <w:lang w:eastAsia="zh-CN"/>
        </w:rPr>
      </w:pPr>
    </w:p>
    <w:p>
      <w:pPr>
        <w:pStyle w:val="6"/>
        <w:tabs>
          <w:tab w:val="left" w:pos="4819"/>
        </w:tabs>
        <w:ind w:left="0"/>
        <w:jc w:val="right"/>
        <w:rPr>
          <w:lang w:eastAsia="zh-CN"/>
        </w:rPr>
      </w:pPr>
      <w:bookmarkStart w:id="233" w:name="二、法定代表人身份证明书"/>
      <w:bookmarkEnd w:id="233"/>
      <w:bookmarkStart w:id="234" w:name="三、授权委托书"/>
      <w:bookmarkEnd w:id="234"/>
      <w:r>
        <w:rPr>
          <w:lang w:eastAsia="zh-CN"/>
        </w:rPr>
        <w:t>供应商</w:t>
      </w:r>
      <w:r>
        <w:rPr>
          <w:rFonts w:hint="eastAsia"/>
          <w:lang w:val="en-US" w:eastAsia="zh-CN"/>
        </w:rPr>
        <w:t>名称</w:t>
      </w:r>
      <w:r>
        <w:rPr>
          <w:lang w:eastAsia="zh-CN"/>
        </w:rPr>
        <w:t>：</w:t>
      </w:r>
      <w:r>
        <w:rPr>
          <w:u w:val="single"/>
          <w:lang w:eastAsia="zh-CN"/>
        </w:rPr>
        <w:t xml:space="preserve"> </w:t>
      </w:r>
      <w:r>
        <w:rPr>
          <w:rFonts w:hint="eastAsia"/>
          <w:u w:val="single"/>
          <w:lang w:val="en-US" w:eastAsia="zh-CN"/>
        </w:rPr>
        <w:t xml:space="preserve">                     </w:t>
      </w:r>
      <w:r>
        <w:rPr>
          <w:lang w:eastAsia="zh-CN"/>
        </w:rPr>
        <w:t>（</w:t>
      </w:r>
      <w:r>
        <w:rPr>
          <w:rFonts w:hint="eastAsia"/>
          <w:lang w:val="en-US" w:eastAsia="zh-CN"/>
        </w:rPr>
        <w:t>电子</w:t>
      </w:r>
      <w:r>
        <w:rPr>
          <w:lang w:eastAsia="zh-CN"/>
        </w:rPr>
        <w:t>签章）</w:t>
      </w:r>
    </w:p>
    <w:p>
      <w:pPr>
        <w:pStyle w:val="6"/>
        <w:ind w:left="0"/>
        <w:jc w:val="right"/>
        <w:rPr>
          <w:lang w:eastAsia="zh-CN"/>
        </w:rPr>
      </w:pPr>
    </w:p>
    <w:p>
      <w:pPr>
        <w:pStyle w:val="6"/>
        <w:tabs>
          <w:tab w:val="left" w:pos="4935"/>
        </w:tabs>
        <w:ind w:left="0"/>
        <w:jc w:val="right"/>
        <w:rPr>
          <w:lang w:eastAsia="zh-CN"/>
        </w:rPr>
      </w:pPr>
      <w:r>
        <w:rPr>
          <w:lang w:eastAsia="zh-CN"/>
        </w:rPr>
        <w:t>法定代表人：</w:t>
      </w:r>
      <w:r>
        <w:rPr>
          <w:u w:val="single"/>
          <w:lang w:eastAsia="zh-CN"/>
        </w:rPr>
        <w:t xml:space="preserve"> </w:t>
      </w:r>
      <w:r>
        <w:rPr>
          <w:rFonts w:hint="eastAsia"/>
          <w:u w:val="single"/>
          <w:lang w:val="en-US" w:eastAsia="zh-CN"/>
        </w:rPr>
        <w:t xml:space="preserve">                 </w:t>
      </w:r>
      <w:r>
        <w:rPr>
          <w:lang w:eastAsia="zh-CN"/>
        </w:rPr>
        <w:t>（电子签章）</w:t>
      </w:r>
    </w:p>
    <w:p>
      <w:pPr>
        <w:pStyle w:val="6"/>
        <w:ind w:left="0"/>
        <w:jc w:val="right"/>
        <w:rPr>
          <w:sz w:val="19"/>
          <w:lang w:eastAsia="zh-CN"/>
        </w:rPr>
      </w:pPr>
    </w:p>
    <w:p>
      <w:pPr>
        <w:pStyle w:val="6"/>
        <w:tabs>
          <w:tab w:val="left" w:pos="1077"/>
          <w:tab w:val="left" w:pos="1797"/>
          <w:tab w:val="left" w:pos="2757"/>
        </w:tabs>
        <w:ind w:left="0" w:firstLine="1800" w:firstLineChars="900"/>
        <w:jc w:val="right"/>
        <w:rPr>
          <w:rFonts w:hint="eastAsia"/>
          <w:u w:val="single"/>
          <w:lang w:val="en-US" w:eastAsia="zh-CN"/>
        </w:rPr>
      </w:pPr>
    </w:p>
    <w:p>
      <w:pPr>
        <w:jc w:val="right"/>
        <w:rPr>
          <w:lang w:eastAsia="zh-CN"/>
        </w:rPr>
      </w:pPr>
      <w:r>
        <w:rPr>
          <w:rFonts w:hint="eastAsia"/>
          <w:u w:val="single"/>
          <w:lang w:val="en-US" w:eastAsia="zh-CN"/>
        </w:rPr>
        <w:t xml:space="preserve">       </w:t>
      </w:r>
      <w:r>
        <w:rPr>
          <w:lang w:eastAsia="zh-CN"/>
        </w:rPr>
        <w:t>年</w:t>
      </w:r>
      <w:r>
        <w:rPr>
          <w:u w:val="single"/>
          <w:lang w:eastAsia="zh-CN"/>
        </w:rPr>
        <w:t xml:space="preserve"> </w:t>
      </w:r>
      <w:r>
        <w:rPr>
          <w:rFonts w:hint="eastAsia"/>
          <w:u w:val="single"/>
          <w:lang w:val="en-US" w:eastAsia="zh-CN"/>
        </w:rPr>
        <w:t xml:space="preserve">   </w:t>
      </w:r>
      <w:r>
        <w:rPr>
          <w:u w:val="single"/>
          <w:lang w:eastAsia="zh-CN"/>
        </w:rPr>
        <w:tab/>
      </w:r>
      <w:r>
        <w:rPr>
          <w:lang w:eastAsia="zh-CN"/>
        </w:rPr>
        <w:t>月</w:t>
      </w:r>
      <w:r>
        <w:rPr>
          <w:u w:val="single"/>
          <w:lang w:eastAsia="zh-CN"/>
        </w:rPr>
        <w:t xml:space="preserve"> </w:t>
      </w:r>
      <w:r>
        <w:rPr>
          <w:rFonts w:hint="eastAsia"/>
          <w:u w:val="single"/>
          <w:lang w:val="en-US" w:eastAsia="zh-CN"/>
        </w:rPr>
        <w:t xml:space="preserve">   </w:t>
      </w:r>
      <w:r>
        <w:rPr>
          <w:u w:val="single"/>
          <w:lang w:eastAsia="zh-CN"/>
        </w:rPr>
        <w:tab/>
      </w:r>
      <w:r>
        <w:rPr>
          <w:lang w:eastAsia="zh-CN"/>
        </w:rPr>
        <w:t>日</w:t>
      </w:r>
    </w:p>
    <w:p>
      <w:pPr>
        <w:rPr>
          <w:b/>
          <w:sz w:val="28"/>
          <w:lang w:eastAsia="zh-CN"/>
        </w:rPr>
      </w:pPr>
      <w:r>
        <w:rPr>
          <w:b/>
          <w:sz w:val="28"/>
          <w:lang w:eastAsia="zh-CN"/>
        </w:rPr>
        <w:br w:type="page"/>
      </w:r>
    </w:p>
    <w:p>
      <w:pPr>
        <w:spacing w:before="35"/>
        <w:ind w:left="530" w:right="530"/>
        <w:jc w:val="center"/>
        <w:rPr>
          <w:rFonts w:hint="default"/>
          <w:b/>
          <w:sz w:val="32"/>
          <w:lang w:val="en-US" w:eastAsia="zh-CN"/>
        </w:rPr>
      </w:pPr>
      <w:r>
        <w:rPr>
          <w:b/>
          <w:sz w:val="32"/>
          <w:lang w:eastAsia="zh-CN"/>
        </w:rPr>
        <w:t>（</w:t>
      </w:r>
      <w:r>
        <w:rPr>
          <w:rFonts w:hint="eastAsia"/>
          <w:b/>
          <w:sz w:val="32"/>
          <w:lang w:val="en-US" w:eastAsia="zh-CN"/>
        </w:rPr>
        <w:t>三</w:t>
      </w:r>
      <w:r>
        <w:rPr>
          <w:b/>
          <w:sz w:val="32"/>
          <w:lang w:eastAsia="zh-CN"/>
        </w:rPr>
        <w:t>）</w:t>
      </w:r>
      <w:r>
        <w:rPr>
          <w:rFonts w:hint="eastAsia"/>
          <w:b/>
          <w:sz w:val="32"/>
          <w:lang w:val="en-US" w:eastAsia="zh-CN"/>
        </w:rPr>
        <w:t>分项明细报价表</w:t>
      </w:r>
    </w:p>
    <w:p>
      <w:pPr>
        <w:spacing w:before="35"/>
        <w:ind w:left="530" w:right="530"/>
        <w:jc w:val="center"/>
        <w:rPr>
          <w:b/>
          <w:sz w:val="32"/>
          <w:lang w:eastAsia="zh-CN"/>
        </w:rPr>
      </w:pPr>
      <w:r>
        <w:rPr>
          <w:b/>
          <w:sz w:val="28"/>
          <w:lang w:eastAsia="zh-CN"/>
        </w:rPr>
        <w:br w:type="page"/>
      </w:r>
    </w:p>
    <w:p>
      <w:pPr>
        <w:rPr>
          <w:b/>
          <w:sz w:val="28"/>
          <w:lang w:eastAsia="zh-CN"/>
        </w:rPr>
      </w:pPr>
    </w:p>
    <w:p>
      <w:pPr>
        <w:spacing w:before="35"/>
        <w:ind w:left="530" w:right="532"/>
        <w:jc w:val="center"/>
        <w:rPr>
          <w:b/>
          <w:sz w:val="28"/>
          <w:lang w:eastAsia="zh-CN"/>
        </w:rPr>
      </w:pPr>
      <w:r>
        <w:rPr>
          <w:b/>
          <w:sz w:val="28"/>
          <w:lang w:eastAsia="zh-CN"/>
        </w:rPr>
        <w:t>二、法定代表人身份证明书</w:t>
      </w:r>
    </w:p>
    <w:p>
      <w:pPr>
        <w:pStyle w:val="6"/>
        <w:ind w:left="0"/>
        <w:rPr>
          <w:rFonts w:hint="eastAsia"/>
          <w:b/>
          <w:sz w:val="28"/>
          <w:lang w:eastAsia="zh-CN"/>
        </w:rPr>
      </w:pPr>
    </w:p>
    <w:p>
      <w:pPr>
        <w:pStyle w:val="6"/>
        <w:spacing w:before="3"/>
        <w:ind w:left="0"/>
        <w:rPr>
          <w:b/>
          <w:sz w:val="27"/>
          <w:lang w:eastAsia="zh-CN"/>
        </w:rPr>
      </w:pPr>
    </w:p>
    <w:p>
      <w:pPr>
        <w:pStyle w:val="6"/>
        <w:tabs>
          <w:tab w:val="left" w:pos="3319"/>
          <w:tab w:val="left" w:pos="3679"/>
          <w:tab w:val="left" w:pos="3919"/>
        </w:tabs>
        <w:spacing w:line="360" w:lineRule="auto"/>
        <w:ind w:left="0" w:firstLine="400" w:firstLineChars="200"/>
        <w:jc w:val="both"/>
        <w:rPr>
          <w:rFonts w:ascii="Times New Roman" w:eastAsia="Times New Roman"/>
          <w:u w:val="single"/>
          <w:lang w:eastAsia="zh-CN"/>
        </w:rPr>
      </w:pPr>
      <w:r>
        <w:rPr>
          <w:lang w:eastAsia="zh-CN"/>
        </w:rPr>
        <w:t>供应商名称：</w:t>
      </w:r>
      <w:r>
        <w:rPr>
          <w:rFonts w:ascii="Times New Roman" w:eastAsia="Times New Roman"/>
          <w:u w:val="single"/>
          <w:lang w:eastAsia="zh-CN"/>
        </w:rPr>
        <w:t xml:space="preserve"> </w:t>
      </w:r>
      <w:r>
        <w:rPr>
          <w:rFonts w:ascii="Times New Roman" w:eastAsia="Times New Roman"/>
          <w:u w:val="single"/>
          <w:lang w:eastAsia="zh-CN"/>
        </w:rPr>
        <w:tab/>
      </w:r>
      <w:r>
        <w:rPr>
          <w:rFonts w:ascii="Times New Roman" w:eastAsia="Times New Roman"/>
          <w:u w:val="single"/>
          <w:lang w:eastAsia="zh-CN"/>
        </w:rPr>
        <w:tab/>
      </w:r>
      <w:r>
        <w:rPr>
          <w:rFonts w:ascii="Times New Roman" w:eastAsia="Times New Roman"/>
          <w:u w:val="single"/>
          <w:lang w:eastAsia="zh-CN"/>
        </w:rPr>
        <w:tab/>
      </w:r>
      <w:r>
        <w:rPr>
          <w:rFonts w:ascii="Times New Roman" w:eastAsia="Times New Roman"/>
          <w:u w:val="single"/>
          <w:lang w:eastAsia="zh-CN"/>
        </w:rPr>
        <w:t xml:space="preserve"> </w:t>
      </w:r>
    </w:p>
    <w:p>
      <w:pPr>
        <w:pStyle w:val="6"/>
        <w:tabs>
          <w:tab w:val="left" w:pos="3319"/>
          <w:tab w:val="left" w:pos="3679"/>
          <w:tab w:val="left" w:pos="3919"/>
        </w:tabs>
        <w:spacing w:line="360" w:lineRule="auto"/>
        <w:ind w:left="0" w:firstLine="400" w:firstLineChars="200"/>
        <w:jc w:val="both"/>
        <w:rPr>
          <w:lang w:eastAsia="zh-CN"/>
        </w:rPr>
      </w:pPr>
      <w:r>
        <w:rPr>
          <w:lang w:eastAsia="zh-CN"/>
        </w:rPr>
        <w:t>单位性质：</w:t>
      </w:r>
      <w:r>
        <w:rPr>
          <w:rFonts w:ascii="Times New Roman" w:eastAsia="Times New Roman"/>
          <w:u w:val="single"/>
          <w:lang w:eastAsia="zh-CN"/>
        </w:rPr>
        <w:t xml:space="preserve"> </w:t>
      </w:r>
      <w:r>
        <w:rPr>
          <w:rFonts w:ascii="Times New Roman" w:eastAsia="Times New Roman"/>
          <w:u w:val="single"/>
          <w:lang w:eastAsia="zh-CN"/>
        </w:rPr>
        <w:tab/>
      </w:r>
      <w:r>
        <w:rPr>
          <w:rFonts w:ascii="Times New Roman" w:eastAsia="Times New Roman"/>
          <w:u w:val="single"/>
          <w:lang w:eastAsia="zh-CN"/>
        </w:rPr>
        <w:tab/>
      </w:r>
      <w:r>
        <w:rPr>
          <w:lang w:eastAsia="zh-CN"/>
        </w:rPr>
        <w:t xml:space="preserve"> </w:t>
      </w:r>
    </w:p>
    <w:p>
      <w:pPr>
        <w:pStyle w:val="6"/>
        <w:tabs>
          <w:tab w:val="left" w:pos="3319"/>
          <w:tab w:val="left" w:pos="3679"/>
          <w:tab w:val="left" w:pos="3919"/>
        </w:tabs>
        <w:spacing w:line="360" w:lineRule="auto"/>
        <w:ind w:left="0" w:firstLine="400" w:firstLineChars="200"/>
        <w:jc w:val="both"/>
        <w:rPr>
          <w:rFonts w:ascii="Times New Roman" w:eastAsia="Times New Roman"/>
          <w:lang w:eastAsia="zh-CN"/>
        </w:rPr>
      </w:pPr>
      <w:r>
        <w:rPr>
          <w:lang w:eastAsia="zh-CN"/>
        </w:rPr>
        <w:t xml:space="preserve">地址： </w:t>
      </w:r>
      <w:r>
        <w:rPr>
          <w:rFonts w:ascii="Times New Roman" w:eastAsia="Times New Roman"/>
          <w:u w:val="single"/>
          <w:lang w:eastAsia="zh-CN"/>
        </w:rPr>
        <w:t xml:space="preserve"> </w:t>
      </w:r>
      <w:r>
        <w:rPr>
          <w:rFonts w:ascii="Times New Roman" w:eastAsia="Times New Roman"/>
          <w:u w:val="single"/>
          <w:lang w:eastAsia="zh-CN"/>
        </w:rPr>
        <w:tab/>
      </w:r>
    </w:p>
    <w:p>
      <w:pPr>
        <w:pStyle w:val="6"/>
        <w:tabs>
          <w:tab w:val="left" w:pos="3619"/>
          <w:tab w:val="left" w:pos="5299"/>
          <w:tab w:val="left" w:pos="5899"/>
          <w:tab w:val="left" w:pos="6979"/>
        </w:tabs>
        <w:spacing w:line="360" w:lineRule="auto"/>
        <w:ind w:left="0" w:firstLine="400" w:firstLineChars="200"/>
        <w:jc w:val="both"/>
        <w:rPr>
          <w:spacing w:val="-18"/>
          <w:lang w:eastAsia="zh-CN"/>
        </w:rPr>
      </w:pPr>
      <w:r>
        <w:rPr>
          <w:lang w:eastAsia="zh-CN"/>
        </w:rPr>
        <w:t>成立时间：</w:t>
      </w:r>
      <w:r>
        <w:rPr>
          <w:u w:val="single"/>
          <w:lang w:eastAsia="zh-CN"/>
        </w:rPr>
        <w:t xml:space="preserve"> </w:t>
      </w:r>
      <w:r>
        <w:rPr>
          <w:rFonts w:hint="eastAsia"/>
          <w:u w:val="single"/>
          <w:lang w:val="en-US" w:eastAsia="zh-CN"/>
        </w:rPr>
        <w:t xml:space="preserve">          </w:t>
      </w:r>
      <w:r>
        <w:rPr>
          <w:lang w:eastAsia="zh-CN"/>
        </w:rPr>
        <w:t>年</w:t>
      </w:r>
      <w:r>
        <w:rPr>
          <w:u w:val="single"/>
          <w:lang w:eastAsia="zh-CN"/>
        </w:rPr>
        <w:t xml:space="preserve"> </w:t>
      </w:r>
      <w:r>
        <w:rPr>
          <w:u w:val="single"/>
          <w:lang w:eastAsia="zh-CN"/>
        </w:rPr>
        <w:tab/>
      </w:r>
      <w:r>
        <w:rPr>
          <w:lang w:eastAsia="zh-CN"/>
        </w:rPr>
        <w:t>月</w:t>
      </w:r>
      <w:r>
        <w:rPr>
          <w:rFonts w:hint="eastAsia"/>
          <w:u w:val="single"/>
          <w:lang w:val="en-US" w:eastAsia="zh-CN"/>
        </w:rPr>
        <w:t xml:space="preserve">          </w:t>
      </w:r>
      <w:r>
        <w:rPr>
          <w:spacing w:val="-18"/>
          <w:lang w:eastAsia="zh-CN"/>
        </w:rPr>
        <w:t>日</w:t>
      </w:r>
    </w:p>
    <w:p>
      <w:pPr>
        <w:pStyle w:val="6"/>
        <w:tabs>
          <w:tab w:val="left" w:pos="3619"/>
          <w:tab w:val="left" w:pos="5299"/>
          <w:tab w:val="left" w:pos="5899"/>
          <w:tab w:val="left" w:pos="6979"/>
        </w:tabs>
        <w:spacing w:line="360" w:lineRule="auto"/>
        <w:ind w:left="0" w:firstLine="400" w:firstLineChars="200"/>
        <w:jc w:val="both"/>
        <w:rPr>
          <w:rFonts w:hint="default"/>
          <w:lang w:val="en-US" w:eastAsia="zh-CN"/>
        </w:rPr>
      </w:pPr>
      <w:r>
        <w:rPr>
          <w:lang w:eastAsia="zh-CN"/>
        </w:rPr>
        <w:t>经营期限</w:t>
      </w:r>
      <w:r>
        <w:rPr>
          <w:u w:val="single"/>
          <w:lang w:eastAsia="zh-CN"/>
        </w:rPr>
        <w:t>：</w:t>
      </w:r>
      <w:r>
        <w:rPr>
          <w:rFonts w:hint="eastAsia"/>
          <w:u w:val="single"/>
          <w:lang w:val="en-US" w:eastAsia="zh-CN"/>
        </w:rPr>
        <w:t xml:space="preserve">                      </w:t>
      </w:r>
    </w:p>
    <w:p>
      <w:pPr>
        <w:pStyle w:val="6"/>
        <w:tabs>
          <w:tab w:val="left" w:pos="2659"/>
          <w:tab w:val="left" w:pos="3139"/>
          <w:tab w:val="left" w:pos="5299"/>
          <w:tab w:val="left" w:pos="7459"/>
          <w:tab w:val="left" w:pos="9345"/>
        </w:tabs>
        <w:spacing w:line="360" w:lineRule="auto"/>
        <w:ind w:left="0" w:firstLine="400" w:firstLineChars="200"/>
        <w:jc w:val="both"/>
        <w:rPr>
          <w:lang w:eastAsia="zh-CN"/>
        </w:rPr>
      </w:pPr>
      <w:r>
        <w:rPr>
          <w:lang w:eastAsia="zh-CN"/>
        </w:rPr>
        <w:t>姓名：</w:t>
      </w:r>
      <w:r>
        <w:rPr>
          <w:u w:val="single"/>
          <w:lang w:eastAsia="zh-CN"/>
        </w:rPr>
        <w:t xml:space="preserve"> </w:t>
      </w:r>
      <w:r>
        <w:rPr>
          <w:rFonts w:hint="eastAsia"/>
          <w:u w:val="single"/>
          <w:lang w:val="en-US" w:eastAsia="zh-CN"/>
        </w:rPr>
        <w:t xml:space="preserve">           </w:t>
      </w:r>
      <w:r>
        <w:rPr>
          <w:lang w:eastAsia="zh-CN"/>
        </w:rPr>
        <w:t>性别：</w:t>
      </w:r>
      <w:r>
        <w:rPr>
          <w:u w:val="single"/>
          <w:lang w:eastAsia="zh-CN"/>
        </w:rPr>
        <w:t xml:space="preserve"> </w:t>
      </w:r>
      <w:r>
        <w:rPr>
          <w:u w:val="single"/>
          <w:lang w:eastAsia="zh-CN"/>
        </w:rPr>
        <w:tab/>
      </w:r>
      <w:r>
        <w:rPr>
          <w:rFonts w:hint="eastAsia"/>
          <w:u w:val="single"/>
          <w:lang w:val="en-US" w:eastAsia="zh-CN"/>
        </w:rPr>
        <w:t xml:space="preserve">        </w:t>
      </w:r>
      <w:r>
        <w:rPr>
          <w:lang w:eastAsia="zh-CN"/>
        </w:rPr>
        <w:t>年龄：</w:t>
      </w:r>
      <w:r>
        <w:rPr>
          <w:u w:val="single"/>
          <w:lang w:eastAsia="zh-CN"/>
        </w:rPr>
        <w:t xml:space="preserve"> </w:t>
      </w:r>
      <w:r>
        <w:rPr>
          <w:u w:val="single"/>
          <w:lang w:eastAsia="zh-CN"/>
        </w:rPr>
        <w:tab/>
      </w:r>
      <w:r>
        <w:rPr>
          <w:rFonts w:hint="eastAsia"/>
          <w:u w:val="single"/>
          <w:lang w:val="en-US" w:eastAsia="zh-CN"/>
        </w:rPr>
        <w:t xml:space="preserve">   </w:t>
      </w:r>
      <w:r>
        <w:rPr>
          <w:lang w:eastAsia="zh-CN"/>
        </w:rPr>
        <w:t>职务：</w:t>
      </w:r>
      <w:r>
        <w:rPr>
          <w:rFonts w:ascii="Times New Roman" w:eastAsia="Times New Roman"/>
          <w:u w:val="single"/>
          <w:lang w:eastAsia="zh-CN"/>
        </w:rPr>
        <w:t xml:space="preserve"> </w:t>
      </w:r>
      <w:r>
        <w:rPr>
          <w:rFonts w:hint="eastAsia" w:ascii="Times New Roman" w:eastAsia="Times New Roman"/>
          <w:u w:val="single"/>
          <w:lang w:val="en-US" w:eastAsia="zh-CN"/>
        </w:rPr>
        <w:t xml:space="preserve">       </w:t>
      </w:r>
      <w:r>
        <w:rPr>
          <w:lang w:eastAsia="zh-CN"/>
        </w:rPr>
        <w:t>系</w:t>
      </w:r>
      <w:r>
        <w:rPr>
          <w:u w:val="single"/>
          <w:lang w:eastAsia="zh-CN"/>
        </w:rPr>
        <w:t xml:space="preserve"> </w:t>
      </w:r>
      <w:r>
        <w:rPr>
          <w:u w:val="single"/>
          <w:lang w:eastAsia="zh-CN"/>
        </w:rPr>
        <w:tab/>
      </w:r>
      <w:r>
        <w:rPr>
          <w:rFonts w:hint="eastAsia"/>
          <w:u w:val="single"/>
          <w:lang w:val="en-US" w:eastAsia="zh-CN"/>
        </w:rPr>
        <w:t xml:space="preserve">       </w:t>
      </w:r>
      <w:r>
        <w:rPr>
          <w:lang w:eastAsia="zh-CN"/>
        </w:rPr>
        <w:t>（供应商名称）的法定代表人。</w:t>
      </w:r>
    </w:p>
    <w:p>
      <w:pPr>
        <w:pStyle w:val="6"/>
        <w:spacing w:line="360" w:lineRule="auto"/>
        <w:ind w:left="0" w:firstLine="400" w:firstLineChars="200"/>
        <w:jc w:val="both"/>
        <w:rPr>
          <w:lang w:eastAsia="zh-CN"/>
        </w:rPr>
      </w:pPr>
      <w:r>
        <w:rPr>
          <w:lang w:eastAsia="zh-CN"/>
        </w:rPr>
        <w:t>特此证明。</w:t>
      </w:r>
    </w:p>
    <w:p>
      <w:pPr>
        <w:pStyle w:val="6"/>
        <w:spacing w:line="360" w:lineRule="auto"/>
        <w:ind w:left="0" w:firstLine="620" w:firstLineChars="200"/>
        <w:jc w:val="both"/>
        <w:rPr>
          <w:sz w:val="31"/>
          <w:lang w:eastAsia="zh-CN"/>
        </w:rPr>
      </w:pPr>
    </w:p>
    <w:p>
      <w:pPr>
        <w:tabs>
          <w:tab w:val="left" w:pos="3859"/>
        </w:tabs>
        <w:spacing w:line="360" w:lineRule="auto"/>
        <w:ind w:firstLine="482" w:firstLineChars="200"/>
        <w:jc w:val="both"/>
        <w:rPr>
          <w:b/>
          <w:spacing w:val="-15"/>
          <w:sz w:val="24"/>
          <w:lang w:eastAsia="zh-CN"/>
        </w:rPr>
      </w:pPr>
      <w:r>
        <w:rPr>
          <w:b/>
          <w:sz w:val="24"/>
          <w:lang w:eastAsia="zh-CN"/>
        </w:rPr>
        <w:t>（后附法定代表人身份证正反面扫描件</w:t>
      </w:r>
      <w:r>
        <w:rPr>
          <w:b/>
          <w:spacing w:val="-15"/>
          <w:sz w:val="24"/>
          <w:lang w:eastAsia="zh-CN"/>
        </w:rPr>
        <w:t>）</w:t>
      </w:r>
    </w:p>
    <w:p>
      <w:pPr>
        <w:tabs>
          <w:tab w:val="left" w:pos="3859"/>
        </w:tabs>
        <w:spacing w:line="480" w:lineRule="auto"/>
        <w:ind w:firstLine="422" w:firstLineChars="200"/>
        <w:jc w:val="both"/>
        <w:rPr>
          <w:b/>
          <w:spacing w:val="-15"/>
          <w:sz w:val="24"/>
          <w:lang w:eastAsia="zh-CN"/>
        </w:rPr>
      </w:pPr>
    </w:p>
    <w:p>
      <w:pPr>
        <w:tabs>
          <w:tab w:val="left" w:pos="3859"/>
        </w:tabs>
        <w:spacing w:line="480" w:lineRule="auto"/>
        <w:ind w:firstLine="422" w:firstLineChars="200"/>
        <w:jc w:val="both"/>
        <w:rPr>
          <w:b/>
          <w:spacing w:val="-15"/>
          <w:sz w:val="24"/>
          <w:lang w:eastAsia="zh-CN"/>
        </w:rPr>
      </w:pPr>
    </w:p>
    <w:p>
      <w:pPr>
        <w:pStyle w:val="6"/>
        <w:tabs>
          <w:tab w:val="left" w:pos="4819"/>
        </w:tabs>
        <w:spacing w:line="480" w:lineRule="auto"/>
        <w:ind w:left="0"/>
        <w:rPr>
          <w:lang w:eastAsia="zh-CN"/>
        </w:rPr>
      </w:pPr>
      <w:r>
        <w:rPr>
          <w:b/>
          <w:spacing w:val="-15"/>
          <w:sz w:val="24"/>
          <w:lang w:eastAsia="zh-CN"/>
        </w:rPr>
        <w:t xml:space="preserve"> </w:t>
      </w:r>
      <w:bookmarkStart w:id="235" w:name="四、项目实施方案"/>
      <w:bookmarkEnd w:id="235"/>
      <w:r>
        <w:rPr>
          <w:lang w:eastAsia="zh-CN"/>
        </w:rPr>
        <w:t>供应商</w:t>
      </w:r>
      <w:r>
        <w:rPr>
          <w:rFonts w:hint="eastAsia"/>
          <w:lang w:val="en-US" w:eastAsia="zh-CN"/>
        </w:rPr>
        <w:t>名称</w:t>
      </w:r>
      <w:r>
        <w:rPr>
          <w:lang w:eastAsia="zh-CN"/>
        </w:rPr>
        <w:t>：</w:t>
      </w:r>
      <w:r>
        <w:rPr>
          <w:u w:val="single"/>
          <w:lang w:eastAsia="zh-CN"/>
        </w:rPr>
        <w:t xml:space="preserve"> </w:t>
      </w:r>
      <w:r>
        <w:rPr>
          <w:u w:val="single"/>
          <w:lang w:eastAsia="zh-CN"/>
        </w:rPr>
        <w:tab/>
      </w:r>
      <w:r>
        <w:rPr>
          <w:lang w:eastAsia="zh-CN"/>
        </w:rPr>
        <w:t>（</w:t>
      </w:r>
      <w:r>
        <w:rPr>
          <w:rFonts w:hint="eastAsia"/>
          <w:lang w:val="en-US" w:eastAsia="zh-CN"/>
        </w:rPr>
        <w:t>电子</w:t>
      </w:r>
      <w:r>
        <w:rPr>
          <w:lang w:eastAsia="zh-CN"/>
        </w:rPr>
        <w:t>签章）</w:t>
      </w:r>
    </w:p>
    <w:p>
      <w:pPr>
        <w:pStyle w:val="6"/>
        <w:tabs>
          <w:tab w:val="left" w:pos="1557"/>
          <w:tab w:val="left" w:pos="2877"/>
          <w:tab w:val="left" w:pos="4197"/>
        </w:tabs>
        <w:spacing w:line="480" w:lineRule="auto"/>
        <w:ind w:left="0"/>
        <w:rPr>
          <w:lang w:eastAsia="zh-CN"/>
        </w:rPr>
      </w:pPr>
      <w:r>
        <w:rPr>
          <w:rFonts w:ascii="Times New Roman" w:eastAsia="Times New Roman"/>
          <w:u w:val="single"/>
          <w:lang w:eastAsia="zh-CN"/>
        </w:rPr>
        <w:t xml:space="preserve"> </w:t>
      </w:r>
      <w:r>
        <w:rPr>
          <w:rFonts w:ascii="Times New Roman" w:eastAsia="Times New Roman"/>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w:t>
      </w:r>
    </w:p>
    <w:p>
      <w:pPr>
        <w:rPr>
          <w:b/>
          <w:spacing w:val="-1"/>
          <w:w w:val="95"/>
          <w:sz w:val="24"/>
          <w:szCs w:val="24"/>
          <w:lang w:eastAsia="zh-CN"/>
        </w:rPr>
      </w:pPr>
      <w:r>
        <w:rPr>
          <w:b/>
          <w:spacing w:val="-1"/>
          <w:w w:val="95"/>
          <w:sz w:val="24"/>
          <w:szCs w:val="24"/>
          <w:lang w:eastAsia="zh-CN"/>
        </w:rPr>
        <w:br w:type="page"/>
      </w:r>
    </w:p>
    <w:p>
      <w:pPr>
        <w:spacing w:line="360" w:lineRule="auto"/>
        <w:ind w:firstLine="454" w:firstLineChars="200"/>
        <w:jc w:val="center"/>
        <w:rPr>
          <w:b/>
          <w:sz w:val="24"/>
          <w:szCs w:val="24"/>
          <w:lang w:eastAsia="zh-CN"/>
        </w:rPr>
      </w:pPr>
      <w:r>
        <w:rPr>
          <w:b/>
          <w:spacing w:val="-1"/>
          <w:w w:val="95"/>
          <w:sz w:val="24"/>
          <w:szCs w:val="24"/>
          <w:lang w:eastAsia="zh-CN"/>
        </w:rPr>
        <w:t>三、授权委托书</w:t>
      </w:r>
    </w:p>
    <w:p>
      <w:pPr>
        <w:pStyle w:val="6"/>
        <w:spacing w:line="360" w:lineRule="auto"/>
        <w:ind w:left="0" w:firstLine="402" w:firstLineChars="200"/>
        <w:rPr>
          <w:b/>
          <w:lang w:eastAsia="zh-CN"/>
        </w:rPr>
      </w:pPr>
    </w:p>
    <w:p>
      <w:pPr>
        <w:pStyle w:val="6"/>
        <w:tabs>
          <w:tab w:val="left" w:pos="2640"/>
          <w:tab w:val="left" w:pos="2880"/>
          <w:tab w:val="left" w:pos="5484"/>
          <w:tab w:val="left" w:pos="6335"/>
        </w:tabs>
        <w:spacing w:line="360" w:lineRule="auto"/>
        <w:ind w:left="0" w:firstLine="400" w:firstLineChars="200"/>
        <w:jc w:val="both"/>
        <w:rPr>
          <w:lang w:eastAsia="zh-CN"/>
        </w:rPr>
      </w:pPr>
      <w:r>
        <w:rPr>
          <w:lang w:eastAsia="zh-CN"/>
        </w:rPr>
        <w:t>本人</w:t>
      </w:r>
      <w:r>
        <w:rPr>
          <w:u w:val="single"/>
          <w:lang w:eastAsia="zh-CN"/>
        </w:rPr>
        <w:t xml:space="preserve"> </w:t>
      </w:r>
      <w:r>
        <w:rPr>
          <w:rFonts w:hint="eastAsia"/>
          <w:u w:val="single"/>
          <w:lang w:val="en-US" w:eastAsia="zh-CN"/>
        </w:rPr>
        <w:t xml:space="preserve">        </w:t>
      </w:r>
      <w:r>
        <w:rPr>
          <w:lang w:eastAsia="zh-CN"/>
        </w:rPr>
        <w:t>（姓名</w:t>
      </w:r>
      <w:r>
        <w:rPr>
          <w:spacing w:val="-20"/>
          <w:lang w:eastAsia="zh-CN"/>
        </w:rPr>
        <w:t>）</w:t>
      </w:r>
      <w:r>
        <w:rPr>
          <w:lang w:eastAsia="zh-CN"/>
        </w:rPr>
        <w:t>系</w:t>
      </w:r>
      <w:r>
        <w:rPr>
          <w:u w:val="single"/>
          <w:lang w:eastAsia="zh-CN"/>
        </w:rPr>
        <w:t xml:space="preserve"> </w:t>
      </w:r>
      <w:r>
        <w:rPr>
          <w:rFonts w:hint="eastAsia"/>
          <w:u w:val="single"/>
          <w:lang w:val="en-US" w:eastAsia="zh-CN"/>
        </w:rPr>
        <w:t xml:space="preserve">        </w:t>
      </w:r>
      <w:r>
        <w:rPr>
          <w:spacing w:val="-3"/>
          <w:lang w:eastAsia="zh-CN"/>
        </w:rPr>
        <w:t>（</w:t>
      </w:r>
      <w:r>
        <w:rPr>
          <w:lang w:eastAsia="zh-CN"/>
        </w:rPr>
        <w:t>供应商名称</w:t>
      </w:r>
      <w:r>
        <w:rPr>
          <w:spacing w:val="-20"/>
          <w:lang w:eastAsia="zh-CN"/>
        </w:rPr>
        <w:t>）</w:t>
      </w:r>
      <w:r>
        <w:rPr>
          <w:lang w:eastAsia="zh-CN"/>
        </w:rPr>
        <w:t>的法定代表人</w:t>
      </w:r>
      <w:r>
        <w:rPr>
          <w:spacing w:val="-17"/>
          <w:lang w:eastAsia="zh-CN"/>
        </w:rPr>
        <w:t>，</w:t>
      </w:r>
      <w:r>
        <w:rPr>
          <w:lang w:eastAsia="zh-CN"/>
        </w:rPr>
        <w:t>现</w:t>
      </w:r>
      <w:r>
        <w:rPr>
          <w:spacing w:val="-15"/>
          <w:lang w:eastAsia="zh-CN"/>
        </w:rPr>
        <w:t>委</w:t>
      </w:r>
      <w:r>
        <w:rPr>
          <w:lang w:eastAsia="zh-CN"/>
        </w:rPr>
        <w:t>托</w:t>
      </w:r>
      <w:r>
        <w:rPr>
          <w:u w:val="single"/>
          <w:lang w:eastAsia="zh-CN"/>
        </w:rPr>
        <w:t xml:space="preserve"> </w:t>
      </w:r>
      <w:r>
        <w:rPr>
          <w:u w:val="single"/>
          <w:lang w:eastAsia="zh-CN"/>
        </w:rPr>
        <w:tab/>
      </w:r>
      <w:r>
        <w:rPr>
          <w:rFonts w:hint="eastAsia"/>
          <w:u w:val="single"/>
          <w:lang w:val="en-US" w:eastAsia="zh-CN"/>
        </w:rPr>
        <w:t xml:space="preserve">    </w:t>
      </w:r>
      <w:r>
        <w:rPr>
          <w:lang w:eastAsia="zh-CN"/>
        </w:rPr>
        <w:t>（姓名</w:t>
      </w:r>
      <w:r>
        <w:rPr>
          <w:spacing w:val="-20"/>
          <w:lang w:eastAsia="zh-CN"/>
        </w:rPr>
        <w:t>）</w:t>
      </w:r>
      <w:r>
        <w:rPr>
          <w:lang w:eastAsia="zh-CN"/>
        </w:rPr>
        <w:t>为我方代理人</w:t>
      </w:r>
      <w:r>
        <w:rPr>
          <w:spacing w:val="-20"/>
          <w:lang w:eastAsia="zh-CN"/>
        </w:rPr>
        <w:t>。</w:t>
      </w:r>
      <w:r>
        <w:rPr>
          <w:lang w:eastAsia="zh-CN"/>
        </w:rPr>
        <w:t>代理人根据授权</w:t>
      </w:r>
      <w:r>
        <w:rPr>
          <w:spacing w:val="-20"/>
          <w:lang w:eastAsia="zh-CN"/>
        </w:rPr>
        <w:t>，</w:t>
      </w:r>
      <w:r>
        <w:rPr>
          <w:lang w:eastAsia="zh-CN"/>
        </w:rPr>
        <w:t>以我方名义签署</w:t>
      </w:r>
      <w:r>
        <w:rPr>
          <w:spacing w:val="-17"/>
          <w:lang w:eastAsia="zh-CN"/>
        </w:rPr>
        <w:t>、</w:t>
      </w:r>
      <w:r>
        <w:rPr>
          <w:spacing w:val="-14"/>
          <w:lang w:eastAsia="zh-CN"/>
        </w:rPr>
        <w:t>澄</w:t>
      </w:r>
      <w:r>
        <w:rPr>
          <w:lang w:eastAsia="zh-CN"/>
        </w:rPr>
        <w:t>清、说明、补正、递交、撤回、修改</w:t>
      </w:r>
      <w:r>
        <w:rPr>
          <w:u w:val="single"/>
          <w:lang w:eastAsia="zh-CN"/>
        </w:rPr>
        <w:t xml:space="preserve"> </w:t>
      </w:r>
      <w:r>
        <w:rPr>
          <w:u w:val="single"/>
          <w:lang w:eastAsia="zh-CN"/>
        </w:rPr>
        <w:tab/>
      </w:r>
      <w:r>
        <w:rPr>
          <w:u w:val="single"/>
          <w:lang w:eastAsia="zh-CN"/>
        </w:rPr>
        <w:tab/>
      </w:r>
      <w:r>
        <w:rPr>
          <w:rFonts w:hint="eastAsia"/>
          <w:u w:val="single"/>
          <w:lang w:val="en-US" w:eastAsia="zh-CN"/>
        </w:rPr>
        <w:t xml:space="preserve">    </w:t>
      </w:r>
      <w:r>
        <w:rPr>
          <w:lang w:eastAsia="zh-CN"/>
        </w:rPr>
        <w:t>（项目名称）响应文件、</w:t>
      </w:r>
      <w:r>
        <w:rPr>
          <w:spacing w:val="-13"/>
          <w:lang w:eastAsia="zh-CN"/>
        </w:rPr>
        <w:t>签</w:t>
      </w:r>
      <w:r>
        <w:rPr>
          <w:lang w:eastAsia="zh-CN"/>
        </w:rPr>
        <w:t>订合同和处理有关事宜，其法律后果由我方承担。</w:t>
      </w:r>
    </w:p>
    <w:p>
      <w:pPr>
        <w:pStyle w:val="6"/>
        <w:spacing w:line="360" w:lineRule="auto"/>
        <w:ind w:left="0" w:firstLine="400" w:firstLineChars="200"/>
        <w:rPr>
          <w:lang w:eastAsia="zh-CN"/>
        </w:rPr>
      </w:pPr>
    </w:p>
    <w:p>
      <w:pPr>
        <w:pStyle w:val="6"/>
        <w:tabs>
          <w:tab w:val="left" w:pos="4459"/>
        </w:tabs>
        <w:spacing w:line="360" w:lineRule="auto"/>
        <w:ind w:left="0" w:firstLine="400" w:firstLineChars="200"/>
        <w:rPr>
          <w:spacing w:val="-18"/>
          <w:lang w:eastAsia="zh-CN"/>
        </w:rPr>
      </w:pPr>
      <w:r>
        <w:rPr>
          <w:lang w:eastAsia="zh-CN"/>
        </w:rPr>
        <w:t>委托期限</w:t>
      </w:r>
      <w:r>
        <w:rPr>
          <w:u w:val="single"/>
          <w:lang w:eastAsia="zh-CN"/>
        </w:rPr>
        <w:t>：</w:t>
      </w:r>
      <w:r>
        <w:rPr>
          <w:u w:val="single"/>
          <w:lang w:eastAsia="zh-CN"/>
        </w:rPr>
        <w:tab/>
      </w:r>
      <w:r>
        <w:rPr>
          <w:spacing w:val="-18"/>
          <w:lang w:eastAsia="zh-CN"/>
        </w:rPr>
        <w:t>。</w:t>
      </w:r>
    </w:p>
    <w:p>
      <w:pPr>
        <w:pStyle w:val="6"/>
        <w:tabs>
          <w:tab w:val="left" w:pos="4459"/>
        </w:tabs>
        <w:spacing w:line="360" w:lineRule="auto"/>
        <w:ind w:left="0" w:firstLine="400" w:firstLineChars="200"/>
        <w:rPr>
          <w:lang w:eastAsia="zh-CN"/>
        </w:rPr>
      </w:pPr>
      <w:r>
        <w:rPr>
          <w:lang w:eastAsia="zh-CN"/>
        </w:rPr>
        <w:t>代理人无转委托权。</w:t>
      </w:r>
    </w:p>
    <w:p>
      <w:pPr>
        <w:pStyle w:val="6"/>
        <w:spacing w:line="360" w:lineRule="auto"/>
        <w:ind w:left="0" w:firstLine="400" w:firstLineChars="200"/>
        <w:rPr>
          <w:lang w:eastAsia="zh-CN"/>
        </w:rPr>
      </w:pPr>
    </w:p>
    <w:p>
      <w:pPr>
        <w:pStyle w:val="4"/>
        <w:spacing w:line="360" w:lineRule="auto"/>
        <w:ind w:left="0" w:firstLine="482" w:firstLineChars="200"/>
        <w:jc w:val="center"/>
        <w:rPr>
          <w:lang w:eastAsia="zh-CN"/>
        </w:rPr>
      </w:pPr>
      <w:r>
        <w:rPr>
          <w:lang w:eastAsia="zh-CN"/>
        </w:rPr>
        <w:t>（后附委托代理人身份证正反面扫描件）</w:t>
      </w:r>
    </w:p>
    <w:p>
      <w:pPr>
        <w:pStyle w:val="6"/>
        <w:ind w:left="0"/>
        <w:rPr>
          <w:b/>
          <w:lang w:eastAsia="zh-CN"/>
        </w:rPr>
      </w:pPr>
    </w:p>
    <w:p>
      <w:pPr>
        <w:pStyle w:val="6"/>
        <w:ind w:left="0"/>
        <w:rPr>
          <w:b/>
          <w:lang w:eastAsia="zh-CN"/>
        </w:rPr>
      </w:pPr>
    </w:p>
    <w:p>
      <w:pPr>
        <w:pStyle w:val="6"/>
        <w:tabs>
          <w:tab w:val="left" w:pos="3859"/>
        </w:tabs>
        <w:spacing w:line="360" w:lineRule="auto"/>
        <w:ind w:left="0" w:firstLine="400" w:firstLineChars="200"/>
        <w:rPr>
          <w:lang w:eastAsia="zh-CN"/>
        </w:rPr>
      </w:pPr>
      <w:r>
        <w:rPr>
          <w:lang w:eastAsia="zh-CN"/>
        </w:rPr>
        <w:t>供应商</w:t>
      </w:r>
      <w:r>
        <w:rPr>
          <w:rFonts w:hint="eastAsia"/>
          <w:lang w:val="en-US" w:eastAsia="zh-CN"/>
        </w:rPr>
        <w:t>名称</w:t>
      </w:r>
      <w:r>
        <w:rPr>
          <w:lang w:eastAsia="zh-CN"/>
        </w:rPr>
        <w:t>：</w:t>
      </w:r>
      <w:r>
        <w:rPr>
          <w:u w:val="single"/>
          <w:lang w:eastAsia="zh-CN"/>
        </w:rPr>
        <w:t xml:space="preserve"> </w:t>
      </w:r>
      <w:r>
        <w:rPr>
          <w:u w:val="single"/>
          <w:lang w:eastAsia="zh-CN"/>
        </w:rPr>
        <w:tab/>
      </w:r>
      <w:r>
        <w:rPr>
          <w:lang w:eastAsia="zh-CN"/>
        </w:rPr>
        <w:t>（</w:t>
      </w:r>
      <w:r>
        <w:rPr>
          <w:rFonts w:hint="eastAsia"/>
          <w:lang w:val="en-US" w:eastAsia="zh-CN"/>
        </w:rPr>
        <w:t>电子</w:t>
      </w:r>
      <w:r>
        <w:rPr>
          <w:lang w:eastAsia="zh-CN"/>
        </w:rPr>
        <w:t>签章）</w:t>
      </w:r>
    </w:p>
    <w:p>
      <w:pPr>
        <w:pStyle w:val="6"/>
        <w:tabs>
          <w:tab w:val="left" w:pos="4339"/>
          <w:tab w:val="left" w:pos="4399"/>
        </w:tabs>
        <w:spacing w:line="360" w:lineRule="auto"/>
        <w:ind w:left="0" w:firstLine="400" w:firstLineChars="200"/>
        <w:rPr>
          <w:spacing w:val="-18"/>
          <w:lang w:eastAsia="zh-CN"/>
        </w:rPr>
      </w:pPr>
      <w:r>
        <w:rPr>
          <w:lang w:eastAsia="zh-CN"/>
        </w:rPr>
        <w:t>法定代表人：</w:t>
      </w:r>
      <w:r>
        <w:rPr>
          <w:u w:val="single"/>
          <w:lang w:eastAsia="zh-CN"/>
        </w:rPr>
        <w:t xml:space="preserve"> </w:t>
      </w:r>
      <w:r>
        <w:rPr>
          <w:u w:val="single"/>
          <w:lang w:eastAsia="zh-CN"/>
        </w:rPr>
        <w:tab/>
      </w:r>
      <w:r>
        <w:rPr>
          <w:lang w:eastAsia="zh-CN"/>
        </w:rPr>
        <w:t>（电子签章</w:t>
      </w:r>
      <w:r>
        <w:rPr>
          <w:spacing w:val="-18"/>
          <w:lang w:eastAsia="zh-CN"/>
        </w:rPr>
        <w:t>）</w:t>
      </w:r>
    </w:p>
    <w:p>
      <w:pPr>
        <w:pStyle w:val="6"/>
        <w:tabs>
          <w:tab w:val="left" w:pos="4339"/>
          <w:tab w:val="left" w:pos="4399"/>
        </w:tabs>
        <w:spacing w:line="360" w:lineRule="auto"/>
        <w:ind w:left="0" w:firstLine="400" w:firstLineChars="200"/>
        <w:rPr>
          <w:rFonts w:ascii="Times New Roman" w:eastAsia="Times New Roman"/>
          <w:lang w:eastAsia="zh-CN"/>
        </w:rPr>
      </w:pPr>
      <w:r>
        <w:rPr>
          <w:lang w:eastAsia="zh-CN"/>
        </w:rPr>
        <w:t>身份证号码：</w:t>
      </w:r>
      <w:r>
        <w:rPr>
          <w:rFonts w:ascii="Times New Roman" w:eastAsia="Times New Roman"/>
          <w:u w:val="single"/>
          <w:lang w:eastAsia="zh-CN"/>
        </w:rPr>
        <w:t xml:space="preserve"> </w:t>
      </w:r>
      <w:r>
        <w:rPr>
          <w:rFonts w:ascii="Times New Roman" w:eastAsia="Times New Roman"/>
          <w:u w:val="single"/>
          <w:lang w:eastAsia="zh-CN"/>
        </w:rPr>
        <w:tab/>
      </w:r>
      <w:r>
        <w:rPr>
          <w:rFonts w:ascii="Times New Roman" w:eastAsia="Times New Roman"/>
          <w:u w:val="single"/>
          <w:lang w:eastAsia="zh-CN"/>
        </w:rPr>
        <w:tab/>
      </w:r>
    </w:p>
    <w:p>
      <w:pPr>
        <w:pStyle w:val="6"/>
        <w:tabs>
          <w:tab w:val="left" w:pos="4339"/>
          <w:tab w:val="left" w:pos="4399"/>
        </w:tabs>
        <w:spacing w:line="360" w:lineRule="auto"/>
        <w:ind w:left="0" w:firstLine="400" w:firstLineChars="200"/>
        <w:rPr>
          <w:spacing w:val="-18"/>
          <w:lang w:eastAsia="zh-CN"/>
        </w:rPr>
      </w:pPr>
      <w:r>
        <w:rPr>
          <w:lang w:eastAsia="zh-CN"/>
        </w:rPr>
        <w:t>委托代理人：</w:t>
      </w:r>
      <w:r>
        <w:rPr>
          <w:u w:val="single"/>
          <w:lang w:eastAsia="zh-CN"/>
        </w:rPr>
        <w:t xml:space="preserve"> </w:t>
      </w:r>
      <w:r>
        <w:rPr>
          <w:u w:val="single"/>
          <w:lang w:eastAsia="zh-CN"/>
        </w:rPr>
        <w:tab/>
      </w:r>
      <w:r>
        <w:rPr>
          <w:lang w:eastAsia="zh-CN"/>
        </w:rPr>
        <w:t>（法人电子签章</w:t>
      </w:r>
      <w:r>
        <w:rPr>
          <w:spacing w:val="-18"/>
          <w:lang w:eastAsia="zh-CN"/>
        </w:rPr>
        <w:t>）</w:t>
      </w:r>
    </w:p>
    <w:p>
      <w:pPr>
        <w:pStyle w:val="6"/>
        <w:tabs>
          <w:tab w:val="left" w:pos="4339"/>
          <w:tab w:val="left" w:pos="4399"/>
        </w:tabs>
        <w:spacing w:line="360" w:lineRule="auto"/>
        <w:ind w:left="0" w:firstLine="328" w:firstLineChars="200"/>
        <w:rPr>
          <w:rFonts w:ascii="Times New Roman" w:eastAsia="Times New Roman"/>
          <w:lang w:eastAsia="zh-CN"/>
        </w:rPr>
      </w:pPr>
      <w:r>
        <w:rPr>
          <w:spacing w:val="-18"/>
          <w:lang w:eastAsia="zh-CN"/>
        </w:rPr>
        <w:t xml:space="preserve"> </w:t>
      </w:r>
      <w:r>
        <w:rPr>
          <w:lang w:eastAsia="zh-CN"/>
        </w:rPr>
        <w:t>身份证号码：</w:t>
      </w:r>
      <w:r>
        <w:rPr>
          <w:rFonts w:ascii="Times New Roman" w:eastAsia="Times New Roman"/>
          <w:u w:val="single"/>
          <w:lang w:eastAsia="zh-CN"/>
        </w:rPr>
        <w:t xml:space="preserve"> </w:t>
      </w:r>
      <w:r>
        <w:rPr>
          <w:rFonts w:ascii="Times New Roman" w:eastAsia="Times New Roman"/>
          <w:u w:val="single"/>
          <w:lang w:eastAsia="zh-CN"/>
        </w:rPr>
        <w:tab/>
      </w:r>
      <w:r>
        <w:rPr>
          <w:rFonts w:ascii="Times New Roman" w:eastAsia="Times New Roman"/>
          <w:u w:val="single"/>
          <w:lang w:eastAsia="zh-CN"/>
        </w:rPr>
        <w:tab/>
      </w:r>
    </w:p>
    <w:p>
      <w:pPr>
        <w:pStyle w:val="6"/>
        <w:tabs>
          <w:tab w:val="left" w:pos="3619"/>
          <w:tab w:val="left" w:pos="5299"/>
          <w:tab w:val="left" w:pos="6979"/>
        </w:tabs>
        <w:spacing w:line="360" w:lineRule="auto"/>
        <w:ind w:left="0" w:firstLine="400" w:firstLineChars="200"/>
        <w:rPr>
          <w:lang w:eastAsia="zh-CN"/>
        </w:rPr>
      </w:pPr>
      <w:r>
        <w:rPr>
          <w:lang w:eastAsia="zh-CN"/>
        </w:rPr>
        <w:t>日期：</w:t>
      </w:r>
      <w:r>
        <w:rPr>
          <w:u w:val="single"/>
          <w:lang w:eastAsia="zh-CN"/>
        </w:rPr>
        <w:t xml:space="preserve">       </w:t>
      </w:r>
      <w:r>
        <w:rPr>
          <w:lang w:eastAsia="zh-CN"/>
        </w:rPr>
        <w:t>年</w:t>
      </w:r>
      <w:r>
        <w:rPr>
          <w:u w:val="single"/>
          <w:lang w:eastAsia="zh-CN"/>
        </w:rPr>
        <w:t xml:space="preserve">       </w:t>
      </w:r>
      <w:r>
        <w:rPr>
          <w:lang w:eastAsia="zh-CN"/>
        </w:rPr>
        <w:t>月</w:t>
      </w:r>
      <w:r>
        <w:rPr>
          <w:u w:val="single"/>
          <w:lang w:eastAsia="zh-CN"/>
        </w:rPr>
        <w:t xml:space="preserve">       </w:t>
      </w:r>
      <w:r>
        <w:rPr>
          <w:lang w:eastAsia="zh-CN"/>
        </w:rPr>
        <w:t>日</w:t>
      </w:r>
    </w:p>
    <w:p>
      <w:pPr>
        <w:spacing w:line="306" w:lineRule="exact"/>
        <w:rPr>
          <w:lang w:eastAsia="zh-CN"/>
        </w:rPr>
      </w:pPr>
    </w:p>
    <w:p>
      <w:pPr>
        <w:pStyle w:val="19"/>
        <w:rPr>
          <w:lang w:eastAsia="zh-CN"/>
        </w:rPr>
        <w:sectPr>
          <w:footerReference r:id="rId5" w:type="default"/>
          <w:pgSz w:w="11910" w:h="16840"/>
          <w:pgMar w:top="1440" w:right="1080" w:bottom="1440" w:left="1080" w:header="0" w:footer="909" w:gutter="0"/>
          <w:pgNumType w:fmt="decimal" w:start="1"/>
          <w:cols w:space="720" w:num="1"/>
          <w:docGrid w:linePitch="299" w:charSpace="0"/>
        </w:sectPr>
      </w:pPr>
    </w:p>
    <w:p>
      <w:pPr>
        <w:spacing w:before="35"/>
        <w:ind w:left="530" w:right="530"/>
        <w:jc w:val="center"/>
        <w:rPr>
          <w:b/>
          <w:sz w:val="28"/>
          <w:lang w:eastAsia="zh-CN"/>
        </w:rPr>
      </w:pPr>
      <w:bookmarkStart w:id="236" w:name="五、优惠及服务承诺"/>
      <w:bookmarkEnd w:id="236"/>
      <w:bookmarkStart w:id="237" w:name="六、资格审查资料"/>
      <w:bookmarkEnd w:id="237"/>
      <w:bookmarkStart w:id="238" w:name="（二）资格审查资料"/>
      <w:bookmarkEnd w:id="238"/>
      <w:r>
        <w:rPr>
          <w:rFonts w:hint="eastAsia"/>
          <w:b/>
          <w:sz w:val="28"/>
          <w:lang w:val="en-US" w:eastAsia="zh-CN"/>
        </w:rPr>
        <w:t>四</w:t>
      </w:r>
      <w:r>
        <w:rPr>
          <w:b/>
          <w:sz w:val="28"/>
          <w:lang w:eastAsia="zh-CN"/>
        </w:rPr>
        <w:t>、资格审查资料</w:t>
      </w:r>
    </w:p>
    <w:p>
      <w:pPr>
        <w:pStyle w:val="6"/>
        <w:spacing w:before="9"/>
        <w:ind w:left="0"/>
        <w:rPr>
          <w:b/>
          <w:sz w:val="20"/>
          <w:lang w:eastAsia="zh-CN"/>
        </w:rPr>
      </w:pPr>
    </w:p>
    <w:p>
      <w:pPr>
        <w:ind w:left="530" w:right="531"/>
        <w:jc w:val="center"/>
        <w:rPr>
          <w:b/>
          <w:sz w:val="28"/>
          <w:lang w:eastAsia="zh-CN"/>
        </w:rPr>
      </w:pPr>
      <w:bookmarkStart w:id="239" w:name="（一）供应商基本情况表"/>
      <w:bookmarkEnd w:id="239"/>
      <w:r>
        <w:rPr>
          <w:b/>
          <w:sz w:val="28"/>
          <w:lang w:eastAsia="zh-CN"/>
        </w:rPr>
        <w:t>（一）供应商基本情况表</w:t>
      </w:r>
    </w:p>
    <w:p>
      <w:pPr>
        <w:pStyle w:val="6"/>
        <w:spacing w:before="4"/>
        <w:ind w:left="0"/>
        <w:rPr>
          <w:b/>
          <w:sz w:val="10"/>
          <w:lang w:eastAsia="zh-CN"/>
        </w:rPr>
      </w:pPr>
    </w:p>
    <w:tbl>
      <w:tblPr>
        <w:tblStyle w:val="20"/>
        <w:tblW w:w="8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3083"/>
        <w:gridCol w:w="1540"/>
        <w:gridCol w:w="2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lang w:val="en-US" w:eastAsia="zh-CN"/>
              </w:rPr>
              <w:t>供应商</w:t>
            </w:r>
            <w:r>
              <w:rPr>
                <w:rFonts w:hint="eastAsia" w:ascii="宋体" w:hAnsi="宋体" w:cs="宋体"/>
                <w:sz w:val="24"/>
                <w:szCs w:val="24"/>
              </w:rPr>
              <w:t>名称</w:t>
            </w:r>
          </w:p>
        </w:tc>
        <w:tc>
          <w:tcPr>
            <w:tcW w:w="3083"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s="宋体"/>
                <w:sz w:val="24"/>
                <w:szCs w:val="24"/>
              </w:rPr>
            </w:pPr>
          </w:p>
        </w:tc>
        <w:tc>
          <w:tcPr>
            <w:tcW w:w="154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s="宋体"/>
                <w:sz w:val="24"/>
                <w:szCs w:val="24"/>
              </w:rPr>
            </w:pPr>
            <w:r>
              <w:rPr>
                <w:rFonts w:hint="eastAsia" w:ascii="宋体" w:hAnsi="宋体" w:cs="宋体"/>
                <w:sz w:val="24"/>
                <w:szCs w:val="24"/>
              </w:rPr>
              <w:t>法定代表人</w:t>
            </w:r>
          </w:p>
        </w:tc>
        <w:tc>
          <w:tcPr>
            <w:tcW w:w="2878"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注册地址</w:t>
            </w:r>
          </w:p>
        </w:tc>
        <w:tc>
          <w:tcPr>
            <w:tcW w:w="7501" w:type="dxa"/>
            <w:gridSpan w:val="3"/>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cs="宋体"/>
                <w:sz w:val="24"/>
                <w:szCs w:val="24"/>
              </w:rPr>
              <w:t>统一社会信用代码</w:t>
            </w:r>
          </w:p>
        </w:tc>
        <w:tc>
          <w:tcPr>
            <w:tcW w:w="7501" w:type="dxa"/>
            <w:gridSpan w:val="3"/>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联系人</w:t>
            </w:r>
          </w:p>
        </w:tc>
        <w:tc>
          <w:tcPr>
            <w:tcW w:w="3083"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s="宋体"/>
                <w:sz w:val="24"/>
                <w:szCs w:val="24"/>
              </w:rPr>
            </w:pPr>
          </w:p>
        </w:tc>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电话号码</w:t>
            </w:r>
          </w:p>
        </w:tc>
        <w:tc>
          <w:tcPr>
            <w:tcW w:w="2878"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r>
              <w:rPr>
                <w:rFonts w:hint="eastAsia" w:ascii="宋体" w:hAnsi="宋体" w:cs="宋体"/>
                <w:sz w:val="24"/>
                <w:szCs w:val="24"/>
              </w:rPr>
              <w:t>成立时间</w:t>
            </w:r>
          </w:p>
        </w:tc>
        <w:tc>
          <w:tcPr>
            <w:tcW w:w="30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54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r>
              <w:rPr>
                <w:rFonts w:hint="eastAsia" w:ascii="宋体" w:hAnsi="宋体" w:cs="宋体"/>
                <w:sz w:val="24"/>
                <w:szCs w:val="24"/>
              </w:rPr>
              <w:t>注册资金</w:t>
            </w:r>
          </w:p>
        </w:tc>
        <w:tc>
          <w:tcPr>
            <w:tcW w:w="2878"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开户行</w:t>
            </w:r>
          </w:p>
        </w:tc>
        <w:tc>
          <w:tcPr>
            <w:tcW w:w="30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账号</w:t>
            </w:r>
          </w:p>
        </w:tc>
        <w:tc>
          <w:tcPr>
            <w:tcW w:w="2878"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jc w:val="center"/>
        </w:trPr>
        <w:tc>
          <w:tcPr>
            <w:tcW w:w="8802"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r>
              <w:rPr>
                <w:rFonts w:hint="eastAsia" w:ascii="宋体" w:hAnsi="宋体" w:cs="宋体"/>
                <w:sz w:val="24"/>
                <w:szCs w:val="24"/>
              </w:rPr>
              <w:t>经营范围：</w:t>
            </w:r>
          </w:p>
        </w:tc>
      </w:tr>
    </w:tbl>
    <w:p>
      <w:pPr>
        <w:rPr>
          <w:rFonts w:ascii="Times New Roman"/>
          <w:sz w:val="24"/>
        </w:rPr>
        <w:sectPr>
          <w:pgSz w:w="11910" w:h="16840"/>
          <w:pgMar w:top="1440" w:right="1080" w:bottom="1440" w:left="1080" w:header="0" w:footer="909" w:gutter="0"/>
          <w:pgNumType w:fmt="decimal"/>
          <w:cols w:space="720" w:num="1"/>
          <w:docGrid w:linePitch="299" w:charSpace="0"/>
        </w:sectPr>
      </w:pPr>
    </w:p>
    <w:p>
      <w:pPr>
        <w:numPr>
          <w:ilvl w:val="0"/>
          <w:numId w:val="2"/>
        </w:numPr>
        <w:spacing w:before="35"/>
        <w:ind w:left="0" w:leftChars="0" w:right="1109" w:firstLine="0" w:firstLineChars="0"/>
        <w:jc w:val="center"/>
        <w:rPr>
          <w:b/>
          <w:sz w:val="28"/>
        </w:rPr>
      </w:pPr>
      <w:r>
        <w:rPr>
          <w:b/>
          <w:sz w:val="28"/>
        </w:rPr>
        <w:t>资格审查资料</w:t>
      </w:r>
    </w:p>
    <w:p>
      <w:pPr>
        <w:rPr>
          <w:b/>
          <w:sz w:val="28"/>
          <w:lang w:eastAsia="zh-CN"/>
        </w:rPr>
      </w:pPr>
      <w:bookmarkStart w:id="240" w:name="（三）近年完成的类似项目情况表"/>
      <w:bookmarkEnd w:id="240"/>
      <w:r>
        <w:rPr>
          <w:b/>
          <w:sz w:val="28"/>
          <w:lang w:eastAsia="zh-CN"/>
        </w:rPr>
        <w:br w:type="page"/>
      </w:r>
    </w:p>
    <w:p>
      <w:pPr>
        <w:pStyle w:val="6"/>
        <w:spacing w:before="4"/>
        <w:ind w:left="0"/>
        <w:jc w:val="center"/>
        <w:rPr>
          <w:b/>
          <w:sz w:val="10"/>
          <w:lang w:eastAsia="zh-CN"/>
        </w:rPr>
      </w:pPr>
      <w:r>
        <w:rPr>
          <w:b/>
          <w:sz w:val="28"/>
          <w:lang w:eastAsia="zh-CN"/>
        </w:rPr>
        <w:t>（三）</w:t>
      </w:r>
      <w:r>
        <w:rPr>
          <w:rFonts w:hint="eastAsia"/>
          <w:b/>
          <w:sz w:val="28"/>
          <w:lang w:val="en-US" w:eastAsia="zh-CN"/>
        </w:rPr>
        <w:t>企业</w:t>
      </w:r>
      <w:r>
        <w:rPr>
          <w:rFonts w:hint="eastAsia"/>
          <w:b/>
          <w:sz w:val="28"/>
          <w:lang w:eastAsia="zh-CN"/>
        </w:rPr>
        <w:t>近三年完成的类似项目情况表</w:t>
      </w:r>
    </w:p>
    <w:tbl>
      <w:tblPr>
        <w:tblStyle w:val="43"/>
        <w:tblW w:w="0" w:type="auto"/>
        <w:tblInd w:w="8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76"/>
        <w:gridCol w:w="64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2" w:hRule="atLeast"/>
        </w:trPr>
        <w:tc>
          <w:tcPr>
            <w:tcW w:w="2276" w:type="dxa"/>
          </w:tcPr>
          <w:p>
            <w:pPr>
              <w:pStyle w:val="42"/>
              <w:spacing w:before="185"/>
              <w:ind w:left="548" w:right="541"/>
              <w:jc w:val="center"/>
              <w:rPr>
                <w:sz w:val="24"/>
              </w:rPr>
            </w:pPr>
            <w:r>
              <w:rPr>
                <w:sz w:val="24"/>
              </w:rPr>
              <w:t>项目名称</w:t>
            </w:r>
          </w:p>
        </w:tc>
        <w:tc>
          <w:tcPr>
            <w:tcW w:w="6451" w:type="dxa"/>
          </w:tcPr>
          <w:p>
            <w:pPr>
              <w:pStyle w:val="4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0" w:hRule="atLeast"/>
        </w:trPr>
        <w:tc>
          <w:tcPr>
            <w:tcW w:w="2276" w:type="dxa"/>
          </w:tcPr>
          <w:p>
            <w:pPr>
              <w:pStyle w:val="42"/>
              <w:spacing w:before="172"/>
              <w:ind w:right="541"/>
              <w:jc w:val="center"/>
              <w:rPr>
                <w:sz w:val="24"/>
              </w:rPr>
            </w:pPr>
            <w:r>
              <w:rPr>
                <w:rFonts w:hint="eastAsia"/>
                <w:sz w:val="24"/>
                <w:lang w:eastAsia="zh-CN"/>
              </w:rPr>
              <w:t xml:space="preserve"> </w:t>
            </w:r>
            <w:r>
              <w:rPr>
                <w:sz w:val="24"/>
                <w:lang w:eastAsia="zh-CN"/>
              </w:rPr>
              <w:t xml:space="preserve"> </w:t>
            </w:r>
            <w:r>
              <w:rPr>
                <w:sz w:val="24"/>
              </w:rPr>
              <w:t>项目所在地</w:t>
            </w:r>
          </w:p>
        </w:tc>
        <w:tc>
          <w:tcPr>
            <w:tcW w:w="6451" w:type="dxa"/>
          </w:tcPr>
          <w:p>
            <w:pPr>
              <w:pStyle w:val="4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2" w:hRule="atLeast"/>
        </w:trPr>
        <w:tc>
          <w:tcPr>
            <w:tcW w:w="2276" w:type="dxa"/>
          </w:tcPr>
          <w:p>
            <w:pPr>
              <w:pStyle w:val="42"/>
              <w:spacing w:before="184"/>
              <w:ind w:right="541"/>
              <w:jc w:val="center"/>
              <w:rPr>
                <w:sz w:val="24"/>
              </w:rPr>
            </w:pPr>
            <w:r>
              <w:rPr>
                <w:rFonts w:hint="eastAsia"/>
                <w:sz w:val="24"/>
                <w:lang w:eastAsia="zh-CN"/>
              </w:rPr>
              <w:t xml:space="preserve"> </w:t>
            </w:r>
            <w:r>
              <w:rPr>
                <w:sz w:val="24"/>
                <w:lang w:eastAsia="zh-CN"/>
              </w:rPr>
              <w:t xml:space="preserve"> </w:t>
            </w:r>
            <w:r>
              <w:rPr>
                <w:sz w:val="24"/>
              </w:rPr>
              <w:t>发包人名称</w:t>
            </w:r>
          </w:p>
        </w:tc>
        <w:tc>
          <w:tcPr>
            <w:tcW w:w="6451" w:type="dxa"/>
          </w:tcPr>
          <w:p>
            <w:pPr>
              <w:pStyle w:val="4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0" w:hRule="atLeast"/>
        </w:trPr>
        <w:tc>
          <w:tcPr>
            <w:tcW w:w="2276" w:type="dxa"/>
          </w:tcPr>
          <w:p>
            <w:pPr>
              <w:pStyle w:val="42"/>
              <w:spacing w:before="171"/>
              <w:ind w:right="541"/>
              <w:jc w:val="center"/>
              <w:rPr>
                <w:sz w:val="24"/>
              </w:rPr>
            </w:pPr>
            <w:r>
              <w:rPr>
                <w:rFonts w:hint="eastAsia"/>
                <w:sz w:val="24"/>
                <w:lang w:eastAsia="zh-CN"/>
              </w:rPr>
              <w:t xml:space="preserve"> </w:t>
            </w:r>
            <w:r>
              <w:rPr>
                <w:sz w:val="24"/>
                <w:lang w:eastAsia="zh-CN"/>
              </w:rPr>
              <w:t xml:space="preserve"> </w:t>
            </w:r>
            <w:r>
              <w:rPr>
                <w:sz w:val="24"/>
              </w:rPr>
              <w:t>发包人地址</w:t>
            </w:r>
          </w:p>
        </w:tc>
        <w:tc>
          <w:tcPr>
            <w:tcW w:w="6451" w:type="dxa"/>
          </w:tcPr>
          <w:p>
            <w:pPr>
              <w:pStyle w:val="4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1" w:hRule="atLeast"/>
        </w:trPr>
        <w:tc>
          <w:tcPr>
            <w:tcW w:w="2276" w:type="dxa"/>
          </w:tcPr>
          <w:p>
            <w:pPr>
              <w:pStyle w:val="42"/>
              <w:spacing w:before="185"/>
              <w:ind w:right="541"/>
              <w:jc w:val="center"/>
              <w:rPr>
                <w:sz w:val="24"/>
              </w:rPr>
            </w:pPr>
            <w:r>
              <w:rPr>
                <w:rFonts w:hint="eastAsia"/>
                <w:sz w:val="24"/>
                <w:lang w:eastAsia="zh-CN"/>
              </w:rPr>
              <w:t xml:space="preserve"> </w:t>
            </w:r>
            <w:r>
              <w:rPr>
                <w:sz w:val="24"/>
                <w:lang w:eastAsia="zh-CN"/>
              </w:rPr>
              <w:t xml:space="preserve"> </w:t>
            </w:r>
            <w:r>
              <w:rPr>
                <w:sz w:val="24"/>
              </w:rPr>
              <w:t>发包人电话</w:t>
            </w:r>
          </w:p>
        </w:tc>
        <w:tc>
          <w:tcPr>
            <w:tcW w:w="6451" w:type="dxa"/>
          </w:tcPr>
          <w:p>
            <w:pPr>
              <w:pStyle w:val="4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trPr>
        <w:tc>
          <w:tcPr>
            <w:tcW w:w="2276" w:type="dxa"/>
          </w:tcPr>
          <w:p>
            <w:pPr>
              <w:pStyle w:val="42"/>
              <w:spacing w:before="172"/>
              <w:ind w:left="548" w:right="541"/>
              <w:jc w:val="center"/>
              <w:rPr>
                <w:sz w:val="24"/>
              </w:rPr>
            </w:pPr>
            <w:r>
              <w:rPr>
                <w:sz w:val="24"/>
              </w:rPr>
              <w:t>合同价格</w:t>
            </w:r>
          </w:p>
        </w:tc>
        <w:tc>
          <w:tcPr>
            <w:tcW w:w="6451" w:type="dxa"/>
          </w:tcPr>
          <w:p>
            <w:pPr>
              <w:pStyle w:val="4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trPr>
        <w:tc>
          <w:tcPr>
            <w:tcW w:w="2276" w:type="dxa"/>
          </w:tcPr>
          <w:p>
            <w:pPr>
              <w:pStyle w:val="42"/>
              <w:spacing w:before="171"/>
              <w:ind w:left="548" w:right="541"/>
              <w:jc w:val="center"/>
              <w:rPr>
                <w:sz w:val="24"/>
              </w:rPr>
            </w:pPr>
            <w:r>
              <w:rPr>
                <w:sz w:val="24"/>
              </w:rPr>
              <w:t>质量要求</w:t>
            </w:r>
          </w:p>
        </w:tc>
        <w:tc>
          <w:tcPr>
            <w:tcW w:w="6451" w:type="dxa"/>
          </w:tcPr>
          <w:p>
            <w:pPr>
              <w:pStyle w:val="4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1" w:hRule="atLeast"/>
        </w:trPr>
        <w:tc>
          <w:tcPr>
            <w:tcW w:w="2276" w:type="dxa"/>
          </w:tcPr>
          <w:p>
            <w:pPr>
              <w:pStyle w:val="42"/>
              <w:spacing w:before="186"/>
              <w:ind w:left="548" w:right="541"/>
              <w:jc w:val="center"/>
              <w:rPr>
                <w:sz w:val="24"/>
              </w:rPr>
            </w:pPr>
            <w:r>
              <w:rPr>
                <w:sz w:val="24"/>
              </w:rPr>
              <w:t>备注</w:t>
            </w:r>
          </w:p>
        </w:tc>
        <w:tc>
          <w:tcPr>
            <w:tcW w:w="6451" w:type="dxa"/>
          </w:tcPr>
          <w:p>
            <w:pPr>
              <w:pStyle w:val="42"/>
              <w:rPr>
                <w:rFonts w:ascii="Times New Roman"/>
                <w:sz w:val="24"/>
              </w:rPr>
            </w:pPr>
          </w:p>
        </w:tc>
      </w:tr>
    </w:tbl>
    <w:p>
      <w:pPr>
        <w:pStyle w:val="6"/>
        <w:spacing w:before="191"/>
        <w:rPr>
          <w:lang w:eastAsia="zh-CN"/>
        </w:rPr>
      </w:pPr>
    </w:p>
    <w:p>
      <w:pPr>
        <w:pStyle w:val="6"/>
        <w:spacing w:before="191"/>
        <w:ind w:left="1460"/>
        <w:rPr>
          <w:lang w:eastAsia="zh-CN"/>
        </w:rPr>
      </w:pPr>
      <w:r>
        <w:rPr>
          <w:lang w:eastAsia="zh-CN"/>
        </w:rPr>
        <w:t>备注：每张表格只填写一个项目，可标明序号及业绩类型</w:t>
      </w:r>
    </w:p>
    <w:p>
      <w:pPr>
        <w:rPr>
          <w:b/>
          <w:sz w:val="28"/>
          <w:lang w:eastAsia="zh-CN"/>
        </w:rPr>
      </w:pPr>
      <w:r>
        <w:rPr>
          <w:b/>
          <w:sz w:val="28"/>
          <w:lang w:eastAsia="zh-CN"/>
        </w:rPr>
        <w:br w:type="page"/>
      </w:r>
    </w:p>
    <w:p>
      <w:pPr>
        <w:pStyle w:val="6"/>
        <w:spacing w:before="4"/>
        <w:ind w:left="0"/>
        <w:jc w:val="center"/>
        <w:rPr>
          <w:b/>
          <w:sz w:val="10"/>
          <w:lang w:eastAsia="zh-CN"/>
        </w:rPr>
      </w:pPr>
      <w:r>
        <w:rPr>
          <w:b/>
          <w:sz w:val="28"/>
          <w:lang w:eastAsia="zh-CN"/>
        </w:rPr>
        <w:t>（</w:t>
      </w:r>
      <w:r>
        <w:rPr>
          <w:rFonts w:hint="eastAsia"/>
          <w:b/>
          <w:sz w:val="28"/>
          <w:lang w:val="en-US" w:eastAsia="zh-CN"/>
        </w:rPr>
        <w:t>四</w:t>
      </w:r>
      <w:r>
        <w:rPr>
          <w:b/>
          <w:sz w:val="28"/>
          <w:lang w:eastAsia="zh-CN"/>
        </w:rPr>
        <w:t>）</w:t>
      </w:r>
      <w:r>
        <w:rPr>
          <w:rFonts w:hint="eastAsia"/>
          <w:b/>
          <w:sz w:val="28"/>
          <w:lang w:val="en-US" w:eastAsia="zh-CN"/>
        </w:rPr>
        <w:t>项目负责人近</w:t>
      </w:r>
      <w:r>
        <w:rPr>
          <w:rFonts w:hint="eastAsia"/>
          <w:b/>
          <w:sz w:val="28"/>
          <w:lang w:eastAsia="zh-CN"/>
        </w:rPr>
        <w:t>三年完成的类似项目情况表</w:t>
      </w:r>
    </w:p>
    <w:tbl>
      <w:tblPr>
        <w:tblStyle w:val="43"/>
        <w:tblW w:w="0" w:type="auto"/>
        <w:tblInd w:w="8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76"/>
        <w:gridCol w:w="64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2" w:hRule="atLeast"/>
        </w:trPr>
        <w:tc>
          <w:tcPr>
            <w:tcW w:w="2276" w:type="dxa"/>
          </w:tcPr>
          <w:p>
            <w:pPr>
              <w:pStyle w:val="42"/>
              <w:spacing w:before="185"/>
              <w:ind w:left="548" w:right="541"/>
              <w:jc w:val="center"/>
              <w:rPr>
                <w:sz w:val="24"/>
              </w:rPr>
            </w:pPr>
            <w:r>
              <w:rPr>
                <w:sz w:val="24"/>
              </w:rPr>
              <w:t>项目名称</w:t>
            </w:r>
          </w:p>
        </w:tc>
        <w:tc>
          <w:tcPr>
            <w:tcW w:w="6451" w:type="dxa"/>
          </w:tcPr>
          <w:p>
            <w:pPr>
              <w:pStyle w:val="4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0" w:hRule="atLeast"/>
        </w:trPr>
        <w:tc>
          <w:tcPr>
            <w:tcW w:w="2276" w:type="dxa"/>
          </w:tcPr>
          <w:p>
            <w:pPr>
              <w:pStyle w:val="42"/>
              <w:spacing w:before="172"/>
              <w:ind w:right="541"/>
              <w:jc w:val="center"/>
              <w:rPr>
                <w:sz w:val="24"/>
              </w:rPr>
            </w:pPr>
            <w:r>
              <w:rPr>
                <w:rFonts w:hint="eastAsia"/>
                <w:sz w:val="24"/>
                <w:lang w:eastAsia="zh-CN"/>
              </w:rPr>
              <w:t xml:space="preserve"> </w:t>
            </w:r>
            <w:r>
              <w:rPr>
                <w:sz w:val="24"/>
                <w:lang w:eastAsia="zh-CN"/>
              </w:rPr>
              <w:t xml:space="preserve"> </w:t>
            </w:r>
            <w:r>
              <w:rPr>
                <w:sz w:val="24"/>
              </w:rPr>
              <w:t>项目所在地</w:t>
            </w:r>
          </w:p>
        </w:tc>
        <w:tc>
          <w:tcPr>
            <w:tcW w:w="6451" w:type="dxa"/>
          </w:tcPr>
          <w:p>
            <w:pPr>
              <w:pStyle w:val="4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2" w:hRule="atLeast"/>
        </w:trPr>
        <w:tc>
          <w:tcPr>
            <w:tcW w:w="2276" w:type="dxa"/>
          </w:tcPr>
          <w:p>
            <w:pPr>
              <w:pStyle w:val="42"/>
              <w:spacing w:before="184"/>
              <w:ind w:right="541"/>
              <w:jc w:val="center"/>
              <w:rPr>
                <w:sz w:val="24"/>
              </w:rPr>
            </w:pPr>
            <w:r>
              <w:rPr>
                <w:rFonts w:hint="eastAsia"/>
                <w:sz w:val="24"/>
                <w:lang w:eastAsia="zh-CN"/>
              </w:rPr>
              <w:t xml:space="preserve"> </w:t>
            </w:r>
            <w:r>
              <w:rPr>
                <w:sz w:val="24"/>
                <w:lang w:eastAsia="zh-CN"/>
              </w:rPr>
              <w:t xml:space="preserve"> </w:t>
            </w:r>
            <w:r>
              <w:rPr>
                <w:sz w:val="24"/>
              </w:rPr>
              <w:t>发包人名称</w:t>
            </w:r>
          </w:p>
        </w:tc>
        <w:tc>
          <w:tcPr>
            <w:tcW w:w="6451" w:type="dxa"/>
          </w:tcPr>
          <w:p>
            <w:pPr>
              <w:pStyle w:val="4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0" w:hRule="atLeast"/>
        </w:trPr>
        <w:tc>
          <w:tcPr>
            <w:tcW w:w="2276" w:type="dxa"/>
          </w:tcPr>
          <w:p>
            <w:pPr>
              <w:pStyle w:val="42"/>
              <w:spacing w:before="171"/>
              <w:ind w:right="541"/>
              <w:jc w:val="center"/>
              <w:rPr>
                <w:sz w:val="24"/>
              </w:rPr>
            </w:pPr>
            <w:r>
              <w:rPr>
                <w:rFonts w:hint="eastAsia"/>
                <w:sz w:val="24"/>
                <w:lang w:eastAsia="zh-CN"/>
              </w:rPr>
              <w:t xml:space="preserve"> </w:t>
            </w:r>
            <w:r>
              <w:rPr>
                <w:sz w:val="24"/>
                <w:lang w:eastAsia="zh-CN"/>
              </w:rPr>
              <w:t xml:space="preserve"> </w:t>
            </w:r>
            <w:r>
              <w:rPr>
                <w:sz w:val="24"/>
              </w:rPr>
              <w:t>发包人地址</w:t>
            </w:r>
          </w:p>
        </w:tc>
        <w:tc>
          <w:tcPr>
            <w:tcW w:w="6451" w:type="dxa"/>
          </w:tcPr>
          <w:p>
            <w:pPr>
              <w:pStyle w:val="4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1" w:hRule="atLeast"/>
        </w:trPr>
        <w:tc>
          <w:tcPr>
            <w:tcW w:w="2276" w:type="dxa"/>
          </w:tcPr>
          <w:p>
            <w:pPr>
              <w:pStyle w:val="42"/>
              <w:spacing w:before="185"/>
              <w:ind w:right="541"/>
              <w:jc w:val="center"/>
              <w:rPr>
                <w:sz w:val="24"/>
              </w:rPr>
            </w:pPr>
            <w:r>
              <w:rPr>
                <w:rFonts w:hint="eastAsia"/>
                <w:sz w:val="24"/>
                <w:lang w:eastAsia="zh-CN"/>
              </w:rPr>
              <w:t xml:space="preserve"> </w:t>
            </w:r>
            <w:r>
              <w:rPr>
                <w:sz w:val="24"/>
                <w:lang w:eastAsia="zh-CN"/>
              </w:rPr>
              <w:t xml:space="preserve"> </w:t>
            </w:r>
            <w:r>
              <w:rPr>
                <w:sz w:val="24"/>
              </w:rPr>
              <w:t>发包人电话</w:t>
            </w:r>
          </w:p>
        </w:tc>
        <w:tc>
          <w:tcPr>
            <w:tcW w:w="6451" w:type="dxa"/>
          </w:tcPr>
          <w:p>
            <w:pPr>
              <w:pStyle w:val="4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trPr>
        <w:tc>
          <w:tcPr>
            <w:tcW w:w="2276" w:type="dxa"/>
          </w:tcPr>
          <w:p>
            <w:pPr>
              <w:pStyle w:val="42"/>
              <w:spacing w:before="172"/>
              <w:ind w:left="548" w:right="541"/>
              <w:jc w:val="center"/>
              <w:rPr>
                <w:sz w:val="24"/>
              </w:rPr>
            </w:pPr>
            <w:r>
              <w:rPr>
                <w:sz w:val="24"/>
              </w:rPr>
              <w:t>合同价格</w:t>
            </w:r>
          </w:p>
        </w:tc>
        <w:tc>
          <w:tcPr>
            <w:tcW w:w="6451" w:type="dxa"/>
          </w:tcPr>
          <w:p>
            <w:pPr>
              <w:pStyle w:val="4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trPr>
        <w:tc>
          <w:tcPr>
            <w:tcW w:w="2276" w:type="dxa"/>
          </w:tcPr>
          <w:p>
            <w:pPr>
              <w:pStyle w:val="42"/>
              <w:spacing w:before="171"/>
              <w:ind w:left="548" w:right="541"/>
              <w:jc w:val="center"/>
              <w:rPr>
                <w:sz w:val="24"/>
              </w:rPr>
            </w:pPr>
            <w:r>
              <w:rPr>
                <w:sz w:val="24"/>
              </w:rPr>
              <w:t>质量要求</w:t>
            </w:r>
          </w:p>
        </w:tc>
        <w:tc>
          <w:tcPr>
            <w:tcW w:w="6451" w:type="dxa"/>
          </w:tcPr>
          <w:p>
            <w:pPr>
              <w:pStyle w:val="4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1" w:hRule="atLeast"/>
        </w:trPr>
        <w:tc>
          <w:tcPr>
            <w:tcW w:w="2276" w:type="dxa"/>
          </w:tcPr>
          <w:p>
            <w:pPr>
              <w:pStyle w:val="42"/>
              <w:spacing w:before="186"/>
              <w:ind w:left="548" w:right="541"/>
              <w:jc w:val="center"/>
              <w:rPr>
                <w:sz w:val="24"/>
              </w:rPr>
            </w:pPr>
            <w:r>
              <w:rPr>
                <w:sz w:val="24"/>
              </w:rPr>
              <w:t>备注</w:t>
            </w:r>
          </w:p>
        </w:tc>
        <w:tc>
          <w:tcPr>
            <w:tcW w:w="6451" w:type="dxa"/>
          </w:tcPr>
          <w:p>
            <w:pPr>
              <w:pStyle w:val="42"/>
              <w:rPr>
                <w:rFonts w:ascii="Times New Roman"/>
                <w:sz w:val="24"/>
              </w:rPr>
            </w:pPr>
          </w:p>
        </w:tc>
      </w:tr>
    </w:tbl>
    <w:p>
      <w:pPr>
        <w:pStyle w:val="6"/>
        <w:spacing w:before="191"/>
        <w:rPr>
          <w:lang w:eastAsia="zh-CN"/>
        </w:rPr>
      </w:pPr>
    </w:p>
    <w:p>
      <w:pPr>
        <w:pStyle w:val="6"/>
        <w:spacing w:before="191"/>
        <w:ind w:left="1460"/>
        <w:rPr>
          <w:lang w:eastAsia="zh-CN"/>
        </w:rPr>
      </w:pPr>
      <w:r>
        <w:rPr>
          <w:lang w:eastAsia="zh-CN"/>
        </w:rPr>
        <w:t>备注：每张表格只填写一个项目，可标明序号及业绩类型</w:t>
      </w:r>
    </w:p>
    <w:p>
      <w:pPr>
        <w:rPr>
          <w:lang w:eastAsia="zh-CN"/>
        </w:rPr>
        <w:sectPr>
          <w:pgSz w:w="11910" w:h="16840"/>
          <w:pgMar w:top="1440" w:right="1080" w:bottom="1440" w:left="1080" w:header="0" w:footer="909" w:gutter="0"/>
          <w:pgNumType w:fmt="decimal"/>
          <w:cols w:space="720" w:num="1"/>
          <w:docGrid w:linePitch="299" w:charSpace="0"/>
        </w:sectPr>
      </w:pPr>
    </w:p>
    <w:p>
      <w:pPr>
        <w:spacing w:before="30"/>
        <w:ind w:left="530" w:right="194"/>
        <w:jc w:val="center"/>
        <w:rPr>
          <w:b/>
          <w:sz w:val="32"/>
          <w:lang w:eastAsia="zh-CN"/>
        </w:rPr>
      </w:pPr>
      <w:bookmarkStart w:id="241" w:name="七、项目组成人员"/>
      <w:bookmarkEnd w:id="241"/>
      <w:r>
        <w:rPr>
          <w:rFonts w:hint="eastAsia"/>
          <w:b/>
          <w:sz w:val="32"/>
          <w:lang w:val="en-US" w:eastAsia="zh-CN"/>
        </w:rPr>
        <w:t>五</w:t>
      </w:r>
      <w:r>
        <w:rPr>
          <w:b/>
          <w:sz w:val="32"/>
          <w:lang w:eastAsia="zh-CN"/>
        </w:rPr>
        <w:t>、项目组成人员</w:t>
      </w:r>
    </w:p>
    <w:p>
      <w:pPr>
        <w:spacing w:before="109"/>
        <w:ind w:left="530" w:right="422"/>
        <w:jc w:val="both"/>
        <w:rPr>
          <w:b/>
          <w:sz w:val="30"/>
          <w:lang w:eastAsia="zh-CN"/>
        </w:rPr>
      </w:pPr>
    </w:p>
    <w:p>
      <w:pPr>
        <w:pStyle w:val="6"/>
        <w:spacing w:before="4"/>
        <w:ind w:left="0"/>
        <w:rPr>
          <w:b/>
          <w:sz w:val="15"/>
          <w:lang w:eastAsia="zh-CN"/>
        </w:rPr>
      </w:pPr>
    </w:p>
    <w:tbl>
      <w:tblPr>
        <w:tblStyle w:val="43"/>
        <w:tblW w:w="0" w:type="auto"/>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2"/>
        <w:gridCol w:w="1348"/>
        <w:gridCol w:w="1075"/>
        <w:gridCol w:w="1015"/>
        <w:gridCol w:w="1417"/>
        <w:gridCol w:w="1432"/>
        <w:gridCol w:w="21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5" w:hRule="atLeast"/>
        </w:trPr>
        <w:tc>
          <w:tcPr>
            <w:tcW w:w="782" w:type="dxa"/>
            <w:tcBorders>
              <w:bottom w:val="single" w:color="000000" w:sz="4" w:space="0"/>
              <w:right w:val="single" w:color="000000" w:sz="4" w:space="0"/>
            </w:tcBorders>
          </w:tcPr>
          <w:p>
            <w:pPr>
              <w:pStyle w:val="42"/>
              <w:rPr>
                <w:b/>
                <w:sz w:val="24"/>
                <w:szCs w:val="24"/>
                <w:lang w:eastAsia="zh-CN"/>
              </w:rPr>
            </w:pPr>
          </w:p>
          <w:p>
            <w:pPr>
              <w:pStyle w:val="42"/>
              <w:spacing w:before="141"/>
              <w:ind w:firstLine="240" w:firstLineChars="100"/>
              <w:rPr>
                <w:sz w:val="24"/>
                <w:szCs w:val="24"/>
              </w:rPr>
            </w:pPr>
            <w:r>
              <w:rPr>
                <w:sz w:val="24"/>
                <w:szCs w:val="24"/>
              </w:rPr>
              <w:t>序号</w:t>
            </w:r>
          </w:p>
        </w:tc>
        <w:tc>
          <w:tcPr>
            <w:tcW w:w="1348" w:type="dxa"/>
            <w:tcBorders>
              <w:left w:val="single" w:color="000000" w:sz="4" w:space="0"/>
              <w:bottom w:val="single" w:color="000000" w:sz="4" w:space="0"/>
              <w:right w:val="single" w:color="000000" w:sz="4" w:space="0"/>
            </w:tcBorders>
          </w:tcPr>
          <w:p>
            <w:pPr>
              <w:pStyle w:val="42"/>
              <w:rPr>
                <w:b/>
                <w:sz w:val="24"/>
                <w:szCs w:val="24"/>
              </w:rPr>
            </w:pPr>
          </w:p>
          <w:p>
            <w:pPr>
              <w:pStyle w:val="42"/>
              <w:spacing w:before="141"/>
              <w:ind w:left="423"/>
              <w:rPr>
                <w:sz w:val="24"/>
                <w:szCs w:val="24"/>
              </w:rPr>
            </w:pPr>
            <w:r>
              <w:rPr>
                <w:sz w:val="24"/>
                <w:szCs w:val="24"/>
              </w:rPr>
              <w:t>姓名</w:t>
            </w:r>
          </w:p>
        </w:tc>
        <w:tc>
          <w:tcPr>
            <w:tcW w:w="1075" w:type="dxa"/>
            <w:tcBorders>
              <w:left w:val="single" w:color="000000" w:sz="4" w:space="0"/>
              <w:bottom w:val="single" w:color="000000" w:sz="4" w:space="0"/>
              <w:right w:val="single" w:color="000000" w:sz="4" w:space="0"/>
            </w:tcBorders>
          </w:tcPr>
          <w:p>
            <w:pPr>
              <w:pStyle w:val="42"/>
              <w:rPr>
                <w:b/>
                <w:sz w:val="24"/>
                <w:szCs w:val="24"/>
              </w:rPr>
            </w:pPr>
          </w:p>
          <w:p>
            <w:pPr>
              <w:pStyle w:val="42"/>
              <w:spacing w:before="141"/>
              <w:ind w:left="1" w:firstLine="240" w:firstLineChars="100"/>
              <w:rPr>
                <w:sz w:val="24"/>
                <w:szCs w:val="24"/>
              </w:rPr>
            </w:pPr>
            <w:r>
              <w:rPr>
                <w:sz w:val="24"/>
                <w:szCs w:val="24"/>
              </w:rPr>
              <w:t>性别</w:t>
            </w:r>
          </w:p>
        </w:tc>
        <w:tc>
          <w:tcPr>
            <w:tcW w:w="1015" w:type="dxa"/>
            <w:tcBorders>
              <w:left w:val="single" w:color="000000" w:sz="4" w:space="0"/>
              <w:bottom w:val="single" w:color="000000" w:sz="4" w:space="0"/>
              <w:right w:val="single" w:color="000000" w:sz="4" w:space="0"/>
            </w:tcBorders>
          </w:tcPr>
          <w:p>
            <w:pPr>
              <w:pStyle w:val="42"/>
              <w:rPr>
                <w:b/>
                <w:sz w:val="24"/>
                <w:szCs w:val="24"/>
              </w:rPr>
            </w:pPr>
          </w:p>
          <w:p>
            <w:pPr>
              <w:pStyle w:val="42"/>
              <w:spacing w:before="141"/>
              <w:ind w:left="1" w:firstLine="240" w:firstLineChars="100"/>
              <w:rPr>
                <w:sz w:val="24"/>
                <w:szCs w:val="24"/>
              </w:rPr>
            </w:pPr>
            <w:r>
              <w:rPr>
                <w:sz w:val="24"/>
                <w:szCs w:val="24"/>
              </w:rPr>
              <w:t>年龄</w:t>
            </w:r>
          </w:p>
        </w:tc>
        <w:tc>
          <w:tcPr>
            <w:tcW w:w="1417" w:type="dxa"/>
            <w:tcBorders>
              <w:left w:val="single" w:color="000000" w:sz="4" w:space="0"/>
              <w:bottom w:val="single" w:color="000000" w:sz="4" w:space="0"/>
              <w:right w:val="single" w:color="000000" w:sz="4" w:space="0"/>
            </w:tcBorders>
          </w:tcPr>
          <w:p>
            <w:pPr>
              <w:pStyle w:val="42"/>
              <w:rPr>
                <w:b/>
                <w:sz w:val="24"/>
                <w:szCs w:val="24"/>
              </w:rPr>
            </w:pPr>
          </w:p>
          <w:p>
            <w:pPr>
              <w:pStyle w:val="42"/>
              <w:spacing w:before="141"/>
              <w:ind w:left="422"/>
              <w:rPr>
                <w:sz w:val="24"/>
                <w:szCs w:val="24"/>
              </w:rPr>
            </w:pPr>
            <w:r>
              <w:rPr>
                <w:sz w:val="24"/>
                <w:szCs w:val="24"/>
              </w:rPr>
              <w:t>职务</w:t>
            </w:r>
          </w:p>
        </w:tc>
        <w:tc>
          <w:tcPr>
            <w:tcW w:w="1432" w:type="dxa"/>
            <w:tcBorders>
              <w:left w:val="single" w:color="000000" w:sz="4" w:space="0"/>
              <w:bottom w:val="single" w:color="000000" w:sz="4" w:space="0"/>
              <w:right w:val="single" w:color="000000" w:sz="4" w:space="0"/>
            </w:tcBorders>
          </w:tcPr>
          <w:p>
            <w:pPr>
              <w:pStyle w:val="42"/>
              <w:rPr>
                <w:b/>
                <w:sz w:val="24"/>
                <w:szCs w:val="24"/>
              </w:rPr>
            </w:pPr>
          </w:p>
          <w:p>
            <w:pPr>
              <w:pStyle w:val="42"/>
              <w:spacing w:before="141"/>
              <w:ind w:left="422"/>
              <w:rPr>
                <w:sz w:val="24"/>
                <w:szCs w:val="24"/>
              </w:rPr>
            </w:pPr>
            <w:r>
              <w:rPr>
                <w:sz w:val="24"/>
                <w:szCs w:val="24"/>
              </w:rPr>
              <w:t>职称</w:t>
            </w:r>
          </w:p>
        </w:tc>
        <w:tc>
          <w:tcPr>
            <w:tcW w:w="2189" w:type="dxa"/>
            <w:tcBorders>
              <w:left w:val="single" w:color="000000" w:sz="4" w:space="0"/>
              <w:bottom w:val="single" w:color="000000" w:sz="4" w:space="0"/>
            </w:tcBorders>
          </w:tcPr>
          <w:p>
            <w:pPr>
              <w:pStyle w:val="42"/>
              <w:spacing w:before="162"/>
              <w:ind w:left="1"/>
              <w:jc w:val="center"/>
              <w:rPr>
                <w:rFonts w:hint="eastAsia"/>
                <w:sz w:val="24"/>
                <w:szCs w:val="24"/>
                <w:lang w:val="en-US" w:eastAsia="zh-CN"/>
              </w:rPr>
            </w:pPr>
          </w:p>
          <w:p>
            <w:pPr>
              <w:pStyle w:val="42"/>
              <w:spacing w:before="162"/>
              <w:ind w:left="1"/>
              <w:jc w:val="center"/>
              <w:rPr>
                <w:rFonts w:hint="eastAsia" w:eastAsia="宋体"/>
                <w:sz w:val="24"/>
                <w:szCs w:val="24"/>
                <w:lang w:val="en-US" w:eastAsia="zh-CN"/>
              </w:rPr>
            </w:pPr>
            <w:r>
              <w:rPr>
                <w:rFonts w:hint="eastAsia"/>
                <w:sz w:val="24"/>
                <w:szCs w:val="24"/>
                <w:lang w:val="en-US" w:eastAsia="zh-CN"/>
              </w:rPr>
              <w:t>社保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782" w:type="dxa"/>
            <w:tcBorders>
              <w:top w:val="single" w:color="000000" w:sz="4" w:space="0"/>
              <w:bottom w:val="single" w:color="000000" w:sz="4" w:space="0"/>
              <w:right w:val="single" w:color="000000" w:sz="4" w:space="0"/>
            </w:tcBorders>
          </w:tcPr>
          <w:p>
            <w:pPr>
              <w:pStyle w:val="42"/>
              <w:spacing w:before="11"/>
              <w:jc w:val="center"/>
              <w:rPr>
                <w:b/>
                <w:sz w:val="24"/>
                <w:szCs w:val="24"/>
              </w:rPr>
            </w:pPr>
          </w:p>
          <w:p>
            <w:pPr>
              <w:pStyle w:val="42"/>
              <w:ind w:right="72"/>
              <w:jc w:val="center"/>
              <w:rPr>
                <w:sz w:val="24"/>
                <w:szCs w:val="24"/>
              </w:rPr>
            </w:pPr>
            <w:r>
              <w:rPr>
                <w:w w:val="99"/>
                <w:sz w:val="24"/>
                <w:szCs w:val="24"/>
              </w:rPr>
              <w:t>1</w:t>
            </w:r>
          </w:p>
        </w:tc>
        <w:tc>
          <w:tcPr>
            <w:tcW w:w="1348" w:type="dxa"/>
            <w:tcBorders>
              <w:top w:val="single" w:color="000000" w:sz="4" w:space="0"/>
              <w:left w:val="single" w:color="000000" w:sz="4" w:space="0"/>
              <w:bottom w:val="single" w:color="000000" w:sz="4" w:space="0"/>
              <w:right w:val="single" w:color="000000" w:sz="4" w:space="0"/>
            </w:tcBorders>
          </w:tcPr>
          <w:p>
            <w:pPr>
              <w:pStyle w:val="42"/>
              <w:rPr>
                <w:sz w:val="24"/>
                <w:szCs w:val="24"/>
              </w:rPr>
            </w:pPr>
          </w:p>
        </w:tc>
        <w:tc>
          <w:tcPr>
            <w:tcW w:w="1075" w:type="dxa"/>
            <w:tcBorders>
              <w:top w:val="single" w:color="000000" w:sz="4" w:space="0"/>
              <w:left w:val="single" w:color="000000" w:sz="4" w:space="0"/>
              <w:bottom w:val="single" w:color="000000" w:sz="4" w:space="0"/>
              <w:right w:val="single" w:color="000000" w:sz="4" w:space="0"/>
            </w:tcBorders>
          </w:tcPr>
          <w:p>
            <w:pPr>
              <w:pStyle w:val="42"/>
              <w:rPr>
                <w:sz w:val="24"/>
                <w:szCs w:val="24"/>
              </w:rPr>
            </w:pPr>
          </w:p>
        </w:tc>
        <w:tc>
          <w:tcPr>
            <w:tcW w:w="1015" w:type="dxa"/>
            <w:tcBorders>
              <w:top w:val="single" w:color="000000" w:sz="4" w:space="0"/>
              <w:left w:val="single" w:color="000000" w:sz="4" w:space="0"/>
              <w:bottom w:val="single" w:color="000000" w:sz="4" w:space="0"/>
              <w:right w:val="single" w:color="000000" w:sz="4" w:space="0"/>
            </w:tcBorders>
          </w:tcPr>
          <w:p>
            <w:pPr>
              <w:pStyle w:val="42"/>
              <w:rPr>
                <w:sz w:val="24"/>
                <w:szCs w:val="24"/>
              </w:rPr>
            </w:pPr>
          </w:p>
        </w:tc>
        <w:tc>
          <w:tcPr>
            <w:tcW w:w="1417" w:type="dxa"/>
            <w:tcBorders>
              <w:top w:val="single" w:color="000000" w:sz="4" w:space="0"/>
              <w:left w:val="single" w:color="000000" w:sz="4" w:space="0"/>
              <w:bottom w:val="single" w:color="000000" w:sz="4" w:space="0"/>
              <w:right w:val="single" w:color="000000" w:sz="4" w:space="0"/>
            </w:tcBorders>
          </w:tcPr>
          <w:p>
            <w:pPr>
              <w:pStyle w:val="42"/>
              <w:rPr>
                <w:sz w:val="24"/>
                <w:szCs w:val="24"/>
              </w:rPr>
            </w:pPr>
          </w:p>
        </w:tc>
        <w:tc>
          <w:tcPr>
            <w:tcW w:w="1432" w:type="dxa"/>
            <w:tcBorders>
              <w:top w:val="single" w:color="000000" w:sz="4" w:space="0"/>
              <w:left w:val="single" w:color="000000" w:sz="4" w:space="0"/>
              <w:bottom w:val="single" w:color="000000" w:sz="4" w:space="0"/>
              <w:right w:val="single" w:color="000000" w:sz="4" w:space="0"/>
            </w:tcBorders>
          </w:tcPr>
          <w:p>
            <w:pPr>
              <w:pStyle w:val="42"/>
              <w:rPr>
                <w:sz w:val="24"/>
                <w:szCs w:val="24"/>
              </w:rPr>
            </w:pPr>
          </w:p>
        </w:tc>
        <w:tc>
          <w:tcPr>
            <w:tcW w:w="2189" w:type="dxa"/>
            <w:tcBorders>
              <w:top w:val="single" w:color="000000" w:sz="4" w:space="0"/>
              <w:left w:val="single" w:color="000000" w:sz="4" w:space="0"/>
              <w:bottom w:val="single" w:color="000000" w:sz="4" w:space="0"/>
            </w:tcBorders>
          </w:tcPr>
          <w:p>
            <w:pPr>
              <w:pStyle w:val="42"/>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782" w:type="dxa"/>
            <w:tcBorders>
              <w:top w:val="single" w:color="000000" w:sz="4" w:space="0"/>
              <w:bottom w:val="single" w:color="000000" w:sz="4" w:space="0"/>
              <w:right w:val="single" w:color="000000" w:sz="4" w:space="0"/>
            </w:tcBorders>
          </w:tcPr>
          <w:p>
            <w:pPr>
              <w:pStyle w:val="42"/>
              <w:spacing w:before="9"/>
              <w:jc w:val="center"/>
              <w:rPr>
                <w:b/>
                <w:sz w:val="24"/>
                <w:szCs w:val="24"/>
              </w:rPr>
            </w:pPr>
          </w:p>
          <w:p>
            <w:pPr>
              <w:pStyle w:val="42"/>
              <w:ind w:right="72"/>
              <w:jc w:val="center"/>
              <w:rPr>
                <w:sz w:val="24"/>
                <w:szCs w:val="24"/>
              </w:rPr>
            </w:pPr>
            <w:r>
              <w:rPr>
                <w:w w:val="99"/>
                <w:sz w:val="24"/>
                <w:szCs w:val="24"/>
              </w:rPr>
              <w:t>2</w:t>
            </w:r>
          </w:p>
        </w:tc>
        <w:tc>
          <w:tcPr>
            <w:tcW w:w="1348" w:type="dxa"/>
            <w:tcBorders>
              <w:top w:val="single" w:color="000000" w:sz="4" w:space="0"/>
              <w:left w:val="single" w:color="000000" w:sz="4" w:space="0"/>
              <w:bottom w:val="single" w:color="000000" w:sz="4" w:space="0"/>
              <w:right w:val="single" w:color="000000" w:sz="4" w:space="0"/>
            </w:tcBorders>
          </w:tcPr>
          <w:p>
            <w:pPr>
              <w:pStyle w:val="42"/>
              <w:rPr>
                <w:sz w:val="24"/>
                <w:szCs w:val="24"/>
              </w:rPr>
            </w:pPr>
          </w:p>
        </w:tc>
        <w:tc>
          <w:tcPr>
            <w:tcW w:w="1075" w:type="dxa"/>
            <w:tcBorders>
              <w:top w:val="single" w:color="000000" w:sz="4" w:space="0"/>
              <w:left w:val="single" w:color="000000" w:sz="4" w:space="0"/>
              <w:bottom w:val="single" w:color="000000" w:sz="4" w:space="0"/>
              <w:right w:val="single" w:color="000000" w:sz="4" w:space="0"/>
            </w:tcBorders>
          </w:tcPr>
          <w:p>
            <w:pPr>
              <w:pStyle w:val="42"/>
              <w:rPr>
                <w:sz w:val="24"/>
                <w:szCs w:val="24"/>
              </w:rPr>
            </w:pPr>
          </w:p>
        </w:tc>
        <w:tc>
          <w:tcPr>
            <w:tcW w:w="1015" w:type="dxa"/>
            <w:tcBorders>
              <w:top w:val="single" w:color="000000" w:sz="4" w:space="0"/>
              <w:left w:val="single" w:color="000000" w:sz="4" w:space="0"/>
              <w:bottom w:val="single" w:color="000000" w:sz="4" w:space="0"/>
              <w:right w:val="single" w:color="000000" w:sz="4" w:space="0"/>
            </w:tcBorders>
          </w:tcPr>
          <w:p>
            <w:pPr>
              <w:pStyle w:val="42"/>
              <w:rPr>
                <w:sz w:val="24"/>
                <w:szCs w:val="24"/>
              </w:rPr>
            </w:pPr>
          </w:p>
        </w:tc>
        <w:tc>
          <w:tcPr>
            <w:tcW w:w="1417" w:type="dxa"/>
            <w:tcBorders>
              <w:top w:val="single" w:color="000000" w:sz="4" w:space="0"/>
              <w:left w:val="single" w:color="000000" w:sz="4" w:space="0"/>
              <w:bottom w:val="single" w:color="000000" w:sz="4" w:space="0"/>
              <w:right w:val="single" w:color="000000" w:sz="4" w:space="0"/>
            </w:tcBorders>
          </w:tcPr>
          <w:p>
            <w:pPr>
              <w:pStyle w:val="42"/>
              <w:rPr>
                <w:sz w:val="24"/>
                <w:szCs w:val="24"/>
              </w:rPr>
            </w:pPr>
          </w:p>
        </w:tc>
        <w:tc>
          <w:tcPr>
            <w:tcW w:w="1432" w:type="dxa"/>
            <w:tcBorders>
              <w:top w:val="single" w:color="000000" w:sz="4" w:space="0"/>
              <w:left w:val="single" w:color="000000" w:sz="4" w:space="0"/>
              <w:bottom w:val="single" w:color="000000" w:sz="4" w:space="0"/>
              <w:right w:val="single" w:color="000000" w:sz="4" w:space="0"/>
            </w:tcBorders>
          </w:tcPr>
          <w:p>
            <w:pPr>
              <w:pStyle w:val="42"/>
              <w:rPr>
                <w:sz w:val="24"/>
                <w:szCs w:val="24"/>
              </w:rPr>
            </w:pPr>
          </w:p>
        </w:tc>
        <w:tc>
          <w:tcPr>
            <w:tcW w:w="2189" w:type="dxa"/>
            <w:tcBorders>
              <w:top w:val="single" w:color="000000" w:sz="4" w:space="0"/>
              <w:left w:val="single" w:color="000000" w:sz="4" w:space="0"/>
              <w:bottom w:val="single" w:color="000000" w:sz="4" w:space="0"/>
            </w:tcBorders>
          </w:tcPr>
          <w:p>
            <w:pPr>
              <w:pStyle w:val="42"/>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782" w:type="dxa"/>
            <w:tcBorders>
              <w:top w:val="single" w:color="000000" w:sz="4" w:space="0"/>
              <w:bottom w:val="single" w:color="000000" w:sz="4" w:space="0"/>
              <w:right w:val="single" w:color="000000" w:sz="4" w:space="0"/>
            </w:tcBorders>
          </w:tcPr>
          <w:p>
            <w:pPr>
              <w:pStyle w:val="42"/>
              <w:spacing w:before="10"/>
              <w:jc w:val="center"/>
              <w:rPr>
                <w:b/>
                <w:sz w:val="24"/>
                <w:szCs w:val="24"/>
              </w:rPr>
            </w:pPr>
          </w:p>
          <w:p>
            <w:pPr>
              <w:pStyle w:val="42"/>
              <w:ind w:right="72"/>
              <w:jc w:val="center"/>
              <w:rPr>
                <w:sz w:val="24"/>
                <w:szCs w:val="24"/>
              </w:rPr>
            </w:pPr>
            <w:r>
              <w:rPr>
                <w:w w:val="99"/>
                <w:sz w:val="24"/>
                <w:szCs w:val="24"/>
              </w:rPr>
              <w:t>3</w:t>
            </w:r>
          </w:p>
        </w:tc>
        <w:tc>
          <w:tcPr>
            <w:tcW w:w="1348" w:type="dxa"/>
            <w:tcBorders>
              <w:top w:val="single" w:color="000000" w:sz="4" w:space="0"/>
              <w:left w:val="single" w:color="000000" w:sz="4" w:space="0"/>
              <w:bottom w:val="single" w:color="000000" w:sz="4" w:space="0"/>
              <w:right w:val="single" w:color="000000" w:sz="4" w:space="0"/>
            </w:tcBorders>
          </w:tcPr>
          <w:p>
            <w:pPr>
              <w:pStyle w:val="42"/>
              <w:rPr>
                <w:sz w:val="24"/>
                <w:szCs w:val="24"/>
              </w:rPr>
            </w:pPr>
          </w:p>
        </w:tc>
        <w:tc>
          <w:tcPr>
            <w:tcW w:w="1075" w:type="dxa"/>
            <w:tcBorders>
              <w:top w:val="single" w:color="000000" w:sz="4" w:space="0"/>
              <w:left w:val="single" w:color="000000" w:sz="4" w:space="0"/>
              <w:bottom w:val="single" w:color="000000" w:sz="4" w:space="0"/>
              <w:right w:val="single" w:color="000000" w:sz="4" w:space="0"/>
            </w:tcBorders>
          </w:tcPr>
          <w:p>
            <w:pPr>
              <w:pStyle w:val="42"/>
              <w:rPr>
                <w:sz w:val="24"/>
                <w:szCs w:val="24"/>
              </w:rPr>
            </w:pPr>
          </w:p>
        </w:tc>
        <w:tc>
          <w:tcPr>
            <w:tcW w:w="1015" w:type="dxa"/>
            <w:tcBorders>
              <w:top w:val="single" w:color="000000" w:sz="4" w:space="0"/>
              <w:left w:val="single" w:color="000000" w:sz="4" w:space="0"/>
              <w:bottom w:val="single" w:color="000000" w:sz="4" w:space="0"/>
              <w:right w:val="single" w:color="000000" w:sz="4" w:space="0"/>
            </w:tcBorders>
          </w:tcPr>
          <w:p>
            <w:pPr>
              <w:pStyle w:val="42"/>
              <w:rPr>
                <w:sz w:val="24"/>
                <w:szCs w:val="24"/>
              </w:rPr>
            </w:pPr>
          </w:p>
        </w:tc>
        <w:tc>
          <w:tcPr>
            <w:tcW w:w="1417" w:type="dxa"/>
            <w:tcBorders>
              <w:top w:val="single" w:color="000000" w:sz="4" w:space="0"/>
              <w:left w:val="single" w:color="000000" w:sz="4" w:space="0"/>
              <w:bottom w:val="single" w:color="000000" w:sz="4" w:space="0"/>
              <w:right w:val="single" w:color="000000" w:sz="4" w:space="0"/>
            </w:tcBorders>
          </w:tcPr>
          <w:p>
            <w:pPr>
              <w:pStyle w:val="42"/>
              <w:rPr>
                <w:sz w:val="24"/>
                <w:szCs w:val="24"/>
              </w:rPr>
            </w:pPr>
          </w:p>
        </w:tc>
        <w:tc>
          <w:tcPr>
            <w:tcW w:w="1432" w:type="dxa"/>
            <w:tcBorders>
              <w:top w:val="single" w:color="000000" w:sz="4" w:space="0"/>
              <w:left w:val="single" w:color="000000" w:sz="4" w:space="0"/>
              <w:bottom w:val="single" w:color="000000" w:sz="4" w:space="0"/>
              <w:right w:val="single" w:color="000000" w:sz="4" w:space="0"/>
            </w:tcBorders>
          </w:tcPr>
          <w:p>
            <w:pPr>
              <w:pStyle w:val="42"/>
              <w:rPr>
                <w:sz w:val="24"/>
                <w:szCs w:val="24"/>
              </w:rPr>
            </w:pPr>
          </w:p>
        </w:tc>
        <w:tc>
          <w:tcPr>
            <w:tcW w:w="2189" w:type="dxa"/>
            <w:tcBorders>
              <w:top w:val="single" w:color="000000" w:sz="4" w:space="0"/>
              <w:left w:val="single" w:color="000000" w:sz="4" w:space="0"/>
              <w:bottom w:val="single" w:color="000000" w:sz="4" w:space="0"/>
            </w:tcBorders>
          </w:tcPr>
          <w:p>
            <w:pPr>
              <w:pStyle w:val="42"/>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782" w:type="dxa"/>
            <w:tcBorders>
              <w:top w:val="single" w:color="000000" w:sz="4" w:space="0"/>
              <w:bottom w:val="single" w:color="000000" w:sz="4" w:space="0"/>
              <w:right w:val="single" w:color="000000" w:sz="4" w:space="0"/>
            </w:tcBorders>
          </w:tcPr>
          <w:p>
            <w:pPr>
              <w:pStyle w:val="42"/>
              <w:spacing w:before="10"/>
              <w:jc w:val="center"/>
              <w:rPr>
                <w:b/>
                <w:sz w:val="24"/>
                <w:szCs w:val="24"/>
              </w:rPr>
            </w:pPr>
          </w:p>
          <w:p>
            <w:pPr>
              <w:pStyle w:val="42"/>
              <w:ind w:right="72"/>
              <w:jc w:val="center"/>
              <w:rPr>
                <w:sz w:val="24"/>
                <w:szCs w:val="24"/>
              </w:rPr>
            </w:pPr>
            <w:r>
              <w:rPr>
                <w:w w:val="99"/>
                <w:sz w:val="24"/>
                <w:szCs w:val="24"/>
              </w:rPr>
              <w:t>4</w:t>
            </w:r>
          </w:p>
        </w:tc>
        <w:tc>
          <w:tcPr>
            <w:tcW w:w="1348" w:type="dxa"/>
            <w:tcBorders>
              <w:top w:val="single" w:color="000000" w:sz="4" w:space="0"/>
              <w:left w:val="single" w:color="000000" w:sz="4" w:space="0"/>
              <w:bottom w:val="single" w:color="000000" w:sz="4" w:space="0"/>
              <w:right w:val="single" w:color="000000" w:sz="4" w:space="0"/>
            </w:tcBorders>
          </w:tcPr>
          <w:p>
            <w:pPr>
              <w:pStyle w:val="42"/>
              <w:rPr>
                <w:sz w:val="24"/>
                <w:szCs w:val="24"/>
              </w:rPr>
            </w:pPr>
          </w:p>
        </w:tc>
        <w:tc>
          <w:tcPr>
            <w:tcW w:w="1075" w:type="dxa"/>
            <w:tcBorders>
              <w:top w:val="single" w:color="000000" w:sz="4" w:space="0"/>
              <w:left w:val="single" w:color="000000" w:sz="4" w:space="0"/>
              <w:bottom w:val="single" w:color="000000" w:sz="4" w:space="0"/>
              <w:right w:val="single" w:color="000000" w:sz="4" w:space="0"/>
            </w:tcBorders>
          </w:tcPr>
          <w:p>
            <w:pPr>
              <w:pStyle w:val="42"/>
              <w:rPr>
                <w:sz w:val="24"/>
                <w:szCs w:val="24"/>
              </w:rPr>
            </w:pPr>
          </w:p>
        </w:tc>
        <w:tc>
          <w:tcPr>
            <w:tcW w:w="1015" w:type="dxa"/>
            <w:tcBorders>
              <w:top w:val="single" w:color="000000" w:sz="4" w:space="0"/>
              <w:left w:val="single" w:color="000000" w:sz="4" w:space="0"/>
              <w:bottom w:val="single" w:color="000000" w:sz="4" w:space="0"/>
              <w:right w:val="single" w:color="000000" w:sz="4" w:space="0"/>
            </w:tcBorders>
          </w:tcPr>
          <w:p>
            <w:pPr>
              <w:pStyle w:val="42"/>
              <w:rPr>
                <w:sz w:val="24"/>
                <w:szCs w:val="24"/>
              </w:rPr>
            </w:pPr>
          </w:p>
        </w:tc>
        <w:tc>
          <w:tcPr>
            <w:tcW w:w="1417" w:type="dxa"/>
            <w:tcBorders>
              <w:top w:val="single" w:color="000000" w:sz="4" w:space="0"/>
              <w:left w:val="single" w:color="000000" w:sz="4" w:space="0"/>
              <w:bottom w:val="single" w:color="000000" w:sz="4" w:space="0"/>
              <w:right w:val="single" w:color="000000" w:sz="4" w:space="0"/>
            </w:tcBorders>
          </w:tcPr>
          <w:p>
            <w:pPr>
              <w:pStyle w:val="42"/>
              <w:rPr>
                <w:sz w:val="24"/>
                <w:szCs w:val="24"/>
              </w:rPr>
            </w:pPr>
          </w:p>
        </w:tc>
        <w:tc>
          <w:tcPr>
            <w:tcW w:w="1432" w:type="dxa"/>
            <w:tcBorders>
              <w:top w:val="single" w:color="000000" w:sz="4" w:space="0"/>
              <w:left w:val="single" w:color="000000" w:sz="4" w:space="0"/>
              <w:bottom w:val="single" w:color="000000" w:sz="4" w:space="0"/>
              <w:right w:val="single" w:color="000000" w:sz="4" w:space="0"/>
            </w:tcBorders>
          </w:tcPr>
          <w:p>
            <w:pPr>
              <w:pStyle w:val="42"/>
              <w:rPr>
                <w:sz w:val="24"/>
                <w:szCs w:val="24"/>
              </w:rPr>
            </w:pPr>
          </w:p>
        </w:tc>
        <w:tc>
          <w:tcPr>
            <w:tcW w:w="2189" w:type="dxa"/>
            <w:tcBorders>
              <w:top w:val="single" w:color="000000" w:sz="4" w:space="0"/>
              <w:left w:val="single" w:color="000000" w:sz="4" w:space="0"/>
              <w:bottom w:val="single" w:color="000000" w:sz="4" w:space="0"/>
            </w:tcBorders>
          </w:tcPr>
          <w:p>
            <w:pPr>
              <w:pStyle w:val="42"/>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782" w:type="dxa"/>
            <w:tcBorders>
              <w:top w:val="single" w:color="000000" w:sz="4" w:space="0"/>
              <w:bottom w:val="single" w:color="000000" w:sz="4" w:space="0"/>
              <w:right w:val="single" w:color="000000" w:sz="4" w:space="0"/>
            </w:tcBorders>
          </w:tcPr>
          <w:p>
            <w:pPr>
              <w:pStyle w:val="42"/>
              <w:spacing w:before="11"/>
              <w:jc w:val="center"/>
              <w:rPr>
                <w:b/>
                <w:sz w:val="24"/>
                <w:szCs w:val="24"/>
              </w:rPr>
            </w:pPr>
          </w:p>
          <w:p>
            <w:pPr>
              <w:pStyle w:val="42"/>
              <w:ind w:right="72"/>
              <w:jc w:val="center"/>
              <w:rPr>
                <w:sz w:val="24"/>
                <w:szCs w:val="24"/>
              </w:rPr>
            </w:pPr>
            <w:r>
              <w:rPr>
                <w:w w:val="99"/>
                <w:sz w:val="24"/>
                <w:szCs w:val="24"/>
              </w:rPr>
              <w:t>5</w:t>
            </w:r>
          </w:p>
        </w:tc>
        <w:tc>
          <w:tcPr>
            <w:tcW w:w="1348" w:type="dxa"/>
            <w:tcBorders>
              <w:top w:val="single" w:color="000000" w:sz="4" w:space="0"/>
              <w:left w:val="single" w:color="000000" w:sz="4" w:space="0"/>
              <w:bottom w:val="single" w:color="000000" w:sz="4" w:space="0"/>
              <w:right w:val="single" w:color="000000" w:sz="4" w:space="0"/>
            </w:tcBorders>
          </w:tcPr>
          <w:p>
            <w:pPr>
              <w:pStyle w:val="42"/>
              <w:rPr>
                <w:sz w:val="24"/>
                <w:szCs w:val="24"/>
              </w:rPr>
            </w:pPr>
          </w:p>
        </w:tc>
        <w:tc>
          <w:tcPr>
            <w:tcW w:w="1075" w:type="dxa"/>
            <w:tcBorders>
              <w:top w:val="single" w:color="000000" w:sz="4" w:space="0"/>
              <w:left w:val="single" w:color="000000" w:sz="4" w:space="0"/>
              <w:bottom w:val="single" w:color="000000" w:sz="4" w:space="0"/>
              <w:right w:val="single" w:color="000000" w:sz="4" w:space="0"/>
            </w:tcBorders>
          </w:tcPr>
          <w:p>
            <w:pPr>
              <w:pStyle w:val="42"/>
              <w:rPr>
                <w:sz w:val="24"/>
                <w:szCs w:val="24"/>
              </w:rPr>
            </w:pPr>
          </w:p>
        </w:tc>
        <w:tc>
          <w:tcPr>
            <w:tcW w:w="1015" w:type="dxa"/>
            <w:tcBorders>
              <w:top w:val="single" w:color="000000" w:sz="4" w:space="0"/>
              <w:left w:val="single" w:color="000000" w:sz="4" w:space="0"/>
              <w:bottom w:val="single" w:color="000000" w:sz="4" w:space="0"/>
              <w:right w:val="single" w:color="000000" w:sz="4" w:space="0"/>
            </w:tcBorders>
          </w:tcPr>
          <w:p>
            <w:pPr>
              <w:pStyle w:val="42"/>
              <w:rPr>
                <w:sz w:val="24"/>
                <w:szCs w:val="24"/>
              </w:rPr>
            </w:pPr>
          </w:p>
        </w:tc>
        <w:tc>
          <w:tcPr>
            <w:tcW w:w="1417" w:type="dxa"/>
            <w:tcBorders>
              <w:top w:val="single" w:color="000000" w:sz="4" w:space="0"/>
              <w:left w:val="single" w:color="000000" w:sz="4" w:space="0"/>
              <w:bottom w:val="single" w:color="000000" w:sz="4" w:space="0"/>
              <w:right w:val="single" w:color="000000" w:sz="4" w:space="0"/>
            </w:tcBorders>
          </w:tcPr>
          <w:p>
            <w:pPr>
              <w:pStyle w:val="42"/>
              <w:rPr>
                <w:sz w:val="24"/>
                <w:szCs w:val="24"/>
              </w:rPr>
            </w:pPr>
          </w:p>
        </w:tc>
        <w:tc>
          <w:tcPr>
            <w:tcW w:w="1432" w:type="dxa"/>
            <w:tcBorders>
              <w:top w:val="single" w:color="000000" w:sz="4" w:space="0"/>
              <w:left w:val="single" w:color="000000" w:sz="4" w:space="0"/>
              <w:bottom w:val="single" w:color="000000" w:sz="4" w:space="0"/>
              <w:right w:val="single" w:color="000000" w:sz="4" w:space="0"/>
            </w:tcBorders>
          </w:tcPr>
          <w:p>
            <w:pPr>
              <w:pStyle w:val="42"/>
              <w:rPr>
                <w:sz w:val="24"/>
                <w:szCs w:val="24"/>
              </w:rPr>
            </w:pPr>
          </w:p>
        </w:tc>
        <w:tc>
          <w:tcPr>
            <w:tcW w:w="2189" w:type="dxa"/>
            <w:tcBorders>
              <w:top w:val="single" w:color="000000" w:sz="4" w:space="0"/>
              <w:left w:val="single" w:color="000000" w:sz="4" w:space="0"/>
              <w:bottom w:val="single" w:color="000000" w:sz="4" w:space="0"/>
            </w:tcBorders>
          </w:tcPr>
          <w:p>
            <w:pPr>
              <w:pStyle w:val="42"/>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782" w:type="dxa"/>
            <w:tcBorders>
              <w:top w:val="single" w:color="000000" w:sz="4" w:space="0"/>
              <w:bottom w:val="single" w:color="000000" w:sz="4" w:space="0"/>
              <w:right w:val="single" w:color="000000" w:sz="4" w:space="0"/>
            </w:tcBorders>
          </w:tcPr>
          <w:p>
            <w:pPr>
              <w:pStyle w:val="42"/>
              <w:spacing w:before="9"/>
              <w:jc w:val="center"/>
              <w:rPr>
                <w:b/>
                <w:sz w:val="24"/>
                <w:szCs w:val="24"/>
              </w:rPr>
            </w:pPr>
          </w:p>
          <w:p>
            <w:pPr>
              <w:pStyle w:val="42"/>
              <w:ind w:right="72"/>
              <w:jc w:val="center"/>
              <w:rPr>
                <w:sz w:val="24"/>
                <w:szCs w:val="24"/>
              </w:rPr>
            </w:pPr>
            <w:r>
              <w:rPr>
                <w:w w:val="99"/>
                <w:sz w:val="24"/>
                <w:szCs w:val="24"/>
              </w:rPr>
              <w:t>6</w:t>
            </w:r>
          </w:p>
        </w:tc>
        <w:tc>
          <w:tcPr>
            <w:tcW w:w="1348" w:type="dxa"/>
            <w:tcBorders>
              <w:top w:val="single" w:color="000000" w:sz="4" w:space="0"/>
              <w:left w:val="single" w:color="000000" w:sz="4" w:space="0"/>
              <w:bottom w:val="single" w:color="000000" w:sz="4" w:space="0"/>
              <w:right w:val="single" w:color="000000" w:sz="4" w:space="0"/>
            </w:tcBorders>
          </w:tcPr>
          <w:p>
            <w:pPr>
              <w:pStyle w:val="42"/>
              <w:rPr>
                <w:sz w:val="24"/>
                <w:szCs w:val="24"/>
              </w:rPr>
            </w:pPr>
          </w:p>
        </w:tc>
        <w:tc>
          <w:tcPr>
            <w:tcW w:w="1075" w:type="dxa"/>
            <w:tcBorders>
              <w:top w:val="single" w:color="000000" w:sz="4" w:space="0"/>
              <w:left w:val="single" w:color="000000" w:sz="4" w:space="0"/>
              <w:bottom w:val="single" w:color="000000" w:sz="4" w:space="0"/>
              <w:right w:val="single" w:color="000000" w:sz="4" w:space="0"/>
            </w:tcBorders>
          </w:tcPr>
          <w:p>
            <w:pPr>
              <w:pStyle w:val="42"/>
              <w:rPr>
                <w:sz w:val="24"/>
                <w:szCs w:val="24"/>
              </w:rPr>
            </w:pPr>
          </w:p>
        </w:tc>
        <w:tc>
          <w:tcPr>
            <w:tcW w:w="1015" w:type="dxa"/>
            <w:tcBorders>
              <w:top w:val="single" w:color="000000" w:sz="4" w:space="0"/>
              <w:left w:val="single" w:color="000000" w:sz="4" w:space="0"/>
              <w:bottom w:val="single" w:color="000000" w:sz="4" w:space="0"/>
              <w:right w:val="single" w:color="000000" w:sz="4" w:space="0"/>
            </w:tcBorders>
          </w:tcPr>
          <w:p>
            <w:pPr>
              <w:pStyle w:val="42"/>
              <w:rPr>
                <w:sz w:val="24"/>
                <w:szCs w:val="24"/>
              </w:rPr>
            </w:pPr>
          </w:p>
        </w:tc>
        <w:tc>
          <w:tcPr>
            <w:tcW w:w="1417" w:type="dxa"/>
            <w:tcBorders>
              <w:top w:val="single" w:color="000000" w:sz="4" w:space="0"/>
              <w:left w:val="single" w:color="000000" w:sz="4" w:space="0"/>
              <w:bottom w:val="single" w:color="000000" w:sz="4" w:space="0"/>
              <w:right w:val="single" w:color="000000" w:sz="4" w:space="0"/>
            </w:tcBorders>
          </w:tcPr>
          <w:p>
            <w:pPr>
              <w:pStyle w:val="42"/>
              <w:rPr>
                <w:sz w:val="24"/>
                <w:szCs w:val="24"/>
              </w:rPr>
            </w:pPr>
          </w:p>
        </w:tc>
        <w:tc>
          <w:tcPr>
            <w:tcW w:w="1432" w:type="dxa"/>
            <w:tcBorders>
              <w:top w:val="single" w:color="000000" w:sz="4" w:space="0"/>
              <w:left w:val="single" w:color="000000" w:sz="4" w:space="0"/>
              <w:bottom w:val="single" w:color="000000" w:sz="4" w:space="0"/>
              <w:right w:val="single" w:color="000000" w:sz="4" w:space="0"/>
            </w:tcBorders>
          </w:tcPr>
          <w:p>
            <w:pPr>
              <w:pStyle w:val="42"/>
              <w:rPr>
                <w:sz w:val="24"/>
                <w:szCs w:val="24"/>
              </w:rPr>
            </w:pPr>
          </w:p>
        </w:tc>
        <w:tc>
          <w:tcPr>
            <w:tcW w:w="2189" w:type="dxa"/>
            <w:tcBorders>
              <w:top w:val="single" w:color="000000" w:sz="4" w:space="0"/>
              <w:left w:val="single" w:color="000000" w:sz="4" w:space="0"/>
              <w:bottom w:val="single" w:color="000000" w:sz="4" w:space="0"/>
            </w:tcBorders>
          </w:tcPr>
          <w:p>
            <w:pPr>
              <w:pStyle w:val="42"/>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782" w:type="dxa"/>
            <w:tcBorders>
              <w:top w:val="single" w:color="000000" w:sz="4" w:space="0"/>
              <w:bottom w:val="single" w:color="000000" w:sz="4" w:space="0"/>
              <w:right w:val="single" w:color="000000" w:sz="4" w:space="0"/>
            </w:tcBorders>
          </w:tcPr>
          <w:p>
            <w:pPr>
              <w:pStyle w:val="42"/>
              <w:spacing w:before="10"/>
              <w:jc w:val="center"/>
              <w:rPr>
                <w:b/>
                <w:sz w:val="24"/>
                <w:szCs w:val="24"/>
              </w:rPr>
            </w:pPr>
          </w:p>
          <w:p>
            <w:pPr>
              <w:pStyle w:val="42"/>
              <w:ind w:right="72"/>
              <w:jc w:val="center"/>
              <w:rPr>
                <w:sz w:val="24"/>
                <w:szCs w:val="24"/>
              </w:rPr>
            </w:pPr>
            <w:r>
              <w:rPr>
                <w:w w:val="99"/>
                <w:sz w:val="24"/>
                <w:szCs w:val="24"/>
              </w:rPr>
              <w:t>7</w:t>
            </w:r>
          </w:p>
        </w:tc>
        <w:tc>
          <w:tcPr>
            <w:tcW w:w="1348" w:type="dxa"/>
            <w:tcBorders>
              <w:top w:val="single" w:color="000000" w:sz="4" w:space="0"/>
              <w:left w:val="single" w:color="000000" w:sz="4" w:space="0"/>
              <w:bottom w:val="single" w:color="000000" w:sz="4" w:space="0"/>
              <w:right w:val="single" w:color="000000" w:sz="4" w:space="0"/>
            </w:tcBorders>
          </w:tcPr>
          <w:p>
            <w:pPr>
              <w:pStyle w:val="42"/>
              <w:rPr>
                <w:sz w:val="24"/>
                <w:szCs w:val="24"/>
              </w:rPr>
            </w:pPr>
          </w:p>
        </w:tc>
        <w:tc>
          <w:tcPr>
            <w:tcW w:w="1075" w:type="dxa"/>
            <w:tcBorders>
              <w:top w:val="single" w:color="000000" w:sz="4" w:space="0"/>
              <w:left w:val="single" w:color="000000" w:sz="4" w:space="0"/>
              <w:bottom w:val="single" w:color="000000" w:sz="4" w:space="0"/>
              <w:right w:val="single" w:color="000000" w:sz="4" w:space="0"/>
            </w:tcBorders>
          </w:tcPr>
          <w:p>
            <w:pPr>
              <w:pStyle w:val="42"/>
              <w:rPr>
                <w:sz w:val="24"/>
                <w:szCs w:val="24"/>
              </w:rPr>
            </w:pPr>
          </w:p>
        </w:tc>
        <w:tc>
          <w:tcPr>
            <w:tcW w:w="1015" w:type="dxa"/>
            <w:tcBorders>
              <w:top w:val="single" w:color="000000" w:sz="4" w:space="0"/>
              <w:left w:val="single" w:color="000000" w:sz="4" w:space="0"/>
              <w:bottom w:val="single" w:color="000000" w:sz="4" w:space="0"/>
              <w:right w:val="single" w:color="000000" w:sz="4" w:space="0"/>
            </w:tcBorders>
          </w:tcPr>
          <w:p>
            <w:pPr>
              <w:pStyle w:val="42"/>
              <w:rPr>
                <w:sz w:val="24"/>
                <w:szCs w:val="24"/>
              </w:rPr>
            </w:pPr>
          </w:p>
        </w:tc>
        <w:tc>
          <w:tcPr>
            <w:tcW w:w="1417" w:type="dxa"/>
            <w:tcBorders>
              <w:top w:val="single" w:color="000000" w:sz="4" w:space="0"/>
              <w:left w:val="single" w:color="000000" w:sz="4" w:space="0"/>
              <w:bottom w:val="single" w:color="000000" w:sz="4" w:space="0"/>
              <w:right w:val="single" w:color="000000" w:sz="4" w:space="0"/>
            </w:tcBorders>
          </w:tcPr>
          <w:p>
            <w:pPr>
              <w:pStyle w:val="42"/>
              <w:rPr>
                <w:sz w:val="24"/>
                <w:szCs w:val="24"/>
              </w:rPr>
            </w:pPr>
          </w:p>
        </w:tc>
        <w:tc>
          <w:tcPr>
            <w:tcW w:w="1432" w:type="dxa"/>
            <w:tcBorders>
              <w:top w:val="single" w:color="000000" w:sz="4" w:space="0"/>
              <w:left w:val="single" w:color="000000" w:sz="4" w:space="0"/>
              <w:bottom w:val="single" w:color="000000" w:sz="4" w:space="0"/>
              <w:right w:val="single" w:color="000000" w:sz="4" w:space="0"/>
            </w:tcBorders>
          </w:tcPr>
          <w:p>
            <w:pPr>
              <w:pStyle w:val="42"/>
              <w:rPr>
                <w:sz w:val="24"/>
                <w:szCs w:val="24"/>
              </w:rPr>
            </w:pPr>
          </w:p>
        </w:tc>
        <w:tc>
          <w:tcPr>
            <w:tcW w:w="2189" w:type="dxa"/>
            <w:tcBorders>
              <w:top w:val="single" w:color="000000" w:sz="4" w:space="0"/>
              <w:left w:val="single" w:color="000000" w:sz="4" w:space="0"/>
              <w:bottom w:val="single" w:color="000000" w:sz="4" w:space="0"/>
            </w:tcBorders>
          </w:tcPr>
          <w:p>
            <w:pPr>
              <w:pStyle w:val="42"/>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782" w:type="dxa"/>
            <w:tcBorders>
              <w:top w:val="single" w:color="000000" w:sz="4" w:space="0"/>
              <w:bottom w:val="single" w:color="000000" w:sz="4" w:space="0"/>
              <w:right w:val="single" w:color="000000" w:sz="4" w:space="0"/>
            </w:tcBorders>
          </w:tcPr>
          <w:p>
            <w:pPr>
              <w:pStyle w:val="42"/>
              <w:spacing w:before="10"/>
              <w:jc w:val="center"/>
              <w:rPr>
                <w:b/>
                <w:sz w:val="24"/>
                <w:szCs w:val="24"/>
              </w:rPr>
            </w:pPr>
          </w:p>
          <w:p>
            <w:pPr>
              <w:pStyle w:val="42"/>
              <w:ind w:right="72"/>
              <w:jc w:val="center"/>
              <w:rPr>
                <w:sz w:val="24"/>
                <w:szCs w:val="24"/>
              </w:rPr>
            </w:pPr>
            <w:r>
              <w:rPr>
                <w:w w:val="99"/>
                <w:sz w:val="24"/>
                <w:szCs w:val="24"/>
              </w:rPr>
              <w:t>8</w:t>
            </w:r>
          </w:p>
        </w:tc>
        <w:tc>
          <w:tcPr>
            <w:tcW w:w="1348" w:type="dxa"/>
            <w:tcBorders>
              <w:top w:val="single" w:color="000000" w:sz="4" w:space="0"/>
              <w:left w:val="single" w:color="000000" w:sz="4" w:space="0"/>
              <w:bottom w:val="single" w:color="000000" w:sz="4" w:space="0"/>
              <w:right w:val="single" w:color="000000" w:sz="4" w:space="0"/>
            </w:tcBorders>
          </w:tcPr>
          <w:p>
            <w:pPr>
              <w:pStyle w:val="42"/>
              <w:rPr>
                <w:sz w:val="24"/>
                <w:szCs w:val="24"/>
              </w:rPr>
            </w:pPr>
          </w:p>
        </w:tc>
        <w:tc>
          <w:tcPr>
            <w:tcW w:w="1075" w:type="dxa"/>
            <w:tcBorders>
              <w:top w:val="single" w:color="000000" w:sz="4" w:space="0"/>
              <w:left w:val="single" w:color="000000" w:sz="4" w:space="0"/>
              <w:bottom w:val="single" w:color="000000" w:sz="4" w:space="0"/>
              <w:right w:val="single" w:color="000000" w:sz="4" w:space="0"/>
            </w:tcBorders>
          </w:tcPr>
          <w:p>
            <w:pPr>
              <w:pStyle w:val="42"/>
              <w:rPr>
                <w:sz w:val="24"/>
                <w:szCs w:val="24"/>
              </w:rPr>
            </w:pPr>
          </w:p>
        </w:tc>
        <w:tc>
          <w:tcPr>
            <w:tcW w:w="1015" w:type="dxa"/>
            <w:tcBorders>
              <w:top w:val="single" w:color="000000" w:sz="4" w:space="0"/>
              <w:left w:val="single" w:color="000000" w:sz="4" w:space="0"/>
              <w:bottom w:val="single" w:color="000000" w:sz="4" w:space="0"/>
              <w:right w:val="single" w:color="000000" w:sz="4" w:space="0"/>
            </w:tcBorders>
          </w:tcPr>
          <w:p>
            <w:pPr>
              <w:pStyle w:val="42"/>
              <w:rPr>
                <w:sz w:val="24"/>
                <w:szCs w:val="24"/>
              </w:rPr>
            </w:pPr>
          </w:p>
        </w:tc>
        <w:tc>
          <w:tcPr>
            <w:tcW w:w="1417" w:type="dxa"/>
            <w:tcBorders>
              <w:top w:val="single" w:color="000000" w:sz="4" w:space="0"/>
              <w:left w:val="single" w:color="000000" w:sz="4" w:space="0"/>
              <w:bottom w:val="single" w:color="000000" w:sz="4" w:space="0"/>
              <w:right w:val="single" w:color="000000" w:sz="4" w:space="0"/>
            </w:tcBorders>
          </w:tcPr>
          <w:p>
            <w:pPr>
              <w:pStyle w:val="42"/>
              <w:rPr>
                <w:sz w:val="24"/>
                <w:szCs w:val="24"/>
              </w:rPr>
            </w:pPr>
          </w:p>
        </w:tc>
        <w:tc>
          <w:tcPr>
            <w:tcW w:w="1432" w:type="dxa"/>
            <w:tcBorders>
              <w:top w:val="single" w:color="000000" w:sz="4" w:space="0"/>
              <w:left w:val="single" w:color="000000" w:sz="4" w:space="0"/>
              <w:bottom w:val="single" w:color="000000" w:sz="4" w:space="0"/>
              <w:right w:val="single" w:color="000000" w:sz="4" w:space="0"/>
            </w:tcBorders>
          </w:tcPr>
          <w:p>
            <w:pPr>
              <w:pStyle w:val="42"/>
              <w:rPr>
                <w:sz w:val="24"/>
                <w:szCs w:val="24"/>
              </w:rPr>
            </w:pPr>
          </w:p>
        </w:tc>
        <w:tc>
          <w:tcPr>
            <w:tcW w:w="2189" w:type="dxa"/>
            <w:tcBorders>
              <w:top w:val="single" w:color="000000" w:sz="4" w:space="0"/>
              <w:left w:val="single" w:color="000000" w:sz="4" w:space="0"/>
              <w:bottom w:val="single" w:color="000000" w:sz="4" w:space="0"/>
            </w:tcBorders>
          </w:tcPr>
          <w:p>
            <w:pPr>
              <w:pStyle w:val="42"/>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1" w:hRule="atLeast"/>
        </w:trPr>
        <w:tc>
          <w:tcPr>
            <w:tcW w:w="782" w:type="dxa"/>
            <w:tcBorders>
              <w:top w:val="single" w:color="000000" w:sz="4" w:space="0"/>
              <w:right w:val="single" w:color="000000" w:sz="4" w:space="0"/>
            </w:tcBorders>
          </w:tcPr>
          <w:p>
            <w:pPr>
              <w:pStyle w:val="42"/>
              <w:ind w:left="1"/>
              <w:jc w:val="center"/>
              <w:rPr>
                <w:sz w:val="24"/>
                <w:szCs w:val="24"/>
              </w:rPr>
            </w:pPr>
          </w:p>
        </w:tc>
        <w:tc>
          <w:tcPr>
            <w:tcW w:w="1348" w:type="dxa"/>
            <w:tcBorders>
              <w:top w:val="single" w:color="000000" w:sz="4" w:space="0"/>
              <w:left w:val="single" w:color="000000" w:sz="4" w:space="0"/>
              <w:right w:val="single" w:color="000000" w:sz="4" w:space="0"/>
            </w:tcBorders>
          </w:tcPr>
          <w:p>
            <w:pPr>
              <w:pStyle w:val="42"/>
              <w:rPr>
                <w:sz w:val="24"/>
                <w:szCs w:val="24"/>
              </w:rPr>
            </w:pPr>
          </w:p>
        </w:tc>
        <w:tc>
          <w:tcPr>
            <w:tcW w:w="1075" w:type="dxa"/>
            <w:tcBorders>
              <w:top w:val="single" w:color="000000" w:sz="4" w:space="0"/>
              <w:left w:val="single" w:color="000000" w:sz="4" w:space="0"/>
              <w:right w:val="single" w:color="000000" w:sz="4" w:space="0"/>
            </w:tcBorders>
          </w:tcPr>
          <w:p>
            <w:pPr>
              <w:pStyle w:val="42"/>
              <w:rPr>
                <w:sz w:val="24"/>
                <w:szCs w:val="24"/>
              </w:rPr>
            </w:pPr>
          </w:p>
        </w:tc>
        <w:tc>
          <w:tcPr>
            <w:tcW w:w="1015" w:type="dxa"/>
            <w:tcBorders>
              <w:top w:val="single" w:color="000000" w:sz="4" w:space="0"/>
              <w:left w:val="single" w:color="000000" w:sz="4" w:space="0"/>
              <w:right w:val="single" w:color="000000" w:sz="4" w:space="0"/>
            </w:tcBorders>
          </w:tcPr>
          <w:p>
            <w:pPr>
              <w:pStyle w:val="42"/>
              <w:rPr>
                <w:sz w:val="24"/>
                <w:szCs w:val="24"/>
              </w:rPr>
            </w:pPr>
          </w:p>
        </w:tc>
        <w:tc>
          <w:tcPr>
            <w:tcW w:w="1417" w:type="dxa"/>
            <w:tcBorders>
              <w:top w:val="single" w:color="000000" w:sz="4" w:space="0"/>
              <w:left w:val="single" w:color="000000" w:sz="4" w:space="0"/>
              <w:right w:val="single" w:color="000000" w:sz="4" w:space="0"/>
            </w:tcBorders>
          </w:tcPr>
          <w:p>
            <w:pPr>
              <w:pStyle w:val="42"/>
              <w:rPr>
                <w:sz w:val="24"/>
                <w:szCs w:val="24"/>
              </w:rPr>
            </w:pPr>
          </w:p>
        </w:tc>
        <w:tc>
          <w:tcPr>
            <w:tcW w:w="1432" w:type="dxa"/>
            <w:tcBorders>
              <w:top w:val="single" w:color="000000" w:sz="4" w:space="0"/>
              <w:left w:val="single" w:color="000000" w:sz="4" w:space="0"/>
              <w:right w:val="single" w:color="000000" w:sz="4" w:space="0"/>
            </w:tcBorders>
          </w:tcPr>
          <w:p>
            <w:pPr>
              <w:pStyle w:val="42"/>
              <w:rPr>
                <w:sz w:val="24"/>
                <w:szCs w:val="24"/>
              </w:rPr>
            </w:pPr>
          </w:p>
        </w:tc>
        <w:tc>
          <w:tcPr>
            <w:tcW w:w="2189" w:type="dxa"/>
            <w:tcBorders>
              <w:top w:val="single" w:color="000000" w:sz="4" w:space="0"/>
              <w:left w:val="single" w:color="000000" w:sz="4" w:space="0"/>
            </w:tcBorders>
          </w:tcPr>
          <w:p>
            <w:pPr>
              <w:pStyle w:val="42"/>
              <w:rPr>
                <w:sz w:val="24"/>
                <w:szCs w:val="24"/>
              </w:rPr>
            </w:pPr>
          </w:p>
        </w:tc>
      </w:tr>
    </w:tbl>
    <w:p>
      <w:pPr>
        <w:rPr>
          <w:rFonts w:ascii="Times New Roman"/>
          <w:sz w:val="24"/>
        </w:rPr>
        <w:sectPr>
          <w:pgSz w:w="11910" w:h="16840"/>
          <w:pgMar w:top="1440" w:right="1080" w:bottom="1440" w:left="1080" w:header="0" w:footer="909" w:gutter="0"/>
          <w:pgNumType w:fmt="decimal"/>
          <w:cols w:space="720" w:num="1"/>
          <w:docGrid w:linePitch="299" w:charSpace="0"/>
        </w:sectPr>
      </w:pPr>
    </w:p>
    <w:p>
      <w:pPr>
        <w:pStyle w:val="3"/>
        <w:numPr>
          <w:ilvl w:val="1"/>
          <w:numId w:val="0"/>
        </w:numPr>
        <w:ind w:left="419" w:leftChars="0"/>
        <w:jc w:val="center"/>
        <w:rPr>
          <w:rFonts w:hint="eastAsia" w:ascii="宋体" w:hAnsi="宋体" w:cs="Times New Roman"/>
          <w:sz w:val="30"/>
          <w:szCs w:val="30"/>
        </w:rPr>
      </w:pPr>
      <w:r>
        <w:rPr>
          <w:rFonts w:hint="eastAsia" w:ascii="宋体" w:hAnsi="宋体" w:cs="Times New Roman"/>
          <w:sz w:val="30"/>
          <w:szCs w:val="30"/>
        </w:rPr>
        <w:t>六</w:t>
      </w:r>
      <w:r>
        <w:rPr>
          <w:rFonts w:hint="eastAsia" w:ascii="宋体" w:hAnsi="宋体" w:cs="Times New Roman"/>
          <w:sz w:val="30"/>
          <w:szCs w:val="30"/>
          <w:lang w:val="zh-CN"/>
        </w:rPr>
        <w:t>、</w:t>
      </w:r>
      <w:r>
        <w:rPr>
          <w:rFonts w:hint="eastAsia" w:ascii="宋体" w:hAnsi="宋体" w:cs="Times New Roman"/>
          <w:sz w:val="30"/>
          <w:szCs w:val="30"/>
          <w:lang w:val="en-US" w:eastAsia="zh-CN"/>
        </w:rPr>
        <w:t>实施方案</w:t>
      </w:r>
    </w:p>
    <w:p>
      <w:pPr>
        <w:pStyle w:val="6"/>
        <w:spacing w:before="12"/>
        <w:ind w:left="0"/>
        <w:rPr>
          <w:b/>
          <w:sz w:val="16"/>
        </w:rPr>
      </w:pPr>
    </w:p>
    <w:p>
      <w:pPr>
        <w:rPr>
          <w:b/>
          <w:sz w:val="30"/>
          <w:lang w:eastAsia="zh-CN"/>
        </w:rPr>
      </w:pPr>
      <w:bookmarkStart w:id="242" w:name="八、供应商应附的其它资料"/>
      <w:bookmarkEnd w:id="242"/>
      <w:r>
        <w:rPr>
          <w:b/>
          <w:sz w:val="30"/>
          <w:lang w:eastAsia="zh-CN"/>
        </w:rPr>
        <w:br w:type="page"/>
      </w:r>
    </w:p>
    <w:p>
      <w:pPr>
        <w:spacing w:before="58"/>
        <w:ind w:left="530" w:right="532"/>
        <w:jc w:val="center"/>
        <w:rPr>
          <w:b/>
          <w:sz w:val="30"/>
          <w:lang w:eastAsia="zh-CN"/>
        </w:rPr>
      </w:pPr>
      <w:r>
        <w:rPr>
          <w:rFonts w:hint="eastAsia"/>
          <w:b/>
          <w:sz w:val="30"/>
          <w:lang w:val="en-US" w:eastAsia="zh-CN"/>
        </w:rPr>
        <w:t>七</w:t>
      </w:r>
      <w:r>
        <w:rPr>
          <w:b/>
          <w:sz w:val="30"/>
          <w:lang w:eastAsia="zh-CN"/>
        </w:rPr>
        <w:t>、</w:t>
      </w:r>
      <w:r>
        <w:rPr>
          <w:rFonts w:hint="eastAsia"/>
          <w:b/>
          <w:sz w:val="30"/>
          <w:lang w:eastAsia="zh-CN"/>
        </w:rPr>
        <w:t>供应商认为需要提交的其他资料</w:t>
      </w:r>
    </w:p>
    <w:p>
      <w:pPr>
        <w:rPr>
          <w:rFonts w:hint="eastAsia"/>
          <w:b/>
          <w:sz w:val="28"/>
          <w:lang w:val="en-US" w:eastAsia="zh-CN"/>
        </w:rPr>
      </w:pPr>
      <w:bookmarkStart w:id="243" w:name="（属于残疾人福利性单位的填写，不属于的无需填写此项内容）"/>
      <w:bookmarkEnd w:id="243"/>
      <w:bookmarkStart w:id="244" w:name="十、残疾人福利性单位声明函"/>
      <w:bookmarkEnd w:id="244"/>
      <w:bookmarkStart w:id="245" w:name="九、中小微企业声明函_"/>
      <w:bookmarkEnd w:id="245"/>
      <w:r>
        <w:rPr>
          <w:rFonts w:hint="eastAsia"/>
          <w:b/>
          <w:sz w:val="28"/>
          <w:lang w:val="en-US" w:eastAsia="zh-CN"/>
        </w:rPr>
        <w:br w:type="page"/>
      </w:r>
    </w:p>
    <w:p>
      <w:pPr>
        <w:spacing w:line="417" w:lineRule="auto"/>
        <w:ind w:firstLine="562" w:firstLineChars="200"/>
        <w:jc w:val="center"/>
        <w:rPr>
          <w:b/>
          <w:sz w:val="28"/>
          <w:lang w:eastAsia="zh-CN"/>
        </w:rPr>
      </w:pPr>
      <w:r>
        <w:rPr>
          <w:rFonts w:hint="eastAsia"/>
          <w:b/>
          <w:sz w:val="28"/>
          <w:lang w:val="en-US" w:eastAsia="zh-CN"/>
        </w:rPr>
        <w:t>八、</w:t>
      </w:r>
      <w:r>
        <w:rPr>
          <w:b/>
          <w:sz w:val="28"/>
          <w:lang w:eastAsia="zh-CN"/>
        </w:rPr>
        <w:t>残疾人福利性单位声明函</w:t>
      </w:r>
    </w:p>
    <w:p>
      <w:pPr>
        <w:pStyle w:val="6"/>
        <w:spacing w:before="212"/>
        <w:ind w:left="530" w:right="475"/>
        <w:jc w:val="center"/>
        <w:rPr>
          <w:lang w:eastAsia="zh-CN"/>
        </w:rPr>
      </w:pPr>
      <w:r>
        <w:rPr>
          <w:lang w:eastAsia="zh-CN"/>
        </w:rPr>
        <w:t>（属于残疾人福利性单位的填写，不属于的无需填写此项内容）</w:t>
      </w:r>
    </w:p>
    <w:p>
      <w:pPr>
        <w:pStyle w:val="6"/>
        <w:ind w:left="0"/>
        <w:rPr>
          <w:lang w:eastAsia="zh-CN"/>
        </w:rPr>
      </w:pPr>
    </w:p>
    <w:p>
      <w:pPr>
        <w:pStyle w:val="6"/>
        <w:spacing w:before="1"/>
        <w:ind w:left="0"/>
        <w:rPr>
          <w:sz w:val="25"/>
          <w:lang w:eastAsia="zh-CN"/>
        </w:rPr>
      </w:pPr>
    </w:p>
    <w:p>
      <w:pPr>
        <w:pStyle w:val="6"/>
        <w:tabs>
          <w:tab w:val="left" w:pos="6970"/>
          <w:tab w:val="left" w:pos="8527"/>
        </w:tabs>
        <w:spacing w:line="360" w:lineRule="auto"/>
        <w:ind w:left="0" w:firstLine="448" w:firstLineChars="200"/>
        <w:jc w:val="both"/>
        <w:rPr>
          <w:lang w:eastAsia="zh-CN"/>
        </w:rPr>
      </w:pPr>
      <w:r>
        <w:rPr>
          <w:spacing w:val="12"/>
          <w:lang w:eastAsia="zh-CN"/>
        </w:rPr>
        <w:t>本单位郑重声明</w:t>
      </w:r>
      <w:r>
        <w:rPr>
          <w:lang w:eastAsia="zh-CN"/>
        </w:rPr>
        <w:t>，</w:t>
      </w:r>
      <w:r>
        <w:rPr>
          <w:spacing w:val="12"/>
          <w:lang w:eastAsia="zh-CN"/>
        </w:rPr>
        <w:t>根</w:t>
      </w:r>
      <w:r>
        <w:rPr>
          <w:lang w:eastAsia="zh-CN"/>
        </w:rPr>
        <w:t>据</w:t>
      </w:r>
      <w:r>
        <w:rPr>
          <w:spacing w:val="12"/>
          <w:lang w:eastAsia="zh-CN"/>
        </w:rPr>
        <w:t>《财政</w:t>
      </w:r>
      <w:r>
        <w:rPr>
          <w:lang w:eastAsia="zh-CN"/>
        </w:rPr>
        <w:t>部</w:t>
      </w:r>
      <w:r>
        <w:rPr>
          <w:spacing w:val="24"/>
          <w:lang w:eastAsia="zh-CN"/>
        </w:rPr>
        <w:t xml:space="preserve"> </w:t>
      </w:r>
      <w:r>
        <w:rPr>
          <w:spacing w:val="12"/>
          <w:lang w:eastAsia="zh-CN"/>
        </w:rPr>
        <w:t>民政</w:t>
      </w:r>
      <w:r>
        <w:rPr>
          <w:lang w:eastAsia="zh-CN"/>
        </w:rPr>
        <w:t>部</w:t>
      </w:r>
      <w:r>
        <w:rPr>
          <w:spacing w:val="25"/>
          <w:lang w:eastAsia="zh-CN"/>
        </w:rPr>
        <w:t xml:space="preserve"> </w:t>
      </w:r>
      <w:r>
        <w:rPr>
          <w:spacing w:val="12"/>
          <w:lang w:eastAsia="zh-CN"/>
        </w:rPr>
        <w:t>中国残疾人联合会关于促进</w:t>
      </w:r>
      <w:r>
        <w:rPr>
          <w:spacing w:val="-17"/>
          <w:lang w:eastAsia="zh-CN"/>
        </w:rPr>
        <w:t>残</w:t>
      </w:r>
      <w:r>
        <w:rPr>
          <w:spacing w:val="16"/>
          <w:lang w:eastAsia="zh-CN"/>
        </w:rPr>
        <w:t>疾</w:t>
      </w:r>
      <w:r>
        <w:rPr>
          <w:spacing w:val="14"/>
          <w:lang w:eastAsia="zh-CN"/>
        </w:rPr>
        <w:t>人</w:t>
      </w:r>
      <w:r>
        <w:rPr>
          <w:spacing w:val="16"/>
          <w:lang w:eastAsia="zh-CN"/>
        </w:rPr>
        <w:t>就业</w:t>
      </w:r>
      <w:r>
        <w:rPr>
          <w:spacing w:val="14"/>
          <w:lang w:eastAsia="zh-CN"/>
        </w:rPr>
        <w:t>政</w:t>
      </w:r>
      <w:r>
        <w:rPr>
          <w:spacing w:val="16"/>
          <w:lang w:eastAsia="zh-CN"/>
        </w:rPr>
        <w:t>府采购</w:t>
      </w:r>
      <w:r>
        <w:rPr>
          <w:spacing w:val="14"/>
          <w:lang w:eastAsia="zh-CN"/>
        </w:rPr>
        <w:t>政</w:t>
      </w:r>
      <w:r>
        <w:rPr>
          <w:spacing w:val="16"/>
          <w:lang w:eastAsia="zh-CN"/>
        </w:rPr>
        <w:t>策的</w:t>
      </w:r>
      <w:r>
        <w:rPr>
          <w:spacing w:val="14"/>
          <w:lang w:eastAsia="zh-CN"/>
        </w:rPr>
        <w:t>通</w:t>
      </w:r>
      <w:r>
        <w:rPr>
          <w:spacing w:val="16"/>
          <w:lang w:eastAsia="zh-CN"/>
        </w:rPr>
        <w:t>知》</w:t>
      </w:r>
      <w:r>
        <w:rPr>
          <w:spacing w:val="14"/>
          <w:lang w:eastAsia="zh-CN"/>
        </w:rPr>
        <w:t>（</w:t>
      </w:r>
      <w:r>
        <w:rPr>
          <w:spacing w:val="16"/>
          <w:lang w:eastAsia="zh-CN"/>
        </w:rPr>
        <w:t>财库</w:t>
      </w:r>
      <w:r>
        <w:rPr>
          <w:lang w:eastAsia="zh-CN"/>
        </w:rPr>
        <w:t>〔2017</w:t>
      </w:r>
      <w:r>
        <w:rPr>
          <w:spacing w:val="4"/>
          <w:lang w:eastAsia="zh-CN"/>
        </w:rPr>
        <w:t>〕</w:t>
      </w:r>
      <w:r>
        <w:rPr>
          <w:lang w:eastAsia="zh-CN"/>
        </w:rPr>
        <w:t>141</w:t>
      </w:r>
      <w:r>
        <w:rPr>
          <w:spacing w:val="-54"/>
          <w:lang w:eastAsia="zh-CN"/>
        </w:rPr>
        <w:t xml:space="preserve"> </w:t>
      </w:r>
      <w:r>
        <w:rPr>
          <w:spacing w:val="16"/>
          <w:lang w:eastAsia="zh-CN"/>
        </w:rPr>
        <w:t>号</w:t>
      </w:r>
      <w:r>
        <w:rPr>
          <w:spacing w:val="14"/>
          <w:lang w:eastAsia="zh-CN"/>
        </w:rPr>
        <w:t>）</w:t>
      </w:r>
      <w:r>
        <w:rPr>
          <w:spacing w:val="16"/>
          <w:lang w:eastAsia="zh-CN"/>
        </w:rPr>
        <w:t>的规</w:t>
      </w:r>
      <w:r>
        <w:rPr>
          <w:spacing w:val="14"/>
          <w:lang w:eastAsia="zh-CN"/>
        </w:rPr>
        <w:t>定</w:t>
      </w:r>
      <w:r>
        <w:rPr>
          <w:spacing w:val="16"/>
          <w:lang w:eastAsia="zh-CN"/>
        </w:rPr>
        <w:t>，本单</w:t>
      </w:r>
      <w:r>
        <w:rPr>
          <w:spacing w:val="14"/>
          <w:lang w:eastAsia="zh-CN"/>
        </w:rPr>
        <w:t>位</w:t>
      </w:r>
      <w:r>
        <w:rPr>
          <w:lang w:eastAsia="zh-CN"/>
        </w:rPr>
        <w:t>为</w:t>
      </w:r>
      <w:r>
        <w:rPr>
          <w:spacing w:val="12"/>
          <w:lang w:eastAsia="zh-CN"/>
        </w:rPr>
        <w:t>符</w:t>
      </w:r>
      <w:r>
        <w:rPr>
          <w:spacing w:val="14"/>
          <w:lang w:eastAsia="zh-CN"/>
        </w:rPr>
        <w:t>合</w:t>
      </w:r>
      <w:r>
        <w:rPr>
          <w:spacing w:val="12"/>
          <w:lang w:eastAsia="zh-CN"/>
        </w:rPr>
        <w:t>条</w:t>
      </w:r>
      <w:r>
        <w:rPr>
          <w:spacing w:val="14"/>
          <w:lang w:eastAsia="zh-CN"/>
        </w:rPr>
        <w:t>件</w:t>
      </w:r>
      <w:r>
        <w:rPr>
          <w:spacing w:val="12"/>
          <w:lang w:eastAsia="zh-CN"/>
        </w:rPr>
        <w:t>的残</w:t>
      </w:r>
      <w:r>
        <w:rPr>
          <w:spacing w:val="14"/>
          <w:lang w:eastAsia="zh-CN"/>
        </w:rPr>
        <w:t>疾</w:t>
      </w:r>
      <w:r>
        <w:rPr>
          <w:spacing w:val="12"/>
          <w:lang w:eastAsia="zh-CN"/>
        </w:rPr>
        <w:t>人</w:t>
      </w:r>
      <w:r>
        <w:rPr>
          <w:spacing w:val="14"/>
          <w:lang w:eastAsia="zh-CN"/>
        </w:rPr>
        <w:t>福</w:t>
      </w:r>
      <w:r>
        <w:rPr>
          <w:spacing w:val="12"/>
          <w:lang w:eastAsia="zh-CN"/>
        </w:rPr>
        <w:t>利</w:t>
      </w:r>
      <w:r>
        <w:rPr>
          <w:spacing w:val="14"/>
          <w:lang w:eastAsia="zh-CN"/>
        </w:rPr>
        <w:t>性</w:t>
      </w:r>
      <w:r>
        <w:rPr>
          <w:spacing w:val="12"/>
          <w:lang w:eastAsia="zh-CN"/>
        </w:rPr>
        <w:t>单位</w:t>
      </w:r>
      <w:r>
        <w:rPr>
          <w:spacing w:val="14"/>
          <w:lang w:eastAsia="zh-CN"/>
        </w:rPr>
        <w:t>，</w:t>
      </w:r>
      <w:r>
        <w:rPr>
          <w:spacing w:val="12"/>
          <w:lang w:eastAsia="zh-CN"/>
        </w:rPr>
        <w:t>且</w:t>
      </w:r>
      <w:r>
        <w:rPr>
          <w:spacing w:val="14"/>
          <w:lang w:eastAsia="zh-CN"/>
        </w:rPr>
        <w:t>本</w:t>
      </w:r>
      <w:r>
        <w:rPr>
          <w:spacing w:val="12"/>
          <w:lang w:eastAsia="zh-CN"/>
        </w:rPr>
        <w:t>单位</w:t>
      </w:r>
      <w:r>
        <w:rPr>
          <w:spacing w:val="14"/>
          <w:lang w:eastAsia="zh-CN"/>
        </w:rPr>
        <w:t>参</w:t>
      </w:r>
      <w:r>
        <w:rPr>
          <w:spacing w:val="11"/>
          <w:lang w:eastAsia="zh-CN"/>
        </w:rPr>
        <w:t>加</w:t>
      </w:r>
      <w:r>
        <w:rPr>
          <w:spacing w:val="11"/>
          <w:u w:val="single"/>
          <w:lang w:eastAsia="zh-CN"/>
        </w:rPr>
        <w:t xml:space="preserve">                  </w:t>
      </w:r>
      <w:r>
        <w:rPr>
          <w:spacing w:val="12"/>
          <w:lang w:eastAsia="zh-CN"/>
        </w:rPr>
        <w:t>单</w:t>
      </w:r>
      <w:r>
        <w:rPr>
          <w:spacing w:val="14"/>
          <w:lang w:eastAsia="zh-CN"/>
        </w:rPr>
        <w:t>位</w:t>
      </w:r>
      <w:r>
        <w:rPr>
          <w:spacing w:val="11"/>
          <w:lang w:eastAsia="zh-CN"/>
        </w:rPr>
        <w:t>的</w:t>
      </w:r>
      <w:r>
        <w:rPr>
          <w:spacing w:val="11"/>
          <w:u w:val="single"/>
          <w:lang w:eastAsia="zh-CN"/>
        </w:rPr>
        <w:t xml:space="preserve"> </w:t>
      </w:r>
      <w:r>
        <w:rPr>
          <w:spacing w:val="11"/>
          <w:u w:val="single"/>
          <w:lang w:eastAsia="zh-CN"/>
        </w:rPr>
        <w:tab/>
      </w:r>
      <w:r>
        <w:rPr>
          <w:spacing w:val="12"/>
          <w:lang w:eastAsia="zh-CN"/>
        </w:rPr>
        <w:t>项</w:t>
      </w:r>
      <w:r>
        <w:rPr>
          <w:spacing w:val="14"/>
          <w:lang w:eastAsia="zh-CN"/>
        </w:rPr>
        <w:t>目</w:t>
      </w:r>
      <w:r>
        <w:rPr>
          <w:spacing w:val="-16"/>
          <w:lang w:eastAsia="zh-CN"/>
        </w:rPr>
        <w:t>采</w:t>
      </w:r>
      <w:r>
        <w:rPr>
          <w:spacing w:val="16"/>
          <w:lang w:eastAsia="zh-CN"/>
        </w:rPr>
        <w:t>购</w:t>
      </w:r>
      <w:r>
        <w:rPr>
          <w:spacing w:val="14"/>
          <w:lang w:eastAsia="zh-CN"/>
        </w:rPr>
        <w:t>活</w:t>
      </w:r>
      <w:r>
        <w:rPr>
          <w:spacing w:val="16"/>
          <w:lang w:eastAsia="zh-CN"/>
        </w:rPr>
        <w:t>动</w:t>
      </w:r>
      <w:r>
        <w:rPr>
          <w:spacing w:val="14"/>
          <w:lang w:eastAsia="zh-CN"/>
        </w:rPr>
        <w:t>提</w:t>
      </w:r>
      <w:r>
        <w:rPr>
          <w:spacing w:val="16"/>
          <w:lang w:eastAsia="zh-CN"/>
        </w:rPr>
        <w:t>供</w:t>
      </w:r>
      <w:r>
        <w:rPr>
          <w:spacing w:val="14"/>
          <w:lang w:eastAsia="zh-CN"/>
        </w:rPr>
        <w:t>本</w:t>
      </w:r>
      <w:r>
        <w:rPr>
          <w:spacing w:val="16"/>
          <w:lang w:eastAsia="zh-CN"/>
        </w:rPr>
        <w:t>单</w:t>
      </w:r>
      <w:r>
        <w:rPr>
          <w:spacing w:val="14"/>
          <w:lang w:eastAsia="zh-CN"/>
        </w:rPr>
        <w:t>位</w:t>
      </w:r>
      <w:r>
        <w:rPr>
          <w:spacing w:val="16"/>
          <w:lang w:eastAsia="zh-CN"/>
        </w:rPr>
        <w:t>制</w:t>
      </w:r>
      <w:r>
        <w:rPr>
          <w:spacing w:val="14"/>
          <w:lang w:eastAsia="zh-CN"/>
        </w:rPr>
        <w:t>造</w:t>
      </w:r>
      <w:r>
        <w:rPr>
          <w:spacing w:val="16"/>
          <w:lang w:eastAsia="zh-CN"/>
        </w:rPr>
        <w:t>的</w:t>
      </w:r>
      <w:r>
        <w:rPr>
          <w:spacing w:val="14"/>
          <w:lang w:eastAsia="zh-CN"/>
        </w:rPr>
        <w:t>货</w:t>
      </w:r>
      <w:r>
        <w:rPr>
          <w:spacing w:val="16"/>
          <w:lang w:eastAsia="zh-CN"/>
        </w:rPr>
        <w:t>物</w:t>
      </w:r>
      <w:r>
        <w:rPr>
          <w:spacing w:val="14"/>
          <w:lang w:eastAsia="zh-CN"/>
        </w:rPr>
        <w:t>（</w:t>
      </w:r>
      <w:r>
        <w:rPr>
          <w:spacing w:val="16"/>
          <w:lang w:eastAsia="zh-CN"/>
        </w:rPr>
        <w:t>由</w:t>
      </w:r>
      <w:r>
        <w:rPr>
          <w:spacing w:val="14"/>
          <w:lang w:eastAsia="zh-CN"/>
        </w:rPr>
        <w:t>本</w:t>
      </w:r>
      <w:r>
        <w:rPr>
          <w:spacing w:val="16"/>
          <w:lang w:eastAsia="zh-CN"/>
        </w:rPr>
        <w:t>单</w:t>
      </w:r>
      <w:r>
        <w:rPr>
          <w:spacing w:val="14"/>
          <w:lang w:eastAsia="zh-CN"/>
        </w:rPr>
        <w:t>位</w:t>
      </w:r>
      <w:r>
        <w:rPr>
          <w:spacing w:val="16"/>
          <w:lang w:eastAsia="zh-CN"/>
        </w:rPr>
        <w:t>承</w:t>
      </w:r>
      <w:r>
        <w:rPr>
          <w:spacing w:val="14"/>
          <w:lang w:eastAsia="zh-CN"/>
        </w:rPr>
        <w:t>担</w:t>
      </w:r>
      <w:r>
        <w:rPr>
          <w:spacing w:val="16"/>
          <w:lang w:eastAsia="zh-CN"/>
        </w:rPr>
        <w:t>工</w:t>
      </w:r>
      <w:r>
        <w:rPr>
          <w:spacing w:val="14"/>
          <w:lang w:eastAsia="zh-CN"/>
        </w:rPr>
        <w:t>程</w:t>
      </w:r>
      <w:r>
        <w:rPr>
          <w:spacing w:val="9"/>
          <w:lang w:eastAsia="zh-CN"/>
        </w:rPr>
        <w:t>/</w:t>
      </w:r>
      <w:r>
        <w:rPr>
          <w:spacing w:val="16"/>
          <w:lang w:eastAsia="zh-CN"/>
        </w:rPr>
        <w:t>提</w:t>
      </w:r>
      <w:r>
        <w:rPr>
          <w:spacing w:val="14"/>
          <w:lang w:eastAsia="zh-CN"/>
        </w:rPr>
        <w:t>供</w:t>
      </w:r>
      <w:r>
        <w:rPr>
          <w:spacing w:val="16"/>
          <w:lang w:eastAsia="zh-CN"/>
        </w:rPr>
        <w:t>服</w:t>
      </w:r>
      <w:r>
        <w:rPr>
          <w:spacing w:val="14"/>
          <w:lang w:eastAsia="zh-CN"/>
        </w:rPr>
        <w:t>务</w:t>
      </w:r>
      <w:r>
        <w:rPr>
          <w:spacing w:val="15"/>
          <w:lang w:eastAsia="zh-CN"/>
        </w:rPr>
        <w:t>），</w:t>
      </w:r>
      <w:r>
        <w:rPr>
          <w:spacing w:val="16"/>
          <w:lang w:eastAsia="zh-CN"/>
        </w:rPr>
        <w:t>或</w:t>
      </w:r>
      <w:r>
        <w:rPr>
          <w:spacing w:val="14"/>
          <w:lang w:eastAsia="zh-CN"/>
        </w:rPr>
        <w:t>者</w:t>
      </w:r>
      <w:r>
        <w:rPr>
          <w:spacing w:val="16"/>
          <w:lang w:eastAsia="zh-CN"/>
        </w:rPr>
        <w:t>提</w:t>
      </w:r>
      <w:r>
        <w:rPr>
          <w:lang w:eastAsia="zh-CN"/>
        </w:rPr>
        <w:t>供</w:t>
      </w:r>
      <w:r>
        <w:rPr>
          <w:spacing w:val="12"/>
          <w:lang w:eastAsia="zh-CN"/>
        </w:rPr>
        <w:t>其他残疾人福利性单位制造的货</w:t>
      </w:r>
      <w:r>
        <w:rPr>
          <w:lang w:eastAsia="zh-CN"/>
        </w:rPr>
        <w:t>物</w:t>
      </w:r>
      <w:r>
        <w:rPr>
          <w:spacing w:val="12"/>
          <w:lang w:eastAsia="zh-CN"/>
        </w:rPr>
        <w:t>（不包括使用非残疾人福利性单位注册</w:t>
      </w:r>
      <w:r>
        <w:rPr>
          <w:spacing w:val="-17"/>
          <w:lang w:eastAsia="zh-CN"/>
        </w:rPr>
        <w:t>商</w:t>
      </w:r>
      <w:r>
        <w:rPr>
          <w:spacing w:val="12"/>
          <w:lang w:eastAsia="zh-CN"/>
        </w:rPr>
        <w:t>标的货物）</w:t>
      </w:r>
      <w:r>
        <w:rPr>
          <w:lang w:eastAsia="zh-CN"/>
        </w:rPr>
        <w:t>。</w:t>
      </w:r>
    </w:p>
    <w:p>
      <w:pPr>
        <w:pStyle w:val="6"/>
        <w:spacing w:line="360" w:lineRule="auto"/>
        <w:ind w:left="0" w:firstLine="444" w:firstLineChars="200"/>
        <w:rPr>
          <w:lang w:eastAsia="zh-CN"/>
        </w:rPr>
      </w:pPr>
      <w:r>
        <w:rPr>
          <w:spacing w:val="11"/>
          <w:lang w:eastAsia="zh-CN"/>
        </w:rPr>
        <w:t>本单位对上述声明的真实性负责。如有虚假，将依法承担相应责任。</w:t>
      </w:r>
    </w:p>
    <w:p>
      <w:pPr>
        <w:pStyle w:val="6"/>
        <w:spacing w:line="360" w:lineRule="auto"/>
        <w:ind w:left="0" w:firstLine="400" w:firstLineChars="200"/>
        <w:rPr>
          <w:lang w:eastAsia="zh-CN"/>
        </w:rPr>
      </w:pPr>
    </w:p>
    <w:p>
      <w:pPr>
        <w:pStyle w:val="6"/>
        <w:tabs>
          <w:tab w:val="left" w:pos="7951"/>
          <w:tab w:val="left" w:pos="8010"/>
          <w:tab w:val="left" w:pos="8791"/>
        </w:tabs>
        <w:spacing w:line="480" w:lineRule="auto"/>
        <w:ind w:left="0" w:firstLine="4600" w:firstLineChars="2300"/>
        <w:rPr>
          <w:spacing w:val="-16"/>
          <w:lang w:eastAsia="zh-CN"/>
        </w:rPr>
      </w:pPr>
      <w:r>
        <w:rPr>
          <w:lang w:eastAsia="zh-CN"/>
        </w:rPr>
        <w:t>企业</w:t>
      </w:r>
      <w:r>
        <w:rPr>
          <w:rFonts w:hint="eastAsia"/>
          <w:lang w:val="en-US" w:eastAsia="zh-CN"/>
        </w:rPr>
        <w:t>名称</w:t>
      </w:r>
      <w:r>
        <w:rPr>
          <w:lang w:eastAsia="zh-CN"/>
        </w:rPr>
        <w:t>：</w:t>
      </w:r>
      <w:r>
        <w:rPr>
          <w:u w:val="single"/>
          <w:lang w:eastAsia="zh-CN"/>
        </w:rPr>
        <w:t xml:space="preserve"> </w:t>
      </w:r>
      <w:r>
        <w:rPr>
          <w:u w:val="single"/>
          <w:lang w:eastAsia="zh-CN"/>
        </w:rPr>
        <w:tab/>
      </w:r>
      <w:r>
        <w:rPr>
          <w:lang w:eastAsia="zh-CN"/>
        </w:rPr>
        <w:t>(</w:t>
      </w:r>
      <w:r>
        <w:rPr>
          <w:rFonts w:hint="eastAsia"/>
          <w:lang w:val="en-US" w:eastAsia="zh-CN"/>
        </w:rPr>
        <w:t>电子签</w:t>
      </w:r>
      <w:r>
        <w:rPr>
          <w:lang w:eastAsia="zh-CN"/>
        </w:rPr>
        <w:t>章</w:t>
      </w:r>
      <w:r>
        <w:rPr>
          <w:spacing w:val="-16"/>
          <w:lang w:eastAsia="zh-CN"/>
        </w:rPr>
        <w:t xml:space="preserve">) </w:t>
      </w:r>
    </w:p>
    <w:p>
      <w:pPr>
        <w:pStyle w:val="6"/>
        <w:tabs>
          <w:tab w:val="left" w:pos="7051"/>
          <w:tab w:val="left" w:pos="7744"/>
          <w:tab w:val="left" w:pos="7951"/>
          <w:tab w:val="left" w:pos="8791"/>
        </w:tabs>
        <w:spacing w:line="480" w:lineRule="auto"/>
        <w:ind w:left="0" w:firstLine="4600" w:firstLineChars="2300"/>
        <w:rPr>
          <w:lang w:eastAsia="zh-CN"/>
        </w:rPr>
      </w:pPr>
      <w:r>
        <w:rPr>
          <w:lang w:eastAsia="zh-CN"/>
        </w:rPr>
        <w:t>日期：</w:t>
      </w:r>
      <w:r>
        <w:rPr>
          <w:u w:val="single"/>
          <w:lang w:eastAsia="zh-CN"/>
        </w:rPr>
        <w:t xml:space="preserve"> </w:t>
      </w:r>
      <w:r>
        <w:rPr>
          <w:u w:val="single"/>
          <w:lang w:eastAsia="zh-CN"/>
        </w:rPr>
        <w:tab/>
      </w:r>
      <w:r>
        <w:rPr>
          <w:lang w:eastAsia="zh-CN"/>
        </w:rPr>
        <w:t>年</w:t>
      </w:r>
      <w:r>
        <w:rPr>
          <w:u w:val="single"/>
          <w:lang w:eastAsia="zh-CN"/>
        </w:rPr>
        <w:t xml:space="preserve"> </w:t>
      </w:r>
      <w:r>
        <w:rPr>
          <w:u w:val="single"/>
          <w:lang w:eastAsia="zh-CN"/>
        </w:rPr>
        <w:tab/>
      </w:r>
      <w:r>
        <w:rPr>
          <w:u w:val="single"/>
          <w:lang w:eastAsia="zh-CN"/>
        </w:rPr>
        <w:tab/>
      </w:r>
      <w:r>
        <w:rPr>
          <w:lang w:eastAsia="zh-CN"/>
        </w:rPr>
        <w:t>月</w:t>
      </w:r>
      <w:r>
        <w:rPr>
          <w:u w:val="single"/>
          <w:lang w:eastAsia="zh-CN"/>
        </w:rPr>
        <w:t xml:space="preserve"> </w:t>
      </w:r>
      <w:r>
        <w:rPr>
          <w:u w:val="single"/>
          <w:lang w:eastAsia="zh-CN"/>
        </w:rPr>
        <w:tab/>
      </w:r>
      <w:r>
        <w:rPr>
          <w:lang w:eastAsia="zh-CN"/>
        </w:rPr>
        <w:t>日</w:t>
      </w:r>
    </w:p>
    <w:p>
      <w:pPr>
        <w:pStyle w:val="6"/>
        <w:spacing w:line="360" w:lineRule="auto"/>
        <w:ind w:left="0" w:firstLine="720" w:firstLineChars="200"/>
        <w:rPr>
          <w:sz w:val="36"/>
          <w:lang w:eastAsia="zh-CN"/>
        </w:rPr>
      </w:pPr>
    </w:p>
    <w:p>
      <w:pPr>
        <w:pStyle w:val="4"/>
        <w:spacing w:line="360" w:lineRule="auto"/>
        <w:ind w:left="0" w:firstLine="458" w:firstLineChars="200"/>
        <w:rPr>
          <w:lang w:eastAsia="zh-CN"/>
        </w:rPr>
      </w:pPr>
      <w:r>
        <w:rPr>
          <w:w w:val="95"/>
          <w:lang w:eastAsia="zh-CN"/>
        </w:rPr>
        <w:t xml:space="preserve">（提醒：如果供应商不是残疾人福利性单位，则不需要提供《残疾人福利  </w:t>
      </w:r>
      <w:r>
        <w:rPr>
          <w:lang w:eastAsia="zh-CN"/>
        </w:rPr>
        <w:t>性单位声明函》。否则，因此导致虚假投标的后果由供应商自行承担。）</w:t>
      </w:r>
    </w:p>
    <w:p>
      <w:pPr>
        <w:pStyle w:val="6"/>
        <w:spacing w:line="360" w:lineRule="auto"/>
        <w:ind w:left="0" w:firstLine="402" w:firstLineChars="200"/>
        <w:rPr>
          <w:b/>
          <w:lang w:eastAsia="zh-CN"/>
        </w:rPr>
      </w:pPr>
    </w:p>
    <w:p>
      <w:pPr>
        <w:pStyle w:val="6"/>
        <w:spacing w:line="360" w:lineRule="auto"/>
        <w:ind w:left="0" w:firstLine="400" w:firstLineChars="200"/>
        <w:rPr>
          <w:lang w:eastAsia="zh-CN"/>
        </w:rPr>
      </w:pPr>
      <w:r>
        <w:rPr>
          <w:lang w:eastAsia="zh-CN"/>
        </w:rPr>
        <w:t>《财政部民政部中国残疾人联合会关于促进残疾人就业政府采购政策的通知》（财库 2017〔141〕号）的规定：</w:t>
      </w:r>
    </w:p>
    <w:p>
      <w:pPr>
        <w:pStyle w:val="44"/>
        <w:tabs>
          <w:tab w:val="left" w:pos="1820"/>
        </w:tabs>
        <w:spacing w:line="360" w:lineRule="auto"/>
        <w:ind w:left="0" w:firstLine="480" w:firstLineChars="200"/>
        <w:jc w:val="both"/>
        <w:rPr>
          <w:sz w:val="24"/>
          <w:lang w:eastAsia="zh-CN"/>
        </w:rPr>
      </w:pPr>
      <w:r>
        <w:rPr>
          <w:rFonts w:hint="eastAsia"/>
          <w:sz w:val="24"/>
          <w:lang w:eastAsia="zh-CN"/>
        </w:rPr>
        <w:t>1</w:t>
      </w:r>
      <w:r>
        <w:rPr>
          <w:sz w:val="24"/>
          <w:lang w:eastAsia="zh-CN"/>
        </w:rPr>
        <w:t>.享受政府采购支持政策的残疾人福利性单位应当同时满足以下条件：</w:t>
      </w:r>
    </w:p>
    <w:p>
      <w:pPr>
        <w:pStyle w:val="44"/>
        <w:tabs>
          <w:tab w:val="left" w:pos="1581"/>
        </w:tabs>
        <w:spacing w:line="360" w:lineRule="auto"/>
        <w:ind w:left="474" w:firstLine="0"/>
        <w:jc w:val="both"/>
        <w:rPr>
          <w:spacing w:val="-9"/>
          <w:sz w:val="24"/>
          <w:lang w:eastAsia="zh-CN"/>
        </w:rPr>
      </w:pPr>
      <w:r>
        <w:rPr>
          <w:rFonts w:hint="eastAsia"/>
          <w:sz w:val="24"/>
          <w:lang w:eastAsia="zh-CN"/>
        </w:rPr>
        <w:t>（1）</w:t>
      </w:r>
      <w:r>
        <w:rPr>
          <w:spacing w:val="-3"/>
          <w:sz w:val="24"/>
          <w:lang w:eastAsia="zh-CN"/>
        </w:rPr>
        <w:t xml:space="preserve">安置的残疾人占本单位在职职工人数的比例不低于 </w:t>
      </w:r>
      <w:r>
        <w:rPr>
          <w:spacing w:val="-6"/>
          <w:sz w:val="24"/>
          <w:lang w:eastAsia="zh-CN"/>
        </w:rPr>
        <w:t>25%（</w:t>
      </w:r>
      <w:r>
        <w:rPr>
          <w:spacing w:val="-29"/>
          <w:sz w:val="24"/>
          <w:lang w:eastAsia="zh-CN"/>
        </w:rPr>
        <w:t xml:space="preserve">含 </w:t>
      </w:r>
      <w:r>
        <w:rPr>
          <w:spacing w:val="-10"/>
          <w:sz w:val="24"/>
          <w:lang w:eastAsia="zh-CN"/>
        </w:rPr>
        <w:t>25%）</w:t>
      </w:r>
      <w:r>
        <w:rPr>
          <w:spacing w:val="-4"/>
          <w:sz w:val="24"/>
          <w:lang w:eastAsia="zh-CN"/>
        </w:rPr>
        <w:t>，并且</w:t>
      </w:r>
      <w:r>
        <w:rPr>
          <w:spacing w:val="-9"/>
          <w:sz w:val="24"/>
          <w:lang w:eastAsia="zh-CN"/>
        </w:rPr>
        <w:t>安置的残疾</w:t>
      </w:r>
    </w:p>
    <w:p>
      <w:pPr>
        <w:tabs>
          <w:tab w:val="left" w:pos="1581"/>
        </w:tabs>
        <w:spacing w:line="360" w:lineRule="auto"/>
        <w:jc w:val="both"/>
        <w:rPr>
          <w:spacing w:val="-9"/>
          <w:sz w:val="24"/>
          <w:lang w:eastAsia="zh-CN"/>
        </w:rPr>
      </w:pPr>
      <w:r>
        <w:rPr>
          <w:spacing w:val="-9"/>
          <w:sz w:val="24"/>
          <w:lang w:eastAsia="zh-CN"/>
        </w:rPr>
        <w:t xml:space="preserve">人人数不少于 </w:t>
      </w:r>
      <w:r>
        <w:rPr>
          <w:sz w:val="24"/>
          <w:lang w:eastAsia="zh-CN"/>
        </w:rPr>
        <w:t>10</w:t>
      </w:r>
      <w:r>
        <w:rPr>
          <w:spacing w:val="-30"/>
          <w:sz w:val="24"/>
          <w:lang w:eastAsia="zh-CN"/>
        </w:rPr>
        <w:t xml:space="preserve"> 人</w:t>
      </w:r>
      <w:r>
        <w:rPr>
          <w:sz w:val="24"/>
          <w:lang w:eastAsia="zh-CN"/>
        </w:rPr>
        <w:t>（</w:t>
      </w:r>
      <w:r>
        <w:rPr>
          <w:spacing w:val="-30"/>
          <w:sz w:val="24"/>
          <w:lang w:eastAsia="zh-CN"/>
        </w:rPr>
        <w:t xml:space="preserve">含 </w:t>
      </w:r>
      <w:r>
        <w:rPr>
          <w:sz w:val="24"/>
          <w:lang w:eastAsia="zh-CN"/>
        </w:rPr>
        <w:t>10</w:t>
      </w:r>
      <w:r>
        <w:rPr>
          <w:spacing w:val="-30"/>
          <w:sz w:val="24"/>
          <w:lang w:eastAsia="zh-CN"/>
        </w:rPr>
        <w:t xml:space="preserve"> 人</w:t>
      </w:r>
      <w:r>
        <w:rPr>
          <w:sz w:val="24"/>
          <w:lang w:eastAsia="zh-CN"/>
        </w:rPr>
        <w:t>）；</w:t>
      </w:r>
    </w:p>
    <w:p>
      <w:pPr>
        <w:pStyle w:val="44"/>
        <w:tabs>
          <w:tab w:val="left" w:pos="1581"/>
        </w:tabs>
        <w:spacing w:line="360" w:lineRule="auto"/>
        <w:ind w:left="480" w:firstLine="0"/>
        <w:jc w:val="both"/>
        <w:rPr>
          <w:sz w:val="24"/>
          <w:lang w:eastAsia="zh-CN"/>
        </w:rPr>
      </w:pPr>
      <w:r>
        <w:rPr>
          <w:rFonts w:hint="eastAsia"/>
          <w:sz w:val="24"/>
          <w:lang w:eastAsia="zh-CN"/>
        </w:rPr>
        <w:t>（</w:t>
      </w:r>
      <w:r>
        <w:rPr>
          <w:sz w:val="24"/>
          <w:lang w:eastAsia="zh-CN"/>
        </w:rPr>
        <w:t>2</w:t>
      </w:r>
      <w:r>
        <w:rPr>
          <w:rFonts w:hint="eastAsia"/>
          <w:sz w:val="24"/>
          <w:lang w:eastAsia="zh-CN"/>
        </w:rPr>
        <w:t>）</w:t>
      </w:r>
      <w:r>
        <w:rPr>
          <w:sz w:val="24"/>
          <w:lang w:eastAsia="zh-CN"/>
        </w:rPr>
        <w:t>依法与安置的每位残疾人签订了一年以上（含一年）</w:t>
      </w:r>
      <w:r>
        <w:rPr>
          <w:spacing w:val="-2"/>
          <w:sz w:val="24"/>
          <w:lang w:eastAsia="zh-CN"/>
        </w:rPr>
        <w:t>的劳动合同或服务协</w:t>
      </w:r>
      <w:r>
        <w:rPr>
          <w:sz w:val="24"/>
          <w:lang w:eastAsia="zh-CN"/>
        </w:rPr>
        <w:t>议；</w:t>
      </w:r>
    </w:p>
    <w:p>
      <w:pPr>
        <w:pStyle w:val="44"/>
        <w:tabs>
          <w:tab w:val="left" w:pos="1581"/>
        </w:tabs>
        <w:spacing w:line="360" w:lineRule="auto"/>
        <w:ind w:left="478" w:firstLine="0"/>
        <w:jc w:val="both"/>
        <w:rPr>
          <w:sz w:val="24"/>
          <w:lang w:eastAsia="zh-CN"/>
        </w:rPr>
      </w:pPr>
      <w:r>
        <w:rPr>
          <w:rFonts w:hint="eastAsia"/>
          <w:spacing w:val="-1"/>
          <w:sz w:val="24"/>
          <w:lang w:eastAsia="zh-CN"/>
        </w:rPr>
        <w:t>（</w:t>
      </w:r>
      <w:r>
        <w:rPr>
          <w:spacing w:val="-1"/>
          <w:sz w:val="24"/>
          <w:lang w:eastAsia="zh-CN"/>
        </w:rPr>
        <w:t>3</w:t>
      </w:r>
      <w:r>
        <w:rPr>
          <w:rFonts w:hint="eastAsia"/>
          <w:spacing w:val="-1"/>
          <w:sz w:val="24"/>
          <w:lang w:eastAsia="zh-CN"/>
        </w:rPr>
        <w:t>）</w:t>
      </w:r>
      <w:r>
        <w:rPr>
          <w:spacing w:val="-1"/>
          <w:sz w:val="24"/>
          <w:lang w:eastAsia="zh-CN"/>
        </w:rPr>
        <w:t>为安置的每位残疾人按月足额缴纳了基本养老保险、基本医疗保险、失业</w:t>
      </w:r>
      <w:r>
        <w:rPr>
          <w:sz w:val="24"/>
          <w:lang w:eastAsia="zh-CN"/>
        </w:rPr>
        <w:t>保险、工</w:t>
      </w:r>
    </w:p>
    <w:p>
      <w:pPr>
        <w:tabs>
          <w:tab w:val="left" w:pos="1581"/>
        </w:tabs>
        <w:spacing w:line="360" w:lineRule="auto"/>
        <w:jc w:val="both"/>
        <w:rPr>
          <w:sz w:val="24"/>
          <w:lang w:eastAsia="zh-CN"/>
        </w:rPr>
      </w:pPr>
      <w:r>
        <w:rPr>
          <w:sz w:val="24"/>
          <w:lang w:eastAsia="zh-CN"/>
        </w:rPr>
        <w:t>伤保险和生育保险等社会保险费；</w:t>
      </w:r>
    </w:p>
    <w:p>
      <w:pPr>
        <w:pStyle w:val="44"/>
        <w:tabs>
          <w:tab w:val="left" w:pos="1581"/>
        </w:tabs>
        <w:spacing w:line="364" w:lineRule="auto"/>
        <w:ind w:left="0" w:firstLine="480" w:firstLineChars="200"/>
        <w:jc w:val="both"/>
        <w:rPr>
          <w:lang w:eastAsia="zh-CN"/>
        </w:rPr>
      </w:pPr>
      <w:r>
        <w:rPr>
          <w:rFonts w:hint="eastAsia"/>
          <w:sz w:val="24"/>
          <w:lang w:eastAsia="zh-CN"/>
        </w:rPr>
        <w:t>（</w:t>
      </w:r>
      <w:r>
        <w:rPr>
          <w:sz w:val="24"/>
          <w:lang w:eastAsia="zh-CN"/>
        </w:rPr>
        <w:t>4</w:t>
      </w:r>
      <w:r>
        <w:rPr>
          <w:rFonts w:hint="eastAsia"/>
          <w:sz w:val="24"/>
          <w:lang w:eastAsia="zh-CN"/>
        </w:rPr>
        <w:t>）</w:t>
      </w:r>
      <w:r>
        <w:rPr>
          <w:sz w:val="24"/>
          <w:lang w:eastAsia="zh-CN"/>
        </w:rPr>
        <w:t>通过银行等金融机构向安置的每位残疾人，按月支付了不低于单位所在区</w:t>
      </w:r>
      <w:r>
        <w:rPr>
          <w:lang w:eastAsia="zh-CN"/>
        </w:rPr>
        <w:t>县适用的经省级人民政府批准的月最低工资标准的工资；</w:t>
      </w:r>
    </w:p>
    <w:p>
      <w:pPr>
        <w:pStyle w:val="44"/>
        <w:tabs>
          <w:tab w:val="left" w:pos="1581"/>
        </w:tabs>
        <w:spacing w:line="364" w:lineRule="auto"/>
        <w:ind w:left="0" w:firstLine="420" w:firstLineChars="200"/>
        <w:jc w:val="both"/>
        <w:rPr>
          <w:sz w:val="24"/>
          <w:lang w:eastAsia="zh-CN"/>
        </w:rPr>
      </w:pPr>
      <w:r>
        <w:rPr>
          <w:rFonts w:hint="eastAsia"/>
          <w:lang w:eastAsia="zh-CN"/>
        </w:rPr>
        <w:t>（5）</w:t>
      </w:r>
      <w:r>
        <w:rPr>
          <w:sz w:val="24"/>
          <w:lang w:eastAsia="zh-CN"/>
        </w:rPr>
        <w:t>提供本单位制造的货物、承担的工程或者服务（以下简称产品）</w:t>
      </w:r>
      <w:r>
        <w:rPr>
          <w:spacing w:val="-3"/>
          <w:sz w:val="24"/>
          <w:lang w:eastAsia="zh-CN"/>
        </w:rPr>
        <w:t>，或者提</w:t>
      </w:r>
      <w:r>
        <w:rPr>
          <w:spacing w:val="-6"/>
          <w:sz w:val="24"/>
          <w:lang w:eastAsia="zh-CN"/>
        </w:rPr>
        <w:t>供其他残疾人福利性单位制造的货物</w:t>
      </w:r>
      <w:r>
        <w:rPr>
          <w:sz w:val="24"/>
          <w:lang w:eastAsia="zh-CN"/>
        </w:rPr>
        <w:t>（</w:t>
      </w:r>
      <w:r>
        <w:rPr>
          <w:spacing w:val="-1"/>
          <w:sz w:val="24"/>
          <w:lang w:eastAsia="zh-CN"/>
        </w:rPr>
        <w:t>不包括使用非残疾人福利性单位注册商标</w:t>
      </w:r>
      <w:r>
        <w:rPr>
          <w:sz w:val="24"/>
          <w:lang w:eastAsia="zh-CN"/>
        </w:rPr>
        <w:t>的货物）。</w:t>
      </w:r>
    </w:p>
    <w:p>
      <w:pPr>
        <w:pStyle w:val="6"/>
        <w:spacing w:line="360" w:lineRule="auto"/>
        <w:ind w:left="0" w:firstLine="400" w:firstLineChars="200"/>
        <w:jc w:val="both"/>
        <w:rPr>
          <w:lang w:eastAsia="zh-CN"/>
        </w:rPr>
      </w:pPr>
      <w:r>
        <w:rPr>
          <w:lang w:eastAsia="zh-CN"/>
        </w:rPr>
        <w:t>2.成交人为残疾人福利性单位的，采购人或者其委托的采购代理机构应当随成交、成交结果同时公告其《残疾人福利性单位声明函》，接受社会监督。</w:t>
      </w:r>
    </w:p>
    <w:p>
      <w:pPr>
        <w:rPr>
          <w:sz w:val="24"/>
          <w:lang w:eastAsia="zh-CN"/>
        </w:rPr>
      </w:pPr>
      <w:r>
        <w:rPr>
          <w:sz w:val="24"/>
          <w:lang w:eastAsia="zh-CN"/>
        </w:rPr>
        <w:br w:type="page"/>
      </w:r>
    </w:p>
    <w:p>
      <w:pPr>
        <w:widowControl/>
        <w:numPr>
          <w:ilvl w:val="0"/>
          <w:numId w:val="0"/>
        </w:numPr>
        <w:jc w:val="both"/>
        <w:rPr>
          <w:rFonts w:hint="eastAsia" w:ascii="宋体" w:hAnsi="宋体" w:eastAsia="宋体" w:cs="宋体"/>
          <w:b/>
          <w:color w:val="auto"/>
          <w:sz w:val="24"/>
        </w:rPr>
      </w:pPr>
    </w:p>
    <w:p>
      <w:pPr>
        <w:spacing w:line="417" w:lineRule="auto"/>
        <w:ind w:firstLine="562" w:firstLineChars="200"/>
        <w:jc w:val="center"/>
        <w:rPr>
          <w:rFonts w:ascii="Times New Roman" w:hAnsi="Times New Roman" w:eastAsia="宋体" w:cs="Times New Roman"/>
          <w:b/>
          <w:sz w:val="28"/>
          <w:lang w:eastAsia="zh-CN"/>
        </w:rPr>
      </w:pPr>
      <w:r>
        <w:rPr>
          <w:rFonts w:hint="eastAsia" w:ascii="Times New Roman" w:hAnsi="Times New Roman" w:eastAsia="宋体" w:cs="Times New Roman"/>
          <w:b/>
          <w:sz w:val="28"/>
          <w:lang w:val="en-US" w:eastAsia="zh-CN"/>
        </w:rPr>
        <w:t>九、</w:t>
      </w:r>
      <w:r>
        <w:rPr>
          <w:rFonts w:ascii="Times New Roman" w:hAnsi="Times New Roman" w:eastAsia="宋体" w:cs="Times New Roman"/>
          <w:b/>
          <w:sz w:val="28"/>
          <w:lang w:eastAsia="zh-CN"/>
        </w:rPr>
        <w:t>监狱企业证明文件</w:t>
      </w:r>
    </w:p>
    <w:p>
      <w:pPr>
        <w:spacing w:before="143" w:line="218" w:lineRule="auto"/>
        <w:ind w:left="1699"/>
        <w:rPr>
          <w:rFonts w:ascii="仿宋" w:hAnsi="仿宋" w:eastAsia="仿宋" w:cs="仿宋"/>
          <w:sz w:val="24"/>
          <w:szCs w:val="24"/>
        </w:rPr>
      </w:pPr>
      <w:r>
        <w:rPr>
          <w:rFonts w:ascii="仿宋" w:hAnsi="仿宋" w:eastAsia="仿宋" w:cs="仿宋"/>
          <w:b/>
          <w:bCs/>
          <w:spacing w:val="-3"/>
          <w:sz w:val="24"/>
          <w:szCs w:val="24"/>
        </w:rPr>
        <w:t>（属于监狱企业的提供，不属于的无需提供此项内容）</w:t>
      </w:r>
    </w:p>
    <w:p>
      <w:pPr>
        <w:pStyle w:val="6"/>
        <w:spacing w:line="336" w:lineRule="auto"/>
      </w:pPr>
    </w:p>
    <w:p>
      <w:pPr>
        <w:pStyle w:val="6"/>
        <w:spacing w:line="336" w:lineRule="auto"/>
      </w:pPr>
    </w:p>
    <w:p>
      <w:pPr>
        <w:spacing w:before="78" w:line="369" w:lineRule="auto"/>
        <w:ind w:firstLine="480"/>
        <w:rPr>
          <w:rFonts w:ascii="仿宋" w:hAnsi="仿宋" w:eastAsia="仿宋" w:cs="仿宋"/>
          <w:sz w:val="24"/>
          <w:szCs w:val="24"/>
        </w:rPr>
      </w:pPr>
      <w:r>
        <w:rPr>
          <w:rFonts w:ascii="仿宋" w:hAnsi="仿宋" w:eastAsia="仿宋" w:cs="仿宋"/>
          <w:spacing w:val="-2"/>
          <w:sz w:val="24"/>
          <w:szCs w:val="24"/>
        </w:rPr>
        <w:t>（监狱企业参加政府采购活动时，应当提供由省级以上监狱管理局、戒毒管理局(含</w:t>
      </w:r>
      <w:r>
        <w:rPr>
          <w:rFonts w:ascii="仿宋" w:hAnsi="仿宋" w:eastAsia="仿宋" w:cs="仿宋"/>
          <w:spacing w:val="1"/>
          <w:sz w:val="24"/>
          <w:szCs w:val="24"/>
        </w:rPr>
        <w:t xml:space="preserve"> </w:t>
      </w:r>
      <w:r>
        <w:rPr>
          <w:rFonts w:ascii="仿宋" w:hAnsi="仿宋" w:eastAsia="仿宋" w:cs="仿宋"/>
          <w:spacing w:val="-2"/>
          <w:sz w:val="24"/>
          <w:szCs w:val="24"/>
        </w:rPr>
        <w:t>新疆生产建设兵团)出具的属于监狱企业的证明文件。</w:t>
      </w:r>
    </w:p>
    <w:p>
      <w:pPr>
        <w:pStyle w:val="6"/>
        <w:spacing w:line="396" w:lineRule="auto"/>
      </w:pPr>
    </w:p>
    <w:p>
      <w:pPr>
        <w:spacing w:before="79" w:line="215" w:lineRule="auto"/>
        <w:ind w:left="727"/>
        <w:rPr>
          <w:rFonts w:ascii="仿宋" w:hAnsi="仿宋" w:eastAsia="仿宋" w:cs="仿宋"/>
          <w:sz w:val="24"/>
          <w:szCs w:val="24"/>
        </w:rPr>
      </w:pPr>
      <w:r>
        <w:rPr>
          <w:rFonts w:ascii="仿宋" w:hAnsi="仿宋" w:eastAsia="仿宋" w:cs="仿宋"/>
          <w:spacing w:val="-4"/>
          <w:sz w:val="24"/>
          <w:szCs w:val="24"/>
        </w:rPr>
        <w:t>注：在磋商响应文件中附扫描件。</w:t>
      </w:r>
    </w:p>
    <w:p>
      <w:pPr>
        <w:spacing w:line="215" w:lineRule="auto"/>
        <w:rPr>
          <w:rFonts w:ascii="仿宋" w:hAnsi="仿宋" w:eastAsia="仿宋" w:cs="仿宋"/>
          <w:sz w:val="24"/>
          <w:szCs w:val="24"/>
        </w:rPr>
        <w:sectPr>
          <w:footerReference r:id="rId6" w:type="default"/>
          <w:pgSz w:w="11907" w:h="16839"/>
          <w:pgMar w:top="1431" w:right="1361" w:bottom="845" w:left="1376" w:header="0" w:footer="618" w:gutter="0"/>
          <w:pgNumType w:fmt="decimal"/>
          <w:cols w:space="720" w:num="1"/>
        </w:sectPr>
      </w:pPr>
    </w:p>
    <w:p>
      <w:pPr>
        <w:pStyle w:val="18"/>
        <w:numPr>
          <w:ilvl w:val="0"/>
          <w:numId w:val="5"/>
        </w:numPr>
        <w:ind w:firstLine="240"/>
        <w:jc w:val="center"/>
        <w:rPr>
          <w:rFonts w:hint="eastAsia" w:ascii="Times New Roman" w:hAnsi="Times New Roman" w:eastAsia="宋体" w:cs="Times New Roman"/>
          <w:b/>
          <w:kern w:val="2"/>
          <w:sz w:val="28"/>
          <w:szCs w:val="24"/>
          <w:lang w:val="en-US" w:eastAsia="zh-CN" w:bidi="ar-SA"/>
        </w:rPr>
      </w:pPr>
      <w:r>
        <w:rPr>
          <w:rFonts w:hint="eastAsia" w:ascii="Times New Roman" w:hAnsi="Times New Roman" w:eastAsia="宋体" w:cs="Times New Roman"/>
          <w:b/>
          <w:kern w:val="2"/>
          <w:sz w:val="28"/>
          <w:szCs w:val="24"/>
          <w:lang w:val="en-US" w:eastAsia="zh-CN" w:bidi="ar-SA"/>
        </w:rPr>
        <w:t>中小微企业声明函（工程、服务）</w:t>
      </w:r>
    </w:p>
    <w:p>
      <w:pPr>
        <w:pStyle w:val="19"/>
        <w:numPr>
          <w:ilvl w:val="0"/>
          <w:numId w:val="0"/>
        </w:numPr>
        <w:jc w:val="center"/>
        <w:rPr>
          <w:b/>
          <w:bCs/>
          <w:sz w:val="22"/>
          <w:szCs w:val="15"/>
          <w:lang w:val="en-US" w:eastAsia="zh-CN"/>
        </w:rPr>
      </w:pPr>
      <w:r>
        <w:rPr>
          <w:rFonts w:hint="eastAsia"/>
          <w:b/>
          <w:bCs/>
          <w:sz w:val="22"/>
          <w:szCs w:val="15"/>
          <w:lang w:val="en-US" w:eastAsia="zh-CN"/>
        </w:rPr>
        <w:t>（属于中小企业的填写，不属于的无需填写此项内容）</w:t>
      </w:r>
    </w:p>
    <w:p>
      <w:pPr>
        <w:pStyle w:val="18"/>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本公司（联合体）郑重声明，根据《政府采购促进中小企业发展管理办法》（财库（2020）46号）的规定，本公司（联合体）参加</w:t>
      </w:r>
      <w:r>
        <w:rPr>
          <w:rFonts w:hint="eastAsia" w:ascii="宋体" w:hAnsi="宋体" w:eastAsia="宋体"/>
          <w:color w:val="auto"/>
          <w:sz w:val="24"/>
          <w:szCs w:val="24"/>
          <w:u w:val="single"/>
        </w:rPr>
        <w:t>（单位名称）</w:t>
      </w:r>
      <w:r>
        <w:rPr>
          <w:rFonts w:hint="eastAsia" w:ascii="宋体" w:hAnsi="宋体" w:eastAsia="宋体"/>
          <w:color w:val="auto"/>
          <w:sz w:val="24"/>
          <w:szCs w:val="24"/>
        </w:rPr>
        <w:t>的</w:t>
      </w:r>
      <w:r>
        <w:rPr>
          <w:rFonts w:hint="eastAsia" w:ascii="宋体" w:hAnsi="宋体" w:eastAsia="宋体"/>
          <w:color w:val="auto"/>
          <w:sz w:val="24"/>
          <w:szCs w:val="24"/>
          <w:u w:val="single"/>
        </w:rPr>
        <w:t>（项目名称）</w:t>
      </w:r>
      <w:r>
        <w:rPr>
          <w:rFonts w:hint="eastAsia" w:ascii="宋体" w:hAnsi="宋体" w:eastAsia="宋体"/>
          <w:color w:val="auto"/>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18"/>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eastAsia="宋体"/>
          <w:color w:val="auto"/>
          <w:sz w:val="24"/>
          <w:szCs w:val="24"/>
          <w:u w:val="single"/>
        </w:rPr>
        <w:t>（标的名称）</w:t>
      </w:r>
      <w:r>
        <w:rPr>
          <w:rFonts w:hint="eastAsia" w:ascii="宋体" w:hAnsi="宋体" w:eastAsia="宋体"/>
          <w:color w:val="auto"/>
          <w:sz w:val="24"/>
          <w:szCs w:val="24"/>
        </w:rPr>
        <w:t>，属于</w:t>
      </w:r>
      <w:r>
        <w:rPr>
          <w:rFonts w:hint="eastAsia" w:ascii="宋体" w:hAnsi="宋体" w:eastAsia="宋体"/>
          <w:color w:val="auto"/>
          <w:sz w:val="24"/>
          <w:szCs w:val="24"/>
          <w:u w:val="single"/>
        </w:rPr>
        <w:t>（采购文件中明确的所属行业）</w:t>
      </w:r>
      <w:r>
        <w:rPr>
          <w:rFonts w:hint="eastAsia" w:ascii="宋体" w:hAnsi="宋体" w:eastAsia="宋体"/>
          <w:color w:val="auto"/>
          <w:sz w:val="24"/>
          <w:szCs w:val="24"/>
        </w:rPr>
        <w:t>；承建（承接）企业为</w:t>
      </w:r>
      <w:r>
        <w:rPr>
          <w:rFonts w:hint="eastAsia" w:ascii="宋体" w:hAnsi="宋体" w:eastAsia="宋体"/>
          <w:color w:val="auto"/>
          <w:sz w:val="24"/>
          <w:szCs w:val="24"/>
          <w:u w:val="single"/>
        </w:rPr>
        <w:t>（企业名称）</w:t>
      </w:r>
      <w:r>
        <w:rPr>
          <w:rFonts w:hint="eastAsia" w:ascii="宋体" w:hAnsi="宋体" w:eastAsia="宋体"/>
          <w:color w:val="auto"/>
          <w:sz w:val="24"/>
          <w:szCs w:val="24"/>
        </w:rPr>
        <w:t>，从业人员</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人，营业收入为</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万元，资产总额为</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万元，属于</w:t>
      </w:r>
      <w:r>
        <w:rPr>
          <w:rFonts w:hint="eastAsia" w:ascii="宋体" w:hAnsi="宋体" w:eastAsia="宋体"/>
          <w:color w:val="auto"/>
          <w:sz w:val="24"/>
          <w:szCs w:val="24"/>
          <w:u w:val="single"/>
        </w:rPr>
        <w:t>（中型企业、小型企业、微型企业）</w:t>
      </w:r>
      <w:r>
        <w:rPr>
          <w:rFonts w:hint="eastAsia" w:ascii="宋体" w:hAnsi="宋体" w:eastAsia="宋体"/>
          <w:color w:val="auto"/>
          <w:sz w:val="24"/>
          <w:szCs w:val="24"/>
        </w:rPr>
        <w:t>；</w:t>
      </w:r>
    </w:p>
    <w:p>
      <w:pPr>
        <w:pStyle w:val="18"/>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w:t>
      </w:r>
      <w:r>
        <w:rPr>
          <w:rFonts w:hint="eastAsia" w:ascii="宋体" w:hAnsi="宋体" w:eastAsia="宋体"/>
          <w:color w:val="auto"/>
          <w:sz w:val="24"/>
          <w:szCs w:val="24"/>
          <w:u w:val="single"/>
        </w:rPr>
        <w:t>（标的名称）</w:t>
      </w:r>
      <w:r>
        <w:rPr>
          <w:rFonts w:hint="eastAsia" w:ascii="宋体" w:hAnsi="宋体" w:eastAsia="宋体"/>
          <w:color w:val="auto"/>
          <w:sz w:val="24"/>
          <w:szCs w:val="24"/>
        </w:rPr>
        <w:t>，属于</w:t>
      </w:r>
      <w:r>
        <w:rPr>
          <w:rFonts w:hint="eastAsia" w:ascii="宋体" w:hAnsi="宋体" w:eastAsia="宋体"/>
          <w:color w:val="auto"/>
          <w:sz w:val="24"/>
          <w:szCs w:val="24"/>
          <w:u w:val="single"/>
        </w:rPr>
        <w:t>（采购文件中明确的所属行业）</w:t>
      </w:r>
      <w:r>
        <w:rPr>
          <w:rFonts w:hint="eastAsia" w:ascii="宋体" w:hAnsi="宋体" w:eastAsia="宋体"/>
          <w:color w:val="auto"/>
          <w:sz w:val="24"/>
          <w:szCs w:val="24"/>
        </w:rPr>
        <w:t>；承建（承接）企业为</w:t>
      </w:r>
      <w:r>
        <w:rPr>
          <w:rFonts w:hint="eastAsia" w:ascii="宋体" w:hAnsi="宋体" w:eastAsia="宋体"/>
          <w:color w:val="auto"/>
          <w:sz w:val="24"/>
          <w:szCs w:val="24"/>
          <w:u w:val="single"/>
        </w:rPr>
        <w:t>（企业名称）</w:t>
      </w:r>
      <w:r>
        <w:rPr>
          <w:rFonts w:hint="eastAsia" w:ascii="宋体" w:hAnsi="宋体" w:eastAsia="宋体"/>
          <w:color w:val="auto"/>
          <w:sz w:val="24"/>
          <w:szCs w:val="24"/>
        </w:rPr>
        <w:t>，从业人员</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人，营业收入为</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万元，资产总额为</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万元，属于</w:t>
      </w:r>
      <w:r>
        <w:rPr>
          <w:rFonts w:hint="eastAsia" w:ascii="宋体" w:hAnsi="宋体" w:eastAsia="宋体"/>
          <w:color w:val="auto"/>
          <w:sz w:val="24"/>
          <w:szCs w:val="24"/>
          <w:u w:val="single"/>
        </w:rPr>
        <w:t>（中型企业、小型企业、微型企业）</w:t>
      </w:r>
      <w:r>
        <w:rPr>
          <w:rFonts w:hint="eastAsia" w:ascii="宋体" w:hAnsi="宋体" w:eastAsia="宋体"/>
          <w:color w:val="auto"/>
          <w:sz w:val="24"/>
          <w:szCs w:val="24"/>
        </w:rPr>
        <w:t>；</w:t>
      </w:r>
    </w:p>
    <w:p>
      <w:pPr>
        <w:pStyle w:val="18"/>
        <w:ind w:firstLine="84" w:firstLineChars="35"/>
        <w:rPr>
          <w:rFonts w:ascii="宋体" w:hAnsi="宋体" w:eastAsia="宋体"/>
          <w:color w:val="auto"/>
          <w:sz w:val="24"/>
          <w:szCs w:val="24"/>
        </w:rPr>
      </w:pPr>
      <w:r>
        <w:rPr>
          <w:rFonts w:hint="eastAsia" w:ascii="宋体" w:hAnsi="宋体" w:eastAsia="宋体"/>
          <w:color w:val="auto"/>
          <w:sz w:val="24"/>
          <w:szCs w:val="24"/>
        </w:rPr>
        <w:t>.....................</w:t>
      </w:r>
    </w:p>
    <w:p>
      <w:pPr>
        <w:pStyle w:val="18"/>
        <w:ind w:firstLine="480" w:firstLineChars="200"/>
        <w:rPr>
          <w:rFonts w:ascii="宋体" w:hAnsi="宋体" w:eastAsia="宋体"/>
          <w:color w:val="auto"/>
          <w:sz w:val="24"/>
          <w:szCs w:val="24"/>
        </w:rPr>
      </w:pPr>
      <w:r>
        <w:rPr>
          <w:rFonts w:hint="eastAsia" w:ascii="宋体" w:hAnsi="宋体" w:eastAsia="宋体"/>
          <w:color w:val="auto"/>
          <w:sz w:val="24"/>
          <w:szCs w:val="24"/>
        </w:rPr>
        <w:t>以上企业，不属于大企业的分支机构，不存在控股股东为大企业的情形，也不存在与大企业的负责人为同一人的情形。</w:t>
      </w:r>
    </w:p>
    <w:p>
      <w:pPr>
        <w:pStyle w:val="18"/>
        <w:ind w:firstLine="240"/>
        <w:rPr>
          <w:rFonts w:ascii="宋体" w:hAnsi="宋体" w:eastAsia="宋体"/>
          <w:color w:val="auto"/>
          <w:sz w:val="24"/>
          <w:szCs w:val="24"/>
        </w:rPr>
      </w:pPr>
      <w:r>
        <w:rPr>
          <w:rFonts w:hint="eastAsia" w:ascii="宋体" w:hAnsi="宋体" w:eastAsia="宋体"/>
          <w:color w:val="auto"/>
          <w:sz w:val="24"/>
          <w:szCs w:val="24"/>
        </w:rPr>
        <w:t>本企业对上述声明内容的真实性负责。如有虚假，将依法承担相应责任。</w:t>
      </w:r>
    </w:p>
    <w:p>
      <w:pPr>
        <w:pStyle w:val="6"/>
        <w:tabs>
          <w:tab w:val="left" w:pos="4819"/>
        </w:tabs>
        <w:ind w:left="0"/>
        <w:jc w:val="right"/>
        <w:rPr>
          <w:lang w:eastAsia="zh-CN"/>
        </w:rPr>
      </w:pPr>
      <w:r>
        <w:rPr>
          <w:rFonts w:hint="eastAsia" w:ascii="宋体" w:hAnsi="宋体" w:eastAsia="宋体" w:cs="Times New Roman"/>
          <w:color w:val="auto"/>
          <w:kern w:val="0"/>
          <w:sz w:val="24"/>
          <w:szCs w:val="24"/>
          <w:lang w:val="en-US" w:eastAsia="zh-CN" w:bidi="ar-SA"/>
        </w:rPr>
        <w:t>企业名称：</w:t>
      </w:r>
      <w:r>
        <w:rPr>
          <w:u w:val="single"/>
          <w:lang w:eastAsia="zh-CN"/>
        </w:rPr>
        <w:t xml:space="preserve"> </w:t>
      </w:r>
      <w:r>
        <w:rPr>
          <w:rFonts w:hint="eastAsia"/>
          <w:u w:val="single"/>
          <w:lang w:val="en-US" w:eastAsia="zh-CN"/>
        </w:rPr>
        <w:t xml:space="preserve">                     </w:t>
      </w:r>
      <w:r>
        <w:rPr>
          <w:sz w:val="24"/>
          <w:szCs w:val="24"/>
          <w:lang w:eastAsia="zh-CN"/>
        </w:rPr>
        <w:t>（</w:t>
      </w:r>
      <w:r>
        <w:rPr>
          <w:rFonts w:hint="eastAsia"/>
          <w:sz w:val="24"/>
          <w:szCs w:val="24"/>
          <w:lang w:val="en-US" w:eastAsia="zh-CN"/>
        </w:rPr>
        <w:t>电子</w:t>
      </w:r>
      <w:r>
        <w:rPr>
          <w:sz w:val="24"/>
          <w:szCs w:val="24"/>
          <w:lang w:eastAsia="zh-CN"/>
        </w:rPr>
        <w:t>签章）</w:t>
      </w:r>
    </w:p>
    <w:p>
      <w:pPr>
        <w:pStyle w:val="18"/>
        <w:ind w:firstLine="4800" w:firstLineChars="2000"/>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日期：年月日</w:t>
      </w:r>
    </w:p>
    <w:p>
      <w:pPr>
        <w:pStyle w:val="18"/>
        <w:ind w:firstLine="240"/>
        <w:rPr>
          <w:rFonts w:ascii="宋体" w:hAnsi="宋体" w:eastAsia="宋体"/>
          <w:color w:val="auto"/>
          <w:sz w:val="24"/>
          <w:szCs w:val="24"/>
        </w:rPr>
      </w:pPr>
      <w:r>
        <w:rPr>
          <w:rFonts w:hint="eastAsia" w:ascii="宋体" w:hAnsi="宋体" w:eastAsia="宋体"/>
          <w:color w:val="auto"/>
          <w:sz w:val="24"/>
          <w:szCs w:val="24"/>
        </w:rPr>
        <w:t>注：从业人员、营业收入、资产总额填报上一年度数据，无上一年度数据的新成立企业可不填报。</w:t>
      </w:r>
    </w:p>
    <w:p>
      <w:pPr>
        <w:widowControl/>
        <w:jc w:val="center"/>
        <w:rPr>
          <w:rFonts w:ascii="宋体" w:hAnsi="宋体" w:eastAsia="宋体" w:cs="宋体"/>
          <w:b/>
          <w:color w:val="auto"/>
          <w:sz w:val="24"/>
          <w:lang w:val="en-US" w:eastAsia="zh-CN"/>
        </w:rPr>
      </w:pPr>
    </w:p>
    <w:sectPr>
      <w:headerReference r:id="rId7" w:type="default"/>
      <w:footerReference r:id="rId8" w:type="default"/>
      <w:pgSz w:w="11906" w:h="16838"/>
      <w:pgMar w:top="1531" w:right="1304" w:bottom="1531" w:left="1531" w:header="1134"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2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w:t>
                    </w:r>
                    <w:r>
                      <w:fldChar w:fldCharType="end"/>
                    </w:r>
                  </w:p>
                </w:txbxContent>
              </v:textbox>
            </v:shape>
          </w:pict>
        </mc:Fallback>
      </mc:AlternateContent>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6" w:lineRule="auto"/>
      <w:ind w:left="4494"/>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53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D84C28"/>
    <w:multiLevelType w:val="singleLevel"/>
    <w:tmpl w:val="D0D84C28"/>
    <w:lvl w:ilvl="0" w:tentative="0">
      <w:start w:val="10"/>
      <w:numFmt w:val="chineseCounting"/>
      <w:suff w:val="nothing"/>
      <w:lvlText w:val="%1、"/>
      <w:lvlJc w:val="left"/>
      <w:rPr>
        <w:rFonts w:hint="eastAsia"/>
      </w:rPr>
    </w:lvl>
  </w:abstractNum>
  <w:abstractNum w:abstractNumId="1">
    <w:nsid w:val="DFD78145"/>
    <w:multiLevelType w:val="singleLevel"/>
    <w:tmpl w:val="DFD78145"/>
    <w:lvl w:ilvl="0" w:tentative="0">
      <w:start w:val="1"/>
      <w:numFmt w:val="chineseCounting"/>
      <w:suff w:val="nothing"/>
      <w:lvlText w:val="（%1）"/>
      <w:lvlJc w:val="left"/>
      <w:rPr>
        <w:rFonts w:hint="eastAsia"/>
      </w:rPr>
    </w:lvl>
  </w:abstractNum>
  <w:abstractNum w:abstractNumId="2">
    <w:nsid w:val="0C9B70A8"/>
    <w:multiLevelType w:val="singleLevel"/>
    <w:tmpl w:val="0C9B70A8"/>
    <w:lvl w:ilvl="0" w:tentative="0">
      <w:start w:val="1"/>
      <w:numFmt w:val="chineseCounting"/>
      <w:suff w:val="space"/>
      <w:lvlText w:val="第%1章"/>
      <w:lvlJc w:val="left"/>
      <w:rPr>
        <w:rFonts w:hint="eastAsia"/>
      </w:rPr>
    </w:lvl>
  </w:abstractNum>
  <w:abstractNum w:abstractNumId="3">
    <w:nsid w:val="2AE3019B"/>
    <w:multiLevelType w:val="multilevel"/>
    <w:tmpl w:val="2AE3019B"/>
    <w:lvl w:ilvl="0" w:tentative="0">
      <w:start w:val="4"/>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2EC34EC1"/>
    <w:multiLevelType w:val="singleLevel"/>
    <w:tmpl w:val="2EC34EC1"/>
    <w:lvl w:ilvl="0" w:tentative="0">
      <w:start w:val="4"/>
      <w:numFmt w:val="decimal"/>
      <w:lvlText w:val="%1."/>
      <w:lvlJc w:val="left"/>
      <w:pPr>
        <w:tabs>
          <w:tab w:val="left" w:pos="312"/>
        </w:tabs>
      </w:pPr>
    </w:lvl>
  </w:abstractNum>
  <w:num w:numId="1">
    <w:abstractNumId w:val="2"/>
  </w:num>
  <w:num w:numId="2">
    <w:abstractNumId w:val="1"/>
  </w:num>
  <w:num w:numId="3">
    <w:abstractNumId w:val="3"/>
    <w:lvlOverride w:ilvl="0">
      <w:startOverride w:val="4"/>
    </w:lvlOverride>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aVB5CCwfr7Ds5iZ+HW6LWq7nwjg=" w:salt="pHoH+ET0VHzI8evMyRr2f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yMzg3MTA1YjM1YWRhNDA2MTY1NzI4YTNmYTk5NTAifQ=="/>
  </w:docVars>
  <w:rsids>
    <w:rsidRoot w:val="00000000"/>
    <w:rsid w:val="01D32DCE"/>
    <w:rsid w:val="02BB2F2A"/>
    <w:rsid w:val="04095A31"/>
    <w:rsid w:val="04F82B4C"/>
    <w:rsid w:val="05094D59"/>
    <w:rsid w:val="08496AC4"/>
    <w:rsid w:val="0902043D"/>
    <w:rsid w:val="094D790A"/>
    <w:rsid w:val="0ABE2142"/>
    <w:rsid w:val="0B15326E"/>
    <w:rsid w:val="0D410210"/>
    <w:rsid w:val="0D465C0A"/>
    <w:rsid w:val="0D5B011C"/>
    <w:rsid w:val="0E3651BE"/>
    <w:rsid w:val="0E714075"/>
    <w:rsid w:val="0EA24254"/>
    <w:rsid w:val="0F130B49"/>
    <w:rsid w:val="0F381F8A"/>
    <w:rsid w:val="105611F3"/>
    <w:rsid w:val="105F7F23"/>
    <w:rsid w:val="11733C86"/>
    <w:rsid w:val="118063A3"/>
    <w:rsid w:val="11EC30EF"/>
    <w:rsid w:val="12A94EF5"/>
    <w:rsid w:val="12D75A01"/>
    <w:rsid w:val="13440831"/>
    <w:rsid w:val="14406A28"/>
    <w:rsid w:val="15D64C6D"/>
    <w:rsid w:val="16D73035"/>
    <w:rsid w:val="175060C3"/>
    <w:rsid w:val="1C100890"/>
    <w:rsid w:val="1CD557F5"/>
    <w:rsid w:val="1D61352C"/>
    <w:rsid w:val="1DB5614B"/>
    <w:rsid w:val="1E964F3E"/>
    <w:rsid w:val="1F5C5347"/>
    <w:rsid w:val="1F672950"/>
    <w:rsid w:val="1F9A2FA0"/>
    <w:rsid w:val="1FD66C0C"/>
    <w:rsid w:val="20193A11"/>
    <w:rsid w:val="201F2D13"/>
    <w:rsid w:val="21725D08"/>
    <w:rsid w:val="21D52E63"/>
    <w:rsid w:val="21F23796"/>
    <w:rsid w:val="22123047"/>
    <w:rsid w:val="22653305"/>
    <w:rsid w:val="227710FC"/>
    <w:rsid w:val="228F6446"/>
    <w:rsid w:val="23843AD1"/>
    <w:rsid w:val="258A1146"/>
    <w:rsid w:val="25FF38E2"/>
    <w:rsid w:val="26577EF5"/>
    <w:rsid w:val="268321C0"/>
    <w:rsid w:val="26F92A28"/>
    <w:rsid w:val="270F3FF9"/>
    <w:rsid w:val="272D447F"/>
    <w:rsid w:val="273A72C8"/>
    <w:rsid w:val="28B54C47"/>
    <w:rsid w:val="29D84B76"/>
    <w:rsid w:val="2A9032C5"/>
    <w:rsid w:val="2B4052F7"/>
    <w:rsid w:val="2B4104F9"/>
    <w:rsid w:val="2B667F60"/>
    <w:rsid w:val="2B733DCE"/>
    <w:rsid w:val="2C3979F2"/>
    <w:rsid w:val="2C871A3A"/>
    <w:rsid w:val="2D62201A"/>
    <w:rsid w:val="2E2965D2"/>
    <w:rsid w:val="2E402CEA"/>
    <w:rsid w:val="2E7E481A"/>
    <w:rsid w:val="2FAA2B11"/>
    <w:rsid w:val="303D48F4"/>
    <w:rsid w:val="3162592A"/>
    <w:rsid w:val="31C406C8"/>
    <w:rsid w:val="31E74F8D"/>
    <w:rsid w:val="32091BE7"/>
    <w:rsid w:val="324A7FB1"/>
    <w:rsid w:val="33714F05"/>
    <w:rsid w:val="33CE4E12"/>
    <w:rsid w:val="33DC5263"/>
    <w:rsid w:val="341D288D"/>
    <w:rsid w:val="34346E4D"/>
    <w:rsid w:val="36796661"/>
    <w:rsid w:val="3720667D"/>
    <w:rsid w:val="377A2622"/>
    <w:rsid w:val="380D6386"/>
    <w:rsid w:val="38227225"/>
    <w:rsid w:val="39574BC0"/>
    <w:rsid w:val="395C3323"/>
    <w:rsid w:val="3A21582B"/>
    <w:rsid w:val="3A7E0E22"/>
    <w:rsid w:val="3A9E7428"/>
    <w:rsid w:val="3C095C47"/>
    <w:rsid w:val="3D363C36"/>
    <w:rsid w:val="3DD94689"/>
    <w:rsid w:val="402F6E8C"/>
    <w:rsid w:val="409F5F96"/>
    <w:rsid w:val="42246753"/>
    <w:rsid w:val="42B9333F"/>
    <w:rsid w:val="43947908"/>
    <w:rsid w:val="43FB44CC"/>
    <w:rsid w:val="440525B4"/>
    <w:rsid w:val="441A0D0D"/>
    <w:rsid w:val="458A6327"/>
    <w:rsid w:val="46A55C75"/>
    <w:rsid w:val="46F61DD9"/>
    <w:rsid w:val="47182D3F"/>
    <w:rsid w:val="478A52AA"/>
    <w:rsid w:val="481A44D6"/>
    <w:rsid w:val="482961E9"/>
    <w:rsid w:val="4A173C3A"/>
    <w:rsid w:val="4A6E0229"/>
    <w:rsid w:val="4AD13809"/>
    <w:rsid w:val="4C2061DD"/>
    <w:rsid w:val="4C5E263A"/>
    <w:rsid w:val="4C646910"/>
    <w:rsid w:val="4C9D5A7F"/>
    <w:rsid w:val="4D2B2784"/>
    <w:rsid w:val="4D5454B2"/>
    <w:rsid w:val="4DC00DBC"/>
    <w:rsid w:val="4DF137F1"/>
    <w:rsid w:val="4E345F70"/>
    <w:rsid w:val="51530AAC"/>
    <w:rsid w:val="51801550"/>
    <w:rsid w:val="52015C01"/>
    <w:rsid w:val="53511372"/>
    <w:rsid w:val="5367649F"/>
    <w:rsid w:val="53746E0E"/>
    <w:rsid w:val="540E723C"/>
    <w:rsid w:val="55A51501"/>
    <w:rsid w:val="56801C80"/>
    <w:rsid w:val="56E61771"/>
    <w:rsid w:val="578911A4"/>
    <w:rsid w:val="585B1F68"/>
    <w:rsid w:val="58751EDB"/>
    <w:rsid w:val="589E7A7F"/>
    <w:rsid w:val="5902425C"/>
    <w:rsid w:val="59F72911"/>
    <w:rsid w:val="5B402424"/>
    <w:rsid w:val="5BED1AB3"/>
    <w:rsid w:val="5D0A234F"/>
    <w:rsid w:val="5E5B30A5"/>
    <w:rsid w:val="5E5D0BCB"/>
    <w:rsid w:val="5FF92B75"/>
    <w:rsid w:val="60604106"/>
    <w:rsid w:val="60CF310A"/>
    <w:rsid w:val="60EB4BB4"/>
    <w:rsid w:val="61231CB3"/>
    <w:rsid w:val="6146353C"/>
    <w:rsid w:val="62540537"/>
    <w:rsid w:val="629F51D9"/>
    <w:rsid w:val="63764189"/>
    <w:rsid w:val="644D348F"/>
    <w:rsid w:val="65062AE7"/>
    <w:rsid w:val="659D124C"/>
    <w:rsid w:val="659D3FA3"/>
    <w:rsid w:val="65B732B6"/>
    <w:rsid w:val="65EE2A50"/>
    <w:rsid w:val="666A6694"/>
    <w:rsid w:val="68BC1060"/>
    <w:rsid w:val="69004F74"/>
    <w:rsid w:val="6939281C"/>
    <w:rsid w:val="69ED40E0"/>
    <w:rsid w:val="6A113B89"/>
    <w:rsid w:val="6A220F1A"/>
    <w:rsid w:val="6B1C5D1F"/>
    <w:rsid w:val="6C4038DA"/>
    <w:rsid w:val="6CF321AC"/>
    <w:rsid w:val="6D155AA0"/>
    <w:rsid w:val="6D3B6ED4"/>
    <w:rsid w:val="6EBC4D25"/>
    <w:rsid w:val="6EC802E2"/>
    <w:rsid w:val="6FBD6DFA"/>
    <w:rsid w:val="6FF10322"/>
    <w:rsid w:val="70352925"/>
    <w:rsid w:val="703D41C8"/>
    <w:rsid w:val="70600210"/>
    <w:rsid w:val="7250388B"/>
    <w:rsid w:val="737B7797"/>
    <w:rsid w:val="73DA2669"/>
    <w:rsid w:val="744228E5"/>
    <w:rsid w:val="745813FD"/>
    <w:rsid w:val="74F811F5"/>
    <w:rsid w:val="75267B11"/>
    <w:rsid w:val="752C0E9F"/>
    <w:rsid w:val="761046D8"/>
    <w:rsid w:val="7644508C"/>
    <w:rsid w:val="76553013"/>
    <w:rsid w:val="769534B1"/>
    <w:rsid w:val="769907B6"/>
    <w:rsid w:val="76D90855"/>
    <w:rsid w:val="77A6318B"/>
    <w:rsid w:val="7A9667B8"/>
    <w:rsid w:val="7AE364A4"/>
    <w:rsid w:val="7B674347"/>
    <w:rsid w:val="7C211032"/>
    <w:rsid w:val="7CC6480A"/>
    <w:rsid w:val="7DB163E5"/>
    <w:rsid w:val="7DD4587F"/>
    <w:rsid w:val="7E174DE1"/>
    <w:rsid w:val="7E3F6518"/>
    <w:rsid w:val="7F9A1827"/>
    <w:rsid w:val="7FC87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1"/>
    <w:pPr>
      <w:ind w:left="1462" w:hanging="483"/>
      <w:outlineLvl w:val="2"/>
    </w:pPr>
    <w:rPr>
      <w:b/>
      <w:bCs/>
      <w:sz w:val="24"/>
      <w:szCs w:val="24"/>
    </w:rPr>
  </w:style>
  <w:style w:type="paragraph" w:styleId="5">
    <w:name w:val="heading 4"/>
    <w:basedOn w:val="1"/>
    <w:next w:val="1"/>
    <w:qFormat/>
    <w:uiPriority w:val="99"/>
    <w:pPr>
      <w:keepNext/>
      <w:keepLines/>
      <w:spacing w:line="360" w:lineRule="auto"/>
      <w:outlineLvl w:val="3"/>
    </w:pPr>
    <w:rPr>
      <w:rFonts w:ascii="Arial" w:hAnsi="Arial"/>
      <w:b/>
      <w:bCs/>
      <w:kern w:val="0"/>
      <w:sz w:val="20"/>
      <w:szCs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6">
    <w:name w:val="Body Text"/>
    <w:basedOn w:val="1"/>
    <w:next w:val="7"/>
    <w:qFormat/>
    <w:uiPriority w:val="0"/>
    <w:pPr>
      <w:spacing w:after="120"/>
    </w:pPr>
    <w:rPr>
      <w:kern w:val="0"/>
      <w:sz w:val="20"/>
    </w:rPr>
  </w:style>
  <w:style w:type="paragraph" w:styleId="7">
    <w:name w:val="Body Text 2"/>
    <w:basedOn w:val="1"/>
    <w:next w:val="8"/>
    <w:qFormat/>
    <w:uiPriority w:val="0"/>
    <w:pPr>
      <w:spacing w:after="120" w:line="480" w:lineRule="auto"/>
    </w:pPr>
  </w:style>
  <w:style w:type="paragraph" w:styleId="8">
    <w:name w:val="Plain Text"/>
    <w:basedOn w:val="1"/>
    <w:next w:val="9"/>
    <w:unhideWhenUsed/>
    <w:qFormat/>
    <w:uiPriority w:val="0"/>
    <w:rPr>
      <w:rFonts w:hint="eastAsia" w:ascii="宋体" w:hAnsi="Courier New"/>
      <w:sz w:val="21"/>
      <w:szCs w:val="21"/>
    </w:rPr>
  </w:style>
  <w:style w:type="paragraph" w:styleId="9">
    <w:name w:val="index 7"/>
    <w:basedOn w:val="1"/>
    <w:next w:val="1"/>
    <w:unhideWhenUsed/>
    <w:qFormat/>
    <w:uiPriority w:val="99"/>
    <w:pPr>
      <w:ind w:left="1200" w:leftChars="1200"/>
    </w:pPr>
  </w:style>
  <w:style w:type="paragraph" w:styleId="10">
    <w:name w:val="Body Text Indent"/>
    <w:basedOn w:val="1"/>
    <w:next w:val="11"/>
    <w:qFormat/>
    <w:uiPriority w:val="0"/>
    <w:pPr>
      <w:spacing w:after="120"/>
      <w:ind w:left="200" w:leftChars="200"/>
    </w:pPr>
    <w:rPr>
      <w:kern w:val="0"/>
      <w:sz w:val="30"/>
      <w:szCs w:val="20"/>
    </w:rPr>
  </w:style>
  <w:style w:type="paragraph" w:styleId="11">
    <w:name w:val="envelope return"/>
    <w:basedOn w:val="1"/>
    <w:unhideWhenUsed/>
    <w:qFormat/>
    <w:uiPriority w:val="99"/>
    <w:pPr>
      <w:snapToGrid w:val="0"/>
    </w:pPr>
    <w:rPr>
      <w:rFonts w:ascii="Arial" w:hAnsi="Arial" w:cs="Arial"/>
    </w:rPr>
  </w:style>
  <w:style w:type="paragraph" w:styleId="12">
    <w:name w:val="Body Text Indent 2"/>
    <w:basedOn w:val="1"/>
    <w:unhideWhenUsed/>
    <w:qFormat/>
    <w:uiPriority w:val="0"/>
    <w:pPr>
      <w:spacing w:after="120" w:line="480" w:lineRule="auto"/>
      <w:ind w:left="420" w:leftChars="200"/>
    </w:pPr>
    <w:rPr>
      <w:rFonts w:ascii="Times New Roman" w:hAnsi="Times New Roman" w:eastAsia="宋体" w:cs="Times New Roman"/>
      <w:kern w:val="0"/>
      <w:sz w:val="20"/>
      <w:szCs w:val="24"/>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2"/>
    <w:basedOn w:val="1"/>
    <w:next w:val="1"/>
    <w:qFormat/>
    <w:uiPriority w:val="0"/>
    <w:pPr>
      <w:spacing w:line="440" w:lineRule="exact"/>
      <w:ind w:firstLine="300"/>
    </w:pPr>
    <w:rPr>
      <w:rFonts w:ascii="Calibri" w:hAnsi="Calibri" w:eastAsia="宋体" w:cs="Calibri"/>
      <w:smallCaps/>
      <w:sz w:val="20"/>
      <w:szCs w:val="20"/>
    </w:rPr>
  </w:style>
  <w:style w:type="paragraph" w:styleId="1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7">
    <w:name w:val="Title"/>
    <w:basedOn w:val="15"/>
    <w:next w:val="1"/>
    <w:qFormat/>
    <w:uiPriority w:val="0"/>
    <w:pPr>
      <w:spacing w:before="240" w:after="60"/>
      <w:jc w:val="center"/>
      <w:outlineLvl w:val="0"/>
    </w:pPr>
    <w:rPr>
      <w:rFonts w:ascii="Cambria" w:hAnsi="Cambria" w:eastAsia="宋体" w:cs="Times New Roman"/>
      <w:b/>
      <w:bCs/>
      <w:kern w:val="2"/>
      <w:sz w:val="32"/>
      <w:szCs w:val="32"/>
    </w:rPr>
  </w:style>
  <w:style w:type="paragraph" w:styleId="18">
    <w:name w:val="Body Text First Indent"/>
    <w:basedOn w:val="6"/>
    <w:next w:val="19"/>
    <w:qFormat/>
    <w:uiPriority w:val="0"/>
    <w:pPr>
      <w:spacing w:line="544" w:lineRule="exact"/>
      <w:ind w:firstLine="100" w:firstLineChars="100"/>
    </w:pPr>
    <w:rPr>
      <w:rFonts w:ascii="Calibri" w:hAnsi="Calibri" w:eastAsia="仿宋_GB2312"/>
      <w:sz w:val="28"/>
      <w:szCs w:val="22"/>
    </w:rPr>
  </w:style>
  <w:style w:type="paragraph" w:styleId="19">
    <w:name w:val="Body Text First Indent 2"/>
    <w:basedOn w:val="10"/>
    <w:next w:val="6"/>
    <w:qFormat/>
    <w:uiPriority w:val="0"/>
    <w:pPr>
      <w:ind w:firstLine="420" w:firstLineChars="200"/>
    </w:pPr>
  </w:style>
  <w:style w:type="table" w:styleId="21">
    <w:name w:val="Table Grid"/>
    <w:basedOn w:val="2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bCs/>
    </w:rPr>
  </w:style>
  <w:style w:type="character" w:styleId="24">
    <w:name w:val="FollowedHyperlink"/>
    <w:basedOn w:val="22"/>
    <w:qFormat/>
    <w:uiPriority w:val="0"/>
    <w:rPr>
      <w:color w:val="800080"/>
      <w:u w:val="none"/>
    </w:rPr>
  </w:style>
  <w:style w:type="character" w:styleId="25">
    <w:name w:val="Emphasis"/>
    <w:basedOn w:val="22"/>
    <w:qFormat/>
    <w:uiPriority w:val="0"/>
    <w:rPr>
      <w:b/>
      <w:bCs/>
    </w:rPr>
  </w:style>
  <w:style w:type="character" w:styleId="26">
    <w:name w:val="HTML Definition"/>
    <w:basedOn w:val="22"/>
    <w:qFormat/>
    <w:uiPriority w:val="0"/>
  </w:style>
  <w:style w:type="character" w:styleId="27">
    <w:name w:val="HTML Typewriter"/>
    <w:basedOn w:val="22"/>
    <w:qFormat/>
    <w:uiPriority w:val="0"/>
    <w:rPr>
      <w:rFonts w:hint="default" w:ascii="monospace" w:hAnsi="monospace" w:eastAsia="monospace" w:cs="monospace"/>
      <w:sz w:val="20"/>
    </w:rPr>
  </w:style>
  <w:style w:type="character" w:styleId="28">
    <w:name w:val="HTML Acronym"/>
    <w:basedOn w:val="22"/>
    <w:qFormat/>
    <w:uiPriority w:val="0"/>
  </w:style>
  <w:style w:type="character" w:styleId="29">
    <w:name w:val="HTML Variable"/>
    <w:basedOn w:val="22"/>
    <w:qFormat/>
    <w:uiPriority w:val="0"/>
  </w:style>
  <w:style w:type="character" w:styleId="30">
    <w:name w:val="Hyperlink"/>
    <w:basedOn w:val="22"/>
    <w:qFormat/>
    <w:uiPriority w:val="0"/>
    <w:rPr>
      <w:color w:val="0000FF"/>
      <w:u w:val="none"/>
    </w:rPr>
  </w:style>
  <w:style w:type="character" w:styleId="31">
    <w:name w:val="HTML Code"/>
    <w:basedOn w:val="22"/>
    <w:qFormat/>
    <w:uiPriority w:val="0"/>
    <w:rPr>
      <w:rFonts w:hint="default" w:ascii="monospace" w:hAnsi="monospace" w:eastAsia="monospace" w:cs="monospace"/>
      <w:sz w:val="20"/>
    </w:rPr>
  </w:style>
  <w:style w:type="character" w:styleId="32">
    <w:name w:val="HTML Cite"/>
    <w:basedOn w:val="22"/>
    <w:qFormat/>
    <w:uiPriority w:val="0"/>
  </w:style>
  <w:style w:type="character" w:styleId="33">
    <w:name w:val="HTML Keyboard"/>
    <w:basedOn w:val="22"/>
    <w:qFormat/>
    <w:uiPriority w:val="0"/>
    <w:rPr>
      <w:rFonts w:hint="default" w:ascii="monospace" w:hAnsi="monospace" w:eastAsia="monospace" w:cs="monospace"/>
      <w:sz w:val="20"/>
    </w:rPr>
  </w:style>
  <w:style w:type="character" w:styleId="34">
    <w:name w:val="HTML Sample"/>
    <w:basedOn w:val="22"/>
    <w:qFormat/>
    <w:uiPriority w:val="0"/>
    <w:rPr>
      <w:rFonts w:ascii="monospace" w:hAnsi="monospace" w:eastAsia="monospace" w:cs="monospace"/>
    </w:rPr>
  </w:style>
  <w:style w:type="paragraph" w:customStyle="1" w:styleId="35">
    <w:name w:val="Default"/>
    <w:basedOn w:val="17"/>
    <w:next w:val="36"/>
    <w:qFormat/>
    <w:uiPriority w:val="6"/>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6">
    <w:name w:val="大标题"/>
    <w:basedOn w:val="1"/>
    <w:next w:val="19"/>
    <w:qFormat/>
    <w:uiPriority w:val="0"/>
    <w:pPr>
      <w:pageBreakBefore/>
      <w:spacing w:after="200" w:line="720" w:lineRule="auto"/>
      <w:jc w:val="center"/>
      <w:outlineLvl w:val="0"/>
    </w:pPr>
    <w:rPr>
      <w:rFonts w:ascii="黑体" w:hAnsi="Calibri" w:eastAsia="黑体"/>
      <w:sz w:val="32"/>
      <w:szCs w:val="30"/>
      <w:lang w:eastAsia="en-US" w:bidi="en-US"/>
    </w:rPr>
  </w:style>
  <w:style w:type="paragraph" w:customStyle="1" w:styleId="37">
    <w:name w:val="WPSOffice手动目录 1"/>
    <w:qFormat/>
    <w:uiPriority w:val="0"/>
    <w:pPr>
      <w:ind w:leftChars="0"/>
    </w:pPr>
    <w:rPr>
      <w:rFonts w:ascii="Times New Roman" w:hAnsi="Times New Roman" w:eastAsia="宋体" w:cs="Times New Roman"/>
      <w:sz w:val="20"/>
      <w:szCs w:val="20"/>
    </w:rPr>
  </w:style>
  <w:style w:type="paragraph" w:customStyle="1" w:styleId="38">
    <w:name w:val="Table Text"/>
    <w:basedOn w:val="1"/>
    <w:semiHidden/>
    <w:qFormat/>
    <w:uiPriority w:val="0"/>
    <w:rPr>
      <w:rFonts w:ascii="宋体" w:hAnsi="宋体" w:eastAsia="宋体" w:cs="宋体"/>
      <w:sz w:val="28"/>
      <w:szCs w:val="28"/>
      <w:lang w:val="en-US" w:eastAsia="en-US" w:bidi="ar-SA"/>
    </w:rPr>
  </w:style>
  <w:style w:type="character" w:customStyle="1" w:styleId="39">
    <w:name w:val="layui-layer-tabnow"/>
    <w:basedOn w:val="22"/>
    <w:qFormat/>
    <w:uiPriority w:val="0"/>
    <w:rPr>
      <w:bdr w:val="single" w:color="CCCCCC" w:sz="6" w:space="0"/>
      <w:shd w:val="clear" w:fill="FFFFFF"/>
    </w:rPr>
  </w:style>
  <w:style w:type="character" w:customStyle="1" w:styleId="40">
    <w:name w:val="first-child"/>
    <w:basedOn w:val="22"/>
    <w:qFormat/>
    <w:uiPriority w:val="0"/>
  </w:style>
  <w:style w:type="paragraph" w:customStyle="1" w:styleId="41">
    <w:name w:val="样式 标题 2 + Times New Roman 四号 非加粗 段前: 5 磅 段后: 0 磅 行距: 固定值 20..."/>
    <w:basedOn w:val="3"/>
    <w:qFormat/>
    <w:uiPriority w:val="0"/>
    <w:pPr>
      <w:spacing w:before="100" w:line="400" w:lineRule="exact"/>
    </w:pPr>
    <w:rPr>
      <w:rFonts w:ascii="Times New Roman" w:hAnsi="Times New Roman"/>
      <w:bCs/>
      <w:sz w:val="28"/>
      <w:szCs w:val="20"/>
    </w:rPr>
  </w:style>
  <w:style w:type="paragraph" w:customStyle="1" w:styleId="42">
    <w:name w:val="Table Paragraph"/>
    <w:basedOn w:val="1"/>
    <w:qFormat/>
    <w:uiPriority w:val="1"/>
  </w:style>
  <w:style w:type="table" w:customStyle="1" w:styleId="43">
    <w:name w:val="Table Normal"/>
    <w:semiHidden/>
    <w:unhideWhenUsed/>
    <w:qFormat/>
    <w:uiPriority w:val="2"/>
    <w:tblPr>
      <w:tblCellMar>
        <w:top w:w="0" w:type="dxa"/>
        <w:left w:w="0" w:type="dxa"/>
        <w:bottom w:w="0" w:type="dxa"/>
        <w:right w:w="0" w:type="dxa"/>
      </w:tblCellMar>
    </w:tblPr>
  </w:style>
  <w:style w:type="paragraph" w:styleId="44">
    <w:name w:val="List Paragraph"/>
    <w:basedOn w:val="1"/>
    <w:qFormat/>
    <w:uiPriority w:val="1"/>
    <w:pPr>
      <w:ind w:left="980" w:hanging="483"/>
    </w:pPr>
  </w:style>
  <w:style w:type="paragraph" w:styleId="45">
    <w:name w:val="No Spacing"/>
    <w:qFormat/>
    <w:uiPriority w:val="0"/>
    <w:rPr>
      <w:rFonts w:ascii="Calibri" w:hAnsi="Calibri" w:eastAsia="宋体" w:cs="Times New Roman"/>
      <w:sz w:val="22"/>
      <w:szCs w:val="22"/>
      <w:lang w:val="en-US" w:eastAsia="zh-CN" w:bidi="ar-SA"/>
    </w:rPr>
  </w:style>
  <w:style w:type="character" w:customStyle="1" w:styleId="46">
    <w:name w:val="hover"/>
    <w:basedOn w:val="22"/>
    <w:qFormat/>
    <w:uiPriority w:val="0"/>
  </w:style>
  <w:style w:type="character" w:customStyle="1" w:styleId="47">
    <w:name w:val="hover1"/>
    <w:basedOn w:val="22"/>
    <w:uiPriority w:val="0"/>
    <w:rPr>
      <w:color w:val="2590EB"/>
    </w:rPr>
  </w:style>
  <w:style w:type="character" w:customStyle="1" w:styleId="48">
    <w:name w:val="hover2"/>
    <w:basedOn w:val="22"/>
    <w:qFormat/>
    <w:uiPriority w:val="0"/>
    <w:rPr>
      <w:color w:val="2590EB"/>
    </w:rPr>
  </w:style>
  <w:style w:type="character" w:customStyle="1" w:styleId="49">
    <w:name w:val="mini-outputtext1"/>
    <w:basedOn w:val="22"/>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22220</Words>
  <Characters>24054</Characters>
  <Lines>0</Lines>
  <Paragraphs>0</Paragraphs>
  <TotalTime>1</TotalTime>
  <ScaleCrop>false</ScaleCrop>
  <LinksUpToDate>false</LinksUpToDate>
  <CharactersWithSpaces>25699</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2025-04-02T03:50:00Z</dcterms:created>
  <dc:creator>Administrator</dc:creator>
  <cp:lastModifiedBy>User</cp:lastModifiedBy>
  <cp:lastPrinted>2025-10-21T08:02:00Z</cp:lastPrinted>
  <dcterms:modified xsi:type="dcterms:W3CDTF">2025-10-24T09:25:37Z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KSOTemplateDocerSaveRecord">
    <vt:lpwstr>eyJoZGlkIjoiMmMwZTAwNWM3NTc3NWJhMTI0ZGJmMDY2YmE2Nzc2NWUiLCJ1c2VySWQiOiIxMTY4NjgyOTk0In0=</vt:lpwstr>
  </property>
  <property fmtid="{D5CDD505-2E9C-101B-9397-08002B2CF9AE}" pid="4" name="ICV">
    <vt:lpwstr>D3CD6DA1A99B42DFBBEDF2BC62C73B52</vt:lpwstr>
  </property>
</Properties>
</file>