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92279">
      <w:pPr>
        <w:spacing w:line="360" w:lineRule="auto"/>
        <w:jc w:val="center"/>
        <w:rPr>
          <w:rFonts w:hint="eastAsia" w:asciiTheme="minorEastAsia" w:hAnsiTheme="minorEastAsia" w:eastAsiaTheme="minorEastAsia"/>
          <w:b/>
          <w:color w:val="000000" w:themeColor="text1"/>
          <w:sz w:val="44"/>
          <w:szCs w:val="40"/>
          <w:highlight w:val="none"/>
          <w:lang w:eastAsia="zh-CN"/>
          <w14:textFill>
            <w14:solidFill>
              <w14:schemeClr w14:val="tx1"/>
            </w14:solidFill>
          </w14:textFill>
        </w:rPr>
      </w:pPr>
      <w:r>
        <w:rPr>
          <w:rFonts w:hint="eastAsia" w:asciiTheme="minorEastAsia" w:hAnsiTheme="minorEastAsia" w:eastAsiaTheme="minorEastAsia"/>
          <w:b/>
          <w:color w:val="000000" w:themeColor="text1"/>
          <w:sz w:val="44"/>
          <w:szCs w:val="40"/>
          <w:highlight w:val="none"/>
          <w:lang w:eastAsia="zh-CN"/>
          <w14:textFill>
            <w14:solidFill>
              <w14:schemeClr w14:val="tx1"/>
            </w14:solidFill>
          </w14:textFill>
        </w:rPr>
        <w:t>灵宝市市场监督管理局2025年9月-2026年8月食品及商品质量抽检项目</w:t>
      </w:r>
    </w:p>
    <w:p w14:paraId="5F329A46">
      <w:pPr>
        <w:spacing w:line="560" w:lineRule="exact"/>
        <w:jc w:val="center"/>
        <w:rPr>
          <w:rFonts w:asciiTheme="minorEastAsia" w:hAnsiTheme="minorEastAsia" w:eastAsiaTheme="minorEastAsia"/>
          <w:b/>
          <w:bCs/>
          <w:color w:val="000000" w:themeColor="text1"/>
          <w:sz w:val="24"/>
          <w:highlight w:val="none"/>
          <w:u w:val="single"/>
          <w14:textFill>
            <w14:solidFill>
              <w14:schemeClr w14:val="tx1"/>
            </w14:solidFill>
          </w14:textFill>
        </w:rPr>
      </w:pPr>
    </w:p>
    <w:p w14:paraId="30E1DAAC">
      <w:pPr>
        <w:spacing w:line="560" w:lineRule="exact"/>
        <w:jc w:val="center"/>
        <w:rPr>
          <w:rFonts w:asciiTheme="minorEastAsia" w:hAnsiTheme="minorEastAsia" w:eastAsiaTheme="minorEastAsia"/>
          <w:b/>
          <w:bCs/>
          <w:color w:val="000000" w:themeColor="text1"/>
          <w:sz w:val="24"/>
          <w:highlight w:val="none"/>
          <w:u w:val="single"/>
          <w14:textFill>
            <w14:solidFill>
              <w14:schemeClr w14:val="tx1"/>
            </w14:solidFill>
          </w14:textFill>
        </w:rPr>
      </w:pPr>
      <w:bookmarkStart w:id="289" w:name="_GoBack"/>
      <w:bookmarkEnd w:id="289"/>
    </w:p>
    <w:p w14:paraId="70B39543">
      <w:pPr>
        <w:spacing w:line="560" w:lineRule="exact"/>
        <w:jc w:val="center"/>
        <w:rPr>
          <w:rFonts w:asciiTheme="minorEastAsia" w:hAnsiTheme="minorEastAsia" w:eastAsiaTheme="minorEastAsia"/>
          <w:b/>
          <w:bCs/>
          <w:color w:val="000000" w:themeColor="text1"/>
          <w:sz w:val="24"/>
          <w:highlight w:val="none"/>
          <w:u w:val="single"/>
          <w14:textFill>
            <w14:solidFill>
              <w14:schemeClr w14:val="tx1"/>
            </w14:solidFill>
          </w14:textFill>
        </w:rPr>
      </w:pPr>
    </w:p>
    <w:p w14:paraId="24E7B95A">
      <w:pPr>
        <w:ind w:right="27"/>
        <w:jc w:val="center"/>
        <w:rPr>
          <w:rFonts w:asciiTheme="minorEastAsia" w:hAnsiTheme="minorEastAsia" w:eastAsiaTheme="minorEastAsia"/>
          <w:b/>
          <w:bCs/>
          <w:color w:val="000000" w:themeColor="text1"/>
          <w:sz w:val="72"/>
          <w:szCs w:val="72"/>
          <w:highlight w:val="none"/>
          <w14:textFill>
            <w14:solidFill>
              <w14:schemeClr w14:val="tx1"/>
            </w14:solidFill>
          </w14:textFill>
        </w:rPr>
      </w:pPr>
    </w:p>
    <w:p w14:paraId="32BE1649">
      <w:pPr>
        <w:ind w:right="27"/>
        <w:jc w:val="center"/>
        <w:rPr>
          <w:rFonts w:cs="黑体" w:asciiTheme="minorEastAsia" w:hAnsiTheme="minorEastAsia" w:eastAsiaTheme="minorEastAsia"/>
          <w:b/>
          <w:color w:val="000000" w:themeColor="text1"/>
          <w:sz w:val="72"/>
          <w:szCs w:val="72"/>
          <w:highlight w:val="none"/>
          <w14:textFill>
            <w14:solidFill>
              <w14:schemeClr w14:val="tx1"/>
            </w14:solidFill>
          </w14:textFill>
        </w:rPr>
      </w:pPr>
      <w:r>
        <w:rPr>
          <w:rFonts w:hint="eastAsia" w:asciiTheme="minorEastAsia" w:hAnsiTheme="minorEastAsia" w:eastAsiaTheme="minorEastAsia"/>
          <w:b/>
          <w:bCs/>
          <w:color w:val="000000" w:themeColor="text1"/>
          <w:sz w:val="72"/>
          <w:szCs w:val="72"/>
          <w:highlight w:val="none"/>
          <w14:textFill>
            <w14:solidFill>
              <w14:schemeClr w14:val="tx1"/>
            </w14:solidFill>
          </w14:textFill>
        </w:rPr>
        <w:t>竞争性磋商文件</w:t>
      </w:r>
    </w:p>
    <w:p w14:paraId="0ED916E1">
      <w:pPr>
        <w:spacing w:line="560" w:lineRule="exact"/>
        <w:jc w:val="center"/>
        <w:rPr>
          <w:rFonts w:hint="eastAsia"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b/>
          <w:bCs/>
          <w:color w:val="000000" w:themeColor="text1"/>
          <w:sz w:val="28"/>
          <w:szCs w:val="28"/>
          <w:highlight w:val="none"/>
          <w14:textFill>
            <w14:solidFill>
              <w14:schemeClr w14:val="tx1"/>
            </w14:solidFill>
          </w14:textFill>
        </w:rPr>
        <w:t>项目编号：</w:t>
      </w:r>
      <w:r>
        <w:rPr>
          <w:rFonts w:hint="eastAsia" w:asciiTheme="minorEastAsia" w:hAnsiTheme="minorEastAsia" w:eastAsiaTheme="minorEastAsia"/>
          <w:b/>
          <w:bCs/>
          <w:color w:val="000000" w:themeColor="text1"/>
          <w:sz w:val="28"/>
          <w:szCs w:val="28"/>
          <w:highlight w:val="none"/>
          <w:lang w:val="en-US" w:eastAsia="zh-CN"/>
          <w14:textFill>
            <w14:solidFill>
              <w14:schemeClr w14:val="tx1"/>
            </w14:solidFill>
          </w14:textFill>
        </w:rPr>
        <w:t>灵宝竞磋采购-2025-146、LBGZ[2025]280-ZC211、HNXSD-2025-0012</w:t>
      </w:r>
      <w:r>
        <w:rPr>
          <w:rFonts w:hint="eastAsia" w:asciiTheme="minorEastAsia" w:hAnsiTheme="minorEastAsia" w:eastAsiaTheme="minorEastAsia"/>
          <w:b/>
          <w:bCs/>
          <w:color w:val="000000" w:themeColor="text1"/>
          <w:sz w:val="28"/>
          <w:szCs w:val="28"/>
          <w:highlight w:val="none"/>
          <w:lang w:eastAsia="zh-CN"/>
          <w14:textFill>
            <w14:solidFill>
              <w14:schemeClr w14:val="tx1"/>
            </w14:solidFill>
          </w14:textFill>
        </w:rPr>
        <w:t>；</w:t>
      </w:r>
    </w:p>
    <w:p w14:paraId="7494604B">
      <w:pPr>
        <w:spacing w:line="560" w:lineRule="exact"/>
        <w:jc w:val="center"/>
        <w:rPr>
          <w:rFonts w:hint="default"/>
          <w:color w:val="000000" w:themeColor="text1"/>
          <w:highlight w:val="none"/>
          <w:lang w:val="en-US" w:eastAsia="zh-CN"/>
          <w14:textFill>
            <w14:solidFill>
              <w14:schemeClr w14:val="tx1"/>
            </w14:solidFill>
          </w14:textFill>
        </w:rPr>
      </w:pPr>
    </w:p>
    <w:p w14:paraId="0F3982BC">
      <w:pPr>
        <w:pStyle w:val="16"/>
        <w:rPr>
          <w:rFonts w:hint="eastAsia"/>
          <w:color w:val="000000" w:themeColor="text1"/>
          <w:highlight w:val="none"/>
          <w:lang w:eastAsia="zh-CN"/>
          <w14:textFill>
            <w14:solidFill>
              <w14:schemeClr w14:val="tx1"/>
            </w14:solidFill>
          </w14:textFill>
        </w:rPr>
      </w:pPr>
    </w:p>
    <w:p w14:paraId="151EA955">
      <w:pPr>
        <w:pStyle w:val="32"/>
        <w:rPr>
          <w:rFonts w:asciiTheme="minorEastAsia" w:hAnsiTheme="minorEastAsia" w:eastAsiaTheme="minorEastAsia"/>
          <w:color w:val="000000" w:themeColor="text1"/>
          <w:highlight w:val="none"/>
          <w14:textFill>
            <w14:solidFill>
              <w14:schemeClr w14:val="tx1"/>
            </w14:solidFill>
          </w14:textFill>
        </w:rPr>
      </w:pPr>
    </w:p>
    <w:p w14:paraId="45D48CD0">
      <w:pPr>
        <w:spacing w:line="560" w:lineRule="exact"/>
        <w:jc w:val="center"/>
        <w:rPr>
          <w:rFonts w:cs="宋体" w:asciiTheme="minorEastAsia" w:hAnsiTheme="minorEastAsia" w:eastAsiaTheme="minorEastAsia"/>
          <w:b/>
          <w:color w:val="000000" w:themeColor="text1"/>
          <w:sz w:val="30"/>
          <w:szCs w:val="30"/>
          <w:highlight w:val="none"/>
          <w14:textFill>
            <w14:solidFill>
              <w14:schemeClr w14:val="tx1"/>
            </w14:solidFill>
          </w14:textFill>
        </w:rPr>
      </w:pPr>
    </w:p>
    <w:p w14:paraId="07592ADD">
      <w:pPr>
        <w:pStyle w:val="6"/>
        <w:rPr>
          <w:rFonts w:asciiTheme="minorEastAsia" w:hAnsiTheme="minorEastAsia" w:eastAsiaTheme="minorEastAsia"/>
          <w:color w:val="000000" w:themeColor="text1"/>
          <w:highlight w:val="none"/>
          <w14:textFill>
            <w14:solidFill>
              <w14:schemeClr w14:val="tx1"/>
            </w14:solidFill>
          </w14:textFill>
        </w:rPr>
      </w:pPr>
    </w:p>
    <w:p w14:paraId="3FA25731"/>
    <w:p w14:paraId="7EE98EAA">
      <w:pPr>
        <w:jc w:val="center"/>
        <w:rPr>
          <w:rFonts w:asciiTheme="minorEastAsia" w:hAnsiTheme="minorEastAsia" w:eastAsiaTheme="minorEastAsia"/>
          <w:b/>
          <w:bCs/>
          <w:color w:val="000000" w:themeColor="text1"/>
          <w:sz w:val="24"/>
          <w:highlight w:val="none"/>
          <w14:textFill>
            <w14:solidFill>
              <w14:schemeClr w14:val="tx1"/>
            </w14:solidFill>
          </w14:textFill>
        </w:rPr>
      </w:pPr>
    </w:p>
    <w:p w14:paraId="6349F956">
      <w:pPr>
        <w:spacing w:line="560" w:lineRule="exact"/>
        <w:jc w:val="center"/>
        <w:rPr>
          <w:rFonts w:asciiTheme="minorEastAsia" w:hAnsiTheme="minorEastAsia" w:eastAsiaTheme="minorEastAsia"/>
          <w:b/>
          <w:bCs/>
          <w:color w:val="000000" w:themeColor="text1"/>
          <w:sz w:val="24"/>
          <w:highlight w:val="none"/>
          <w14:textFill>
            <w14:solidFill>
              <w14:schemeClr w14:val="tx1"/>
            </w14:solidFill>
          </w14:textFill>
        </w:rPr>
      </w:pPr>
    </w:p>
    <w:p w14:paraId="56B30A22">
      <w:pPr>
        <w:spacing w:line="560" w:lineRule="exact"/>
        <w:jc w:val="center"/>
        <w:rPr>
          <w:rFonts w:asciiTheme="minorEastAsia" w:hAnsiTheme="minorEastAsia" w:eastAsiaTheme="minorEastAsia"/>
          <w:b/>
          <w:bCs/>
          <w:color w:val="000000" w:themeColor="text1"/>
          <w:sz w:val="24"/>
          <w:highlight w:val="none"/>
          <w14:textFill>
            <w14:solidFill>
              <w14:schemeClr w14:val="tx1"/>
            </w14:solidFill>
          </w14:textFill>
        </w:rPr>
      </w:pPr>
    </w:p>
    <w:p w14:paraId="58DA501C">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14:paraId="7B405ABD">
      <w:pPr>
        <w:spacing w:line="360" w:lineRule="auto"/>
        <w:ind w:firstLine="1702" w:firstLineChars="565"/>
        <w:rPr>
          <w:rFonts w:asciiTheme="minorEastAsia" w:hAnsiTheme="minorEastAsia" w:eastAsiaTheme="minorEastAsia"/>
          <w:b/>
          <w:color w:val="000000" w:themeColor="text1"/>
          <w:sz w:val="30"/>
          <w:szCs w:val="30"/>
          <w:highlight w:val="none"/>
          <w14:textFill>
            <w14:solidFill>
              <w14:schemeClr w14:val="tx1"/>
            </w14:solidFill>
          </w14:textFill>
        </w:rPr>
      </w:pPr>
      <w:r>
        <w:rPr>
          <w:rFonts w:hint="eastAsia" w:asciiTheme="minorEastAsia" w:hAnsiTheme="minorEastAsia" w:eastAsiaTheme="minorEastAsia"/>
          <w:b/>
          <w:color w:val="000000" w:themeColor="text1"/>
          <w:sz w:val="30"/>
          <w:szCs w:val="30"/>
          <w:highlight w:val="none"/>
          <w14:textFill>
            <w14:solidFill>
              <w14:schemeClr w14:val="tx1"/>
            </w14:solidFill>
          </w14:textFill>
        </w:rPr>
        <w:t>采</w:t>
      </w:r>
      <w:r>
        <w:rPr>
          <w:rFonts w:hint="eastAsia" w:asciiTheme="minorEastAsia" w:hAnsiTheme="minorEastAsia" w:eastAsiaTheme="minorEastAsia"/>
          <w:b/>
          <w:color w:val="000000" w:themeColor="text1"/>
          <w:sz w:val="30"/>
          <w:szCs w:val="30"/>
          <w:highlight w:val="none"/>
          <w:lang w:val="en-US" w:eastAsia="zh-CN"/>
          <w14:textFill>
            <w14:solidFill>
              <w14:schemeClr w14:val="tx1"/>
            </w14:solidFill>
          </w14:textFill>
        </w:rPr>
        <w:t xml:space="preserve"> </w:t>
      </w:r>
      <w:r>
        <w:rPr>
          <w:rFonts w:hint="eastAsia" w:asciiTheme="minorEastAsia" w:hAnsiTheme="minorEastAsia" w:eastAsiaTheme="minorEastAsia"/>
          <w:b/>
          <w:color w:val="000000" w:themeColor="text1"/>
          <w:sz w:val="30"/>
          <w:szCs w:val="30"/>
          <w:highlight w:val="none"/>
          <w14:textFill>
            <w14:solidFill>
              <w14:schemeClr w14:val="tx1"/>
            </w14:solidFill>
          </w14:textFill>
        </w:rPr>
        <w:t>购</w:t>
      </w:r>
      <w:r>
        <w:rPr>
          <w:rFonts w:hint="eastAsia" w:asciiTheme="minorEastAsia" w:hAnsiTheme="minorEastAsia" w:eastAsiaTheme="minorEastAsia"/>
          <w:b/>
          <w:color w:val="000000" w:themeColor="text1"/>
          <w:sz w:val="30"/>
          <w:szCs w:val="30"/>
          <w:highlight w:val="none"/>
          <w:lang w:val="en-US" w:eastAsia="zh-CN"/>
          <w14:textFill>
            <w14:solidFill>
              <w14:schemeClr w14:val="tx1"/>
            </w14:solidFill>
          </w14:textFill>
        </w:rPr>
        <w:t xml:space="preserve"> </w:t>
      </w:r>
      <w:r>
        <w:rPr>
          <w:rFonts w:hint="eastAsia" w:asciiTheme="minorEastAsia" w:hAnsiTheme="minorEastAsia" w:eastAsiaTheme="minorEastAsia"/>
          <w:b/>
          <w:color w:val="000000" w:themeColor="text1"/>
          <w:sz w:val="30"/>
          <w:szCs w:val="30"/>
          <w:highlight w:val="none"/>
          <w14:textFill>
            <w14:solidFill>
              <w14:schemeClr w14:val="tx1"/>
            </w14:solidFill>
          </w14:textFill>
        </w:rPr>
        <w:t>人：灵宝市市场监督管理局</w:t>
      </w:r>
    </w:p>
    <w:p w14:paraId="2900ED3B">
      <w:pPr>
        <w:spacing w:line="360" w:lineRule="auto"/>
        <w:ind w:firstLine="1702" w:firstLineChars="565"/>
        <w:rPr>
          <w:rFonts w:hint="eastAsia" w:asciiTheme="minorEastAsia" w:hAnsiTheme="minorEastAsia" w:eastAsiaTheme="minorEastAsia"/>
          <w:b/>
          <w:color w:val="000000" w:themeColor="text1"/>
          <w:sz w:val="30"/>
          <w:szCs w:val="30"/>
          <w:highlight w:val="none"/>
          <w:lang w:eastAsia="zh-CN"/>
          <w14:textFill>
            <w14:solidFill>
              <w14:schemeClr w14:val="tx1"/>
            </w14:solidFill>
          </w14:textFill>
        </w:rPr>
      </w:pPr>
      <w:r>
        <w:rPr>
          <w:rFonts w:hint="eastAsia" w:asciiTheme="minorEastAsia" w:hAnsiTheme="minorEastAsia" w:eastAsiaTheme="minorEastAsia"/>
          <w:b/>
          <w:color w:val="000000" w:themeColor="text1"/>
          <w:sz w:val="30"/>
          <w:szCs w:val="30"/>
          <w:highlight w:val="none"/>
          <w14:textFill>
            <w14:solidFill>
              <w14:schemeClr w14:val="tx1"/>
            </w14:solidFill>
          </w14:textFill>
        </w:rPr>
        <w:t>代理机构：</w:t>
      </w:r>
      <w:r>
        <w:rPr>
          <w:rFonts w:hint="eastAsia" w:asciiTheme="minorEastAsia" w:hAnsiTheme="minorEastAsia" w:eastAsiaTheme="minorEastAsia"/>
          <w:b/>
          <w:color w:val="000000" w:themeColor="text1"/>
          <w:sz w:val="30"/>
          <w:szCs w:val="30"/>
          <w:highlight w:val="none"/>
          <w:lang w:eastAsia="zh-CN"/>
          <w14:textFill>
            <w14:solidFill>
              <w14:schemeClr w14:val="tx1"/>
            </w14:solidFill>
          </w14:textFill>
        </w:rPr>
        <w:t>河南新时代工程管理有限公司</w:t>
      </w:r>
    </w:p>
    <w:p w14:paraId="10D651CC">
      <w:pPr>
        <w:spacing w:line="360" w:lineRule="auto"/>
        <w:ind w:firstLine="1702" w:firstLineChars="565"/>
        <w:rPr>
          <w:rFonts w:asciiTheme="minorEastAsia" w:hAnsiTheme="minorEastAsia" w:eastAsiaTheme="minorEastAsia"/>
          <w:b/>
          <w:color w:val="000000" w:themeColor="text1"/>
          <w:sz w:val="30"/>
          <w:szCs w:val="30"/>
          <w:highlight w:val="none"/>
          <w14:textFill>
            <w14:solidFill>
              <w14:schemeClr w14:val="tx1"/>
            </w14:solidFill>
          </w14:textFill>
        </w:rPr>
      </w:pPr>
      <w:r>
        <w:rPr>
          <w:rFonts w:hint="eastAsia" w:asciiTheme="minorEastAsia" w:hAnsiTheme="minorEastAsia" w:eastAsiaTheme="minorEastAsia"/>
          <w:b/>
          <w:color w:val="000000" w:themeColor="text1"/>
          <w:sz w:val="30"/>
          <w:szCs w:val="30"/>
          <w:highlight w:val="none"/>
          <w14:textFill>
            <w14:solidFill>
              <w14:schemeClr w14:val="tx1"/>
            </w14:solidFill>
          </w14:textFill>
        </w:rPr>
        <w:t>日</w:t>
      </w:r>
      <w:r>
        <w:rPr>
          <w:rFonts w:hint="eastAsia" w:asciiTheme="minorEastAsia" w:hAnsiTheme="minorEastAsia" w:eastAsiaTheme="minorEastAsia"/>
          <w:b/>
          <w:color w:val="000000" w:themeColor="text1"/>
          <w:sz w:val="30"/>
          <w:szCs w:val="30"/>
          <w:highlight w:val="none"/>
          <w:lang w:val="en-US" w:eastAsia="zh-CN"/>
          <w14:textFill>
            <w14:solidFill>
              <w14:schemeClr w14:val="tx1"/>
            </w14:solidFill>
          </w14:textFill>
        </w:rPr>
        <w:t xml:space="preserve">    </w:t>
      </w:r>
      <w:r>
        <w:rPr>
          <w:rFonts w:hint="eastAsia" w:asciiTheme="minorEastAsia" w:hAnsiTheme="minorEastAsia" w:eastAsiaTheme="minorEastAsia"/>
          <w:b/>
          <w:color w:val="000000" w:themeColor="text1"/>
          <w:sz w:val="30"/>
          <w:szCs w:val="30"/>
          <w:highlight w:val="none"/>
          <w14:textFill>
            <w14:solidFill>
              <w14:schemeClr w14:val="tx1"/>
            </w14:solidFill>
          </w14:textFill>
        </w:rPr>
        <w:t>期：二0二</w:t>
      </w:r>
      <w:r>
        <w:rPr>
          <w:rFonts w:hint="eastAsia" w:asciiTheme="minorEastAsia" w:hAnsiTheme="minorEastAsia" w:eastAsiaTheme="minorEastAsia"/>
          <w:b/>
          <w:color w:val="000000" w:themeColor="text1"/>
          <w:sz w:val="30"/>
          <w:szCs w:val="30"/>
          <w:highlight w:val="none"/>
          <w:lang w:val="en-US" w:eastAsia="zh-CN"/>
          <w14:textFill>
            <w14:solidFill>
              <w14:schemeClr w14:val="tx1"/>
            </w14:solidFill>
          </w14:textFill>
        </w:rPr>
        <w:t>五</w:t>
      </w:r>
      <w:r>
        <w:rPr>
          <w:rFonts w:hint="eastAsia" w:asciiTheme="minorEastAsia" w:hAnsiTheme="minorEastAsia" w:eastAsiaTheme="minorEastAsia"/>
          <w:b/>
          <w:color w:val="000000" w:themeColor="text1"/>
          <w:sz w:val="30"/>
          <w:szCs w:val="30"/>
          <w:highlight w:val="none"/>
          <w14:textFill>
            <w14:solidFill>
              <w14:schemeClr w14:val="tx1"/>
            </w14:solidFill>
          </w14:textFill>
        </w:rPr>
        <w:t>年</w:t>
      </w:r>
      <w:r>
        <w:rPr>
          <w:rFonts w:hint="eastAsia" w:asciiTheme="minorEastAsia" w:hAnsiTheme="minorEastAsia" w:eastAsiaTheme="minorEastAsia"/>
          <w:b/>
          <w:color w:val="000000" w:themeColor="text1"/>
          <w:sz w:val="30"/>
          <w:szCs w:val="30"/>
          <w:highlight w:val="none"/>
          <w:lang w:val="en-US" w:eastAsia="zh-CN"/>
          <w14:textFill>
            <w14:solidFill>
              <w14:schemeClr w14:val="tx1"/>
            </w14:solidFill>
          </w14:textFill>
        </w:rPr>
        <w:t>十</w:t>
      </w:r>
      <w:r>
        <w:rPr>
          <w:rFonts w:hint="eastAsia" w:asciiTheme="minorEastAsia" w:hAnsiTheme="minorEastAsia" w:eastAsiaTheme="minorEastAsia"/>
          <w:b/>
          <w:color w:val="000000" w:themeColor="text1"/>
          <w:sz w:val="30"/>
          <w:szCs w:val="30"/>
          <w:highlight w:val="none"/>
          <w14:textFill>
            <w14:solidFill>
              <w14:schemeClr w14:val="tx1"/>
            </w14:solidFill>
          </w14:textFill>
        </w:rPr>
        <w:t>月</w:t>
      </w:r>
    </w:p>
    <w:p w14:paraId="42F3E9CF">
      <w:pPr>
        <w:spacing w:line="360" w:lineRule="auto"/>
        <w:rPr>
          <w:rFonts w:asciiTheme="minorEastAsia" w:hAnsiTheme="minorEastAsia" w:eastAsiaTheme="minorEastAsia"/>
          <w:b/>
          <w:bCs/>
          <w:color w:val="000000" w:themeColor="text1"/>
          <w:kern w:val="44"/>
          <w:sz w:val="24"/>
          <w:highlight w:val="none"/>
          <w14:textFill>
            <w14:solidFill>
              <w14:schemeClr w14:val="tx1"/>
            </w14:solidFill>
          </w14:textFill>
        </w:rPr>
        <w:sectPr>
          <w:footerReference r:id="rId3" w:type="first"/>
          <w:pgSz w:w="11850" w:h="16783"/>
          <w:pgMar w:top="1418" w:right="1588" w:bottom="1418" w:left="1588" w:header="851" w:footer="992" w:gutter="0"/>
          <w:cols w:space="720" w:num="1"/>
        </w:sectPr>
      </w:pPr>
    </w:p>
    <w:p w14:paraId="23484245">
      <w:pPr>
        <w:spacing w:line="480" w:lineRule="auto"/>
        <w:jc w:val="center"/>
        <w:rPr>
          <w:color w:val="000000" w:themeColor="text1"/>
          <w:highlight w:val="none"/>
          <w14:textFill>
            <w14:solidFill>
              <w14:schemeClr w14:val="tx1"/>
            </w14:solidFill>
          </w14:textFill>
        </w:rPr>
      </w:pPr>
      <w:bookmarkStart w:id="0" w:name="_Toc246996898"/>
      <w:bookmarkEnd w:id="0"/>
      <w:bookmarkStart w:id="1" w:name="_Toc296602400"/>
      <w:bookmarkEnd w:id="1"/>
      <w:bookmarkStart w:id="2" w:name="_Toc247085669"/>
      <w:bookmarkEnd w:id="2"/>
      <w:bookmarkStart w:id="3" w:name="_Toc456164339"/>
      <w:bookmarkStart w:id="4" w:name="_Toc152042287"/>
      <w:bookmarkStart w:id="5" w:name="_Toc246996157"/>
      <w:bookmarkStart w:id="6" w:name="_Toc144974479"/>
      <w:bookmarkStart w:id="7" w:name="_Toc152045511"/>
      <w:bookmarkStart w:id="8" w:name="_Toc247085671"/>
      <w:bookmarkStart w:id="9" w:name="_Toc179632527"/>
      <w:bookmarkStart w:id="10" w:name="_Toc247096243"/>
      <w:bookmarkStart w:id="11" w:name="_Toc246996900"/>
      <w:r>
        <w:rPr>
          <w:rFonts w:hint="eastAsia" w:asciiTheme="minorEastAsia" w:hAnsiTheme="minorEastAsia" w:eastAsiaTheme="minorEastAsia"/>
          <w:color w:val="000000" w:themeColor="text1"/>
          <w:sz w:val="28"/>
          <w:szCs w:val="28"/>
          <w:highlight w:val="none"/>
          <w14:textFill>
            <w14:solidFill>
              <w14:schemeClr w14:val="tx1"/>
            </w14:solidFill>
          </w14:textFill>
        </w:rPr>
        <w:t>目   录</w:t>
      </w:r>
      <w:bookmarkEnd w:id="3"/>
      <w:r>
        <w:rPr>
          <w:rFonts w:cs="宋体" w:asciiTheme="minorEastAsia" w:hAnsiTheme="minorEastAsia" w:eastAsiaTheme="minorEastAsia"/>
          <w:color w:val="000000" w:themeColor="text1"/>
          <w:sz w:val="32"/>
          <w:szCs w:val="32"/>
          <w:highlight w:val="none"/>
          <w14:textFill>
            <w14:solidFill>
              <w14:schemeClr w14:val="tx1"/>
            </w14:solidFill>
          </w14:textFill>
        </w:rPr>
        <w:fldChar w:fldCharType="begin"/>
      </w:r>
      <w:r>
        <w:rPr>
          <w:rFonts w:cs="宋体" w:asciiTheme="minorEastAsia" w:hAnsiTheme="minorEastAsia" w:eastAsiaTheme="minorEastAsia"/>
          <w:color w:val="000000" w:themeColor="text1"/>
          <w:sz w:val="32"/>
          <w:szCs w:val="32"/>
          <w:highlight w:val="none"/>
          <w14:textFill>
            <w14:solidFill>
              <w14:schemeClr w14:val="tx1"/>
            </w14:solidFill>
          </w14:textFill>
        </w:rPr>
        <w:instrText xml:space="preserve"> TOC \o "1-2" \h \z \u </w:instrText>
      </w:r>
      <w:r>
        <w:rPr>
          <w:rFonts w:cs="宋体" w:asciiTheme="minorEastAsia" w:hAnsiTheme="minorEastAsia" w:eastAsiaTheme="minorEastAsia"/>
          <w:color w:val="000000" w:themeColor="text1"/>
          <w:sz w:val="32"/>
          <w:szCs w:val="32"/>
          <w:highlight w:val="none"/>
          <w14:textFill>
            <w14:solidFill>
              <w14:schemeClr w14:val="tx1"/>
            </w14:solidFill>
          </w14:textFill>
        </w:rPr>
        <w:fldChar w:fldCharType="separate"/>
      </w:r>
    </w:p>
    <w:p w14:paraId="3A4DB3D4">
      <w:pPr>
        <w:pStyle w:val="14"/>
        <w:tabs>
          <w:tab w:val="right" w:leader="dot" w:pos="8664"/>
        </w:tabs>
        <w:spacing w:line="480" w:lineRule="auto"/>
        <w:rPr>
          <w:rFonts w:ascii="宋体" w:hAnsi="宋体" w:cstheme="minorBidi"/>
          <w:b w:val="0"/>
          <w:bCs w:val="0"/>
          <w:caps w:val="0"/>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"_Toc173510805" </w:instrText>
      </w:r>
      <w:r>
        <w:rPr>
          <w:color w:val="000000" w:themeColor="text1"/>
          <w:highlight w:val="none"/>
          <w14:textFill>
            <w14:solidFill>
              <w14:schemeClr w14:val="tx1"/>
            </w14:solidFill>
          </w14:textFill>
        </w:rPr>
        <w:fldChar w:fldCharType="separate"/>
      </w:r>
      <w:r>
        <w:rPr>
          <w:rStyle w:val="26"/>
          <w:rFonts w:hint="eastAsia" w:ascii="宋体" w:hAnsi="宋体"/>
          <w:color w:val="000000" w:themeColor="text1"/>
          <w:sz w:val="24"/>
          <w:szCs w:val="24"/>
          <w:highlight w:val="none"/>
          <w14:textFill>
            <w14:solidFill>
              <w14:schemeClr w14:val="tx1"/>
            </w14:solidFill>
          </w14:textFill>
        </w:rPr>
        <w:t>第一章</w:t>
      </w:r>
      <w:r>
        <w:rPr>
          <w:rStyle w:val="26"/>
          <w:rFonts w:ascii="宋体" w:hAnsi="宋体"/>
          <w:color w:val="000000" w:themeColor="text1"/>
          <w:sz w:val="24"/>
          <w:szCs w:val="24"/>
          <w:highlight w:val="none"/>
          <w14:textFill>
            <w14:solidFill>
              <w14:schemeClr w14:val="tx1"/>
            </w14:solidFill>
          </w14:textFill>
        </w:rPr>
        <w:t xml:space="preserve"> </w:t>
      </w:r>
      <w:r>
        <w:rPr>
          <w:rStyle w:val="26"/>
          <w:rFonts w:hint="eastAsia" w:ascii="宋体" w:hAnsi="宋体"/>
          <w:color w:val="000000" w:themeColor="text1"/>
          <w:sz w:val="24"/>
          <w:szCs w:val="24"/>
          <w:highlight w:val="none"/>
          <w14:textFill>
            <w14:solidFill>
              <w14:schemeClr w14:val="tx1"/>
            </w14:solidFill>
          </w14:textFill>
        </w:rPr>
        <w:t>竞争性磋商公告</w:t>
      </w:r>
      <w:r>
        <w:rPr>
          <w:rFonts w:ascii="宋体" w:hAnsi="宋体"/>
          <w:color w:val="000000" w:themeColor="text1"/>
          <w:sz w:val="24"/>
          <w:szCs w:val="24"/>
          <w:highlight w:val="none"/>
          <w14:textFill>
            <w14:solidFill>
              <w14:schemeClr w14:val="tx1"/>
            </w14:solidFill>
          </w14:textFill>
        </w:rPr>
        <w:tab/>
      </w:r>
      <w:r>
        <w:rPr>
          <w:rFonts w:ascii="宋体" w:hAnsi="宋体"/>
          <w:color w:val="000000" w:themeColor="text1"/>
          <w:sz w:val="24"/>
          <w:szCs w:val="24"/>
          <w:highlight w:val="none"/>
          <w14:textFill>
            <w14:solidFill>
              <w14:schemeClr w14:val="tx1"/>
            </w14:solidFill>
          </w14:textFill>
        </w:rPr>
        <w:fldChar w:fldCharType="begin"/>
      </w:r>
      <w:r>
        <w:rPr>
          <w:rFonts w:ascii="宋体" w:hAnsi="宋体"/>
          <w:color w:val="000000" w:themeColor="text1"/>
          <w:sz w:val="24"/>
          <w:szCs w:val="24"/>
          <w:highlight w:val="none"/>
          <w14:textFill>
            <w14:solidFill>
              <w14:schemeClr w14:val="tx1"/>
            </w14:solidFill>
          </w14:textFill>
        </w:rPr>
        <w:instrText xml:space="preserve"> PAGEREF _Toc173510805 \h </w:instrText>
      </w:r>
      <w:r>
        <w:rPr>
          <w:rFonts w:ascii="宋体" w:hAnsi="宋体"/>
          <w:color w:val="000000" w:themeColor="text1"/>
          <w:sz w:val="24"/>
          <w:szCs w:val="24"/>
          <w:highlight w:val="none"/>
          <w14:textFill>
            <w14:solidFill>
              <w14:schemeClr w14:val="tx1"/>
            </w14:solidFill>
          </w14:textFill>
        </w:rPr>
        <w:fldChar w:fldCharType="separate"/>
      </w:r>
      <w:r>
        <w:rPr>
          <w:rFonts w:ascii="宋体" w:hAnsi="宋体"/>
          <w:color w:val="000000" w:themeColor="text1"/>
          <w:sz w:val="24"/>
          <w:szCs w:val="24"/>
          <w:highlight w:val="none"/>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fldChar w:fldCharType="end"/>
      </w:r>
      <w:r>
        <w:rPr>
          <w:rFonts w:ascii="宋体" w:hAnsi="宋体"/>
          <w:color w:val="000000" w:themeColor="text1"/>
          <w:sz w:val="24"/>
          <w:szCs w:val="24"/>
          <w:highlight w:val="none"/>
          <w14:textFill>
            <w14:solidFill>
              <w14:schemeClr w14:val="tx1"/>
            </w14:solidFill>
          </w14:textFill>
        </w:rPr>
        <w:fldChar w:fldCharType="end"/>
      </w:r>
    </w:p>
    <w:p w14:paraId="5E891CD8">
      <w:pPr>
        <w:pStyle w:val="14"/>
        <w:tabs>
          <w:tab w:val="right" w:leader="dot" w:pos="8664"/>
        </w:tabs>
        <w:spacing w:line="480" w:lineRule="auto"/>
        <w:rPr>
          <w:rFonts w:ascii="宋体" w:hAnsi="宋体" w:cstheme="minorBidi"/>
          <w:b w:val="0"/>
          <w:bCs w:val="0"/>
          <w:caps w:val="0"/>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"_Toc173510806" </w:instrText>
      </w:r>
      <w:r>
        <w:rPr>
          <w:color w:val="000000" w:themeColor="text1"/>
          <w:highlight w:val="none"/>
          <w14:textFill>
            <w14:solidFill>
              <w14:schemeClr w14:val="tx1"/>
            </w14:solidFill>
          </w14:textFill>
        </w:rPr>
        <w:fldChar w:fldCharType="separate"/>
      </w:r>
      <w:r>
        <w:rPr>
          <w:rStyle w:val="26"/>
          <w:rFonts w:hint="eastAsia" w:ascii="宋体" w:hAnsi="宋体"/>
          <w:color w:val="000000" w:themeColor="text1"/>
          <w:sz w:val="24"/>
          <w:szCs w:val="24"/>
          <w:highlight w:val="none"/>
          <w14:textFill>
            <w14:solidFill>
              <w14:schemeClr w14:val="tx1"/>
            </w14:solidFill>
          </w14:textFill>
        </w:rPr>
        <w:t>第二章</w:t>
      </w:r>
      <w:r>
        <w:rPr>
          <w:rStyle w:val="26"/>
          <w:rFonts w:ascii="宋体" w:hAnsi="宋体"/>
          <w:color w:val="000000" w:themeColor="text1"/>
          <w:sz w:val="24"/>
          <w:szCs w:val="24"/>
          <w:highlight w:val="none"/>
          <w14:textFill>
            <w14:solidFill>
              <w14:schemeClr w14:val="tx1"/>
            </w14:solidFill>
          </w14:textFill>
        </w:rPr>
        <w:t xml:space="preserve"> </w:t>
      </w:r>
      <w:r>
        <w:rPr>
          <w:rStyle w:val="26"/>
          <w:rFonts w:hint="eastAsia" w:ascii="宋体" w:hAnsi="宋体"/>
          <w:color w:val="000000" w:themeColor="text1"/>
          <w:sz w:val="24"/>
          <w:szCs w:val="24"/>
          <w:highlight w:val="none"/>
          <w14:textFill>
            <w14:solidFill>
              <w14:schemeClr w14:val="tx1"/>
            </w14:solidFill>
          </w14:textFill>
        </w:rPr>
        <w:t>供应商须知</w:t>
      </w:r>
      <w:r>
        <w:rPr>
          <w:rFonts w:ascii="宋体" w:hAnsi="宋体"/>
          <w:color w:val="000000" w:themeColor="text1"/>
          <w:sz w:val="24"/>
          <w:szCs w:val="24"/>
          <w:highlight w:val="none"/>
          <w14:textFill>
            <w14:solidFill>
              <w14:schemeClr w14:val="tx1"/>
            </w14:solidFill>
          </w14:textFill>
        </w:rPr>
        <w:tab/>
      </w:r>
      <w:r>
        <w:rPr>
          <w:rFonts w:ascii="宋体" w:hAnsi="宋体"/>
          <w:color w:val="000000" w:themeColor="text1"/>
          <w:sz w:val="24"/>
          <w:szCs w:val="24"/>
          <w:highlight w:val="none"/>
          <w14:textFill>
            <w14:solidFill>
              <w14:schemeClr w14:val="tx1"/>
            </w14:solidFill>
          </w14:textFill>
        </w:rPr>
        <w:fldChar w:fldCharType="begin"/>
      </w:r>
      <w:r>
        <w:rPr>
          <w:rFonts w:ascii="宋体" w:hAnsi="宋体"/>
          <w:color w:val="000000" w:themeColor="text1"/>
          <w:sz w:val="24"/>
          <w:szCs w:val="24"/>
          <w:highlight w:val="none"/>
          <w14:textFill>
            <w14:solidFill>
              <w14:schemeClr w14:val="tx1"/>
            </w14:solidFill>
          </w14:textFill>
        </w:rPr>
        <w:instrText xml:space="preserve"> PAGEREF _Toc173510806 \h </w:instrText>
      </w:r>
      <w:r>
        <w:rPr>
          <w:rFonts w:ascii="宋体" w:hAnsi="宋体"/>
          <w:color w:val="000000" w:themeColor="text1"/>
          <w:sz w:val="24"/>
          <w:szCs w:val="24"/>
          <w:highlight w:val="none"/>
          <w14:textFill>
            <w14:solidFill>
              <w14:schemeClr w14:val="tx1"/>
            </w14:solidFill>
          </w14:textFill>
        </w:rPr>
        <w:fldChar w:fldCharType="separate"/>
      </w:r>
      <w:r>
        <w:rPr>
          <w:rFonts w:ascii="宋体" w:hAnsi="宋体"/>
          <w:color w:val="000000" w:themeColor="text1"/>
          <w:sz w:val="24"/>
          <w:szCs w:val="24"/>
          <w:highlight w:val="none"/>
          <w14:textFill>
            <w14:solidFill>
              <w14:schemeClr w14:val="tx1"/>
            </w14:solidFill>
          </w14:textFill>
        </w:rPr>
        <w:t>6</w:t>
      </w:r>
      <w:r>
        <w:rPr>
          <w:rFonts w:ascii="宋体" w:hAnsi="宋体"/>
          <w:color w:val="000000" w:themeColor="text1"/>
          <w:sz w:val="24"/>
          <w:szCs w:val="24"/>
          <w:highlight w:val="none"/>
          <w14:textFill>
            <w14:solidFill>
              <w14:schemeClr w14:val="tx1"/>
            </w14:solidFill>
          </w14:textFill>
        </w:rPr>
        <w:fldChar w:fldCharType="end"/>
      </w:r>
      <w:r>
        <w:rPr>
          <w:rFonts w:ascii="宋体" w:hAnsi="宋体"/>
          <w:color w:val="000000" w:themeColor="text1"/>
          <w:sz w:val="24"/>
          <w:szCs w:val="24"/>
          <w:highlight w:val="none"/>
          <w14:textFill>
            <w14:solidFill>
              <w14:schemeClr w14:val="tx1"/>
            </w14:solidFill>
          </w14:textFill>
        </w:rPr>
        <w:fldChar w:fldCharType="end"/>
      </w:r>
    </w:p>
    <w:p w14:paraId="4D80B01A">
      <w:pPr>
        <w:pStyle w:val="14"/>
        <w:tabs>
          <w:tab w:val="right" w:leader="dot" w:pos="8664"/>
        </w:tabs>
        <w:spacing w:line="480" w:lineRule="auto"/>
        <w:rPr>
          <w:rFonts w:ascii="宋体" w:hAnsi="宋体" w:cstheme="minorBidi"/>
          <w:b w:val="0"/>
          <w:bCs w:val="0"/>
          <w:caps w:val="0"/>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"_Toc173510807" </w:instrText>
      </w:r>
      <w:r>
        <w:rPr>
          <w:color w:val="000000" w:themeColor="text1"/>
          <w:highlight w:val="none"/>
          <w14:textFill>
            <w14:solidFill>
              <w14:schemeClr w14:val="tx1"/>
            </w14:solidFill>
          </w14:textFill>
        </w:rPr>
        <w:fldChar w:fldCharType="separate"/>
      </w:r>
      <w:r>
        <w:rPr>
          <w:rStyle w:val="26"/>
          <w:rFonts w:hint="eastAsia" w:ascii="宋体" w:hAnsi="宋体"/>
          <w:color w:val="000000" w:themeColor="text1"/>
          <w:kern w:val="44"/>
          <w:sz w:val="24"/>
          <w:szCs w:val="24"/>
          <w:highlight w:val="none"/>
          <w14:textFill>
            <w14:solidFill>
              <w14:schemeClr w14:val="tx1"/>
            </w14:solidFill>
          </w14:textFill>
        </w:rPr>
        <w:t>第三章</w:t>
      </w:r>
      <w:r>
        <w:rPr>
          <w:rStyle w:val="26"/>
          <w:rFonts w:ascii="宋体" w:hAnsi="宋体"/>
          <w:color w:val="000000" w:themeColor="text1"/>
          <w:kern w:val="44"/>
          <w:sz w:val="24"/>
          <w:szCs w:val="24"/>
          <w:highlight w:val="none"/>
          <w14:textFill>
            <w14:solidFill>
              <w14:schemeClr w14:val="tx1"/>
            </w14:solidFill>
          </w14:textFill>
        </w:rPr>
        <w:t xml:space="preserve"> </w:t>
      </w:r>
      <w:r>
        <w:rPr>
          <w:rStyle w:val="26"/>
          <w:rFonts w:hint="eastAsia" w:ascii="宋体" w:hAnsi="宋体"/>
          <w:color w:val="000000" w:themeColor="text1"/>
          <w:kern w:val="44"/>
          <w:sz w:val="24"/>
          <w:szCs w:val="24"/>
          <w:highlight w:val="none"/>
          <w14:textFill>
            <w14:solidFill>
              <w14:schemeClr w14:val="tx1"/>
            </w14:solidFill>
          </w14:textFill>
        </w:rPr>
        <w:t>服务内容与相关要求</w:t>
      </w:r>
      <w:r>
        <w:rPr>
          <w:rFonts w:ascii="宋体" w:hAnsi="宋体"/>
          <w:color w:val="000000" w:themeColor="text1"/>
          <w:sz w:val="24"/>
          <w:szCs w:val="24"/>
          <w:highlight w:val="none"/>
          <w14:textFill>
            <w14:solidFill>
              <w14:schemeClr w14:val="tx1"/>
            </w14:solidFill>
          </w14:textFill>
        </w:rPr>
        <w:tab/>
      </w:r>
      <w:r>
        <w:rPr>
          <w:rFonts w:ascii="宋体" w:hAnsi="宋体"/>
          <w:color w:val="000000" w:themeColor="text1"/>
          <w:sz w:val="24"/>
          <w:szCs w:val="24"/>
          <w:highlight w:val="none"/>
          <w14:textFill>
            <w14:solidFill>
              <w14:schemeClr w14:val="tx1"/>
            </w14:solidFill>
          </w14:textFill>
        </w:rPr>
        <w:fldChar w:fldCharType="begin"/>
      </w:r>
      <w:r>
        <w:rPr>
          <w:rFonts w:ascii="宋体" w:hAnsi="宋体"/>
          <w:color w:val="000000" w:themeColor="text1"/>
          <w:sz w:val="24"/>
          <w:szCs w:val="24"/>
          <w:highlight w:val="none"/>
          <w14:textFill>
            <w14:solidFill>
              <w14:schemeClr w14:val="tx1"/>
            </w14:solidFill>
          </w14:textFill>
        </w:rPr>
        <w:instrText xml:space="preserve"> PAGEREF _Toc173510807 \h </w:instrText>
      </w:r>
      <w:r>
        <w:rPr>
          <w:rFonts w:ascii="宋体" w:hAnsi="宋体"/>
          <w:color w:val="000000" w:themeColor="text1"/>
          <w:sz w:val="24"/>
          <w:szCs w:val="24"/>
          <w:highlight w:val="none"/>
          <w14:textFill>
            <w14:solidFill>
              <w14:schemeClr w14:val="tx1"/>
            </w14:solidFill>
          </w14:textFill>
        </w:rPr>
        <w:fldChar w:fldCharType="separate"/>
      </w:r>
      <w:r>
        <w:rPr>
          <w:rFonts w:ascii="宋体" w:hAnsi="宋体"/>
          <w:color w:val="000000" w:themeColor="text1"/>
          <w:sz w:val="24"/>
          <w:szCs w:val="24"/>
          <w:highlight w:val="none"/>
          <w14:textFill>
            <w14:solidFill>
              <w14:schemeClr w14:val="tx1"/>
            </w14:solidFill>
          </w14:textFill>
        </w:rPr>
        <w:t>27</w:t>
      </w:r>
      <w:r>
        <w:rPr>
          <w:rFonts w:ascii="宋体" w:hAnsi="宋体"/>
          <w:color w:val="000000" w:themeColor="text1"/>
          <w:sz w:val="24"/>
          <w:szCs w:val="24"/>
          <w:highlight w:val="none"/>
          <w14:textFill>
            <w14:solidFill>
              <w14:schemeClr w14:val="tx1"/>
            </w14:solidFill>
          </w14:textFill>
        </w:rPr>
        <w:fldChar w:fldCharType="end"/>
      </w:r>
      <w:r>
        <w:rPr>
          <w:rFonts w:ascii="宋体" w:hAnsi="宋体"/>
          <w:color w:val="000000" w:themeColor="text1"/>
          <w:sz w:val="24"/>
          <w:szCs w:val="24"/>
          <w:highlight w:val="none"/>
          <w14:textFill>
            <w14:solidFill>
              <w14:schemeClr w14:val="tx1"/>
            </w14:solidFill>
          </w14:textFill>
        </w:rPr>
        <w:fldChar w:fldCharType="end"/>
      </w:r>
    </w:p>
    <w:p w14:paraId="40B7EAD1">
      <w:pPr>
        <w:pStyle w:val="14"/>
        <w:tabs>
          <w:tab w:val="right" w:leader="dot" w:pos="8664"/>
        </w:tabs>
        <w:spacing w:line="480" w:lineRule="auto"/>
        <w:rPr>
          <w:rFonts w:ascii="宋体" w:hAnsi="宋体" w:cstheme="minorBidi"/>
          <w:b w:val="0"/>
          <w:bCs w:val="0"/>
          <w:caps w:val="0"/>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"_Toc173510808" </w:instrText>
      </w:r>
      <w:r>
        <w:rPr>
          <w:color w:val="000000" w:themeColor="text1"/>
          <w:highlight w:val="none"/>
          <w14:textFill>
            <w14:solidFill>
              <w14:schemeClr w14:val="tx1"/>
            </w14:solidFill>
          </w14:textFill>
        </w:rPr>
        <w:fldChar w:fldCharType="separate"/>
      </w:r>
      <w:r>
        <w:rPr>
          <w:rStyle w:val="26"/>
          <w:rFonts w:hint="eastAsia" w:ascii="宋体" w:hAnsi="宋体"/>
          <w:color w:val="000000" w:themeColor="text1"/>
          <w:sz w:val="24"/>
          <w:szCs w:val="24"/>
          <w:highlight w:val="none"/>
          <w14:textFill>
            <w14:solidFill>
              <w14:schemeClr w14:val="tx1"/>
            </w14:solidFill>
          </w14:textFill>
        </w:rPr>
        <w:t>第四章</w:t>
      </w:r>
      <w:r>
        <w:rPr>
          <w:rStyle w:val="26"/>
          <w:rFonts w:ascii="宋体" w:hAnsi="宋体"/>
          <w:color w:val="000000" w:themeColor="text1"/>
          <w:sz w:val="24"/>
          <w:szCs w:val="24"/>
          <w:highlight w:val="none"/>
          <w14:textFill>
            <w14:solidFill>
              <w14:schemeClr w14:val="tx1"/>
            </w14:solidFill>
          </w14:textFill>
        </w:rPr>
        <w:t xml:space="preserve"> </w:t>
      </w:r>
      <w:r>
        <w:rPr>
          <w:rStyle w:val="26"/>
          <w:rFonts w:hint="eastAsia" w:ascii="宋体" w:hAnsi="宋体"/>
          <w:color w:val="000000" w:themeColor="text1"/>
          <w:sz w:val="24"/>
          <w:szCs w:val="24"/>
          <w:highlight w:val="none"/>
          <w14:textFill>
            <w14:solidFill>
              <w14:schemeClr w14:val="tx1"/>
            </w14:solidFill>
          </w14:textFill>
        </w:rPr>
        <w:t>评审办法</w:t>
      </w:r>
      <w:r>
        <w:rPr>
          <w:rFonts w:ascii="宋体" w:hAnsi="宋体"/>
          <w:color w:val="000000" w:themeColor="text1"/>
          <w:sz w:val="24"/>
          <w:szCs w:val="24"/>
          <w:highlight w:val="none"/>
          <w14:textFill>
            <w14:solidFill>
              <w14:schemeClr w14:val="tx1"/>
            </w14:solidFill>
          </w14:textFill>
        </w:rPr>
        <w:tab/>
      </w:r>
      <w:r>
        <w:rPr>
          <w:rFonts w:ascii="宋体" w:hAnsi="宋体"/>
          <w:color w:val="000000" w:themeColor="text1"/>
          <w:sz w:val="24"/>
          <w:szCs w:val="24"/>
          <w:highlight w:val="none"/>
          <w14:textFill>
            <w14:solidFill>
              <w14:schemeClr w14:val="tx1"/>
            </w14:solidFill>
          </w14:textFill>
        </w:rPr>
        <w:fldChar w:fldCharType="begin"/>
      </w:r>
      <w:r>
        <w:rPr>
          <w:rFonts w:ascii="宋体" w:hAnsi="宋体"/>
          <w:color w:val="000000" w:themeColor="text1"/>
          <w:sz w:val="24"/>
          <w:szCs w:val="24"/>
          <w:highlight w:val="none"/>
          <w14:textFill>
            <w14:solidFill>
              <w14:schemeClr w14:val="tx1"/>
            </w14:solidFill>
          </w14:textFill>
        </w:rPr>
        <w:instrText xml:space="preserve"> PAGEREF _Toc173510808 \h </w:instrText>
      </w:r>
      <w:r>
        <w:rPr>
          <w:rFonts w:ascii="宋体" w:hAnsi="宋体"/>
          <w:color w:val="000000" w:themeColor="text1"/>
          <w:sz w:val="24"/>
          <w:szCs w:val="24"/>
          <w:highlight w:val="none"/>
          <w14:textFill>
            <w14:solidFill>
              <w14:schemeClr w14:val="tx1"/>
            </w14:solidFill>
          </w14:textFill>
        </w:rPr>
        <w:fldChar w:fldCharType="separate"/>
      </w:r>
      <w:r>
        <w:rPr>
          <w:rFonts w:ascii="宋体" w:hAnsi="宋体"/>
          <w:color w:val="000000" w:themeColor="text1"/>
          <w:sz w:val="24"/>
          <w:szCs w:val="24"/>
          <w:highlight w:val="none"/>
          <w14:textFill>
            <w14:solidFill>
              <w14:schemeClr w14:val="tx1"/>
            </w14:solidFill>
          </w14:textFill>
        </w:rPr>
        <w:t>43</w:t>
      </w:r>
      <w:r>
        <w:rPr>
          <w:rFonts w:ascii="宋体" w:hAnsi="宋体"/>
          <w:color w:val="000000" w:themeColor="text1"/>
          <w:sz w:val="24"/>
          <w:szCs w:val="24"/>
          <w:highlight w:val="none"/>
          <w14:textFill>
            <w14:solidFill>
              <w14:schemeClr w14:val="tx1"/>
            </w14:solidFill>
          </w14:textFill>
        </w:rPr>
        <w:fldChar w:fldCharType="end"/>
      </w:r>
      <w:r>
        <w:rPr>
          <w:rFonts w:ascii="宋体" w:hAnsi="宋体"/>
          <w:color w:val="000000" w:themeColor="text1"/>
          <w:sz w:val="24"/>
          <w:szCs w:val="24"/>
          <w:highlight w:val="none"/>
          <w14:textFill>
            <w14:solidFill>
              <w14:schemeClr w14:val="tx1"/>
            </w14:solidFill>
          </w14:textFill>
        </w:rPr>
        <w:fldChar w:fldCharType="end"/>
      </w:r>
    </w:p>
    <w:p w14:paraId="23F05BD8">
      <w:pPr>
        <w:pStyle w:val="14"/>
        <w:tabs>
          <w:tab w:val="right" w:leader="dot" w:pos="8664"/>
        </w:tabs>
        <w:spacing w:line="480" w:lineRule="auto"/>
        <w:rPr>
          <w:rFonts w:ascii="宋体" w:hAnsi="宋体" w:cstheme="minorBidi"/>
          <w:b w:val="0"/>
          <w:bCs w:val="0"/>
          <w:caps w:val="0"/>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"_Toc173510809" </w:instrText>
      </w:r>
      <w:r>
        <w:rPr>
          <w:color w:val="000000" w:themeColor="text1"/>
          <w:highlight w:val="none"/>
          <w14:textFill>
            <w14:solidFill>
              <w14:schemeClr w14:val="tx1"/>
            </w14:solidFill>
          </w14:textFill>
        </w:rPr>
        <w:fldChar w:fldCharType="separate"/>
      </w:r>
      <w:r>
        <w:rPr>
          <w:rStyle w:val="26"/>
          <w:rFonts w:hint="eastAsia" w:ascii="宋体" w:hAnsi="宋体"/>
          <w:color w:val="000000" w:themeColor="text1"/>
          <w:sz w:val="24"/>
          <w:szCs w:val="24"/>
          <w:highlight w:val="none"/>
          <w14:textFill>
            <w14:solidFill>
              <w14:schemeClr w14:val="tx1"/>
            </w14:solidFill>
          </w14:textFill>
        </w:rPr>
        <w:t>第五章</w:t>
      </w:r>
      <w:r>
        <w:rPr>
          <w:rStyle w:val="26"/>
          <w:rFonts w:ascii="宋体" w:hAnsi="宋体"/>
          <w:color w:val="000000" w:themeColor="text1"/>
          <w:sz w:val="24"/>
          <w:szCs w:val="24"/>
          <w:highlight w:val="none"/>
          <w14:textFill>
            <w14:solidFill>
              <w14:schemeClr w14:val="tx1"/>
            </w14:solidFill>
          </w14:textFill>
        </w:rPr>
        <w:t xml:space="preserve"> </w:t>
      </w:r>
      <w:r>
        <w:rPr>
          <w:rStyle w:val="26"/>
          <w:rFonts w:hint="eastAsia" w:ascii="宋体" w:hAnsi="宋体"/>
          <w:color w:val="000000" w:themeColor="text1"/>
          <w:sz w:val="24"/>
          <w:szCs w:val="24"/>
          <w:highlight w:val="none"/>
          <w14:textFill>
            <w14:solidFill>
              <w14:schemeClr w14:val="tx1"/>
            </w14:solidFill>
          </w14:textFill>
        </w:rPr>
        <w:t>合同主要条款及格式</w:t>
      </w:r>
      <w:r>
        <w:rPr>
          <w:rFonts w:ascii="宋体" w:hAnsi="宋体"/>
          <w:color w:val="000000" w:themeColor="text1"/>
          <w:sz w:val="24"/>
          <w:szCs w:val="24"/>
          <w:highlight w:val="none"/>
          <w14:textFill>
            <w14:solidFill>
              <w14:schemeClr w14:val="tx1"/>
            </w14:solidFill>
          </w14:textFill>
        </w:rPr>
        <w:tab/>
      </w:r>
      <w:r>
        <w:rPr>
          <w:rFonts w:ascii="宋体" w:hAnsi="宋体"/>
          <w:color w:val="000000" w:themeColor="text1"/>
          <w:sz w:val="24"/>
          <w:szCs w:val="24"/>
          <w:highlight w:val="none"/>
          <w14:textFill>
            <w14:solidFill>
              <w14:schemeClr w14:val="tx1"/>
            </w14:solidFill>
          </w14:textFill>
        </w:rPr>
        <w:fldChar w:fldCharType="begin"/>
      </w:r>
      <w:r>
        <w:rPr>
          <w:rFonts w:ascii="宋体" w:hAnsi="宋体"/>
          <w:color w:val="000000" w:themeColor="text1"/>
          <w:sz w:val="24"/>
          <w:szCs w:val="24"/>
          <w:highlight w:val="none"/>
          <w14:textFill>
            <w14:solidFill>
              <w14:schemeClr w14:val="tx1"/>
            </w14:solidFill>
          </w14:textFill>
        </w:rPr>
        <w:instrText xml:space="preserve"> PAGEREF _Toc173510809 \h </w:instrText>
      </w:r>
      <w:r>
        <w:rPr>
          <w:rFonts w:ascii="宋体" w:hAnsi="宋体"/>
          <w:color w:val="000000" w:themeColor="text1"/>
          <w:sz w:val="24"/>
          <w:szCs w:val="24"/>
          <w:highlight w:val="none"/>
          <w14:textFill>
            <w14:solidFill>
              <w14:schemeClr w14:val="tx1"/>
            </w14:solidFill>
          </w14:textFill>
        </w:rPr>
        <w:fldChar w:fldCharType="separate"/>
      </w:r>
      <w:r>
        <w:rPr>
          <w:rFonts w:ascii="宋体" w:hAnsi="宋体"/>
          <w:color w:val="000000" w:themeColor="text1"/>
          <w:sz w:val="24"/>
          <w:szCs w:val="24"/>
          <w:highlight w:val="none"/>
          <w14:textFill>
            <w14:solidFill>
              <w14:schemeClr w14:val="tx1"/>
            </w14:solidFill>
          </w14:textFill>
        </w:rPr>
        <w:t>58</w:t>
      </w:r>
      <w:r>
        <w:rPr>
          <w:rFonts w:ascii="宋体" w:hAnsi="宋体"/>
          <w:color w:val="000000" w:themeColor="text1"/>
          <w:sz w:val="24"/>
          <w:szCs w:val="24"/>
          <w:highlight w:val="none"/>
          <w14:textFill>
            <w14:solidFill>
              <w14:schemeClr w14:val="tx1"/>
            </w14:solidFill>
          </w14:textFill>
        </w:rPr>
        <w:fldChar w:fldCharType="end"/>
      </w:r>
      <w:r>
        <w:rPr>
          <w:rFonts w:ascii="宋体" w:hAnsi="宋体"/>
          <w:color w:val="000000" w:themeColor="text1"/>
          <w:sz w:val="24"/>
          <w:szCs w:val="24"/>
          <w:highlight w:val="none"/>
          <w14:textFill>
            <w14:solidFill>
              <w14:schemeClr w14:val="tx1"/>
            </w14:solidFill>
          </w14:textFill>
        </w:rPr>
        <w:fldChar w:fldCharType="end"/>
      </w:r>
    </w:p>
    <w:p w14:paraId="0A4594F9">
      <w:pPr>
        <w:pStyle w:val="14"/>
        <w:tabs>
          <w:tab w:val="right" w:leader="dot" w:pos="8664"/>
        </w:tabs>
        <w:spacing w:line="480" w:lineRule="auto"/>
        <w:rPr>
          <w:rFonts w:ascii="宋体" w:hAnsi="宋体" w:cstheme="minorBidi"/>
          <w:b w:val="0"/>
          <w:bCs w:val="0"/>
          <w:caps w:val="0"/>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"_Toc173510810" </w:instrText>
      </w:r>
      <w:r>
        <w:rPr>
          <w:color w:val="000000" w:themeColor="text1"/>
          <w:highlight w:val="none"/>
          <w14:textFill>
            <w14:solidFill>
              <w14:schemeClr w14:val="tx1"/>
            </w14:solidFill>
          </w14:textFill>
        </w:rPr>
        <w:fldChar w:fldCharType="separate"/>
      </w:r>
      <w:r>
        <w:rPr>
          <w:rStyle w:val="26"/>
          <w:rFonts w:hint="eastAsia" w:ascii="宋体" w:hAnsi="宋体"/>
          <w:color w:val="000000" w:themeColor="text1"/>
          <w:sz w:val="24"/>
          <w:szCs w:val="24"/>
          <w:highlight w:val="none"/>
          <w14:textFill>
            <w14:solidFill>
              <w14:schemeClr w14:val="tx1"/>
            </w14:solidFill>
          </w14:textFill>
        </w:rPr>
        <w:t>第六章</w:t>
      </w:r>
      <w:r>
        <w:rPr>
          <w:rStyle w:val="26"/>
          <w:rFonts w:ascii="宋体" w:hAnsi="宋体"/>
          <w:color w:val="000000" w:themeColor="text1"/>
          <w:sz w:val="24"/>
          <w:szCs w:val="24"/>
          <w:highlight w:val="none"/>
          <w14:textFill>
            <w14:solidFill>
              <w14:schemeClr w14:val="tx1"/>
            </w14:solidFill>
          </w14:textFill>
        </w:rPr>
        <w:t xml:space="preserve"> </w:t>
      </w:r>
      <w:r>
        <w:rPr>
          <w:rStyle w:val="26"/>
          <w:rFonts w:hint="eastAsia" w:ascii="宋体" w:hAnsi="宋体"/>
          <w:color w:val="000000" w:themeColor="text1"/>
          <w:sz w:val="24"/>
          <w:szCs w:val="24"/>
          <w:highlight w:val="none"/>
          <w14:textFill>
            <w14:solidFill>
              <w14:schemeClr w14:val="tx1"/>
            </w14:solidFill>
          </w14:textFill>
        </w:rPr>
        <w:t>磋商响应文件格式</w:t>
      </w:r>
      <w:r>
        <w:rPr>
          <w:rFonts w:ascii="宋体" w:hAnsi="宋体"/>
          <w:color w:val="000000" w:themeColor="text1"/>
          <w:sz w:val="24"/>
          <w:szCs w:val="24"/>
          <w:highlight w:val="none"/>
          <w14:textFill>
            <w14:solidFill>
              <w14:schemeClr w14:val="tx1"/>
            </w14:solidFill>
          </w14:textFill>
        </w:rPr>
        <w:tab/>
      </w:r>
      <w:r>
        <w:rPr>
          <w:rFonts w:ascii="宋体" w:hAnsi="宋体"/>
          <w:color w:val="000000" w:themeColor="text1"/>
          <w:sz w:val="24"/>
          <w:szCs w:val="24"/>
          <w:highlight w:val="none"/>
          <w14:textFill>
            <w14:solidFill>
              <w14:schemeClr w14:val="tx1"/>
            </w14:solidFill>
          </w14:textFill>
        </w:rPr>
        <w:fldChar w:fldCharType="begin"/>
      </w:r>
      <w:r>
        <w:rPr>
          <w:rFonts w:ascii="宋体" w:hAnsi="宋体"/>
          <w:color w:val="000000" w:themeColor="text1"/>
          <w:sz w:val="24"/>
          <w:szCs w:val="24"/>
          <w:highlight w:val="none"/>
          <w14:textFill>
            <w14:solidFill>
              <w14:schemeClr w14:val="tx1"/>
            </w14:solidFill>
          </w14:textFill>
        </w:rPr>
        <w:instrText xml:space="preserve"> PAGEREF _Toc173510810 \h </w:instrText>
      </w:r>
      <w:r>
        <w:rPr>
          <w:rFonts w:ascii="宋体" w:hAnsi="宋体"/>
          <w:color w:val="000000" w:themeColor="text1"/>
          <w:sz w:val="24"/>
          <w:szCs w:val="24"/>
          <w:highlight w:val="none"/>
          <w14:textFill>
            <w14:solidFill>
              <w14:schemeClr w14:val="tx1"/>
            </w14:solidFill>
          </w14:textFill>
        </w:rPr>
        <w:fldChar w:fldCharType="separate"/>
      </w:r>
      <w:r>
        <w:rPr>
          <w:rFonts w:ascii="宋体" w:hAnsi="宋体"/>
          <w:color w:val="000000" w:themeColor="text1"/>
          <w:sz w:val="24"/>
          <w:szCs w:val="24"/>
          <w:highlight w:val="none"/>
          <w14:textFill>
            <w14:solidFill>
              <w14:schemeClr w14:val="tx1"/>
            </w14:solidFill>
          </w14:textFill>
        </w:rPr>
        <w:t>62</w:t>
      </w:r>
      <w:r>
        <w:rPr>
          <w:rFonts w:ascii="宋体" w:hAnsi="宋体"/>
          <w:color w:val="000000" w:themeColor="text1"/>
          <w:sz w:val="24"/>
          <w:szCs w:val="24"/>
          <w:highlight w:val="none"/>
          <w14:textFill>
            <w14:solidFill>
              <w14:schemeClr w14:val="tx1"/>
            </w14:solidFill>
          </w14:textFill>
        </w:rPr>
        <w:fldChar w:fldCharType="end"/>
      </w:r>
      <w:r>
        <w:rPr>
          <w:rFonts w:ascii="宋体" w:hAnsi="宋体"/>
          <w:color w:val="000000" w:themeColor="text1"/>
          <w:sz w:val="24"/>
          <w:szCs w:val="24"/>
          <w:highlight w:val="none"/>
          <w14:textFill>
            <w14:solidFill>
              <w14:schemeClr w14:val="tx1"/>
            </w14:solidFill>
          </w14:textFill>
        </w:rPr>
        <w:fldChar w:fldCharType="end"/>
      </w:r>
    </w:p>
    <w:p w14:paraId="048D56E3">
      <w:pPr>
        <w:pStyle w:val="15"/>
        <w:tabs>
          <w:tab w:val="right" w:leader="dot" w:pos="8664"/>
        </w:tabs>
        <w:spacing w:line="480" w:lineRule="auto"/>
        <w:rPr>
          <w:rFonts w:ascii="宋体" w:hAnsi="宋体" w:cstheme="minorBidi"/>
          <w:smallCaps w:val="0"/>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"_Toc173510811" </w:instrText>
      </w:r>
      <w:r>
        <w:rPr>
          <w:color w:val="000000" w:themeColor="text1"/>
          <w:highlight w:val="none"/>
          <w14:textFill>
            <w14:solidFill>
              <w14:schemeClr w14:val="tx1"/>
            </w14:solidFill>
          </w14:textFill>
        </w:rPr>
        <w:fldChar w:fldCharType="separate"/>
      </w:r>
      <w:r>
        <w:rPr>
          <w:rStyle w:val="26"/>
          <w:rFonts w:hint="eastAsia" w:ascii="宋体" w:hAnsi="宋体" w:cs="宋体-PUA"/>
          <w:color w:val="000000" w:themeColor="text1"/>
          <w:sz w:val="24"/>
          <w:szCs w:val="24"/>
          <w:highlight w:val="none"/>
          <w14:textFill>
            <w14:solidFill>
              <w14:schemeClr w14:val="tx1"/>
            </w14:solidFill>
          </w14:textFill>
        </w:rPr>
        <w:t>一、报价函及报价函附表</w:t>
      </w:r>
      <w:r>
        <w:rPr>
          <w:rFonts w:ascii="宋体" w:hAnsi="宋体"/>
          <w:color w:val="000000" w:themeColor="text1"/>
          <w:sz w:val="24"/>
          <w:szCs w:val="24"/>
          <w:highlight w:val="none"/>
          <w14:textFill>
            <w14:solidFill>
              <w14:schemeClr w14:val="tx1"/>
            </w14:solidFill>
          </w14:textFill>
        </w:rPr>
        <w:tab/>
      </w:r>
      <w:r>
        <w:rPr>
          <w:rFonts w:ascii="宋体" w:hAnsi="宋体"/>
          <w:color w:val="000000" w:themeColor="text1"/>
          <w:sz w:val="24"/>
          <w:szCs w:val="24"/>
          <w:highlight w:val="none"/>
          <w14:textFill>
            <w14:solidFill>
              <w14:schemeClr w14:val="tx1"/>
            </w14:solidFill>
          </w14:textFill>
        </w:rPr>
        <w:fldChar w:fldCharType="begin"/>
      </w:r>
      <w:r>
        <w:rPr>
          <w:rFonts w:ascii="宋体" w:hAnsi="宋体"/>
          <w:color w:val="000000" w:themeColor="text1"/>
          <w:sz w:val="24"/>
          <w:szCs w:val="24"/>
          <w:highlight w:val="none"/>
          <w14:textFill>
            <w14:solidFill>
              <w14:schemeClr w14:val="tx1"/>
            </w14:solidFill>
          </w14:textFill>
        </w:rPr>
        <w:instrText xml:space="preserve"> PAGEREF _Toc173510811 \h </w:instrText>
      </w:r>
      <w:r>
        <w:rPr>
          <w:rFonts w:ascii="宋体" w:hAnsi="宋体"/>
          <w:color w:val="000000" w:themeColor="text1"/>
          <w:sz w:val="24"/>
          <w:szCs w:val="24"/>
          <w:highlight w:val="none"/>
          <w14:textFill>
            <w14:solidFill>
              <w14:schemeClr w14:val="tx1"/>
            </w14:solidFill>
          </w14:textFill>
        </w:rPr>
        <w:fldChar w:fldCharType="separate"/>
      </w:r>
      <w:r>
        <w:rPr>
          <w:rFonts w:ascii="宋体" w:hAnsi="宋体"/>
          <w:color w:val="000000" w:themeColor="text1"/>
          <w:sz w:val="24"/>
          <w:szCs w:val="24"/>
          <w:highlight w:val="none"/>
          <w14:textFill>
            <w14:solidFill>
              <w14:schemeClr w14:val="tx1"/>
            </w14:solidFill>
          </w14:textFill>
        </w:rPr>
        <w:t>64</w:t>
      </w:r>
      <w:r>
        <w:rPr>
          <w:rFonts w:ascii="宋体" w:hAnsi="宋体"/>
          <w:color w:val="000000" w:themeColor="text1"/>
          <w:sz w:val="24"/>
          <w:szCs w:val="24"/>
          <w:highlight w:val="none"/>
          <w14:textFill>
            <w14:solidFill>
              <w14:schemeClr w14:val="tx1"/>
            </w14:solidFill>
          </w14:textFill>
        </w:rPr>
        <w:fldChar w:fldCharType="end"/>
      </w:r>
      <w:r>
        <w:rPr>
          <w:rFonts w:ascii="宋体" w:hAnsi="宋体"/>
          <w:color w:val="000000" w:themeColor="text1"/>
          <w:sz w:val="24"/>
          <w:szCs w:val="24"/>
          <w:highlight w:val="none"/>
          <w14:textFill>
            <w14:solidFill>
              <w14:schemeClr w14:val="tx1"/>
            </w14:solidFill>
          </w14:textFill>
        </w:rPr>
        <w:fldChar w:fldCharType="end"/>
      </w:r>
    </w:p>
    <w:p w14:paraId="48245E21">
      <w:pPr>
        <w:pStyle w:val="15"/>
        <w:tabs>
          <w:tab w:val="right" w:leader="dot" w:pos="8664"/>
        </w:tabs>
        <w:spacing w:line="480" w:lineRule="auto"/>
        <w:rPr>
          <w:rFonts w:ascii="宋体" w:hAnsi="宋体" w:cstheme="minorBidi"/>
          <w:smallCaps w:val="0"/>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"_Toc173510812" </w:instrText>
      </w:r>
      <w:r>
        <w:rPr>
          <w:color w:val="000000" w:themeColor="text1"/>
          <w:highlight w:val="none"/>
          <w14:textFill>
            <w14:solidFill>
              <w14:schemeClr w14:val="tx1"/>
            </w14:solidFill>
          </w14:textFill>
        </w:rPr>
        <w:fldChar w:fldCharType="separate"/>
      </w:r>
      <w:r>
        <w:rPr>
          <w:rStyle w:val="26"/>
          <w:rFonts w:hint="eastAsia" w:ascii="宋体" w:hAnsi="宋体" w:cs="宋体-PUA"/>
          <w:color w:val="000000" w:themeColor="text1"/>
          <w:sz w:val="24"/>
          <w:szCs w:val="24"/>
          <w:highlight w:val="none"/>
          <w14:textFill>
            <w14:solidFill>
              <w14:schemeClr w14:val="tx1"/>
            </w14:solidFill>
          </w14:textFill>
        </w:rPr>
        <w:t>二、法定代表人身份证明及授权委托书</w:t>
      </w:r>
      <w:r>
        <w:rPr>
          <w:rFonts w:ascii="宋体" w:hAnsi="宋体"/>
          <w:color w:val="000000" w:themeColor="text1"/>
          <w:sz w:val="24"/>
          <w:szCs w:val="24"/>
          <w:highlight w:val="none"/>
          <w14:textFill>
            <w14:solidFill>
              <w14:schemeClr w14:val="tx1"/>
            </w14:solidFill>
          </w14:textFill>
        </w:rPr>
        <w:tab/>
      </w:r>
      <w:r>
        <w:rPr>
          <w:rFonts w:ascii="宋体" w:hAnsi="宋体"/>
          <w:color w:val="000000" w:themeColor="text1"/>
          <w:sz w:val="24"/>
          <w:szCs w:val="24"/>
          <w:highlight w:val="none"/>
          <w14:textFill>
            <w14:solidFill>
              <w14:schemeClr w14:val="tx1"/>
            </w14:solidFill>
          </w14:textFill>
        </w:rPr>
        <w:fldChar w:fldCharType="begin"/>
      </w:r>
      <w:r>
        <w:rPr>
          <w:rFonts w:ascii="宋体" w:hAnsi="宋体"/>
          <w:color w:val="000000" w:themeColor="text1"/>
          <w:sz w:val="24"/>
          <w:szCs w:val="24"/>
          <w:highlight w:val="none"/>
          <w14:textFill>
            <w14:solidFill>
              <w14:schemeClr w14:val="tx1"/>
            </w14:solidFill>
          </w14:textFill>
        </w:rPr>
        <w:instrText xml:space="preserve"> PAGEREF _Toc173510812 \h </w:instrText>
      </w:r>
      <w:r>
        <w:rPr>
          <w:rFonts w:ascii="宋体" w:hAnsi="宋体"/>
          <w:color w:val="000000" w:themeColor="text1"/>
          <w:sz w:val="24"/>
          <w:szCs w:val="24"/>
          <w:highlight w:val="none"/>
          <w14:textFill>
            <w14:solidFill>
              <w14:schemeClr w14:val="tx1"/>
            </w14:solidFill>
          </w14:textFill>
        </w:rPr>
        <w:fldChar w:fldCharType="separate"/>
      </w:r>
      <w:r>
        <w:rPr>
          <w:rFonts w:ascii="宋体" w:hAnsi="宋体"/>
          <w:color w:val="000000" w:themeColor="text1"/>
          <w:sz w:val="24"/>
          <w:szCs w:val="24"/>
          <w:highlight w:val="none"/>
          <w14:textFill>
            <w14:solidFill>
              <w14:schemeClr w14:val="tx1"/>
            </w14:solidFill>
          </w14:textFill>
        </w:rPr>
        <w:t>66</w:t>
      </w:r>
      <w:r>
        <w:rPr>
          <w:rFonts w:ascii="宋体" w:hAnsi="宋体"/>
          <w:color w:val="000000" w:themeColor="text1"/>
          <w:sz w:val="24"/>
          <w:szCs w:val="24"/>
          <w:highlight w:val="none"/>
          <w14:textFill>
            <w14:solidFill>
              <w14:schemeClr w14:val="tx1"/>
            </w14:solidFill>
          </w14:textFill>
        </w:rPr>
        <w:fldChar w:fldCharType="end"/>
      </w:r>
      <w:r>
        <w:rPr>
          <w:rFonts w:ascii="宋体" w:hAnsi="宋体"/>
          <w:color w:val="000000" w:themeColor="text1"/>
          <w:sz w:val="24"/>
          <w:szCs w:val="24"/>
          <w:highlight w:val="none"/>
          <w14:textFill>
            <w14:solidFill>
              <w14:schemeClr w14:val="tx1"/>
            </w14:solidFill>
          </w14:textFill>
        </w:rPr>
        <w:fldChar w:fldCharType="end"/>
      </w:r>
    </w:p>
    <w:p w14:paraId="2D566E43">
      <w:pPr>
        <w:pStyle w:val="15"/>
        <w:tabs>
          <w:tab w:val="right" w:leader="dot" w:pos="8664"/>
        </w:tabs>
        <w:spacing w:line="480" w:lineRule="auto"/>
        <w:rPr>
          <w:rFonts w:ascii="宋体" w:hAnsi="宋体" w:cstheme="minorBidi"/>
          <w:smallCaps w:val="0"/>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"_Toc173510813" </w:instrText>
      </w:r>
      <w:r>
        <w:rPr>
          <w:color w:val="000000" w:themeColor="text1"/>
          <w:highlight w:val="none"/>
          <w14:textFill>
            <w14:solidFill>
              <w14:schemeClr w14:val="tx1"/>
            </w14:solidFill>
          </w14:textFill>
        </w:rPr>
        <w:fldChar w:fldCharType="separate"/>
      </w:r>
      <w:r>
        <w:rPr>
          <w:rStyle w:val="26"/>
          <w:rFonts w:hint="eastAsia" w:ascii="宋体" w:hAnsi="宋体" w:cs="宋体-PUA"/>
          <w:color w:val="000000" w:themeColor="text1"/>
          <w:sz w:val="24"/>
          <w:szCs w:val="24"/>
          <w:highlight w:val="none"/>
          <w14:textFill>
            <w14:solidFill>
              <w14:schemeClr w14:val="tx1"/>
            </w14:solidFill>
          </w14:textFill>
        </w:rPr>
        <w:t>三、磋商承诺函</w:t>
      </w:r>
      <w:r>
        <w:rPr>
          <w:rFonts w:ascii="宋体" w:hAnsi="宋体"/>
          <w:color w:val="000000" w:themeColor="text1"/>
          <w:sz w:val="24"/>
          <w:szCs w:val="24"/>
          <w:highlight w:val="none"/>
          <w14:textFill>
            <w14:solidFill>
              <w14:schemeClr w14:val="tx1"/>
            </w14:solidFill>
          </w14:textFill>
        </w:rPr>
        <w:tab/>
      </w:r>
      <w:r>
        <w:rPr>
          <w:rFonts w:ascii="宋体" w:hAnsi="宋体"/>
          <w:color w:val="000000" w:themeColor="text1"/>
          <w:sz w:val="24"/>
          <w:szCs w:val="24"/>
          <w:highlight w:val="none"/>
          <w14:textFill>
            <w14:solidFill>
              <w14:schemeClr w14:val="tx1"/>
            </w14:solidFill>
          </w14:textFill>
        </w:rPr>
        <w:fldChar w:fldCharType="begin"/>
      </w:r>
      <w:r>
        <w:rPr>
          <w:rFonts w:ascii="宋体" w:hAnsi="宋体"/>
          <w:color w:val="000000" w:themeColor="text1"/>
          <w:sz w:val="24"/>
          <w:szCs w:val="24"/>
          <w:highlight w:val="none"/>
          <w14:textFill>
            <w14:solidFill>
              <w14:schemeClr w14:val="tx1"/>
            </w14:solidFill>
          </w14:textFill>
        </w:rPr>
        <w:instrText xml:space="preserve"> PAGEREF _Toc173510813 \h </w:instrText>
      </w:r>
      <w:r>
        <w:rPr>
          <w:rFonts w:ascii="宋体" w:hAnsi="宋体"/>
          <w:color w:val="000000" w:themeColor="text1"/>
          <w:sz w:val="24"/>
          <w:szCs w:val="24"/>
          <w:highlight w:val="none"/>
          <w14:textFill>
            <w14:solidFill>
              <w14:schemeClr w14:val="tx1"/>
            </w14:solidFill>
          </w14:textFill>
        </w:rPr>
        <w:fldChar w:fldCharType="separate"/>
      </w:r>
      <w:r>
        <w:rPr>
          <w:rFonts w:ascii="宋体" w:hAnsi="宋体"/>
          <w:color w:val="000000" w:themeColor="text1"/>
          <w:sz w:val="24"/>
          <w:szCs w:val="24"/>
          <w:highlight w:val="none"/>
          <w14:textFill>
            <w14:solidFill>
              <w14:schemeClr w14:val="tx1"/>
            </w14:solidFill>
          </w14:textFill>
        </w:rPr>
        <w:t>68</w:t>
      </w:r>
      <w:r>
        <w:rPr>
          <w:rFonts w:ascii="宋体" w:hAnsi="宋体"/>
          <w:color w:val="000000" w:themeColor="text1"/>
          <w:sz w:val="24"/>
          <w:szCs w:val="24"/>
          <w:highlight w:val="none"/>
          <w14:textFill>
            <w14:solidFill>
              <w14:schemeClr w14:val="tx1"/>
            </w14:solidFill>
          </w14:textFill>
        </w:rPr>
        <w:fldChar w:fldCharType="end"/>
      </w:r>
      <w:r>
        <w:rPr>
          <w:rFonts w:ascii="宋体" w:hAnsi="宋体"/>
          <w:color w:val="000000" w:themeColor="text1"/>
          <w:sz w:val="24"/>
          <w:szCs w:val="24"/>
          <w:highlight w:val="none"/>
          <w14:textFill>
            <w14:solidFill>
              <w14:schemeClr w14:val="tx1"/>
            </w14:solidFill>
          </w14:textFill>
        </w:rPr>
        <w:fldChar w:fldCharType="end"/>
      </w:r>
    </w:p>
    <w:p w14:paraId="5C90560D">
      <w:pPr>
        <w:pStyle w:val="15"/>
        <w:tabs>
          <w:tab w:val="right" w:leader="dot" w:pos="8664"/>
        </w:tabs>
        <w:spacing w:line="480" w:lineRule="auto"/>
        <w:rPr>
          <w:rFonts w:ascii="宋体" w:hAnsi="宋体" w:cstheme="minorBidi"/>
          <w:smallCaps w:val="0"/>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"_Toc173510814" </w:instrText>
      </w:r>
      <w:r>
        <w:rPr>
          <w:color w:val="000000" w:themeColor="text1"/>
          <w:highlight w:val="none"/>
          <w14:textFill>
            <w14:solidFill>
              <w14:schemeClr w14:val="tx1"/>
            </w14:solidFill>
          </w14:textFill>
        </w:rPr>
        <w:fldChar w:fldCharType="separate"/>
      </w:r>
      <w:r>
        <w:rPr>
          <w:rStyle w:val="26"/>
          <w:rFonts w:hint="eastAsia" w:ascii="宋体" w:hAnsi="宋体" w:cs="宋体-PUA"/>
          <w:color w:val="000000" w:themeColor="text1"/>
          <w:sz w:val="24"/>
          <w:szCs w:val="24"/>
          <w:highlight w:val="none"/>
          <w14:textFill>
            <w14:solidFill>
              <w14:schemeClr w14:val="tx1"/>
            </w14:solidFill>
          </w14:textFill>
        </w:rPr>
        <w:t>四、 资格审查</w:t>
      </w:r>
      <w:r>
        <w:rPr>
          <w:rFonts w:ascii="宋体" w:hAnsi="宋体"/>
          <w:color w:val="000000" w:themeColor="text1"/>
          <w:sz w:val="24"/>
          <w:szCs w:val="24"/>
          <w:highlight w:val="none"/>
          <w14:textFill>
            <w14:solidFill>
              <w14:schemeClr w14:val="tx1"/>
            </w14:solidFill>
          </w14:textFill>
        </w:rPr>
        <w:tab/>
      </w:r>
      <w:r>
        <w:rPr>
          <w:rFonts w:ascii="宋体" w:hAnsi="宋体"/>
          <w:color w:val="000000" w:themeColor="text1"/>
          <w:sz w:val="24"/>
          <w:szCs w:val="24"/>
          <w:highlight w:val="none"/>
          <w14:textFill>
            <w14:solidFill>
              <w14:schemeClr w14:val="tx1"/>
            </w14:solidFill>
          </w14:textFill>
        </w:rPr>
        <w:fldChar w:fldCharType="begin"/>
      </w:r>
      <w:r>
        <w:rPr>
          <w:rFonts w:ascii="宋体" w:hAnsi="宋体"/>
          <w:color w:val="000000" w:themeColor="text1"/>
          <w:sz w:val="24"/>
          <w:szCs w:val="24"/>
          <w:highlight w:val="none"/>
          <w14:textFill>
            <w14:solidFill>
              <w14:schemeClr w14:val="tx1"/>
            </w14:solidFill>
          </w14:textFill>
        </w:rPr>
        <w:instrText xml:space="preserve"> PAGEREF _Toc173510814 \h </w:instrText>
      </w:r>
      <w:r>
        <w:rPr>
          <w:rFonts w:ascii="宋体" w:hAnsi="宋体"/>
          <w:color w:val="000000" w:themeColor="text1"/>
          <w:sz w:val="24"/>
          <w:szCs w:val="24"/>
          <w:highlight w:val="none"/>
          <w14:textFill>
            <w14:solidFill>
              <w14:schemeClr w14:val="tx1"/>
            </w14:solidFill>
          </w14:textFill>
        </w:rPr>
        <w:fldChar w:fldCharType="separate"/>
      </w:r>
      <w:r>
        <w:rPr>
          <w:rFonts w:ascii="宋体" w:hAnsi="宋体"/>
          <w:color w:val="000000" w:themeColor="text1"/>
          <w:sz w:val="24"/>
          <w:szCs w:val="24"/>
          <w:highlight w:val="none"/>
          <w14:textFill>
            <w14:solidFill>
              <w14:schemeClr w14:val="tx1"/>
            </w14:solidFill>
          </w14:textFill>
        </w:rPr>
        <w:t>69</w:t>
      </w:r>
      <w:r>
        <w:rPr>
          <w:rFonts w:ascii="宋体" w:hAnsi="宋体"/>
          <w:color w:val="000000" w:themeColor="text1"/>
          <w:sz w:val="24"/>
          <w:szCs w:val="24"/>
          <w:highlight w:val="none"/>
          <w14:textFill>
            <w14:solidFill>
              <w14:schemeClr w14:val="tx1"/>
            </w14:solidFill>
          </w14:textFill>
        </w:rPr>
        <w:fldChar w:fldCharType="end"/>
      </w:r>
      <w:r>
        <w:rPr>
          <w:rFonts w:ascii="宋体" w:hAnsi="宋体"/>
          <w:color w:val="000000" w:themeColor="text1"/>
          <w:sz w:val="24"/>
          <w:szCs w:val="24"/>
          <w:highlight w:val="none"/>
          <w14:textFill>
            <w14:solidFill>
              <w14:schemeClr w14:val="tx1"/>
            </w14:solidFill>
          </w14:textFill>
        </w:rPr>
        <w:fldChar w:fldCharType="end"/>
      </w:r>
    </w:p>
    <w:p w14:paraId="3B59E2F0">
      <w:pPr>
        <w:pStyle w:val="15"/>
        <w:tabs>
          <w:tab w:val="right" w:leader="dot" w:pos="8664"/>
        </w:tabs>
        <w:spacing w:line="480" w:lineRule="auto"/>
        <w:rPr>
          <w:rFonts w:ascii="宋体" w:hAnsi="宋体" w:cstheme="minorBidi"/>
          <w:smallCaps w:val="0"/>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"_Toc173510815" </w:instrText>
      </w:r>
      <w:r>
        <w:rPr>
          <w:color w:val="000000" w:themeColor="text1"/>
          <w:highlight w:val="none"/>
          <w14:textFill>
            <w14:solidFill>
              <w14:schemeClr w14:val="tx1"/>
            </w14:solidFill>
          </w14:textFill>
        </w:rPr>
        <w:fldChar w:fldCharType="separate"/>
      </w:r>
      <w:r>
        <w:rPr>
          <w:rStyle w:val="26"/>
          <w:rFonts w:hint="eastAsia" w:ascii="宋体" w:hAnsi="宋体" w:cs="宋体-PUA"/>
          <w:color w:val="000000" w:themeColor="text1"/>
          <w:sz w:val="24"/>
          <w:szCs w:val="24"/>
          <w:highlight w:val="none"/>
          <w14:textFill>
            <w14:solidFill>
              <w14:schemeClr w14:val="tx1"/>
            </w14:solidFill>
          </w14:textFill>
        </w:rPr>
        <w:t>五、 技术及商务标</w:t>
      </w:r>
      <w:r>
        <w:rPr>
          <w:rFonts w:ascii="宋体" w:hAnsi="宋体"/>
          <w:color w:val="000000" w:themeColor="text1"/>
          <w:sz w:val="24"/>
          <w:szCs w:val="24"/>
          <w:highlight w:val="none"/>
          <w14:textFill>
            <w14:solidFill>
              <w14:schemeClr w14:val="tx1"/>
            </w14:solidFill>
          </w14:textFill>
        </w:rPr>
        <w:tab/>
      </w:r>
      <w:r>
        <w:rPr>
          <w:rFonts w:ascii="宋体" w:hAnsi="宋体"/>
          <w:color w:val="000000" w:themeColor="text1"/>
          <w:sz w:val="24"/>
          <w:szCs w:val="24"/>
          <w:highlight w:val="none"/>
          <w14:textFill>
            <w14:solidFill>
              <w14:schemeClr w14:val="tx1"/>
            </w14:solidFill>
          </w14:textFill>
        </w:rPr>
        <w:fldChar w:fldCharType="begin"/>
      </w:r>
      <w:r>
        <w:rPr>
          <w:rFonts w:ascii="宋体" w:hAnsi="宋体"/>
          <w:color w:val="000000" w:themeColor="text1"/>
          <w:sz w:val="24"/>
          <w:szCs w:val="24"/>
          <w:highlight w:val="none"/>
          <w14:textFill>
            <w14:solidFill>
              <w14:schemeClr w14:val="tx1"/>
            </w14:solidFill>
          </w14:textFill>
        </w:rPr>
        <w:instrText xml:space="preserve"> PAGEREF _Toc173510815 \h </w:instrText>
      </w:r>
      <w:r>
        <w:rPr>
          <w:rFonts w:ascii="宋体" w:hAnsi="宋体"/>
          <w:color w:val="000000" w:themeColor="text1"/>
          <w:sz w:val="24"/>
          <w:szCs w:val="24"/>
          <w:highlight w:val="none"/>
          <w14:textFill>
            <w14:solidFill>
              <w14:schemeClr w14:val="tx1"/>
            </w14:solidFill>
          </w14:textFill>
        </w:rPr>
        <w:fldChar w:fldCharType="separate"/>
      </w:r>
      <w:r>
        <w:rPr>
          <w:rFonts w:ascii="宋体" w:hAnsi="宋体"/>
          <w:color w:val="000000" w:themeColor="text1"/>
          <w:sz w:val="24"/>
          <w:szCs w:val="24"/>
          <w:highlight w:val="none"/>
          <w14:textFill>
            <w14:solidFill>
              <w14:schemeClr w14:val="tx1"/>
            </w14:solidFill>
          </w14:textFill>
        </w:rPr>
        <w:t>72</w:t>
      </w:r>
      <w:r>
        <w:rPr>
          <w:rFonts w:ascii="宋体" w:hAnsi="宋体"/>
          <w:color w:val="000000" w:themeColor="text1"/>
          <w:sz w:val="24"/>
          <w:szCs w:val="24"/>
          <w:highlight w:val="none"/>
          <w14:textFill>
            <w14:solidFill>
              <w14:schemeClr w14:val="tx1"/>
            </w14:solidFill>
          </w14:textFill>
        </w:rPr>
        <w:fldChar w:fldCharType="end"/>
      </w:r>
      <w:r>
        <w:rPr>
          <w:rFonts w:ascii="宋体" w:hAnsi="宋体"/>
          <w:color w:val="000000" w:themeColor="text1"/>
          <w:sz w:val="24"/>
          <w:szCs w:val="24"/>
          <w:highlight w:val="none"/>
          <w14:textFill>
            <w14:solidFill>
              <w14:schemeClr w14:val="tx1"/>
            </w14:solidFill>
          </w14:textFill>
        </w:rPr>
        <w:fldChar w:fldCharType="end"/>
      </w:r>
    </w:p>
    <w:p w14:paraId="30B5050F">
      <w:pPr>
        <w:pStyle w:val="15"/>
        <w:tabs>
          <w:tab w:val="right" w:leader="dot" w:pos="8664"/>
        </w:tabs>
        <w:spacing w:line="480" w:lineRule="auto"/>
        <w:rPr>
          <w:rFonts w:ascii="宋体" w:hAnsi="宋体" w:cstheme="minorBidi"/>
          <w:smallCaps w:val="0"/>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"_Toc173510816" </w:instrText>
      </w:r>
      <w:r>
        <w:rPr>
          <w:color w:val="000000" w:themeColor="text1"/>
          <w:highlight w:val="none"/>
          <w14:textFill>
            <w14:solidFill>
              <w14:schemeClr w14:val="tx1"/>
            </w14:solidFill>
          </w14:textFill>
        </w:rPr>
        <w:fldChar w:fldCharType="separate"/>
      </w:r>
      <w:r>
        <w:rPr>
          <w:rStyle w:val="26"/>
          <w:rFonts w:hint="eastAsia" w:ascii="宋体" w:hAnsi="宋体" w:cs="宋体-PUA"/>
          <w:color w:val="000000" w:themeColor="text1"/>
          <w:sz w:val="24"/>
          <w:szCs w:val="24"/>
          <w:highlight w:val="none"/>
          <w14:textFill>
            <w14:solidFill>
              <w14:schemeClr w14:val="tx1"/>
            </w14:solidFill>
          </w14:textFill>
        </w:rPr>
        <w:t>六、其他材料</w:t>
      </w:r>
      <w:r>
        <w:rPr>
          <w:rFonts w:ascii="宋体" w:hAnsi="宋体"/>
          <w:color w:val="000000" w:themeColor="text1"/>
          <w:sz w:val="24"/>
          <w:szCs w:val="24"/>
          <w:highlight w:val="none"/>
          <w14:textFill>
            <w14:solidFill>
              <w14:schemeClr w14:val="tx1"/>
            </w14:solidFill>
          </w14:textFill>
        </w:rPr>
        <w:tab/>
      </w:r>
      <w:r>
        <w:rPr>
          <w:rFonts w:ascii="宋体" w:hAnsi="宋体"/>
          <w:color w:val="000000" w:themeColor="text1"/>
          <w:sz w:val="24"/>
          <w:szCs w:val="24"/>
          <w:highlight w:val="none"/>
          <w14:textFill>
            <w14:solidFill>
              <w14:schemeClr w14:val="tx1"/>
            </w14:solidFill>
          </w14:textFill>
        </w:rPr>
        <w:fldChar w:fldCharType="begin"/>
      </w:r>
      <w:r>
        <w:rPr>
          <w:rFonts w:ascii="宋体" w:hAnsi="宋体"/>
          <w:color w:val="000000" w:themeColor="text1"/>
          <w:sz w:val="24"/>
          <w:szCs w:val="24"/>
          <w:highlight w:val="none"/>
          <w14:textFill>
            <w14:solidFill>
              <w14:schemeClr w14:val="tx1"/>
            </w14:solidFill>
          </w14:textFill>
        </w:rPr>
        <w:instrText xml:space="preserve"> PAGEREF _Toc173510816 \h </w:instrText>
      </w:r>
      <w:r>
        <w:rPr>
          <w:rFonts w:ascii="宋体" w:hAnsi="宋体"/>
          <w:color w:val="000000" w:themeColor="text1"/>
          <w:sz w:val="24"/>
          <w:szCs w:val="24"/>
          <w:highlight w:val="none"/>
          <w14:textFill>
            <w14:solidFill>
              <w14:schemeClr w14:val="tx1"/>
            </w14:solidFill>
          </w14:textFill>
        </w:rPr>
        <w:fldChar w:fldCharType="separate"/>
      </w:r>
      <w:r>
        <w:rPr>
          <w:rFonts w:ascii="宋体" w:hAnsi="宋体"/>
          <w:color w:val="000000" w:themeColor="text1"/>
          <w:sz w:val="24"/>
          <w:szCs w:val="24"/>
          <w:highlight w:val="none"/>
          <w14:textFill>
            <w14:solidFill>
              <w14:schemeClr w14:val="tx1"/>
            </w14:solidFill>
          </w14:textFill>
        </w:rPr>
        <w:t>83</w:t>
      </w:r>
      <w:r>
        <w:rPr>
          <w:rFonts w:ascii="宋体" w:hAnsi="宋体"/>
          <w:color w:val="000000" w:themeColor="text1"/>
          <w:sz w:val="24"/>
          <w:szCs w:val="24"/>
          <w:highlight w:val="none"/>
          <w14:textFill>
            <w14:solidFill>
              <w14:schemeClr w14:val="tx1"/>
            </w14:solidFill>
          </w14:textFill>
        </w:rPr>
        <w:fldChar w:fldCharType="end"/>
      </w:r>
      <w:r>
        <w:rPr>
          <w:rFonts w:ascii="宋体" w:hAnsi="宋体"/>
          <w:color w:val="000000" w:themeColor="text1"/>
          <w:sz w:val="24"/>
          <w:szCs w:val="24"/>
          <w:highlight w:val="none"/>
          <w14:textFill>
            <w14:solidFill>
              <w14:schemeClr w14:val="tx1"/>
            </w14:solidFill>
          </w14:textFill>
        </w:rPr>
        <w:fldChar w:fldCharType="end"/>
      </w:r>
    </w:p>
    <w:p w14:paraId="65FAC79F">
      <w:pPr>
        <w:spacing w:line="480" w:lineRule="auto"/>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32"/>
          <w:szCs w:val="32"/>
          <w:highlight w:val="none"/>
          <w14:textFill>
            <w14:solidFill>
              <w14:schemeClr w14:val="tx1"/>
            </w14:solidFill>
          </w14:textFill>
        </w:rPr>
        <w:fldChar w:fldCharType="end"/>
      </w:r>
    </w:p>
    <w:p w14:paraId="6347AE6C">
      <w:pPr>
        <w:rPr>
          <w:rFonts w:asciiTheme="minorEastAsia" w:hAnsiTheme="minorEastAsia" w:eastAsiaTheme="minorEastAsia"/>
          <w:color w:val="000000" w:themeColor="text1"/>
          <w:sz w:val="24"/>
          <w:highlight w:val="none"/>
          <w14:textFill>
            <w14:solidFill>
              <w14:schemeClr w14:val="tx1"/>
            </w14:solidFill>
          </w14:textFill>
        </w:rPr>
      </w:pPr>
    </w:p>
    <w:p w14:paraId="4F3A6E30">
      <w:pPr>
        <w:widowControl/>
        <w:spacing w:line="360" w:lineRule="auto"/>
        <w:jc w:val="left"/>
        <w:rPr>
          <w:rFonts w:cs="宋体" w:asciiTheme="minorEastAsia" w:hAnsiTheme="minorEastAsia" w:eastAsiaTheme="minorEastAsia"/>
          <w:b/>
          <w:smallCaps/>
          <w:color w:val="000000" w:themeColor="text1"/>
          <w:sz w:val="24"/>
          <w:highlight w:val="none"/>
          <w14:textFill>
            <w14:solidFill>
              <w14:schemeClr w14:val="tx1"/>
            </w14:solidFill>
          </w14:textFill>
        </w:rPr>
        <w:sectPr>
          <w:pgSz w:w="11850" w:h="16783"/>
          <w:pgMar w:top="1135" w:right="1588" w:bottom="993" w:left="1588" w:header="567" w:footer="992" w:gutter="0"/>
          <w:pgNumType w:fmt="upperRoman" w:start="1"/>
          <w:cols w:space="720" w:num="1"/>
        </w:sectPr>
      </w:pPr>
      <w:r>
        <w:rPr>
          <w:rFonts w:hint="eastAsia" w:cs="宋体" w:asciiTheme="minorEastAsia" w:hAnsiTheme="minorEastAsia" w:eastAsiaTheme="minorEastAsia"/>
          <w:b/>
          <w:smallCaps/>
          <w:color w:val="000000" w:themeColor="text1"/>
          <w:sz w:val="24"/>
          <w:highlight w:val="none"/>
          <w14:textFill>
            <w14:solidFill>
              <w14:schemeClr w14:val="tx1"/>
            </w14:solidFill>
          </w14:textFill>
        </w:rPr>
        <w:t xml:space="preserve">  </w:t>
      </w:r>
    </w:p>
    <w:bookmarkEnd w:id="4"/>
    <w:bookmarkEnd w:id="5"/>
    <w:bookmarkEnd w:id="6"/>
    <w:bookmarkEnd w:id="7"/>
    <w:bookmarkEnd w:id="8"/>
    <w:bookmarkEnd w:id="9"/>
    <w:bookmarkEnd w:id="10"/>
    <w:bookmarkEnd w:id="11"/>
    <w:p w14:paraId="5F89427C">
      <w:pPr>
        <w:pStyle w:val="2"/>
        <w:spacing w:line="240" w:lineRule="auto"/>
        <w:ind w:left="360"/>
        <w:jc w:val="center"/>
        <w:rPr>
          <w:rFonts w:asciiTheme="minorEastAsia" w:hAnsiTheme="minorEastAsia" w:eastAsiaTheme="minorEastAsia"/>
          <w:color w:val="000000" w:themeColor="text1"/>
          <w:sz w:val="24"/>
          <w:szCs w:val="24"/>
          <w:highlight w:val="none"/>
          <w14:textFill>
            <w14:solidFill>
              <w14:schemeClr w14:val="tx1"/>
            </w14:solidFill>
          </w14:textFill>
        </w:rPr>
      </w:pPr>
      <w:bookmarkStart w:id="12" w:name="_Toc484276227"/>
      <w:bookmarkStart w:id="13" w:name="_Toc47970967"/>
      <w:bookmarkStart w:id="14" w:name="_Toc30423"/>
      <w:bookmarkStart w:id="15" w:name="_Toc171608853"/>
      <w:bookmarkStart w:id="16" w:name="_Toc173510805"/>
      <w:bookmarkStart w:id="17" w:name="_Toc484115837"/>
      <w:bookmarkStart w:id="18" w:name="_Toc171612792"/>
      <w:bookmarkStart w:id="19" w:name="_Toc101344059"/>
      <w:r>
        <w:rPr>
          <w:rFonts w:hint="eastAsia" w:asciiTheme="minorEastAsia" w:hAnsiTheme="minorEastAsia" w:eastAsiaTheme="minorEastAsia"/>
          <w:color w:val="000000" w:themeColor="text1"/>
          <w:sz w:val="24"/>
          <w:szCs w:val="24"/>
          <w:highlight w:val="none"/>
          <w14:textFill>
            <w14:solidFill>
              <w14:schemeClr w14:val="tx1"/>
            </w14:solidFill>
          </w14:textFill>
        </w:rPr>
        <w:t>第一章 竞争性磋商公告</w:t>
      </w:r>
      <w:bookmarkEnd w:id="12"/>
      <w:bookmarkEnd w:id="13"/>
      <w:bookmarkEnd w:id="14"/>
      <w:bookmarkEnd w:id="15"/>
      <w:bookmarkEnd w:id="16"/>
      <w:bookmarkEnd w:id="17"/>
      <w:bookmarkEnd w:id="18"/>
      <w:bookmarkEnd w:id="19"/>
    </w:p>
    <w:p w14:paraId="0A8086F4">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bookmarkStart w:id="20" w:name="_Toc246996173"/>
      <w:bookmarkStart w:id="21" w:name="_Toc152045527"/>
      <w:bookmarkStart w:id="22" w:name="_Toc152042303"/>
      <w:bookmarkStart w:id="23" w:name="_Toc179632544"/>
      <w:bookmarkStart w:id="24" w:name="_Toc144974495"/>
      <w:bookmarkStart w:id="25" w:name="_Toc247085687"/>
      <w:bookmarkStart w:id="26" w:name="_Toc27041"/>
      <w:bookmarkStart w:id="27" w:name="_Toc43652626"/>
      <w:bookmarkStart w:id="28" w:name="_Toc246996916"/>
      <w:r>
        <w:rPr>
          <w:rFonts w:hint="eastAsia" w:asciiTheme="minorEastAsia" w:hAnsiTheme="minorEastAsia" w:eastAsiaTheme="minorEastAsia"/>
          <w:color w:val="000000" w:themeColor="text1"/>
          <w:sz w:val="24"/>
          <w:highlight w:val="none"/>
          <w:lang w:eastAsia="zh-CN"/>
          <w14:textFill>
            <w14:solidFill>
              <w14:schemeClr w14:val="tx1"/>
            </w14:solidFill>
          </w14:textFill>
        </w:rPr>
        <w:t>河南新时代工程管理有限公司</w:t>
      </w:r>
      <w:r>
        <w:rPr>
          <w:rFonts w:hint="eastAsia" w:asciiTheme="minorEastAsia" w:hAnsiTheme="minorEastAsia" w:eastAsiaTheme="minorEastAsia"/>
          <w:color w:val="000000" w:themeColor="text1"/>
          <w:sz w:val="24"/>
          <w:highlight w:val="none"/>
          <w14:textFill>
            <w14:solidFill>
              <w14:schemeClr w14:val="tx1"/>
            </w14:solidFill>
          </w14:textFill>
        </w:rPr>
        <w:t>受灵宝市市场监督管理局的委托，就</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灵宝市市场监督管理局2025年9月-2026年8月食品及商品质量抽检项目</w:t>
      </w:r>
      <w:r>
        <w:rPr>
          <w:rFonts w:hint="eastAsia" w:asciiTheme="minorEastAsia" w:hAnsiTheme="minorEastAsia" w:eastAsiaTheme="minorEastAsia"/>
          <w:color w:val="000000" w:themeColor="text1"/>
          <w:sz w:val="24"/>
          <w:highlight w:val="none"/>
          <w14:textFill>
            <w14:solidFill>
              <w14:schemeClr w14:val="tx1"/>
            </w14:solidFill>
          </w14:textFill>
        </w:rPr>
        <w:t>进行竞争性磋商采购，欢迎符合资格条件的供应商参加。</w:t>
      </w:r>
    </w:p>
    <w:p w14:paraId="7E1C4AA3">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一、项目概况</w:t>
      </w:r>
    </w:p>
    <w:p w14:paraId="2F3D954A">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1.采购人：灵宝市市场监督管理局</w:t>
      </w:r>
    </w:p>
    <w:p w14:paraId="0DF458DD">
      <w:pPr>
        <w:spacing w:line="360" w:lineRule="auto"/>
        <w:ind w:firstLine="480" w:firstLineChars="200"/>
        <w:jc w:val="left"/>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2.项目名称：</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灵宝市市场监督管理局2025年9月-2026年8月食品及商品质量抽检项目；</w:t>
      </w:r>
    </w:p>
    <w:p w14:paraId="6DBE21FE">
      <w:pPr>
        <w:spacing w:line="360" w:lineRule="auto"/>
        <w:ind w:firstLine="480" w:firstLineChars="200"/>
        <w:jc w:val="left"/>
        <w:rPr>
          <w:rFonts w:hint="default"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3.项目编号：</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灵宝竞磋采购-2025-146、LBGZ[2025]280-ZC211、HNXSD-2025-0012</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p>
    <w:p w14:paraId="1A742A65">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4.标段划分：本项目共分为</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个标段；</w:t>
      </w:r>
    </w:p>
    <w:p w14:paraId="1B590A5B">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5.采购内容：包含</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技术测试和分析服务，按照采购人要求，完成</w:t>
      </w:r>
      <w:r>
        <w:rPr>
          <w:rFonts w:hint="eastAsia" w:cs="宋体" w:asciiTheme="minorEastAsia" w:hAnsiTheme="minorEastAsia" w:eastAsiaTheme="minorEastAsia"/>
          <w:b w:val="0"/>
          <w:bCs w:val="0"/>
          <w:color w:val="000000" w:themeColor="text1"/>
          <w:kern w:val="0"/>
          <w:sz w:val="24"/>
          <w:highlight w:val="none"/>
          <w14:textFill>
            <w14:solidFill>
              <w14:schemeClr w14:val="tx1"/>
            </w14:solidFill>
          </w14:textFill>
        </w:rPr>
        <w:t>对应区域食品、</w:t>
      </w:r>
      <w:r>
        <w:rPr>
          <w:rFonts w:hint="eastAsia" w:cs="宋体" w:asciiTheme="minorEastAsia" w:hAnsiTheme="minorEastAsia" w:eastAsiaTheme="minorEastAsia"/>
          <w:b w:val="0"/>
          <w:bCs w:val="0"/>
          <w:color w:val="000000" w:themeColor="text1"/>
          <w:kern w:val="0"/>
          <w:sz w:val="24"/>
          <w:highlight w:val="none"/>
          <w:lang w:val="en-US" w:eastAsia="zh-CN"/>
          <w14:textFill>
            <w14:solidFill>
              <w14:schemeClr w14:val="tx1"/>
            </w14:solidFill>
          </w14:textFill>
        </w:rPr>
        <w:t>产品</w:t>
      </w:r>
      <w:r>
        <w:rPr>
          <w:rFonts w:hint="eastAsia" w:cs="宋体" w:asciiTheme="minorEastAsia" w:hAnsiTheme="minorEastAsia" w:eastAsiaTheme="minorEastAsia"/>
          <w:b w:val="0"/>
          <w:bCs w:val="0"/>
          <w:color w:val="000000" w:themeColor="text1"/>
          <w:kern w:val="0"/>
          <w:sz w:val="24"/>
          <w:highlight w:val="none"/>
          <w14:textFill>
            <w14:solidFill>
              <w14:schemeClr w14:val="tx1"/>
            </w14:solidFill>
          </w14:textFill>
        </w:rPr>
        <w:t>安</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全监督抽检工作（对抽样品种进行检验、质量分析、信息上报等相关配套服务）及为采购单位提供免费技能培训服务</w:t>
      </w:r>
      <w:r>
        <w:rPr>
          <w:rFonts w:hint="eastAsia" w:asciiTheme="minorEastAsia" w:hAnsiTheme="minorEastAsia" w:eastAsiaTheme="minorEastAsia"/>
          <w:color w:val="000000" w:themeColor="text1"/>
          <w:sz w:val="24"/>
          <w:highlight w:val="none"/>
          <w14:textFill>
            <w14:solidFill>
              <w14:schemeClr w14:val="tx1"/>
            </w14:solidFill>
          </w14:textFill>
        </w:rPr>
        <w:t>（具体要求详见本项目竞争性磋商文件第三章服务内容及相关要求）；</w:t>
      </w:r>
    </w:p>
    <w:p w14:paraId="5D8AE772">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6.预算金额：</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1300000.00元</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68B3319C">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7.资金来源：财政资金，已落实；</w:t>
      </w:r>
    </w:p>
    <w:p w14:paraId="15A88643">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8.服务标准：符合国家及行业标准并满足采购人使用要求；</w:t>
      </w:r>
    </w:p>
    <w:p w14:paraId="49B72EC6">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9.服务期限：自合同签订生效之日起1年；</w:t>
      </w:r>
    </w:p>
    <w:p w14:paraId="288E0610">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10.服务地点：采购人指定地点；</w:t>
      </w:r>
    </w:p>
    <w:p w14:paraId="74DA08CF">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w:t>
      </w:r>
      <w:r>
        <w:rPr>
          <w:rFonts w:hint="eastAsia" w:ascii="宋体" w:hAnsi="宋体" w:eastAsia="宋体" w:cs="宋体"/>
          <w:color w:val="auto"/>
          <w:sz w:val="24"/>
          <w:highlight w:val="none"/>
          <w:lang w:val="en-US" w:eastAsia="zh-CN"/>
        </w:rPr>
        <w:t>落实政府采购政策需满足的资格要求：本项目非专门面向中小企业、监狱企业及残疾人福利性单位采购项目，执行促进中小型企业发展政策（残疾人福利性企业、监狱企业视同小微企业）、优先采购节能环保产品等政府采购政策</w:t>
      </w:r>
      <w:r>
        <w:rPr>
          <w:rFonts w:hint="eastAsia" w:ascii="宋体" w:hAnsi="宋体" w:cs="宋体"/>
          <w:color w:val="auto"/>
          <w:sz w:val="24"/>
          <w:highlight w:val="none"/>
          <w:lang w:val="en-US" w:eastAsia="zh-CN"/>
        </w:rPr>
        <w:t>。</w:t>
      </w:r>
    </w:p>
    <w:p w14:paraId="7178D457">
      <w:pPr>
        <w:spacing w:line="360" w:lineRule="auto"/>
        <w:ind w:firstLine="480" w:firstLineChars="200"/>
        <w:jc w:val="left"/>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二、供应商资格要求</w:t>
      </w:r>
    </w:p>
    <w:p w14:paraId="423D56EB">
      <w:pPr>
        <w:pStyle w:val="16"/>
        <w:spacing w:after="0" w:line="360" w:lineRule="auto"/>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满足《中华人民共和国政府采购法》第二十二条的规定并同时具备下列条件</w:t>
      </w:r>
      <w:r>
        <w:rPr>
          <w:rFonts w:hint="eastAsia" w:ascii="宋体" w:hAnsi="宋体"/>
          <w:color w:val="000000" w:themeColor="text1"/>
          <w:sz w:val="24"/>
          <w:szCs w:val="24"/>
          <w:highlight w:val="none"/>
          <w:lang w:eastAsia="zh-CN"/>
          <w14:textFill>
            <w14:solidFill>
              <w14:schemeClr w14:val="tx1"/>
            </w14:solidFill>
          </w14:textFill>
        </w:rPr>
        <w:t>：</w:t>
      </w:r>
    </w:p>
    <w:p w14:paraId="376E79E7">
      <w:pPr>
        <w:pStyle w:val="16"/>
        <w:spacing w:after="0"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1、供应商须具有有效的营业执照、税务登记证、组织机构代码证或“三证合一”的营业执照；</w:t>
      </w:r>
    </w:p>
    <w:p w14:paraId="22303254">
      <w:pPr>
        <w:pStyle w:val="16"/>
        <w:spacing w:after="0"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2、有效期内的CMA证书（其中CMA资质附表中要同时具备食品及工业品检测能力</w:t>
      </w:r>
      <w:r>
        <w:rPr>
          <w:rFonts w:hint="eastAsia" w:ascii="宋体" w:hAnsi="宋体"/>
          <w:b/>
          <w:bCs/>
          <w:color w:val="000000" w:themeColor="text1"/>
          <w:sz w:val="24"/>
          <w:szCs w:val="24"/>
          <w:highlight w:val="none"/>
          <w14:textFill>
            <w14:solidFill>
              <w14:schemeClr w14:val="tx1"/>
            </w14:solidFill>
          </w14:textFill>
        </w:rPr>
        <w:t>（注：本项目服务目录中所有产品检测覆盖率达80%以上并提供CMA能力附表）</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3669778D">
      <w:pPr>
        <w:spacing w:line="360" w:lineRule="auto"/>
        <w:ind w:firstLine="480" w:firstLineChars="200"/>
        <w:jc w:val="left"/>
        <w:rPr>
          <w:rFonts w:asciiTheme="minorEastAsia" w:hAnsiTheme="minorEastAsia" w:eastAsiaTheme="minorEastAsia"/>
          <w:color w:val="000000" w:themeColor="text1"/>
          <w:sz w:val="24"/>
          <w:highlight w:val="none"/>
          <w:cs/>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、具有履行本项目采购内容所必须的设备和专业技术服务能力(提供证明材料或承诺书)；</w:t>
      </w:r>
    </w:p>
    <w:p w14:paraId="3F2F00BC">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、具有依法缴纳税收（提供202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 w:val="24"/>
          <w:highlight w:val="none"/>
          <w14:textFill>
            <w14:solidFill>
              <w14:schemeClr w14:val="tx1"/>
            </w14:solidFill>
          </w14:textFill>
        </w:rPr>
        <w:t>年01月以来</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任意一个</w:t>
      </w:r>
      <w:r>
        <w:rPr>
          <w:rFonts w:hint="eastAsia" w:asciiTheme="minorEastAsia" w:hAnsiTheme="minorEastAsia" w:eastAsiaTheme="minorEastAsia"/>
          <w:color w:val="000000" w:themeColor="text1"/>
          <w:sz w:val="24"/>
          <w:highlight w:val="none"/>
          <w14:textFill>
            <w14:solidFill>
              <w14:schemeClr w14:val="tx1"/>
            </w14:solidFill>
          </w14:textFill>
        </w:rPr>
        <w:t>月的税收缴纳证明材料；注：依法免税的，应提供税务部门出具的依法免税证明材料）和社会保障资金（提供</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2025</w:t>
      </w:r>
      <w:r>
        <w:rPr>
          <w:rFonts w:hint="eastAsia" w:asciiTheme="minorEastAsia" w:hAnsiTheme="minorEastAsia" w:eastAsiaTheme="minorEastAsia"/>
          <w:color w:val="000000" w:themeColor="text1"/>
          <w:sz w:val="24"/>
          <w:highlight w:val="none"/>
          <w14:textFill>
            <w14:solidFill>
              <w14:schemeClr w14:val="tx1"/>
            </w14:solidFill>
          </w14:textFill>
        </w:rPr>
        <w:t>年01月以来项目负责人</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任意一个月</w:t>
      </w:r>
      <w:r>
        <w:rPr>
          <w:rFonts w:hint="eastAsia" w:asciiTheme="minorEastAsia" w:hAnsiTheme="minorEastAsia" w:eastAsiaTheme="minorEastAsia"/>
          <w:color w:val="000000" w:themeColor="text1"/>
          <w:sz w:val="24"/>
          <w:highlight w:val="none"/>
          <w14:textFill>
            <w14:solidFill>
              <w14:schemeClr w14:val="tx1"/>
            </w14:solidFill>
          </w14:textFill>
        </w:rPr>
        <w:t>的社保证明材料）；</w:t>
      </w:r>
    </w:p>
    <w:p w14:paraId="0A294AC9">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 w:val="24"/>
          <w:highlight w:val="none"/>
          <w14:textFill>
            <w14:solidFill>
              <w14:schemeClr w14:val="tx1"/>
            </w14:solidFill>
          </w14:textFill>
        </w:rPr>
        <w:t>、具有良好的商业信誉和健全的财务会计制度，提供近三年经审计的财务报告（或财务报表）</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新成立公司无审计报告应附最新的财务报表说明；</w:t>
      </w:r>
    </w:p>
    <w:p w14:paraId="215C4DDA">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4"/>
          <w:highlight w:val="none"/>
          <w14:textFill>
            <w14:solidFill>
              <w14:schemeClr w14:val="tx1"/>
            </w14:solidFill>
          </w14:textFill>
        </w:rPr>
        <w:t>、参加政府采购活动前3年内无行贿犯罪记录；（提供《中国裁判文书网》查询结果网页截图或企业自行承诺的无行贿犯罪承诺书，查询&lt;承诺&gt;对象为“企业，法定代表人，项目负责人”）；</w:t>
      </w:r>
    </w:p>
    <w:p w14:paraId="4D948DA3">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z w:val="24"/>
          <w:highlight w:val="none"/>
          <w14:textFill>
            <w14:solidFill>
              <w14:schemeClr w14:val="tx1"/>
            </w14:solidFill>
          </w14:textFill>
        </w:rPr>
        <w:t>、参加政府采购活动前3年内无商业贿赂、不正当竞争行为、骗取中标、严重违约及重大质量等问题，（供应商须自行出具承诺书）；</w:t>
      </w:r>
    </w:p>
    <w:p w14:paraId="3520B444">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8</w:t>
      </w:r>
      <w:r>
        <w:rPr>
          <w:rFonts w:hint="eastAsia" w:asciiTheme="minorEastAsia" w:hAnsiTheme="minorEastAsia" w:eastAsiaTheme="minorEastAsia"/>
          <w:color w:val="000000" w:themeColor="text1"/>
          <w:sz w:val="24"/>
          <w:highlight w:val="none"/>
          <w14:textFill>
            <w14:solidFill>
              <w14:schemeClr w14:val="tx1"/>
            </w14:solidFill>
          </w14:textFill>
        </w:rPr>
        <w:t>、根据《关于在政府采购活动中查询及使用信用记录有关问题的通知》(财库[2016]125号) 和豫财购【2016】15号的规定，企业没有被列入“信用中国”网站的“失信被执行人”、“重大税收违法失信主体”及“中国政府采购网”网站的“政府采购严重违法失信行为记录名单”的投标供应商；（查询渠道：“信用中国”网站（www.creditchina.gov.cn）、中国政府采购网（www.ccgp.gov.cn）提供网站的查询信息截图；(注：査询时间必须是磋商公告发布以后开标时间以前并提供网站查询网页截图，查询结果清晰可见)；</w:t>
      </w:r>
    </w:p>
    <w:p w14:paraId="719E7638">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9</w:t>
      </w:r>
      <w:r>
        <w:rPr>
          <w:rFonts w:hint="eastAsia" w:asciiTheme="minorEastAsia" w:hAnsiTheme="minorEastAsia" w:eastAsiaTheme="minorEastAsia"/>
          <w:color w:val="000000" w:themeColor="text1"/>
          <w:sz w:val="24"/>
          <w:highlight w:val="none"/>
          <w14:textFill>
            <w14:solidFill>
              <w14:schemeClr w14:val="tx1"/>
            </w14:solidFill>
          </w14:textFill>
        </w:rPr>
        <w:t>、单位负责人为同一人或者存在控股、管理关系的不同单位，不得参加同一标段投标或者未划分标段的同一招标项目投标,提供投标企业在“国家企业信用信息公示系统”中公示的公司信息、股东或投资人信息”。</w:t>
      </w:r>
    </w:p>
    <w:p w14:paraId="54ECFD61">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10</w:t>
      </w:r>
      <w:r>
        <w:rPr>
          <w:rFonts w:hint="eastAsia" w:asciiTheme="minorEastAsia" w:hAnsiTheme="minorEastAsia" w:eastAsiaTheme="minorEastAsia"/>
          <w:color w:val="000000" w:themeColor="text1"/>
          <w:sz w:val="24"/>
          <w:highlight w:val="none"/>
          <w14:textFill>
            <w14:solidFill>
              <w14:schemeClr w14:val="tx1"/>
            </w14:solidFill>
          </w14:textFill>
        </w:rPr>
        <w:t>、本项目不接受联合体投标；</w:t>
      </w:r>
    </w:p>
    <w:p w14:paraId="0DA547B0">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三、竞争性磋商文件的获取</w:t>
      </w:r>
    </w:p>
    <w:p w14:paraId="1962BC65">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bCs/>
          <w:color w:val="000000" w:themeColor="text1"/>
          <w:sz w:val="24"/>
          <w:highlight w:val="none"/>
          <w14:textFill>
            <w14:solidFill>
              <w14:schemeClr w14:val="tx1"/>
            </w14:solidFill>
          </w14:textFill>
        </w:rPr>
        <w:t>方式：本项目没有报名环节，供应商凭CA数字证书通过三门峡市公共资源交易中心网（网址：</w:t>
      </w:r>
      <w:r>
        <w:rPr>
          <w:rFonts w:asciiTheme="minorEastAsia" w:hAnsiTheme="minorEastAsia" w:eastAsiaTheme="minorEastAsia"/>
          <w:bCs/>
          <w:color w:val="000000" w:themeColor="text1"/>
          <w:sz w:val="24"/>
          <w:highlight w:val="none"/>
          <w14:textFill>
            <w14:solidFill>
              <w14:schemeClr w14:val="tx1"/>
            </w14:solidFill>
          </w14:textFill>
        </w:rPr>
        <w:t>http://gzjy.smx.gov.cn</w:t>
      </w:r>
      <w:r>
        <w:rPr>
          <w:rFonts w:hint="eastAsia" w:asciiTheme="minorEastAsia" w:hAnsiTheme="minorEastAsia" w:eastAsiaTheme="minorEastAsia"/>
          <w:bCs/>
          <w:color w:val="000000" w:themeColor="text1"/>
          <w:sz w:val="24"/>
          <w:highlight w:val="none"/>
          <w14:textFill>
            <w14:solidFill>
              <w14:schemeClr w14:val="tx1"/>
            </w14:solidFill>
          </w14:textFill>
        </w:rPr>
        <w:t>），点击交易平台选择</w:t>
      </w:r>
      <w:r>
        <w:rPr>
          <w:rFonts w:hint="eastAsia" w:asciiTheme="minorEastAsia" w:hAnsiTheme="minorEastAsia" w:eastAsiaTheme="minorEastAsia"/>
          <w:color w:val="000000" w:themeColor="text1"/>
          <w:sz w:val="24"/>
          <w:highlight w:val="none"/>
          <w14:textFill>
            <w14:solidFill>
              <w14:schemeClr w14:val="tx1"/>
            </w14:solidFill>
          </w14:textFill>
        </w:rPr>
        <w:t>“市场主体登录”，在所参与项目右侧点击参与投标，即可直接下载本项目磋商文件。</w:t>
      </w:r>
    </w:p>
    <w:p w14:paraId="7260B023">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办理CA证书：http://www.smxgzjy.org/bwstb/23330.jhtml</w:t>
      </w:r>
    </w:p>
    <w:p w14:paraId="461B97B7">
      <w:pPr>
        <w:spacing w:line="360" w:lineRule="auto"/>
        <w:ind w:firstLine="480" w:firstLineChars="200"/>
        <w:jc w:val="left"/>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2.时间：</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2025</w:t>
      </w:r>
      <w:r>
        <w:rPr>
          <w:rFonts w:hint="eastAsia" w:asciiTheme="minorEastAsia" w:hAnsiTheme="minorEastAsia" w:eastAsiaTheme="minorEastAsia"/>
          <w:bCs/>
          <w:color w:val="000000" w:themeColor="text1"/>
          <w:sz w:val="24"/>
          <w:highlight w:val="none"/>
          <w14:textFill>
            <w14:solidFill>
              <w14:schemeClr w14:val="tx1"/>
            </w14:solidFill>
          </w14:textFill>
        </w:rPr>
        <w:t>年</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10</w:t>
      </w:r>
      <w:r>
        <w:rPr>
          <w:rFonts w:hint="eastAsia" w:asciiTheme="minorEastAsia" w:hAnsiTheme="minorEastAsia" w:eastAsiaTheme="minorEastAsia"/>
          <w:bCs/>
          <w:color w:val="000000" w:themeColor="text1"/>
          <w:sz w:val="24"/>
          <w:highlight w:val="none"/>
          <w14:textFill>
            <w14:solidFill>
              <w14:schemeClr w14:val="tx1"/>
            </w14:solidFill>
          </w14:textFill>
        </w:rPr>
        <w:t>月</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11</w:t>
      </w:r>
      <w:r>
        <w:rPr>
          <w:rFonts w:hint="eastAsia" w:asciiTheme="minorEastAsia" w:hAnsiTheme="minorEastAsia" w:eastAsiaTheme="minorEastAsia"/>
          <w:bCs/>
          <w:color w:val="000000" w:themeColor="text1"/>
          <w:sz w:val="24"/>
          <w:highlight w:val="none"/>
          <w14:textFill>
            <w14:solidFill>
              <w14:schemeClr w14:val="tx1"/>
            </w14:solidFill>
          </w14:textFill>
        </w:rPr>
        <w:t>日</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8</w:t>
      </w:r>
      <w:r>
        <w:rPr>
          <w:rFonts w:hint="eastAsia" w:asciiTheme="minorEastAsia" w:hAnsiTheme="minorEastAsia" w:eastAsiaTheme="minorEastAsia"/>
          <w:bCs/>
          <w:color w:val="000000" w:themeColor="text1"/>
          <w:sz w:val="24"/>
          <w:highlight w:val="none"/>
          <w14:textFill>
            <w14:solidFill>
              <w14:schemeClr w14:val="tx1"/>
            </w14:solidFill>
          </w14:textFill>
        </w:rPr>
        <w:t>时</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00</w:t>
      </w:r>
      <w:r>
        <w:rPr>
          <w:rFonts w:hint="eastAsia" w:asciiTheme="minorEastAsia" w:hAnsiTheme="minorEastAsia" w:eastAsiaTheme="minorEastAsia"/>
          <w:bCs/>
          <w:color w:val="000000" w:themeColor="text1"/>
          <w:sz w:val="24"/>
          <w:highlight w:val="none"/>
          <w14:textFill>
            <w14:solidFill>
              <w14:schemeClr w14:val="tx1"/>
            </w14:solidFill>
          </w14:textFill>
        </w:rPr>
        <w:t>分至</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2025</w:t>
      </w:r>
      <w:r>
        <w:rPr>
          <w:rFonts w:hint="eastAsia" w:asciiTheme="minorEastAsia" w:hAnsiTheme="minorEastAsia" w:eastAsiaTheme="minorEastAsia"/>
          <w:bCs/>
          <w:color w:val="000000" w:themeColor="text1"/>
          <w:sz w:val="24"/>
          <w:highlight w:val="none"/>
          <w14:textFill>
            <w14:solidFill>
              <w14:schemeClr w14:val="tx1"/>
            </w14:solidFill>
          </w14:textFill>
        </w:rPr>
        <w:t>年</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10</w:t>
      </w:r>
      <w:r>
        <w:rPr>
          <w:rFonts w:hint="eastAsia" w:asciiTheme="minorEastAsia" w:hAnsiTheme="minorEastAsia" w:eastAsiaTheme="minorEastAsia"/>
          <w:bCs/>
          <w:color w:val="000000" w:themeColor="text1"/>
          <w:sz w:val="24"/>
          <w:highlight w:val="none"/>
          <w14:textFill>
            <w14:solidFill>
              <w14:schemeClr w14:val="tx1"/>
            </w14:solidFill>
          </w14:textFill>
        </w:rPr>
        <w:t>月</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22</w:t>
      </w:r>
      <w:r>
        <w:rPr>
          <w:rFonts w:hint="eastAsia" w:asciiTheme="minorEastAsia" w:hAnsiTheme="minorEastAsia" w:eastAsiaTheme="minorEastAsia"/>
          <w:bCs/>
          <w:color w:val="000000" w:themeColor="text1"/>
          <w:sz w:val="24"/>
          <w:highlight w:val="none"/>
          <w14:textFill>
            <w14:solidFill>
              <w14:schemeClr w14:val="tx1"/>
            </w14:solidFill>
          </w14:textFill>
        </w:rPr>
        <w:t>日</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09</w:t>
      </w:r>
      <w:r>
        <w:rPr>
          <w:rFonts w:hint="eastAsia" w:asciiTheme="minorEastAsia" w:hAnsiTheme="minorEastAsia" w:eastAsiaTheme="minorEastAsia"/>
          <w:bCs/>
          <w:color w:val="000000" w:themeColor="text1"/>
          <w:sz w:val="24"/>
          <w:highlight w:val="none"/>
          <w14:textFill>
            <w14:solidFill>
              <w14:schemeClr w14:val="tx1"/>
            </w14:solidFill>
          </w14:textFill>
        </w:rPr>
        <w:t>时</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00</w:t>
      </w:r>
      <w:r>
        <w:rPr>
          <w:rFonts w:hint="eastAsia" w:asciiTheme="minorEastAsia" w:hAnsiTheme="minorEastAsia" w:eastAsiaTheme="minorEastAsia"/>
          <w:bCs/>
          <w:color w:val="000000" w:themeColor="text1"/>
          <w:sz w:val="24"/>
          <w:highlight w:val="none"/>
          <w14:textFill>
            <w14:solidFill>
              <w14:schemeClr w14:val="tx1"/>
            </w14:solidFill>
          </w14:textFill>
        </w:rPr>
        <w:t>分。</w:t>
      </w:r>
    </w:p>
    <w:p w14:paraId="22612D48">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3.本项目采用全电子化招标，不再收取竞争性磋商文件费。</w:t>
      </w:r>
    </w:p>
    <w:p w14:paraId="19C13EE4">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注：本项目为不见面开标项目，开标当日，响应人无需到开标现场参加开标会议，响应人应当在投标截止时间前，登陆不见面开标大厅选择登陆三门峡市公共资源电子招投标系统进行登陆（http://120.194.249.36:10094/BidOpening/bidopeninghallaction/hall/login）,在线准时参加开标活动并进行响应文件解密等。每位响应人的解密时间为开标时间起30分钟内完成。因响应人原因未能解密、解密失败或解密超时的将被拒绝。</w:t>
      </w:r>
    </w:p>
    <w:p w14:paraId="75DDCAD9">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四、磋商响应资料的提交</w:t>
      </w:r>
    </w:p>
    <w:p w14:paraId="17A5972F">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项目为资格后审，资格审查由采购人依法组建的磋商小组负责。审查内容以磋商截止时间前在三门峡市公共资源交易平台“响应文件”上传的信息为准，同时，供应商要完善主体库。规定时间外上传或更改的信息不作为评标依据。响应文件中上传的信息真实有效，扫描件清晰可辨。否则，由此造成应得分而未得分或资格审查不合格等情况的，由供应商承担责任。</w:t>
      </w:r>
    </w:p>
    <w:p w14:paraId="756E9730">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五、磋商保证金</w:t>
      </w:r>
    </w:p>
    <w:p w14:paraId="5859AD43">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按照《河南省财政厅关于优化政府采购营商环境有关问题的通知》（豫财购[2019]4号文）的要求本项目不再收取磋商保证金。</w:t>
      </w:r>
    </w:p>
    <w:p w14:paraId="0D700D66">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六、磋商文件的递交</w:t>
      </w:r>
    </w:p>
    <w:p w14:paraId="546D2A2B">
      <w:p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1、磋商文件递交的截止时间（开标时间）为</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2025</w:t>
      </w:r>
      <w:r>
        <w:rPr>
          <w:rFonts w:hint="eastAsia" w:asciiTheme="minorEastAsia" w:hAnsiTheme="minorEastAsia" w:eastAsiaTheme="minorEastAsia"/>
          <w:bCs/>
          <w:color w:val="000000" w:themeColor="text1"/>
          <w:sz w:val="24"/>
          <w:highlight w:val="none"/>
          <w14:textFill>
            <w14:solidFill>
              <w14:schemeClr w14:val="tx1"/>
            </w14:solidFill>
          </w14:textFill>
        </w:rPr>
        <w:t>年</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10</w:t>
      </w:r>
      <w:r>
        <w:rPr>
          <w:rFonts w:hint="eastAsia" w:asciiTheme="minorEastAsia" w:hAnsiTheme="minorEastAsia" w:eastAsiaTheme="minorEastAsia"/>
          <w:bCs/>
          <w:color w:val="000000" w:themeColor="text1"/>
          <w:sz w:val="24"/>
          <w:highlight w:val="none"/>
          <w14:textFill>
            <w14:solidFill>
              <w14:schemeClr w14:val="tx1"/>
            </w14:solidFill>
          </w14:textFill>
        </w:rPr>
        <w:t>月</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22</w:t>
      </w:r>
      <w:r>
        <w:rPr>
          <w:rFonts w:hint="eastAsia" w:asciiTheme="minorEastAsia" w:hAnsiTheme="minorEastAsia" w:eastAsiaTheme="minorEastAsia"/>
          <w:bCs/>
          <w:color w:val="000000" w:themeColor="text1"/>
          <w:sz w:val="24"/>
          <w:highlight w:val="none"/>
          <w14:textFill>
            <w14:solidFill>
              <w14:schemeClr w14:val="tx1"/>
            </w14:solidFill>
          </w14:textFill>
        </w:rPr>
        <w:t>日</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09</w:t>
      </w:r>
      <w:r>
        <w:rPr>
          <w:rFonts w:hint="eastAsia" w:asciiTheme="minorEastAsia" w:hAnsiTheme="minorEastAsia" w:eastAsiaTheme="minorEastAsia"/>
          <w:bCs/>
          <w:color w:val="000000" w:themeColor="text1"/>
          <w:sz w:val="24"/>
          <w:highlight w:val="none"/>
          <w14:textFill>
            <w14:solidFill>
              <w14:schemeClr w14:val="tx1"/>
            </w14:solidFill>
          </w14:textFill>
        </w:rPr>
        <w:t>时</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00</w:t>
      </w:r>
      <w:r>
        <w:rPr>
          <w:rFonts w:hint="eastAsia" w:asciiTheme="minorEastAsia" w:hAnsiTheme="minorEastAsia" w:eastAsiaTheme="minorEastAsia"/>
          <w:bCs/>
          <w:color w:val="000000" w:themeColor="text1"/>
          <w:sz w:val="24"/>
          <w:highlight w:val="none"/>
          <w14:textFill>
            <w14:solidFill>
              <w14:schemeClr w14:val="tx1"/>
            </w14:solidFill>
          </w14:textFill>
        </w:rPr>
        <w:t>分</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3D3C5906">
      <w:p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2、开标地点：灵宝市公共资源交易中心十二楼第</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一</w:t>
      </w:r>
      <w:r>
        <w:rPr>
          <w:rFonts w:hint="eastAsia" w:cs="宋体" w:asciiTheme="minorEastAsia" w:hAnsiTheme="minorEastAsia" w:eastAsiaTheme="minorEastAsia"/>
          <w:color w:val="000000" w:themeColor="text1"/>
          <w:sz w:val="24"/>
          <w:highlight w:val="none"/>
          <w14:textFill>
            <w14:solidFill>
              <w14:schemeClr w14:val="tx1"/>
            </w14:solidFill>
          </w14:textFill>
        </w:rPr>
        <w:t>开标室；</w:t>
      </w:r>
    </w:p>
    <w:p w14:paraId="3D83F41F">
      <w:p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3、评标地点：灵宝市公共资源交易中心十二楼第</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三</w:t>
      </w:r>
      <w:r>
        <w:rPr>
          <w:rFonts w:hint="eastAsia" w:cs="宋体" w:asciiTheme="minorEastAsia" w:hAnsiTheme="minorEastAsia" w:eastAsiaTheme="minorEastAsia"/>
          <w:color w:val="000000" w:themeColor="text1"/>
          <w:sz w:val="24"/>
          <w:highlight w:val="none"/>
          <w14:textFill>
            <w14:solidFill>
              <w14:schemeClr w14:val="tx1"/>
            </w14:solidFill>
          </w14:textFill>
        </w:rPr>
        <w:t>评标室；</w:t>
      </w:r>
    </w:p>
    <w:p w14:paraId="37703149">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七、其他事项</w:t>
      </w:r>
    </w:p>
    <w:p w14:paraId="32C6930E">
      <w:p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1、供应商应仔细阅读操作手册，在本公告中要求的截止时间前完成磋商文件下载等工作。因供应商操作不当等问题造成的无法下载磋商文件、无法投标等一切后果，由供应商自行承担。</w:t>
      </w:r>
    </w:p>
    <w:p w14:paraId="303F9A1D">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2、投标所发生的一切费用由各供应商自行承担，并承担相应的风险和责任。</w:t>
      </w:r>
    </w:p>
    <w:p w14:paraId="06EB0214">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3、供应商递交的资料和响应文件不论中标与否均不予退还。</w:t>
      </w:r>
    </w:p>
    <w:p w14:paraId="2BCB7CC3">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4、我单位（采购人）严格按三财购（2021）9 号文要求的时限发布结果公告，发出成交通知书，签订采购合同，上传采购合同。</w:t>
      </w:r>
    </w:p>
    <w:p w14:paraId="55E9127C">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5、根据优化营商环境的要求，评标时以响应文件为准：</w:t>
      </w:r>
    </w:p>
    <w:p w14:paraId="5C73DC17">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（1）资格评（预）审部分：资格评（预）以响应文件为准，其上传资料真实性由供应商自行承担，同时，供应商要完善主体库。</w:t>
      </w:r>
    </w:p>
    <w:p w14:paraId="2CA0595A">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（2）评标打分部分：评标打分部分仍按照100分制原则进行，涉及到资格审查、企业荣誉、人员业绩、企业业绩等计分部分时，以投标单位自行上传到响应文件中的相应内容为准。</w:t>
      </w:r>
    </w:p>
    <w:p w14:paraId="7CE6ECF2">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响应文件编制部分：在磋商文件中要求供应商按照响应文件格式进行响应文件编制，在响应文件编制时，应明确将投标单位企业基本情况、资质情况、人员情况、财务情况、业绩情况编入响应文件，便于进行资格审查及评标打分。</w:t>
      </w:r>
    </w:p>
    <w:p w14:paraId="33C9BFB4">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八、发布公告的媒介</w:t>
      </w:r>
    </w:p>
    <w:p w14:paraId="0151DB82">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本次磋商公告同时在《河南省政府采购网》、《三门峡市公共资源交易中心网》、《中国采购与招标网》上发布。</w:t>
      </w:r>
    </w:p>
    <w:p w14:paraId="4269A9A3">
      <w:pPr>
        <w:numPr>
          <w:ilvl w:val="0"/>
          <w:numId w:val="1"/>
        </w:numPr>
        <w:spacing w:line="360" w:lineRule="auto"/>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联系方式</w:t>
      </w:r>
    </w:p>
    <w:p w14:paraId="2547480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监督单位：灵宝市财政局政府采购监督管理科</w:t>
      </w:r>
    </w:p>
    <w:p w14:paraId="0D0601B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联系方式：0398-8852670</w:t>
      </w:r>
    </w:p>
    <w:p w14:paraId="311BA69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000000" w:themeColor="text1"/>
          <w:kern w:val="0"/>
          <w:sz w:val="24"/>
          <w:highlight w:val="none"/>
          <w:lang w:val="en-US"/>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en-US" w:eastAsia="zh-CN"/>
          <w14:textFill>
            <w14:solidFill>
              <w14:schemeClr w14:val="tx1"/>
            </w14:solidFill>
          </w14:textFill>
        </w:rPr>
        <w:t>监督单位：中 共灵宝市市场监督管理局党组</w:t>
      </w:r>
    </w:p>
    <w:p w14:paraId="72D177B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en-US" w:eastAsia="zh-CN"/>
          <w14:textFill>
            <w14:solidFill>
              <w14:schemeClr w14:val="tx1"/>
            </w14:solidFill>
          </w14:textFill>
        </w:rPr>
        <w:t>电话：0398-8661881</w:t>
      </w:r>
    </w:p>
    <w:p w14:paraId="0EF5E45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采购人：灵宝市市场监督管理局</w:t>
      </w:r>
    </w:p>
    <w:p w14:paraId="299BB4A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地址：灵宝市富士路中段</w:t>
      </w:r>
    </w:p>
    <w:p w14:paraId="3603F60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000000" w:themeColor="text1"/>
          <w:kern w:val="0"/>
          <w:sz w:val="24"/>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联系人：</w:t>
      </w:r>
      <w:r>
        <w:rPr>
          <w:rFonts w:hint="eastAsia" w:cs="宋体" w:asciiTheme="minorEastAsia" w:hAnsiTheme="minorEastAsia" w:eastAsiaTheme="minorEastAsia"/>
          <w:color w:val="000000" w:themeColor="text1"/>
          <w:kern w:val="0"/>
          <w:sz w:val="24"/>
          <w:highlight w:val="none"/>
          <w:lang w:val="en-US" w:eastAsia="zh-CN"/>
          <w14:textFill>
            <w14:solidFill>
              <w14:schemeClr w14:val="tx1"/>
            </w14:solidFill>
          </w14:textFill>
        </w:rPr>
        <w:t>刘先生</w:t>
      </w:r>
    </w:p>
    <w:p w14:paraId="39638A6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联系电话：03988661618</w:t>
      </w:r>
    </w:p>
    <w:p w14:paraId="21995EC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000000" w:themeColor="text1"/>
          <w:kern w:val="0"/>
          <w:sz w:val="24"/>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地  址：</w:t>
      </w:r>
      <w:r>
        <w:rPr>
          <w:rFonts w:hint="eastAsia" w:cs="宋体" w:asciiTheme="minorEastAsia" w:hAnsiTheme="minorEastAsia" w:eastAsiaTheme="minorEastAsia"/>
          <w:color w:val="000000" w:themeColor="text1"/>
          <w:kern w:val="0"/>
          <w:sz w:val="24"/>
          <w:highlight w:val="none"/>
          <w:lang w:eastAsia="zh-CN"/>
          <w14:textFill>
            <w14:solidFill>
              <w14:schemeClr w14:val="tx1"/>
            </w14:solidFill>
          </w14:textFill>
        </w:rPr>
        <w:t>河南省郑州市金水区农业路东16号省汇中心A座15A01</w:t>
      </w:r>
    </w:p>
    <w:p w14:paraId="7ABBC02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联 系 人：</w:t>
      </w:r>
      <w:r>
        <w:rPr>
          <w:rFonts w:hint="eastAsia" w:cs="宋体" w:asciiTheme="minorEastAsia" w:hAnsiTheme="minorEastAsia" w:eastAsiaTheme="minorEastAsia"/>
          <w:color w:val="000000" w:themeColor="text1"/>
          <w:kern w:val="0"/>
          <w:sz w:val="24"/>
          <w:highlight w:val="none"/>
          <w:lang w:eastAsia="zh-CN"/>
          <w14:textFill>
            <w14:solidFill>
              <w14:schemeClr w14:val="tx1"/>
            </w14:solidFill>
          </w14:textFill>
        </w:rPr>
        <w:t>张女士</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w:t>
      </w:r>
    </w:p>
    <w:p w14:paraId="5A2D784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联系电话：</w:t>
      </w:r>
      <w:r>
        <w:rPr>
          <w:rFonts w:hint="eastAsia" w:cs="宋体" w:asciiTheme="minorEastAsia" w:hAnsiTheme="minorEastAsia" w:eastAsiaTheme="minorEastAsia"/>
          <w:color w:val="000000" w:themeColor="text1"/>
          <w:kern w:val="0"/>
          <w:sz w:val="24"/>
          <w:highlight w:val="none"/>
          <w:lang w:eastAsia="zh-CN"/>
          <w14:textFill>
            <w14:solidFill>
              <w14:schemeClr w14:val="tx1"/>
            </w14:solidFill>
          </w14:textFill>
        </w:rPr>
        <w:t>19839811108</w:t>
      </w:r>
    </w:p>
    <w:p w14:paraId="34E30249">
      <w:pPr>
        <w:pStyle w:val="8"/>
        <w:ind w:right="164" w:firstLine="560"/>
        <w:rPr>
          <w:rFonts w:asciiTheme="minorEastAsia" w:hAnsiTheme="minorEastAsia" w:eastAsiaTheme="minorEastAsia"/>
          <w:color w:val="000000" w:themeColor="text1"/>
          <w:highlight w:val="none"/>
          <w14:textFill>
            <w14:solidFill>
              <w14:schemeClr w14:val="tx1"/>
            </w14:solidFill>
          </w14:textFill>
        </w:rPr>
      </w:pPr>
    </w:p>
    <w:p w14:paraId="32D5DEFE">
      <w:pPr>
        <w:rPr>
          <w:rFonts w:asciiTheme="minorEastAsia" w:hAnsiTheme="minorEastAsia" w:eastAsiaTheme="minorEastAsia"/>
          <w:color w:val="000000" w:themeColor="text1"/>
          <w:highlight w:val="none"/>
          <w14:textFill>
            <w14:solidFill>
              <w14:schemeClr w14:val="tx1"/>
            </w14:solidFill>
          </w14:textFill>
        </w:rPr>
      </w:pPr>
    </w:p>
    <w:p w14:paraId="22E4C5A7">
      <w:pPr>
        <w:pStyle w:val="16"/>
        <w:ind w:firstLine="200"/>
        <w:rPr>
          <w:rFonts w:asciiTheme="minorEastAsia" w:hAnsiTheme="minorEastAsia" w:eastAsiaTheme="minorEastAsia"/>
          <w:color w:val="000000" w:themeColor="text1"/>
          <w:highlight w:val="none"/>
          <w14:textFill>
            <w14:solidFill>
              <w14:schemeClr w14:val="tx1"/>
            </w14:solidFill>
          </w14:textFill>
        </w:rPr>
      </w:pPr>
    </w:p>
    <w:p w14:paraId="6601614D">
      <w:pPr>
        <w:pStyle w:val="8"/>
        <w:ind w:right="164" w:firstLine="560"/>
        <w:rPr>
          <w:rFonts w:asciiTheme="minorEastAsia" w:hAnsiTheme="minorEastAsia" w:eastAsiaTheme="minorEastAsia"/>
          <w:color w:val="000000" w:themeColor="text1"/>
          <w:highlight w:val="none"/>
          <w14:textFill>
            <w14:solidFill>
              <w14:schemeClr w14:val="tx1"/>
            </w14:solidFill>
          </w14:textFill>
        </w:rPr>
      </w:pPr>
    </w:p>
    <w:p w14:paraId="607FE6E1">
      <w:pPr>
        <w:rPr>
          <w:rFonts w:asciiTheme="minorEastAsia" w:hAnsiTheme="minorEastAsia" w:eastAsiaTheme="minorEastAsia"/>
          <w:color w:val="000000" w:themeColor="text1"/>
          <w:highlight w:val="none"/>
          <w14:textFill>
            <w14:solidFill>
              <w14:schemeClr w14:val="tx1"/>
            </w14:solidFill>
          </w14:textFill>
        </w:rPr>
      </w:pPr>
    </w:p>
    <w:p w14:paraId="0F7AB9AA">
      <w:pPr>
        <w:pStyle w:val="16"/>
        <w:ind w:firstLine="200"/>
        <w:rPr>
          <w:rFonts w:asciiTheme="minorEastAsia" w:hAnsiTheme="minorEastAsia" w:eastAsiaTheme="minorEastAsia"/>
          <w:color w:val="000000" w:themeColor="text1"/>
          <w:highlight w:val="none"/>
          <w14:textFill>
            <w14:solidFill>
              <w14:schemeClr w14:val="tx1"/>
            </w14:solidFill>
          </w14:textFill>
        </w:rPr>
      </w:pPr>
    </w:p>
    <w:p w14:paraId="7FE2D9C6">
      <w:pPr>
        <w:pStyle w:val="8"/>
        <w:ind w:right="164" w:firstLine="560"/>
        <w:rPr>
          <w:rFonts w:asciiTheme="minorEastAsia" w:hAnsiTheme="minorEastAsia" w:eastAsiaTheme="minorEastAsia"/>
          <w:color w:val="000000" w:themeColor="text1"/>
          <w:highlight w:val="none"/>
          <w14:textFill>
            <w14:solidFill>
              <w14:schemeClr w14:val="tx1"/>
            </w14:solidFill>
          </w14:textFill>
        </w:rPr>
      </w:pPr>
    </w:p>
    <w:bookmarkEnd w:id="20"/>
    <w:bookmarkEnd w:id="21"/>
    <w:bookmarkEnd w:id="22"/>
    <w:bookmarkEnd w:id="23"/>
    <w:bookmarkEnd w:id="24"/>
    <w:bookmarkEnd w:id="25"/>
    <w:bookmarkEnd w:id="26"/>
    <w:bookmarkEnd w:id="27"/>
    <w:bookmarkEnd w:id="28"/>
    <w:p w14:paraId="7A6B2098">
      <w:pPr>
        <w:rPr>
          <w:rFonts w:hint="eastAsia" w:asciiTheme="minorEastAsia" w:hAnsiTheme="minorEastAsia" w:eastAsiaTheme="minorEastAsia"/>
          <w:bCs/>
          <w:color w:val="000000" w:themeColor="text1"/>
          <w:sz w:val="24"/>
          <w:highlight w:val="none"/>
          <w14:textFill>
            <w14:solidFill>
              <w14:schemeClr w14:val="tx1"/>
            </w14:solidFill>
          </w14:textFill>
        </w:rPr>
      </w:pPr>
      <w:bookmarkStart w:id="29" w:name="_Toc171608855"/>
      <w:bookmarkStart w:id="30" w:name="_Toc101344061"/>
      <w:bookmarkStart w:id="31" w:name="_Toc533503498"/>
      <w:bookmarkStart w:id="32" w:name="_Toc43652627"/>
      <w:bookmarkStart w:id="33" w:name="_Toc466303888"/>
      <w:bookmarkStart w:id="34" w:name="_Toc26346"/>
      <w:bookmarkStart w:id="35" w:name="_Toc13269"/>
      <w:bookmarkStart w:id="36" w:name="_Toc184635070"/>
    </w:p>
    <w:p w14:paraId="1C3D8050">
      <w:pPr>
        <w:rPr>
          <w:rFonts w:hint="eastAsia" w:asciiTheme="minorEastAsia" w:hAnsiTheme="minorEastAsia" w:eastAsiaTheme="minorEastAsia"/>
          <w:bCs/>
          <w:color w:val="000000" w:themeColor="text1"/>
          <w:sz w:val="24"/>
          <w:highlight w:val="none"/>
          <w14:textFill>
            <w14:solidFill>
              <w14:schemeClr w14:val="tx1"/>
            </w14:solidFill>
          </w14:textFill>
        </w:rPr>
      </w:pPr>
    </w:p>
    <w:p w14:paraId="50AE8D34">
      <w:pPr>
        <w:rPr>
          <w:rFonts w:hint="eastAsia" w:asciiTheme="minorEastAsia" w:hAnsiTheme="minorEastAsia" w:eastAsiaTheme="minorEastAsia"/>
          <w:bCs/>
          <w:color w:val="000000" w:themeColor="text1"/>
          <w:sz w:val="24"/>
          <w:highlight w:val="none"/>
          <w14:textFill>
            <w14:solidFill>
              <w14:schemeClr w14:val="tx1"/>
            </w14:solidFill>
          </w14:textFill>
        </w:rPr>
      </w:pPr>
    </w:p>
    <w:p w14:paraId="3D687696">
      <w:pPr>
        <w:rPr>
          <w:rFonts w:hint="eastAsia" w:asciiTheme="minorEastAsia" w:hAnsiTheme="minorEastAsia" w:eastAsiaTheme="minorEastAsia"/>
          <w:bCs/>
          <w:color w:val="000000" w:themeColor="text1"/>
          <w:sz w:val="24"/>
          <w:highlight w:val="none"/>
          <w14:textFill>
            <w14:solidFill>
              <w14:schemeClr w14:val="tx1"/>
            </w14:solidFill>
          </w14:textFill>
        </w:rPr>
      </w:pPr>
    </w:p>
    <w:p w14:paraId="3D481268">
      <w:pPr>
        <w:pStyle w:val="2"/>
        <w:spacing w:line="240" w:lineRule="auto"/>
        <w:jc w:val="center"/>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第二章 供应商须知</w:t>
      </w:r>
    </w:p>
    <w:p w14:paraId="14CFEC3C">
      <w:pPr>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供应商须知前附表</w:t>
      </w:r>
      <w:bookmarkEnd w:id="29"/>
      <w:bookmarkEnd w:id="30"/>
      <w:bookmarkEnd w:id="31"/>
      <w:bookmarkEnd w:id="32"/>
    </w:p>
    <w:tbl>
      <w:tblPr>
        <w:tblStyle w:val="17"/>
        <w:tblW w:w="9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2353"/>
        <w:gridCol w:w="6155"/>
      </w:tblGrid>
      <w:tr w14:paraId="0F90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33" w:type="dxa"/>
            <w:vAlign w:val="center"/>
          </w:tcPr>
          <w:p w14:paraId="5B93FF5A">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条款号</w:t>
            </w:r>
          </w:p>
        </w:tc>
        <w:tc>
          <w:tcPr>
            <w:tcW w:w="2353" w:type="dxa"/>
            <w:vAlign w:val="center"/>
          </w:tcPr>
          <w:p w14:paraId="47A837C0">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条 款 名 称</w:t>
            </w:r>
          </w:p>
        </w:tc>
        <w:tc>
          <w:tcPr>
            <w:tcW w:w="6155" w:type="dxa"/>
            <w:vAlign w:val="center"/>
          </w:tcPr>
          <w:p w14:paraId="567A9A83">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编 列 内 容</w:t>
            </w:r>
          </w:p>
        </w:tc>
      </w:tr>
      <w:tr w14:paraId="773E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333" w:type="dxa"/>
            <w:vAlign w:val="center"/>
          </w:tcPr>
          <w:p w14:paraId="6A8E1B75">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w:t>
            </w:r>
          </w:p>
        </w:tc>
        <w:tc>
          <w:tcPr>
            <w:tcW w:w="2353" w:type="dxa"/>
            <w:vAlign w:val="center"/>
          </w:tcPr>
          <w:p w14:paraId="51A6762F">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监督单位</w:t>
            </w:r>
          </w:p>
        </w:tc>
        <w:tc>
          <w:tcPr>
            <w:tcW w:w="6155" w:type="dxa"/>
            <w:vAlign w:val="center"/>
          </w:tcPr>
          <w:p w14:paraId="02F5F16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监督单位：灵宝市财政局政府采购监督管理科</w:t>
            </w:r>
          </w:p>
          <w:p w14:paraId="53CBF8C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联系方式：0398-8852670</w:t>
            </w:r>
          </w:p>
          <w:p w14:paraId="30D5FD30">
            <w:pPr>
              <w:spacing w:line="360" w:lineRule="auto"/>
              <w:rPr>
                <w:rFonts w:hint="eastAsia"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监督单位：中</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共灵宝市市场监督管理局党组</w:t>
            </w:r>
          </w:p>
          <w:p w14:paraId="7F23BA85">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电话：0398-8661881</w:t>
            </w:r>
          </w:p>
        </w:tc>
      </w:tr>
      <w:tr w14:paraId="6A0F5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1333" w:type="dxa"/>
            <w:vAlign w:val="center"/>
          </w:tcPr>
          <w:p w14:paraId="7CDFE68E">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w:t>
            </w:r>
          </w:p>
        </w:tc>
        <w:tc>
          <w:tcPr>
            <w:tcW w:w="2353" w:type="dxa"/>
            <w:vAlign w:val="center"/>
          </w:tcPr>
          <w:p w14:paraId="5E755B83">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w:t>
            </w:r>
          </w:p>
        </w:tc>
        <w:tc>
          <w:tcPr>
            <w:tcW w:w="6155" w:type="dxa"/>
            <w:vAlign w:val="center"/>
          </w:tcPr>
          <w:p w14:paraId="3415CA7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采购人：灵宝市市场监督管理局</w:t>
            </w:r>
          </w:p>
          <w:p w14:paraId="4C02439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地址：灵宝市富士路中段</w:t>
            </w:r>
          </w:p>
          <w:p w14:paraId="51A6D840">
            <w:pPr>
              <w:spacing w:line="360" w:lineRule="auto"/>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lang w:val="en-US" w:eastAsia="zh-CN"/>
                <w14:textFill>
                  <w14:solidFill>
                    <w14:schemeClr w14:val="tx1"/>
                  </w14:solidFill>
                </w14:textFill>
              </w:rPr>
              <w:t>刘先生</w:t>
            </w:r>
          </w:p>
          <w:p w14:paraId="00A0E4C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联系电话：03988661618</w:t>
            </w:r>
          </w:p>
        </w:tc>
      </w:tr>
      <w:tr w14:paraId="4270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1333" w:type="dxa"/>
            <w:vAlign w:val="center"/>
          </w:tcPr>
          <w:p w14:paraId="116E640F">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w:t>
            </w:r>
          </w:p>
        </w:tc>
        <w:tc>
          <w:tcPr>
            <w:tcW w:w="2353" w:type="dxa"/>
            <w:vAlign w:val="center"/>
          </w:tcPr>
          <w:p w14:paraId="2EB6B435">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采购代理机构</w:t>
            </w:r>
          </w:p>
        </w:tc>
        <w:tc>
          <w:tcPr>
            <w:tcW w:w="6155" w:type="dxa"/>
            <w:vAlign w:val="center"/>
          </w:tcPr>
          <w:p w14:paraId="18F30088">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w:t>
            </w:r>
            <w:r>
              <w:rPr>
                <w:rFonts w:hint="eastAsia" w:ascii="宋体" w:hAnsi="宋体" w:cs="宋体"/>
                <w:color w:val="000000" w:themeColor="text1"/>
                <w:sz w:val="24"/>
                <w:highlight w:val="none"/>
                <w:lang w:eastAsia="zh-CN"/>
                <w14:textFill>
                  <w14:solidFill>
                    <w14:schemeClr w14:val="tx1"/>
                  </w14:solidFill>
                </w14:textFill>
              </w:rPr>
              <w:t>河南新时代工程管理有限公司</w:t>
            </w:r>
          </w:p>
          <w:p w14:paraId="0956DDD5">
            <w:pPr>
              <w:spacing w:line="360" w:lineRule="auto"/>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lang w:eastAsia="zh-CN"/>
                <w14:textFill>
                  <w14:solidFill>
                    <w14:schemeClr w14:val="tx1"/>
                  </w14:solidFill>
                </w14:textFill>
              </w:rPr>
              <w:t>河南省郑州市金水区农业路东16号省汇中心A座15A01</w:t>
            </w:r>
          </w:p>
          <w:p w14:paraId="6E3F751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 系 人：</w:t>
            </w:r>
            <w:r>
              <w:rPr>
                <w:rFonts w:hint="eastAsia" w:ascii="宋体" w:hAnsi="宋体" w:cs="宋体"/>
                <w:color w:val="000000" w:themeColor="text1"/>
                <w:sz w:val="24"/>
                <w:highlight w:val="none"/>
                <w:lang w:eastAsia="zh-CN"/>
                <w14:textFill>
                  <w14:solidFill>
                    <w14:schemeClr w14:val="tx1"/>
                  </w14:solidFill>
                </w14:textFill>
              </w:rPr>
              <w:t>张女士</w:t>
            </w:r>
            <w:r>
              <w:rPr>
                <w:rFonts w:hint="eastAsia" w:ascii="宋体" w:hAnsi="宋体" w:cs="宋体"/>
                <w:color w:val="000000" w:themeColor="text1"/>
                <w:sz w:val="24"/>
                <w:highlight w:val="none"/>
                <w14:textFill>
                  <w14:solidFill>
                    <w14:schemeClr w14:val="tx1"/>
                  </w14:solidFill>
                </w14:textFill>
              </w:rPr>
              <w:t xml:space="preserve">      </w:t>
            </w:r>
          </w:p>
          <w:p w14:paraId="766E1DB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lang w:eastAsia="zh-CN"/>
                <w14:textFill>
                  <w14:solidFill>
                    <w14:schemeClr w14:val="tx1"/>
                  </w14:solidFill>
                </w14:textFill>
              </w:rPr>
              <w:t>19839811108</w:t>
            </w:r>
          </w:p>
        </w:tc>
      </w:tr>
      <w:tr w14:paraId="468C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333" w:type="dxa"/>
            <w:vAlign w:val="center"/>
          </w:tcPr>
          <w:p w14:paraId="5150F05D">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w:t>
            </w:r>
          </w:p>
        </w:tc>
        <w:tc>
          <w:tcPr>
            <w:tcW w:w="2353" w:type="dxa"/>
            <w:vAlign w:val="center"/>
          </w:tcPr>
          <w:p w14:paraId="642C7AA8">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w:t>
            </w:r>
          </w:p>
        </w:tc>
        <w:tc>
          <w:tcPr>
            <w:tcW w:w="6155" w:type="dxa"/>
            <w:vAlign w:val="center"/>
          </w:tcPr>
          <w:p w14:paraId="1B61CB6A">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灵宝市市场监督管理局2025年9月-2026年8月食品及商品质量抽检项目</w:t>
            </w:r>
          </w:p>
        </w:tc>
      </w:tr>
      <w:tr w14:paraId="6F67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333" w:type="dxa"/>
            <w:vAlign w:val="center"/>
          </w:tcPr>
          <w:p w14:paraId="3F0E33DA">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w:t>
            </w:r>
          </w:p>
        </w:tc>
        <w:tc>
          <w:tcPr>
            <w:tcW w:w="2353" w:type="dxa"/>
            <w:vAlign w:val="center"/>
          </w:tcPr>
          <w:p w14:paraId="06ED31D6">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资金来源及落实情况</w:t>
            </w:r>
          </w:p>
        </w:tc>
        <w:tc>
          <w:tcPr>
            <w:tcW w:w="6155" w:type="dxa"/>
            <w:vAlign w:val="center"/>
          </w:tcPr>
          <w:p w14:paraId="3AB59A2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财政资金，已落实；</w:t>
            </w:r>
          </w:p>
        </w:tc>
      </w:tr>
      <w:tr w14:paraId="4CAA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333" w:type="dxa"/>
            <w:vAlign w:val="center"/>
          </w:tcPr>
          <w:p w14:paraId="72E2BB82">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w:t>
            </w:r>
          </w:p>
        </w:tc>
        <w:tc>
          <w:tcPr>
            <w:tcW w:w="2353" w:type="dxa"/>
            <w:vAlign w:val="center"/>
          </w:tcPr>
          <w:p w14:paraId="7E3FCFE2">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服务地点</w:t>
            </w:r>
          </w:p>
        </w:tc>
        <w:tc>
          <w:tcPr>
            <w:tcW w:w="6155" w:type="dxa"/>
            <w:vAlign w:val="center"/>
          </w:tcPr>
          <w:p w14:paraId="72E0CCC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采购人指定地点；</w:t>
            </w:r>
          </w:p>
        </w:tc>
      </w:tr>
      <w:tr w14:paraId="45DB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33" w:type="dxa"/>
            <w:vAlign w:val="center"/>
          </w:tcPr>
          <w:p w14:paraId="69145A5C">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w:t>
            </w:r>
          </w:p>
        </w:tc>
        <w:tc>
          <w:tcPr>
            <w:tcW w:w="2353" w:type="dxa"/>
            <w:vAlign w:val="center"/>
          </w:tcPr>
          <w:p w14:paraId="3AD90479">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预算金额</w:t>
            </w:r>
          </w:p>
        </w:tc>
        <w:tc>
          <w:tcPr>
            <w:tcW w:w="6155" w:type="dxa"/>
            <w:vAlign w:val="center"/>
          </w:tcPr>
          <w:p w14:paraId="4F7F77C4">
            <w:pPr>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采购预算1300000.00元</w:t>
            </w:r>
          </w:p>
          <w:p w14:paraId="65C5000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供应商报价不得超出采购预算金额，否则予以废标处理。若所有供应商的报价均超过预算价，则采购人有权重新组织采购。</w:t>
            </w:r>
          </w:p>
        </w:tc>
      </w:tr>
      <w:tr w14:paraId="5859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333" w:type="dxa"/>
            <w:vAlign w:val="center"/>
          </w:tcPr>
          <w:p w14:paraId="7E114BD1">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1.7</w:t>
            </w:r>
          </w:p>
        </w:tc>
        <w:tc>
          <w:tcPr>
            <w:tcW w:w="2353" w:type="dxa"/>
            <w:vAlign w:val="center"/>
          </w:tcPr>
          <w:p w14:paraId="6CDE0153">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服务内容</w:t>
            </w:r>
          </w:p>
        </w:tc>
        <w:tc>
          <w:tcPr>
            <w:tcW w:w="6155" w:type="dxa"/>
            <w:vAlign w:val="center"/>
          </w:tcPr>
          <w:p w14:paraId="5230277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包含技术测试和分析服务，按照采购人要求，完成对应区域食品、</w:t>
            </w:r>
            <w:r>
              <w:rPr>
                <w:rFonts w:hint="eastAsia" w:ascii="宋体" w:hAnsi="宋体" w:cs="宋体"/>
                <w:color w:val="000000" w:themeColor="text1"/>
                <w:sz w:val="24"/>
                <w:highlight w:val="none"/>
                <w:lang w:val="en-US" w:eastAsia="zh-CN"/>
                <w14:textFill>
                  <w14:solidFill>
                    <w14:schemeClr w14:val="tx1"/>
                  </w14:solidFill>
                </w14:textFill>
              </w:rPr>
              <w:t>产品</w:t>
            </w:r>
            <w:r>
              <w:rPr>
                <w:rFonts w:hint="eastAsia" w:ascii="宋体" w:hAnsi="宋体" w:cs="宋体"/>
                <w:color w:val="000000" w:themeColor="text1"/>
                <w:sz w:val="24"/>
                <w:highlight w:val="none"/>
                <w14:textFill>
                  <w14:solidFill>
                    <w14:schemeClr w14:val="tx1"/>
                  </w14:solidFill>
                </w14:textFill>
              </w:rPr>
              <w:t>安全监督抽检工作（对抽样品种进行检验、质量分析、信息上报等相关配套服务）及为采购单位提供免费技能培训服务；（具体要求详见本项目竞争性磋商文件第三章服务内容及相关要求）</w:t>
            </w:r>
          </w:p>
        </w:tc>
      </w:tr>
      <w:tr w14:paraId="3C8C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333" w:type="dxa"/>
            <w:vAlign w:val="center"/>
          </w:tcPr>
          <w:p w14:paraId="4D0DAFFD">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w:t>
            </w:r>
          </w:p>
        </w:tc>
        <w:tc>
          <w:tcPr>
            <w:tcW w:w="2353" w:type="dxa"/>
            <w:vAlign w:val="center"/>
          </w:tcPr>
          <w:p w14:paraId="742D6472">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服务标准</w:t>
            </w:r>
          </w:p>
        </w:tc>
        <w:tc>
          <w:tcPr>
            <w:tcW w:w="6155" w:type="dxa"/>
            <w:vAlign w:val="center"/>
          </w:tcPr>
          <w:p w14:paraId="2197A7B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符合国家及行业标准并满足采购人使用要求</w:t>
            </w:r>
            <w:r>
              <w:rPr>
                <w:rFonts w:hint="eastAsia" w:ascii="宋体" w:hAnsi="宋体" w:cs="宋体"/>
                <w:color w:val="000000" w:themeColor="text1"/>
                <w:sz w:val="24"/>
                <w:highlight w:val="none"/>
                <w14:textFill>
                  <w14:solidFill>
                    <w14:schemeClr w14:val="tx1"/>
                  </w14:solidFill>
                </w14:textFill>
              </w:rPr>
              <w:t>；</w:t>
            </w:r>
          </w:p>
        </w:tc>
      </w:tr>
      <w:tr w14:paraId="294C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333" w:type="dxa"/>
            <w:vAlign w:val="center"/>
          </w:tcPr>
          <w:p w14:paraId="3BE62456">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1.9</w:t>
            </w:r>
          </w:p>
        </w:tc>
        <w:tc>
          <w:tcPr>
            <w:tcW w:w="2353" w:type="dxa"/>
            <w:vAlign w:val="center"/>
          </w:tcPr>
          <w:p w14:paraId="3332C2C8">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服务期限</w:t>
            </w:r>
          </w:p>
        </w:tc>
        <w:tc>
          <w:tcPr>
            <w:tcW w:w="6155" w:type="dxa"/>
            <w:vAlign w:val="center"/>
          </w:tcPr>
          <w:p w14:paraId="13F7A14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自合同签订之日起1年；</w:t>
            </w:r>
          </w:p>
        </w:tc>
      </w:tr>
      <w:tr w14:paraId="78C4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333" w:type="dxa"/>
            <w:vAlign w:val="center"/>
          </w:tcPr>
          <w:p w14:paraId="503A8D39">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1.10</w:t>
            </w:r>
          </w:p>
        </w:tc>
        <w:tc>
          <w:tcPr>
            <w:tcW w:w="2353" w:type="dxa"/>
            <w:vAlign w:val="center"/>
          </w:tcPr>
          <w:p w14:paraId="63DF14B3">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服务地点</w:t>
            </w:r>
          </w:p>
        </w:tc>
        <w:tc>
          <w:tcPr>
            <w:tcW w:w="6155" w:type="dxa"/>
            <w:vAlign w:val="center"/>
          </w:tcPr>
          <w:p w14:paraId="4A45F61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采购人指定地点；</w:t>
            </w:r>
          </w:p>
        </w:tc>
      </w:tr>
      <w:tr w14:paraId="21555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333" w:type="dxa"/>
            <w:vAlign w:val="center"/>
          </w:tcPr>
          <w:p w14:paraId="2984E2CE">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w:t>
            </w:r>
          </w:p>
        </w:tc>
        <w:tc>
          <w:tcPr>
            <w:tcW w:w="2353" w:type="dxa"/>
            <w:vAlign w:val="center"/>
          </w:tcPr>
          <w:p w14:paraId="7841D93A">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供应商资格要求</w:t>
            </w:r>
          </w:p>
        </w:tc>
        <w:tc>
          <w:tcPr>
            <w:tcW w:w="6155" w:type="dxa"/>
            <w:vAlign w:val="center"/>
          </w:tcPr>
          <w:p w14:paraId="7E5588AC">
            <w:pPr>
              <w:pStyle w:val="16"/>
              <w:spacing w:after="0" w:line="360" w:lineRule="auto"/>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满足《中华人民共和国政府采购法》第二十二条的规定并同时具备下列条件</w:t>
            </w:r>
            <w:r>
              <w:rPr>
                <w:rFonts w:hint="eastAsia" w:ascii="宋体" w:hAnsi="宋体"/>
                <w:color w:val="000000" w:themeColor="text1"/>
                <w:sz w:val="24"/>
                <w:szCs w:val="24"/>
                <w:highlight w:val="none"/>
                <w:lang w:eastAsia="zh-CN"/>
                <w14:textFill>
                  <w14:solidFill>
                    <w14:schemeClr w14:val="tx1"/>
                  </w14:solidFill>
                </w14:textFill>
              </w:rPr>
              <w:t>：</w:t>
            </w:r>
          </w:p>
          <w:p w14:paraId="154256A5">
            <w:pPr>
              <w:pStyle w:val="16"/>
              <w:spacing w:after="0"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1、供应商须具有有效的营业执照、税务登记证、组织机构代码证或“三证合一”的营业执照；</w:t>
            </w:r>
          </w:p>
          <w:p w14:paraId="3623F7AE">
            <w:pPr>
              <w:pStyle w:val="16"/>
              <w:spacing w:after="0"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2、有效期内的CMA证书（其中CMA资质附表中要同时具备食品及工业品检测能力</w:t>
            </w:r>
            <w:r>
              <w:rPr>
                <w:rFonts w:hint="eastAsia" w:ascii="宋体" w:hAnsi="宋体"/>
                <w:b/>
                <w:bCs/>
                <w:color w:val="000000" w:themeColor="text1"/>
                <w:sz w:val="24"/>
                <w:szCs w:val="24"/>
                <w:highlight w:val="none"/>
                <w14:textFill>
                  <w14:solidFill>
                    <w14:schemeClr w14:val="tx1"/>
                  </w14:solidFill>
                </w14:textFill>
              </w:rPr>
              <w:t>（注：本项目服务目录中所有产品检测覆盖率达80%以上并提供CMA能力附表）</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14E0FA47">
            <w:pPr>
              <w:spacing w:line="360" w:lineRule="auto"/>
              <w:ind w:firstLine="480" w:firstLineChars="200"/>
              <w:jc w:val="left"/>
              <w:rPr>
                <w:rFonts w:asciiTheme="minorEastAsia" w:hAnsiTheme="minorEastAsia" w:eastAsiaTheme="minorEastAsia"/>
                <w:color w:val="000000" w:themeColor="text1"/>
                <w:sz w:val="24"/>
                <w:highlight w:val="none"/>
                <w:cs/>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、具有履行本项目采购内容所必须的设备和专业技术服务能力(提供证明材料或承诺书)；</w:t>
            </w:r>
          </w:p>
          <w:p w14:paraId="65C294EC">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、具有依法缴纳税收（提供202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 w:val="24"/>
                <w:highlight w:val="none"/>
                <w14:textFill>
                  <w14:solidFill>
                    <w14:schemeClr w14:val="tx1"/>
                  </w14:solidFill>
                </w14:textFill>
              </w:rPr>
              <w:t>年01月以来</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任意一个</w:t>
            </w:r>
            <w:r>
              <w:rPr>
                <w:rFonts w:hint="eastAsia" w:asciiTheme="minorEastAsia" w:hAnsiTheme="minorEastAsia" w:eastAsiaTheme="minorEastAsia"/>
                <w:color w:val="000000" w:themeColor="text1"/>
                <w:sz w:val="24"/>
                <w:highlight w:val="none"/>
                <w14:textFill>
                  <w14:solidFill>
                    <w14:schemeClr w14:val="tx1"/>
                  </w14:solidFill>
                </w14:textFill>
              </w:rPr>
              <w:t>月的税收缴纳证明材料；注：依法免税的，应提供税务部门出具的依法免税证明材料）和社会保障资金（提供</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2025</w:t>
            </w:r>
            <w:r>
              <w:rPr>
                <w:rFonts w:hint="eastAsia" w:asciiTheme="minorEastAsia" w:hAnsiTheme="minorEastAsia" w:eastAsiaTheme="minorEastAsia"/>
                <w:color w:val="000000" w:themeColor="text1"/>
                <w:sz w:val="24"/>
                <w:highlight w:val="none"/>
                <w14:textFill>
                  <w14:solidFill>
                    <w14:schemeClr w14:val="tx1"/>
                  </w14:solidFill>
                </w14:textFill>
              </w:rPr>
              <w:t>年01月以来项目负责人</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任意一个月</w:t>
            </w:r>
            <w:r>
              <w:rPr>
                <w:rFonts w:hint="eastAsia" w:asciiTheme="minorEastAsia" w:hAnsiTheme="minorEastAsia" w:eastAsiaTheme="minorEastAsia"/>
                <w:color w:val="000000" w:themeColor="text1"/>
                <w:sz w:val="24"/>
                <w:highlight w:val="none"/>
                <w14:textFill>
                  <w14:solidFill>
                    <w14:schemeClr w14:val="tx1"/>
                  </w14:solidFill>
                </w14:textFill>
              </w:rPr>
              <w:t>的社保证明材料）；</w:t>
            </w:r>
          </w:p>
          <w:p w14:paraId="3003EAA9">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 w:val="24"/>
                <w:highlight w:val="none"/>
                <w14:textFill>
                  <w14:solidFill>
                    <w14:schemeClr w14:val="tx1"/>
                  </w14:solidFill>
                </w14:textFill>
              </w:rPr>
              <w:t>、具有良好的商业信誉和健全的财务会计制度，提供近三年经审计的财务报告（或财务报表）</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新成立公司无审计报告应附最新的财务报表说明；</w:t>
            </w:r>
          </w:p>
          <w:p w14:paraId="5EDA85A0">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4"/>
                <w:highlight w:val="none"/>
                <w14:textFill>
                  <w14:solidFill>
                    <w14:schemeClr w14:val="tx1"/>
                  </w14:solidFill>
                </w14:textFill>
              </w:rPr>
              <w:t>、参加政府采购活动前3年内无行贿犯罪记录；（提供《中国裁判文书网》查询结果网页截图或企业自行承诺的无行贿犯罪承诺书，查询&lt;承诺&gt;对象为“企业，法定代表人，项目负责人”）；</w:t>
            </w:r>
          </w:p>
          <w:p w14:paraId="5A73598F">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z w:val="24"/>
                <w:highlight w:val="none"/>
                <w14:textFill>
                  <w14:solidFill>
                    <w14:schemeClr w14:val="tx1"/>
                  </w14:solidFill>
                </w14:textFill>
              </w:rPr>
              <w:t>、参加政府采购活动前3年内无商业贿赂、不正当竞争行为、骗取中标、严重违约及重大质量等问题，（供应商须自行出具承诺书）；</w:t>
            </w:r>
          </w:p>
          <w:p w14:paraId="77B50AB6">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8</w:t>
            </w:r>
            <w:r>
              <w:rPr>
                <w:rFonts w:hint="eastAsia" w:asciiTheme="minorEastAsia" w:hAnsiTheme="minorEastAsia" w:eastAsiaTheme="minorEastAsia"/>
                <w:color w:val="000000" w:themeColor="text1"/>
                <w:sz w:val="24"/>
                <w:highlight w:val="none"/>
                <w14:textFill>
                  <w14:solidFill>
                    <w14:schemeClr w14:val="tx1"/>
                  </w14:solidFill>
                </w14:textFill>
              </w:rPr>
              <w:t>、根据《关于在政府采购活动中查询及使用信用记录有关问题的通知》(财库[2016]125号) 和豫财购【2016】15号的规定，企业没有被列入“信用中国”网站的“失信被执行人”、“重大税收违法失信主体”及“中国政府采购网”网站的“政府采购严重违法失信行为记录名单”的投标供应商；（查询渠道：“信用中国”网站（www.creditchina.gov.cn）、中国政府采购网（www.ccgp.gov.cn）提供网站的查询信息截图；(注：査询时间必须是磋商公告发布以后开标时间以前并提供网站查询网页截图，查询结果清晰可见)；</w:t>
            </w:r>
          </w:p>
          <w:p w14:paraId="54A37AED">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9</w:t>
            </w:r>
            <w:r>
              <w:rPr>
                <w:rFonts w:hint="eastAsia" w:asciiTheme="minorEastAsia" w:hAnsiTheme="minorEastAsia" w:eastAsiaTheme="minorEastAsia"/>
                <w:color w:val="000000" w:themeColor="text1"/>
                <w:sz w:val="24"/>
                <w:highlight w:val="none"/>
                <w14:textFill>
                  <w14:solidFill>
                    <w14:schemeClr w14:val="tx1"/>
                  </w14:solidFill>
                </w14:textFill>
              </w:rPr>
              <w:t>、单位负责人为同一人或者存在控股、管理关系的不同单位，不得参加同一标段投标或者未划分标段的同一招标项目投标,提供投标企业在“国家企业信用信息公示系统”中公示的公司信息、股东或投资人信息”。</w:t>
            </w:r>
          </w:p>
          <w:p w14:paraId="0531FCC4">
            <w:pPr>
              <w:spacing w:line="360" w:lineRule="auto"/>
              <w:ind w:firstLine="480" w:firstLineChars="200"/>
              <w:jc w:val="left"/>
              <w:rPr>
                <w:rFonts w:hint="eastAsia" w:ascii="宋体" w:hAnsi="宋体" w:cs="宋体"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10</w:t>
            </w:r>
            <w:r>
              <w:rPr>
                <w:rFonts w:hint="eastAsia" w:asciiTheme="minorEastAsia" w:hAnsiTheme="minorEastAsia" w:eastAsiaTheme="minorEastAsia"/>
                <w:color w:val="000000" w:themeColor="text1"/>
                <w:sz w:val="24"/>
                <w:highlight w:val="none"/>
                <w14:textFill>
                  <w14:solidFill>
                    <w14:schemeClr w14:val="tx1"/>
                  </w14:solidFill>
                </w14:textFill>
              </w:rPr>
              <w:t>、本项目不接受联合体投标；</w:t>
            </w:r>
          </w:p>
        </w:tc>
      </w:tr>
      <w:tr w14:paraId="6FD2D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333" w:type="dxa"/>
            <w:vAlign w:val="center"/>
          </w:tcPr>
          <w:p w14:paraId="057949EE">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p>
        </w:tc>
        <w:tc>
          <w:tcPr>
            <w:tcW w:w="2353" w:type="dxa"/>
            <w:vAlign w:val="center"/>
          </w:tcPr>
          <w:p w14:paraId="425D58F1">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踏勘现场</w:t>
            </w:r>
          </w:p>
        </w:tc>
        <w:tc>
          <w:tcPr>
            <w:tcW w:w="6155" w:type="dxa"/>
            <w:vAlign w:val="center"/>
          </w:tcPr>
          <w:p w14:paraId="09032D01">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不组织，供应商自行前往现场踏勘；</w:t>
            </w:r>
          </w:p>
        </w:tc>
      </w:tr>
      <w:tr w14:paraId="36A3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33" w:type="dxa"/>
            <w:vAlign w:val="center"/>
          </w:tcPr>
          <w:p w14:paraId="71D85CCC">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3.2</w:t>
            </w:r>
          </w:p>
        </w:tc>
        <w:tc>
          <w:tcPr>
            <w:tcW w:w="2353" w:type="dxa"/>
            <w:vAlign w:val="center"/>
          </w:tcPr>
          <w:p w14:paraId="114A568E">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投标答疑会</w:t>
            </w:r>
          </w:p>
        </w:tc>
        <w:tc>
          <w:tcPr>
            <w:tcW w:w="6155" w:type="dxa"/>
            <w:vAlign w:val="center"/>
          </w:tcPr>
          <w:p w14:paraId="7F9AFF43">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en-US"/>
                <w14:textFill>
                  <w14:solidFill>
                    <w14:schemeClr w14:val="tx1"/>
                  </w14:solidFill>
                </w14:textFill>
              </w:rPr>
              <w:t>不召开；</w:t>
            </w:r>
          </w:p>
        </w:tc>
      </w:tr>
      <w:tr w14:paraId="2197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333" w:type="dxa"/>
            <w:vAlign w:val="center"/>
          </w:tcPr>
          <w:p w14:paraId="318234D0">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3.3</w:t>
            </w:r>
          </w:p>
        </w:tc>
        <w:tc>
          <w:tcPr>
            <w:tcW w:w="2353" w:type="dxa"/>
            <w:vAlign w:val="center"/>
          </w:tcPr>
          <w:p w14:paraId="456A7221">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竞争性磋商文件的组成</w:t>
            </w:r>
          </w:p>
        </w:tc>
        <w:tc>
          <w:tcPr>
            <w:tcW w:w="6155" w:type="dxa"/>
            <w:vAlign w:val="center"/>
          </w:tcPr>
          <w:p w14:paraId="6F886DB5">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详见</w:t>
            </w:r>
            <w:r>
              <w:rPr>
                <w:rFonts w:hint="eastAsia" w:ascii="宋体" w:hAnsi="宋体"/>
                <w:color w:val="000000" w:themeColor="text1"/>
                <w:sz w:val="24"/>
                <w:highlight w:val="none"/>
                <w:lang w:eastAsia="en-US"/>
                <w14:textFill>
                  <w14:solidFill>
                    <w14:schemeClr w14:val="tx1"/>
                  </w14:solidFill>
                </w14:textFill>
              </w:rPr>
              <w:t>竞争性磋商文件</w:t>
            </w:r>
          </w:p>
        </w:tc>
      </w:tr>
      <w:tr w14:paraId="185B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333" w:type="dxa"/>
            <w:vAlign w:val="center"/>
          </w:tcPr>
          <w:p w14:paraId="026E93E7">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3.4</w:t>
            </w:r>
          </w:p>
        </w:tc>
        <w:tc>
          <w:tcPr>
            <w:tcW w:w="2353" w:type="dxa"/>
            <w:vAlign w:val="center"/>
          </w:tcPr>
          <w:p w14:paraId="7A78AC35">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构成竞争性磋商文件的其他材料</w:t>
            </w:r>
          </w:p>
        </w:tc>
        <w:tc>
          <w:tcPr>
            <w:tcW w:w="6155" w:type="dxa"/>
            <w:vAlign w:val="center"/>
          </w:tcPr>
          <w:p w14:paraId="3189800B">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采购人在招标期间发出的有编号的补遗书和其它有效正式函件等均是竞争性磋商文件的组成部分。</w:t>
            </w:r>
          </w:p>
        </w:tc>
      </w:tr>
      <w:tr w14:paraId="34FE4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333" w:type="dxa"/>
            <w:vAlign w:val="center"/>
          </w:tcPr>
          <w:p w14:paraId="6CDB7827">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3.5</w:t>
            </w:r>
          </w:p>
        </w:tc>
        <w:tc>
          <w:tcPr>
            <w:tcW w:w="2353" w:type="dxa"/>
            <w:vAlign w:val="center"/>
          </w:tcPr>
          <w:p w14:paraId="6582D9F2">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供应商提出问题的截止时间</w:t>
            </w:r>
          </w:p>
        </w:tc>
        <w:tc>
          <w:tcPr>
            <w:tcW w:w="6155" w:type="dxa"/>
            <w:vAlign w:val="center"/>
          </w:tcPr>
          <w:p w14:paraId="155110AC">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递交磋商响应文件截止之日5日前；</w:t>
            </w:r>
          </w:p>
        </w:tc>
      </w:tr>
      <w:tr w14:paraId="5DBA3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333" w:type="dxa"/>
            <w:vAlign w:val="center"/>
          </w:tcPr>
          <w:p w14:paraId="18A8BFB5">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3.6</w:t>
            </w:r>
          </w:p>
        </w:tc>
        <w:tc>
          <w:tcPr>
            <w:tcW w:w="2353" w:type="dxa"/>
            <w:vAlign w:val="center"/>
          </w:tcPr>
          <w:p w14:paraId="2732605E">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采购人书面澄清的时间</w:t>
            </w:r>
          </w:p>
        </w:tc>
        <w:tc>
          <w:tcPr>
            <w:tcW w:w="6155" w:type="dxa"/>
            <w:vAlign w:val="center"/>
          </w:tcPr>
          <w:p w14:paraId="464FC84B">
            <w:pPr>
              <w:spacing w:line="360" w:lineRule="auto"/>
              <w:rPr>
                <w:rFonts w:ascii="宋体" w:hAnsi="宋体"/>
                <w:color w:val="000000" w:themeColor="text1"/>
                <w:sz w:val="24"/>
                <w:highlight w:val="none"/>
                <w14:textFill>
                  <w14:solidFill>
                    <w14:schemeClr w14:val="tx1"/>
                  </w14:solidFill>
                </w14:textFill>
              </w:rPr>
            </w:pPr>
          </w:p>
          <w:p w14:paraId="34A10A62">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递交磋商响应文件截止之日5日前；</w:t>
            </w:r>
          </w:p>
        </w:tc>
      </w:tr>
      <w:tr w14:paraId="7F572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333" w:type="dxa"/>
            <w:vAlign w:val="center"/>
          </w:tcPr>
          <w:p w14:paraId="64ACA30E">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3.7</w:t>
            </w:r>
          </w:p>
        </w:tc>
        <w:tc>
          <w:tcPr>
            <w:tcW w:w="2353" w:type="dxa"/>
            <w:vAlign w:val="center"/>
          </w:tcPr>
          <w:p w14:paraId="70B6A11E">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供应商确认收到竞争性磋商文件澄清的时间</w:t>
            </w:r>
          </w:p>
        </w:tc>
        <w:tc>
          <w:tcPr>
            <w:tcW w:w="6155" w:type="dxa"/>
            <w:vAlign w:val="center"/>
          </w:tcPr>
          <w:p w14:paraId="175AD917">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供应商在收到竞争性磋商文件澄清文件后24小时内</w:t>
            </w:r>
          </w:p>
        </w:tc>
      </w:tr>
      <w:tr w14:paraId="7C636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333" w:type="dxa"/>
            <w:vAlign w:val="center"/>
          </w:tcPr>
          <w:p w14:paraId="60B1E844">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3.8</w:t>
            </w:r>
          </w:p>
        </w:tc>
        <w:tc>
          <w:tcPr>
            <w:tcW w:w="2353" w:type="dxa"/>
            <w:vAlign w:val="center"/>
          </w:tcPr>
          <w:p w14:paraId="79481C67">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供应商确认收到竞争性磋商文件修改的时间</w:t>
            </w:r>
          </w:p>
        </w:tc>
        <w:tc>
          <w:tcPr>
            <w:tcW w:w="6155" w:type="dxa"/>
            <w:vAlign w:val="center"/>
          </w:tcPr>
          <w:p w14:paraId="10414591">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供应商在收到竞争性磋商文件修改文件后24小时内</w:t>
            </w:r>
          </w:p>
        </w:tc>
      </w:tr>
      <w:tr w14:paraId="6DB94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333" w:type="dxa"/>
            <w:vAlign w:val="center"/>
          </w:tcPr>
          <w:p w14:paraId="51384813">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3.9</w:t>
            </w:r>
          </w:p>
        </w:tc>
        <w:tc>
          <w:tcPr>
            <w:tcW w:w="2353" w:type="dxa"/>
            <w:vAlign w:val="center"/>
          </w:tcPr>
          <w:p w14:paraId="5468C492">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近年完成的类似项目的年份要求</w:t>
            </w:r>
          </w:p>
        </w:tc>
        <w:tc>
          <w:tcPr>
            <w:tcW w:w="6155" w:type="dxa"/>
            <w:vAlign w:val="center"/>
          </w:tcPr>
          <w:p w14:paraId="6A54C21C">
            <w:pPr>
              <w:spacing w:line="360" w:lineRule="auto"/>
              <w:rPr>
                <w:rFonts w:ascii="宋体" w:hAnsi="宋体"/>
                <w:color w:val="000000" w:themeColor="text1"/>
                <w:sz w:val="24"/>
                <w:highlight w:val="none"/>
                <w:lang w:eastAsia="en-US"/>
                <w14:textFill>
                  <w14:solidFill>
                    <w14:schemeClr w14:val="tx1"/>
                  </w14:solidFill>
                </w14:textFill>
              </w:rPr>
            </w:pPr>
            <w:r>
              <w:rPr>
                <w:rFonts w:hint="eastAsia" w:ascii="宋体" w:hAnsi="宋体"/>
                <w:color w:val="000000" w:themeColor="text1"/>
                <w:sz w:val="24"/>
                <w:highlight w:val="none"/>
                <w:lang w:eastAsia="en-US"/>
                <w14:textFill>
                  <w14:solidFill>
                    <w14:schemeClr w14:val="tx1"/>
                  </w14:solidFill>
                </w14:textFill>
              </w:rPr>
              <w:t>近 3 年（20</w:t>
            </w: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lang w:eastAsia="en-US"/>
                <w14:textFill>
                  <w14:solidFill>
                    <w14:schemeClr w14:val="tx1"/>
                  </w14:solidFill>
                </w14:textFill>
              </w:rPr>
              <w:t>年1月1日至今）</w:t>
            </w:r>
          </w:p>
        </w:tc>
      </w:tr>
      <w:tr w14:paraId="76F67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333" w:type="dxa"/>
            <w:vAlign w:val="center"/>
          </w:tcPr>
          <w:p w14:paraId="6FC2126A">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3.10</w:t>
            </w:r>
          </w:p>
        </w:tc>
        <w:tc>
          <w:tcPr>
            <w:tcW w:w="2353" w:type="dxa"/>
            <w:vAlign w:val="center"/>
          </w:tcPr>
          <w:p w14:paraId="4C965193">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是否允许递交备选投标方案</w:t>
            </w:r>
          </w:p>
        </w:tc>
        <w:tc>
          <w:tcPr>
            <w:tcW w:w="6155" w:type="dxa"/>
            <w:vAlign w:val="center"/>
          </w:tcPr>
          <w:p w14:paraId="2C0E85D7">
            <w:pPr>
              <w:spacing w:line="360" w:lineRule="auto"/>
              <w:rPr>
                <w:rFonts w:ascii="宋体" w:hAnsi="宋体"/>
                <w:color w:val="000000" w:themeColor="text1"/>
                <w:sz w:val="24"/>
                <w:highlight w:val="none"/>
                <w:lang w:eastAsia="en-US"/>
                <w14:textFill>
                  <w14:solidFill>
                    <w14:schemeClr w14:val="tx1"/>
                  </w14:solidFill>
                </w14:textFill>
              </w:rPr>
            </w:pPr>
            <w:r>
              <w:rPr>
                <w:rFonts w:hint="eastAsia" w:ascii="宋体" w:hAnsi="宋体"/>
                <w:color w:val="000000" w:themeColor="text1"/>
                <w:sz w:val="24"/>
                <w:highlight w:val="none"/>
                <w:lang w:eastAsia="en-US"/>
                <w14:textFill>
                  <w14:solidFill>
                    <w14:schemeClr w14:val="tx1"/>
                  </w14:solidFill>
                </w14:textFill>
              </w:rPr>
              <w:t>不允许</w:t>
            </w:r>
          </w:p>
        </w:tc>
      </w:tr>
      <w:tr w14:paraId="4067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333" w:type="dxa"/>
            <w:vAlign w:val="center"/>
          </w:tcPr>
          <w:p w14:paraId="05843103">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3.11</w:t>
            </w:r>
          </w:p>
        </w:tc>
        <w:tc>
          <w:tcPr>
            <w:tcW w:w="2353" w:type="dxa"/>
            <w:vAlign w:val="center"/>
          </w:tcPr>
          <w:p w14:paraId="405901AE">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磋商有效期</w:t>
            </w:r>
          </w:p>
        </w:tc>
        <w:tc>
          <w:tcPr>
            <w:tcW w:w="6155" w:type="dxa"/>
            <w:vAlign w:val="center"/>
          </w:tcPr>
          <w:p w14:paraId="3CB10FD0">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60日历天（从磋商截止之日算起）</w:t>
            </w:r>
          </w:p>
        </w:tc>
      </w:tr>
      <w:tr w14:paraId="1B3F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33" w:type="dxa"/>
            <w:vAlign w:val="center"/>
          </w:tcPr>
          <w:p w14:paraId="122C7F68">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3.12</w:t>
            </w:r>
          </w:p>
        </w:tc>
        <w:tc>
          <w:tcPr>
            <w:tcW w:w="2353" w:type="dxa"/>
            <w:vAlign w:val="center"/>
          </w:tcPr>
          <w:p w14:paraId="616D5B36">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政府采购政策落实</w:t>
            </w:r>
          </w:p>
        </w:tc>
        <w:tc>
          <w:tcPr>
            <w:tcW w:w="6155" w:type="dxa"/>
            <w:vAlign w:val="center"/>
          </w:tcPr>
          <w:p w14:paraId="5BAB3C11">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本项目执行促进中小型企业发展政策（残疾人福利性企业、监狱企业视同小微企业）、优先采购节能环保产品等政府采购政策。</w:t>
            </w:r>
          </w:p>
        </w:tc>
      </w:tr>
      <w:tr w14:paraId="30D8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2" w:hRule="atLeast"/>
        </w:trPr>
        <w:tc>
          <w:tcPr>
            <w:tcW w:w="1333" w:type="dxa"/>
            <w:vAlign w:val="center"/>
          </w:tcPr>
          <w:p w14:paraId="3494300D">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3.13</w:t>
            </w:r>
          </w:p>
        </w:tc>
        <w:tc>
          <w:tcPr>
            <w:tcW w:w="2353" w:type="dxa"/>
            <w:vAlign w:val="center"/>
          </w:tcPr>
          <w:p w14:paraId="17F0832C">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en-US"/>
                <w14:textFill>
                  <w14:solidFill>
                    <w14:schemeClr w14:val="tx1"/>
                  </w14:solidFill>
                </w14:textFill>
              </w:rPr>
              <w:t>付款办法</w:t>
            </w:r>
          </w:p>
        </w:tc>
        <w:tc>
          <w:tcPr>
            <w:tcW w:w="6155" w:type="dxa"/>
            <w:vAlign w:val="center"/>
          </w:tcPr>
          <w:p w14:paraId="2E35D214">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抽样检测费用按实际批次和检验项目结算，检测购买样品费用和抽检产生费用包含在项目检测费用里（注：产品类不包含购买样品费用，费用由乙方先行垫付，待检验和复检工作全部完成后，乙方按照实际抽检批次和成交项目单价合计抽样检测费用，经甲方认可后，向甲方提供合法、真实、有效的检测费用发票、样品清单等资料，每季度结算一次）。</w:t>
            </w:r>
          </w:p>
        </w:tc>
      </w:tr>
      <w:tr w14:paraId="6443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333" w:type="dxa"/>
            <w:vAlign w:val="center"/>
          </w:tcPr>
          <w:p w14:paraId="18C9D390">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3.14</w:t>
            </w:r>
          </w:p>
        </w:tc>
        <w:tc>
          <w:tcPr>
            <w:tcW w:w="2353" w:type="dxa"/>
            <w:vAlign w:val="center"/>
          </w:tcPr>
          <w:p w14:paraId="28EF3E40">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en-US"/>
                <w14:textFill>
                  <w14:solidFill>
                    <w14:schemeClr w14:val="tx1"/>
                  </w14:solidFill>
                </w14:textFill>
              </w:rPr>
              <w:t>履约保证金</w:t>
            </w:r>
          </w:p>
        </w:tc>
        <w:tc>
          <w:tcPr>
            <w:tcW w:w="6155" w:type="dxa"/>
            <w:vAlign w:val="center"/>
          </w:tcPr>
          <w:p w14:paraId="701377E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无</w:t>
            </w:r>
          </w:p>
        </w:tc>
      </w:tr>
      <w:tr w14:paraId="3A0E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333" w:type="dxa"/>
            <w:vAlign w:val="center"/>
          </w:tcPr>
          <w:p w14:paraId="2ED56423">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3.15</w:t>
            </w:r>
          </w:p>
        </w:tc>
        <w:tc>
          <w:tcPr>
            <w:tcW w:w="2353" w:type="dxa"/>
            <w:vAlign w:val="center"/>
          </w:tcPr>
          <w:p w14:paraId="5D77A1E2">
            <w:pPr>
              <w:spacing w:line="360" w:lineRule="auto"/>
              <w:jc w:val="center"/>
              <w:rPr>
                <w:rFonts w:ascii="宋体" w:hAnsi="宋体"/>
                <w:color w:val="000000" w:themeColor="text1"/>
                <w:sz w:val="24"/>
                <w:highlight w:val="none"/>
                <w:lang w:eastAsia="en-US"/>
                <w14:textFill>
                  <w14:solidFill>
                    <w14:schemeClr w14:val="tx1"/>
                  </w14:solidFill>
                </w14:textFill>
              </w:rPr>
            </w:pPr>
            <w:r>
              <w:rPr>
                <w:rFonts w:hint="eastAsia" w:ascii="宋体" w:hAnsi="宋体"/>
                <w:color w:val="000000" w:themeColor="text1"/>
                <w:sz w:val="24"/>
                <w:highlight w:val="none"/>
                <w:lang w:eastAsia="en-US"/>
                <w14:textFill>
                  <w14:solidFill>
                    <w14:schemeClr w14:val="tx1"/>
                  </w14:solidFill>
                </w14:textFill>
              </w:rPr>
              <w:t>响应文件</w:t>
            </w:r>
          </w:p>
        </w:tc>
        <w:tc>
          <w:tcPr>
            <w:tcW w:w="6155" w:type="dxa"/>
            <w:vAlign w:val="center"/>
          </w:tcPr>
          <w:p w14:paraId="68393650">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使用CA在电子平台上传电子磋商响应文件</w:t>
            </w:r>
          </w:p>
          <w:p w14:paraId="330BC22F">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开标时不再递交纸质磋商响应文件；</w:t>
            </w:r>
          </w:p>
        </w:tc>
      </w:tr>
      <w:tr w14:paraId="141E5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33" w:type="dxa"/>
            <w:vAlign w:val="center"/>
          </w:tcPr>
          <w:p w14:paraId="37E1257A">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3.16</w:t>
            </w:r>
          </w:p>
        </w:tc>
        <w:tc>
          <w:tcPr>
            <w:tcW w:w="2353" w:type="dxa"/>
            <w:vAlign w:val="center"/>
          </w:tcPr>
          <w:p w14:paraId="55953E67">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响应文件的组成</w:t>
            </w:r>
          </w:p>
        </w:tc>
        <w:tc>
          <w:tcPr>
            <w:tcW w:w="6155" w:type="dxa"/>
            <w:vAlign w:val="center"/>
          </w:tcPr>
          <w:p w14:paraId="5DFF695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见竞争性磋商文件第六章“响应文件格式”；</w:t>
            </w:r>
          </w:p>
        </w:tc>
      </w:tr>
      <w:tr w14:paraId="0CF4E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333" w:type="dxa"/>
            <w:vAlign w:val="center"/>
          </w:tcPr>
          <w:p w14:paraId="0DE88EE8">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3.17</w:t>
            </w:r>
          </w:p>
        </w:tc>
        <w:tc>
          <w:tcPr>
            <w:tcW w:w="2353" w:type="dxa"/>
            <w:vAlign w:val="center"/>
          </w:tcPr>
          <w:p w14:paraId="073C175D">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电子磋商响应文件签章</w:t>
            </w:r>
          </w:p>
        </w:tc>
        <w:tc>
          <w:tcPr>
            <w:tcW w:w="6155" w:type="dxa"/>
            <w:vAlign w:val="center"/>
          </w:tcPr>
          <w:p w14:paraId="6CCE045B">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1、供应商在生成电子化磋商响应文件后，应对电子化磋商响应文件进行签章，未对电子化文件进行签章的视为无效投标。</w:t>
            </w:r>
          </w:p>
          <w:p w14:paraId="099A46DA">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2、磋商文件中要求加盖单位公章的，供应商在进行电子化磋商响应文件签章时，以签盖投标企业的单位电子印章；</w:t>
            </w:r>
          </w:p>
          <w:p w14:paraId="2B476B0D">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3、磋商文件中要求法定代表人或授权委托人签字或盖章的，供应商在进行电子化磋商响应文件签章时，以签盖法定代表人个人电子印章为准。</w:t>
            </w:r>
          </w:p>
        </w:tc>
      </w:tr>
      <w:tr w14:paraId="4B18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333" w:type="dxa"/>
            <w:vAlign w:val="center"/>
          </w:tcPr>
          <w:p w14:paraId="64AE26F3">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3.18</w:t>
            </w:r>
          </w:p>
        </w:tc>
        <w:tc>
          <w:tcPr>
            <w:tcW w:w="2353" w:type="dxa"/>
            <w:vAlign w:val="center"/>
          </w:tcPr>
          <w:p w14:paraId="5194960F">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磋商截止时间和地点</w:t>
            </w:r>
          </w:p>
        </w:tc>
        <w:tc>
          <w:tcPr>
            <w:tcW w:w="6155" w:type="dxa"/>
            <w:vAlign w:val="center"/>
          </w:tcPr>
          <w:p w14:paraId="06CE122D">
            <w:pPr>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磋商时间：</w:t>
            </w:r>
            <w:r>
              <w:rPr>
                <w:rFonts w:hint="eastAsia" w:ascii="宋体" w:hAnsi="宋体"/>
                <w:color w:val="000000" w:themeColor="text1"/>
                <w:sz w:val="24"/>
                <w:highlight w:val="none"/>
                <w:lang w:val="en-US" w:eastAsia="zh-CN"/>
                <w14:textFill>
                  <w14:solidFill>
                    <w14:schemeClr w14:val="tx1"/>
                  </w14:solidFill>
                </w14:textFill>
              </w:rPr>
              <w:t>2025</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10</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22</w:t>
            </w:r>
            <w:r>
              <w:rPr>
                <w:rFonts w:hint="eastAsia" w:ascii="宋体" w:hAnsi="宋体"/>
                <w:color w:val="000000" w:themeColor="text1"/>
                <w:sz w:val="24"/>
                <w:highlight w:val="none"/>
                <w14:textFill>
                  <w14:solidFill>
                    <w14:schemeClr w14:val="tx1"/>
                  </w14:solidFill>
                </w14:textFill>
              </w:rPr>
              <w:t>日</w:t>
            </w:r>
            <w:r>
              <w:rPr>
                <w:rFonts w:hint="eastAsia" w:ascii="宋体" w:hAnsi="宋体"/>
                <w:color w:val="000000" w:themeColor="text1"/>
                <w:sz w:val="24"/>
                <w:highlight w:val="none"/>
                <w:lang w:val="en-US" w:eastAsia="zh-CN"/>
                <w14:textFill>
                  <w14:solidFill>
                    <w14:schemeClr w14:val="tx1"/>
                  </w14:solidFill>
                </w14:textFill>
              </w:rPr>
              <w:t>09</w:t>
            </w:r>
            <w:r>
              <w:rPr>
                <w:rFonts w:hint="eastAsia" w:ascii="宋体" w:hAnsi="宋体"/>
                <w:color w:val="000000" w:themeColor="text1"/>
                <w:sz w:val="24"/>
                <w:highlight w:val="none"/>
                <w14:textFill>
                  <w14:solidFill>
                    <w14:schemeClr w14:val="tx1"/>
                  </w14:solidFill>
                </w14:textFill>
              </w:rPr>
              <w:t>时</w:t>
            </w:r>
            <w:r>
              <w:rPr>
                <w:rFonts w:hint="eastAsia" w:ascii="宋体" w:hAnsi="宋体"/>
                <w:color w:val="000000" w:themeColor="text1"/>
                <w:sz w:val="24"/>
                <w:highlight w:val="none"/>
                <w:lang w:val="en-US" w:eastAsia="zh-CN"/>
                <w14:textFill>
                  <w14:solidFill>
                    <w14:schemeClr w14:val="tx1"/>
                  </w14:solidFill>
                </w14:textFill>
              </w:rPr>
              <w:t>00</w:t>
            </w:r>
            <w:r>
              <w:rPr>
                <w:rFonts w:hint="eastAsia" w:ascii="宋体" w:hAnsi="宋体"/>
                <w:color w:val="000000" w:themeColor="text1"/>
                <w:sz w:val="24"/>
                <w:highlight w:val="none"/>
                <w14:textFill>
                  <w14:solidFill>
                    <w14:schemeClr w14:val="tx1"/>
                  </w14:solidFill>
                </w14:textFill>
              </w:rPr>
              <w:t>分</w:t>
            </w:r>
          </w:p>
          <w:p w14:paraId="1A347C35">
            <w:pPr>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磋商地点：灵宝市公共资源交易中心十二楼第</w:t>
            </w:r>
            <w:r>
              <w:rPr>
                <w:rFonts w:hint="eastAsia" w:ascii="宋体" w:hAnsi="宋体"/>
                <w:color w:val="000000" w:themeColor="text1"/>
                <w:sz w:val="24"/>
                <w:highlight w:val="none"/>
                <w:lang w:val="en-US" w:eastAsia="zh-CN"/>
                <w14:textFill>
                  <w14:solidFill>
                    <w14:schemeClr w14:val="tx1"/>
                  </w14:solidFill>
                </w14:textFill>
              </w:rPr>
              <w:t>一</w:t>
            </w:r>
            <w:r>
              <w:rPr>
                <w:rFonts w:hint="eastAsia" w:ascii="宋体" w:hAnsi="宋体"/>
                <w:color w:val="000000" w:themeColor="text1"/>
                <w:sz w:val="24"/>
                <w:highlight w:val="none"/>
                <w14:textFill>
                  <w14:solidFill>
                    <w14:schemeClr w14:val="tx1"/>
                  </w14:solidFill>
                </w14:textFill>
              </w:rPr>
              <w:t>开标室；</w:t>
            </w:r>
          </w:p>
          <w:p w14:paraId="739CD12C">
            <w:pPr>
              <w:spacing w:line="360" w:lineRule="auto"/>
              <w:rPr>
                <w:rFonts w:ascii="宋体" w:hAnsi="宋体"/>
                <w:color w:val="000000" w:themeColor="text1"/>
                <w:sz w:val="24"/>
                <w:highlight w:val="yellow"/>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评标地点：灵宝市公共资源交易中心十二楼第</w:t>
            </w:r>
            <w:r>
              <w:rPr>
                <w:rFonts w:hint="eastAsia" w:ascii="宋体" w:hAnsi="宋体"/>
                <w:color w:val="000000" w:themeColor="text1"/>
                <w:sz w:val="24"/>
                <w:highlight w:val="none"/>
                <w:lang w:val="en-US" w:eastAsia="zh-CN"/>
                <w14:textFill>
                  <w14:solidFill>
                    <w14:schemeClr w14:val="tx1"/>
                  </w14:solidFill>
                </w14:textFill>
              </w:rPr>
              <w:t>三</w:t>
            </w:r>
            <w:r>
              <w:rPr>
                <w:rFonts w:hint="eastAsia" w:ascii="宋体" w:hAnsi="宋体"/>
                <w:color w:val="000000" w:themeColor="text1"/>
                <w:sz w:val="24"/>
                <w:highlight w:val="none"/>
                <w14:textFill>
                  <w14:solidFill>
                    <w14:schemeClr w14:val="tx1"/>
                  </w14:solidFill>
                </w14:textFill>
              </w:rPr>
              <w:t>评标室；</w:t>
            </w:r>
          </w:p>
        </w:tc>
      </w:tr>
      <w:tr w14:paraId="3FA2B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333" w:type="dxa"/>
            <w:vAlign w:val="center"/>
          </w:tcPr>
          <w:p w14:paraId="353CB324">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3.19</w:t>
            </w:r>
          </w:p>
        </w:tc>
        <w:tc>
          <w:tcPr>
            <w:tcW w:w="2353" w:type="dxa"/>
            <w:vAlign w:val="center"/>
          </w:tcPr>
          <w:p w14:paraId="6C205DBE">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en-US"/>
                <w14:textFill>
                  <w14:solidFill>
                    <w14:schemeClr w14:val="tx1"/>
                  </w14:solidFill>
                </w14:textFill>
              </w:rPr>
              <w:t>是否退还响应文件</w:t>
            </w:r>
          </w:p>
        </w:tc>
        <w:tc>
          <w:tcPr>
            <w:tcW w:w="6155" w:type="dxa"/>
            <w:vAlign w:val="center"/>
          </w:tcPr>
          <w:p w14:paraId="5C90C379">
            <w:pPr>
              <w:spacing w:line="360" w:lineRule="auto"/>
              <w:rPr>
                <w:rFonts w:ascii="宋体" w:hAnsi="宋体"/>
                <w:color w:val="000000" w:themeColor="text1"/>
                <w:sz w:val="24"/>
                <w:highlight w:val="none"/>
                <w:lang w:eastAsia="en-US"/>
                <w14:textFill>
                  <w14:solidFill>
                    <w14:schemeClr w14:val="tx1"/>
                  </w14:solidFill>
                </w14:textFill>
              </w:rPr>
            </w:pPr>
            <w:r>
              <w:rPr>
                <w:rFonts w:hint="eastAsia" w:ascii="宋体" w:hAnsi="宋体"/>
                <w:color w:val="000000" w:themeColor="text1"/>
                <w:sz w:val="24"/>
                <w:highlight w:val="none"/>
                <w:lang w:eastAsia="en-US"/>
                <w14:textFill>
                  <w14:solidFill>
                    <w14:schemeClr w14:val="tx1"/>
                  </w14:solidFill>
                </w14:textFill>
              </w:rPr>
              <w:t>否</w:t>
            </w:r>
          </w:p>
        </w:tc>
      </w:tr>
      <w:tr w14:paraId="7B608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33" w:type="dxa"/>
            <w:vAlign w:val="center"/>
          </w:tcPr>
          <w:p w14:paraId="4F25CA02">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3.20</w:t>
            </w:r>
          </w:p>
        </w:tc>
        <w:tc>
          <w:tcPr>
            <w:tcW w:w="2353" w:type="dxa"/>
            <w:vAlign w:val="center"/>
          </w:tcPr>
          <w:p w14:paraId="19FF6E7D">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en-US"/>
                <w14:textFill>
                  <w14:solidFill>
                    <w14:schemeClr w14:val="tx1"/>
                  </w14:solidFill>
                </w14:textFill>
              </w:rPr>
              <w:t>报价</w:t>
            </w:r>
          </w:p>
        </w:tc>
        <w:tc>
          <w:tcPr>
            <w:tcW w:w="6155" w:type="dxa"/>
            <w:vAlign w:val="center"/>
          </w:tcPr>
          <w:p w14:paraId="147C8EDA">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本次竞争性磋商采取两轮报价：第一轮报价直接填报于磋商响应文件中，开标后远程进行唱标，初步审查通过后进行第二轮报价，第二轮报价远程填报。</w:t>
            </w:r>
          </w:p>
          <w:p w14:paraId="2ECAF774">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供应商所报总价为履行本项目服务内容等所有费用。</w:t>
            </w:r>
          </w:p>
        </w:tc>
      </w:tr>
      <w:tr w14:paraId="6862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33" w:type="dxa"/>
            <w:vAlign w:val="center"/>
          </w:tcPr>
          <w:p w14:paraId="180F1FFC">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3.21</w:t>
            </w:r>
          </w:p>
        </w:tc>
        <w:tc>
          <w:tcPr>
            <w:tcW w:w="2353" w:type="dxa"/>
            <w:vAlign w:val="center"/>
          </w:tcPr>
          <w:p w14:paraId="5C5AED02">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磋商小组的组建</w:t>
            </w:r>
          </w:p>
        </w:tc>
        <w:tc>
          <w:tcPr>
            <w:tcW w:w="6155" w:type="dxa"/>
            <w:vAlign w:val="center"/>
          </w:tcPr>
          <w:p w14:paraId="05B7B96A">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磋商小组成员为3人，采购人代表1人，其余技术、经济等方面的专家2人从相关评标专家库中随机抽取。</w:t>
            </w:r>
          </w:p>
        </w:tc>
      </w:tr>
      <w:tr w14:paraId="644A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33" w:type="dxa"/>
            <w:vAlign w:val="center"/>
          </w:tcPr>
          <w:p w14:paraId="7C54FC75">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3.22</w:t>
            </w:r>
          </w:p>
        </w:tc>
        <w:tc>
          <w:tcPr>
            <w:tcW w:w="2353" w:type="dxa"/>
            <w:vAlign w:val="center"/>
          </w:tcPr>
          <w:p w14:paraId="77CB36A2">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是否授权磋商专家确定成交供应商</w:t>
            </w:r>
          </w:p>
        </w:tc>
        <w:tc>
          <w:tcPr>
            <w:tcW w:w="6155" w:type="dxa"/>
            <w:vAlign w:val="center"/>
          </w:tcPr>
          <w:p w14:paraId="62D019F3">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否，由磋商小组按照评审得分由高到</w:t>
            </w:r>
            <w:r>
              <w:rPr>
                <w:rFonts w:hint="eastAsia" w:ascii="宋体" w:hAnsi="宋体"/>
                <w:color w:val="000000" w:themeColor="text1"/>
                <w:sz w:val="24"/>
                <w:highlight w:val="none"/>
                <w:lang w:val="en-US" w:eastAsia="zh-CN"/>
                <w14:textFill>
                  <w14:solidFill>
                    <w14:schemeClr w14:val="tx1"/>
                  </w14:solidFill>
                </w14:textFill>
              </w:rPr>
              <w:t>低</w:t>
            </w:r>
            <w:r>
              <w:rPr>
                <w:rFonts w:hint="eastAsia" w:ascii="宋体" w:hAnsi="宋体"/>
                <w:color w:val="000000" w:themeColor="text1"/>
                <w:sz w:val="24"/>
                <w:highlight w:val="none"/>
                <w14:textFill>
                  <w14:solidFill>
                    <w14:schemeClr w14:val="tx1"/>
                  </w14:solidFill>
                </w14:textFill>
              </w:rPr>
              <w:t>推荐</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3名成交候选供应商</w:t>
            </w:r>
          </w:p>
        </w:tc>
      </w:tr>
      <w:tr w14:paraId="61E48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33" w:type="dxa"/>
            <w:vAlign w:val="center"/>
          </w:tcPr>
          <w:p w14:paraId="7AD96AD6">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3.23</w:t>
            </w:r>
          </w:p>
        </w:tc>
        <w:tc>
          <w:tcPr>
            <w:tcW w:w="2353" w:type="dxa"/>
            <w:vAlign w:val="center"/>
          </w:tcPr>
          <w:p w14:paraId="62918B8D">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代理服务费</w:t>
            </w:r>
          </w:p>
        </w:tc>
        <w:tc>
          <w:tcPr>
            <w:tcW w:w="6155" w:type="dxa"/>
            <w:vAlign w:val="center"/>
          </w:tcPr>
          <w:p w14:paraId="1D20E6DF">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招标代理服务收费参照豫招协[2023]002号河南省招标投标协会关于印发《河南省招标代理服务收费指导意见》规定的收费标准收取成交服务费，领取成交通知书时一次性支付。</w:t>
            </w:r>
          </w:p>
        </w:tc>
      </w:tr>
      <w:tr w14:paraId="3694F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333" w:type="dxa"/>
            <w:vAlign w:val="center"/>
          </w:tcPr>
          <w:p w14:paraId="21B13E0E">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3.24</w:t>
            </w:r>
          </w:p>
        </w:tc>
        <w:tc>
          <w:tcPr>
            <w:tcW w:w="2353" w:type="dxa"/>
            <w:vAlign w:val="center"/>
          </w:tcPr>
          <w:p w14:paraId="7B5D52A5">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需要补充的其他内容</w:t>
            </w:r>
          </w:p>
        </w:tc>
        <w:tc>
          <w:tcPr>
            <w:tcW w:w="6155" w:type="dxa"/>
            <w:vAlign w:val="center"/>
          </w:tcPr>
          <w:p w14:paraId="4745AA4D">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电子化磋商响应文件应在投标截止时间前成功上传至三门峡市公共资源电子化交易系统。至投标截止时间止，仍未上传成功的电子化磋商响应文件，将不予接受。</w:t>
            </w:r>
          </w:p>
        </w:tc>
      </w:tr>
      <w:tr w14:paraId="35D6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333" w:type="dxa"/>
            <w:vAlign w:val="center"/>
          </w:tcPr>
          <w:p w14:paraId="3B8FECC8">
            <w:pPr>
              <w:spacing w:line="360" w:lineRule="auto"/>
              <w:jc w:val="center"/>
              <w:rPr>
                <w:rFonts w:ascii="宋体" w:hAnsi="宋体"/>
                <w:color w:val="000000" w:themeColor="text1"/>
                <w:sz w:val="24"/>
                <w:highlight w:val="none"/>
                <w14:textFill>
                  <w14:solidFill>
                    <w14:schemeClr w14:val="tx1"/>
                  </w14:solidFill>
                </w14:textFill>
              </w:rPr>
            </w:pPr>
            <w:bookmarkStart w:id="37" w:name="_Toc26417"/>
            <w:bookmarkStart w:id="38" w:name="_Toc101344062"/>
            <w:bookmarkStart w:id="39" w:name="_Toc466303889"/>
            <w:bookmarkStart w:id="40" w:name="_Toc68710928"/>
            <w:bookmarkStart w:id="41" w:name="_Toc291089182"/>
            <w:bookmarkStart w:id="42" w:name="_Toc16409"/>
            <w:bookmarkStart w:id="43" w:name="_Toc48158310"/>
            <w:bookmarkStart w:id="44" w:name="_Toc533503499"/>
            <w:bookmarkStart w:id="45" w:name="_Toc354753243"/>
            <w:r>
              <w:rPr>
                <w:rFonts w:hint="eastAsia" w:ascii="宋体" w:hAnsi="宋体"/>
                <w:color w:val="000000" w:themeColor="text1"/>
                <w:sz w:val="24"/>
                <w:highlight w:val="none"/>
                <w14:textFill>
                  <w14:solidFill>
                    <w14:schemeClr w14:val="tx1"/>
                  </w14:solidFill>
                </w14:textFill>
              </w:rPr>
              <w:t>3.25</w:t>
            </w:r>
          </w:p>
        </w:tc>
        <w:tc>
          <w:tcPr>
            <w:tcW w:w="2353" w:type="dxa"/>
            <w:vAlign w:val="center"/>
          </w:tcPr>
          <w:p w14:paraId="73019ED9">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是否实行计算机辅助评标</w:t>
            </w:r>
          </w:p>
        </w:tc>
        <w:tc>
          <w:tcPr>
            <w:tcW w:w="6155" w:type="dxa"/>
            <w:vAlign w:val="center"/>
          </w:tcPr>
          <w:p w14:paraId="22E4F508">
            <w:pPr>
              <w:spacing w:line="360" w:lineRule="auto"/>
              <w:rPr>
                <w:rFonts w:ascii="宋体" w:hAnsi="宋体"/>
                <w:color w:val="000000" w:themeColor="text1"/>
                <w:sz w:val="24"/>
                <w:highlight w:val="none"/>
                <w:lang w:eastAsia="en-US"/>
                <w14:textFill>
                  <w14:solidFill>
                    <w14:schemeClr w14:val="tx1"/>
                  </w14:solidFill>
                </w14:textFill>
              </w:rPr>
            </w:pPr>
            <w:r>
              <w:rPr>
                <w:rFonts w:hint="eastAsia" w:ascii="宋体" w:hAnsi="宋体"/>
                <w:color w:val="000000" w:themeColor="text1"/>
                <w:sz w:val="24"/>
                <w:highlight w:val="none"/>
                <w:lang w:eastAsia="en-US"/>
                <w14:textFill>
                  <w14:solidFill>
                    <w14:schemeClr w14:val="tx1"/>
                  </w14:solidFill>
                </w14:textFill>
              </w:rPr>
              <w:t>是</w:t>
            </w:r>
          </w:p>
        </w:tc>
      </w:tr>
      <w:tr w14:paraId="04570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333" w:type="dxa"/>
            <w:vAlign w:val="center"/>
          </w:tcPr>
          <w:p w14:paraId="2F8A57D1">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3.26</w:t>
            </w:r>
          </w:p>
        </w:tc>
        <w:tc>
          <w:tcPr>
            <w:tcW w:w="2353" w:type="dxa"/>
            <w:vAlign w:val="center"/>
          </w:tcPr>
          <w:p w14:paraId="6FD26860">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供应商代表出席开标会</w:t>
            </w:r>
          </w:p>
        </w:tc>
        <w:tc>
          <w:tcPr>
            <w:tcW w:w="6155" w:type="dxa"/>
            <w:vAlign w:val="center"/>
          </w:tcPr>
          <w:p w14:paraId="0DDF266E">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en-US"/>
                <w14:textFill>
                  <w14:solidFill>
                    <w14:schemeClr w14:val="tx1"/>
                  </w14:solidFill>
                </w14:textFill>
              </w:rPr>
              <w:t>本项目为不见面开标项目，开标当日，供应商无需到开标现场参加开标会议，供应商应当在投标截止时间前，登陆不见面开标大厅选择登陆三门峡市公共资源电子招投标系统进行登陆（网址为http://t.cn/A6huPROa）,在线准时参加开标活动并进行</w:t>
            </w:r>
            <w:r>
              <w:rPr>
                <w:rFonts w:hint="eastAsia" w:ascii="宋体" w:hAnsi="宋体"/>
                <w:color w:val="000000" w:themeColor="text1"/>
                <w:sz w:val="24"/>
                <w:highlight w:val="none"/>
                <w:lang w:eastAsia="zh-CN"/>
                <w14:textFill>
                  <w14:solidFill>
                    <w14:schemeClr w14:val="tx1"/>
                  </w14:solidFill>
                </w14:textFill>
              </w:rPr>
              <w:t>响应性文件</w:t>
            </w:r>
            <w:r>
              <w:rPr>
                <w:rFonts w:hint="eastAsia" w:ascii="宋体" w:hAnsi="宋体"/>
                <w:color w:val="000000" w:themeColor="text1"/>
                <w:sz w:val="24"/>
                <w:highlight w:val="none"/>
                <w:lang w:eastAsia="en-US"/>
                <w14:textFill>
                  <w14:solidFill>
                    <w14:schemeClr w14:val="tx1"/>
                  </w14:solidFill>
                </w14:textFill>
              </w:rPr>
              <w:t>解密等。</w:t>
            </w:r>
            <w:r>
              <w:rPr>
                <w:rFonts w:hint="eastAsia" w:ascii="宋体" w:hAnsi="宋体"/>
                <w:color w:val="000000" w:themeColor="text1"/>
                <w:sz w:val="24"/>
                <w:highlight w:val="none"/>
                <w14:textFill>
                  <w14:solidFill>
                    <w14:schemeClr w14:val="tx1"/>
                  </w14:solidFill>
                </w14:textFill>
              </w:rPr>
              <w:t>每位供应商的解密时间为开标时间起30分钟内完成。未按时解密的其投标将被否决。因供应商原因未能解密、解密失败或解密超时的将被拒绝。</w:t>
            </w:r>
          </w:p>
        </w:tc>
      </w:tr>
      <w:tr w14:paraId="77115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333" w:type="dxa"/>
            <w:vAlign w:val="center"/>
          </w:tcPr>
          <w:p w14:paraId="10D24052">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3.27</w:t>
            </w:r>
          </w:p>
        </w:tc>
        <w:tc>
          <w:tcPr>
            <w:tcW w:w="2353" w:type="dxa"/>
            <w:vAlign w:val="center"/>
          </w:tcPr>
          <w:p w14:paraId="6BEEC590">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成交公告</w:t>
            </w:r>
          </w:p>
        </w:tc>
        <w:tc>
          <w:tcPr>
            <w:tcW w:w="6155" w:type="dxa"/>
            <w:vAlign w:val="center"/>
          </w:tcPr>
          <w:p w14:paraId="17607243">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在《河南省政府采购网》、《三门峡市公共资源交易中心网》、《中国采购与招标网》同时进行公告，公示期为1个工作日。</w:t>
            </w:r>
          </w:p>
        </w:tc>
      </w:tr>
      <w:tr w14:paraId="3FD1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333" w:type="dxa"/>
            <w:vAlign w:val="center"/>
          </w:tcPr>
          <w:p w14:paraId="048EB497">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3.28</w:t>
            </w:r>
          </w:p>
        </w:tc>
        <w:tc>
          <w:tcPr>
            <w:tcW w:w="2353" w:type="dxa"/>
            <w:vAlign w:val="center"/>
          </w:tcPr>
          <w:p w14:paraId="3CD23A2D">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知识产权</w:t>
            </w:r>
          </w:p>
        </w:tc>
        <w:tc>
          <w:tcPr>
            <w:tcW w:w="6155" w:type="dxa"/>
            <w:vAlign w:val="center"/>
          </w:tcPr>
          <w:p w14:paraId="0BF44E3F">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构成本竞争性磋商文件各个组成部分的文件，未经采购人书面同意，供应商不得擅自复印和用于非本招标项目所需的其他目的。采购人全部或者部分使用未成交人磋商响应文件中的技术成果或技术方案时，需征得其书面同意，并不得擅自复印或提供给第三人。</w:t>
            </w:r>
          </w:p>
        </w:tc>
      </w:tr>
      <w:tr w14:paraId="7AE07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333" w:type="dxa"/>
            <w:vAlign w:val="center"/>
          </w:tcPr>
          <w:p w14:paraId="4AB9106D">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3.29</w:t>
            </w:r>
          </w:p>
        </w:tc>
        <w:tc>
          <w:tcPr>
            <w:tcW w:w="2353" w:type="dxa"/>
            <w:vAlign w:val="center"/>
          </w:tcPr>
          <w:p w14:paraId="10DB2C76">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解释权</w:t>
            </w:r>
          </w:p>
        </w:tc>
        <w:tc>
          <w:tcPr>
            <w:tcW w:w="6155" w:type="dxa"/>
            <w:vAlign w:val="center"/>
          </w:tcPr>
          <w:p w14:paraId="10BA9E5C">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构成本磋商文件的各个组成文件应互为解释，互为说明；如有不明确或不一致，按磋商公告、供应商须知、评标办法、磋商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6F2B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333" w:type="dxa"/>
            <w:vAlign w:val="center"/>
          </w:tcPr>
          <w:p w14:paraId="5B14D74E">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3.30</w:t>
            </w:r>
          </w:p>
        </w:tc>
        <w:tc>
          <w:tcPr>
            <w:tcW w:w="2353" w:type="dxa"/>
            <w:vAlign w:val="center"/>
          </w:tcPr>
          <w:p w14:paraId="35B16033">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无效标</w:t>
            </w:r>
          </w:p>
          <w:p w14:paraId="185E4D17">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条件</w:t>
            </w:r>
          </w:p>
        </w:tc>
        <w:tc>
          <w:tcPr>
            <w:tcW w:w="6155" w:type="dxa"/>
            <w:vAlign w:val="center"/>
          </w:tcPr>
          <w:p w14:paraId="4003A701">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1、投标供应商资格条件不符合国家有关规定和磋商文件要求的；</w:t>
            </w:r>
          </w:p>
          <w:p w14:paraId="6AAF477F">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2、没有按照磋商文件要求提供投标承诺函；</w:t>
            </w:r>
          </w:p>
          <w:p w14:paraId="3F2F5066">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3、电子化响应文件附有采购人不能接受的条件的；</w:t>
            </w:r>
          </w:p>
          <w:p w14:paraId="375B2E9B">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4、投标报价低于成本、高于磋商文件设定的最高投标限价；</w:t>
            </w:r>
          </w:p>
          <w:p w14:paraId="1C6CB07A">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5、以他人的名义投标、串通投标、以行贿手段谋取中标或者以其他弄虚作假方式投标的；</w:t>
            </w:r>
          </w:p>
          <w:p w14:paraId="3B226AF3">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6、采取不正当手段谋取中标的；</w:t>
            </w:r>
          </w:p>
          <w:p w14:paraId="46F8DC32">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7、法律、法规规定的其他情况。</w:t>
            </w:r>
          </w:p>
        </w:tc>
      </w:tr>
      <w:tr w14:paraId="54200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333" w:type="dxa"/>
            <w:vAlign w:val="center"/>
          </w:tcPr>
          <w:p w14:paraId="710B9722">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3.31</w:t>
            </w:r>
          </w:p>
        </w:tc>
        <w:tc>
          <w:tcPr>
            <w:tcW w:w="2353" w:type="dxa"/>
            <w:vAlign w:val="center"/>
          </w:tcPr>
          <w:p w14:paraId="5541F66C">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重新招标的其他情形</w:t>
            </w:r>
          </w:p>
        </w:tc>
        <w:tc>
          <w:tcPr>
            <w:tcW w:w="6155" w:type="dxa"/>
            <w:vAlign w:val="center"/>
          </w:tcPr>
          <w:p w14:paraId="1288653C">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除响应人须知正文规定的情形外，除非已经产生成交候选人，在磋商有效期内同意延长磋商有效期的响应人少于三个的，采购人应当依法重新招标。</w:t>
            </w:r>
          </w:p>
        </w:tc>
      </w:tr>
      <w:tr w14:paraId="3E4E6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333" w:type="dxa"/>
            <w:vAlign w:val="center"/>
          </w:tcPr>
          <w:p w14:paraId="7F7DEC12">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3.32</w:t>
            </w:r>
          </w:p>
        </w:tc>
        <w:tc>
          <w:tcPr>
            <w:tcW w:w="2353" w:type="dxa"/>
            <w:vAlign w:val="center"/>
          </w:tcPr>
          <w:p w14:paraId="67728F44">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需要补充的其他内容</w:t>
            </w:r>
          </w:p>
        </w:tc>
        <w:tc>
          <w:tcPr>
            <w:tcW w:w="6155" w:type="dxa"/>
            <w:vAlign w:val="center"/>
          </w:tcPr>
          <w:p w14:paraId="528FBA09">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采购人有权在成交通知书发放前组织</w:t>
            </w:r>
            <w:r>
              <w:rPr>
                <w:rFonts w:ascii="宋体" w:hAnsi="宋体"/>
                <w:color w:val="000000" w:themeColor="text1"/>
                <w:sz w:val="24"/>
                <w:highlight w:val="none"/>
                <w14:textFill>
                  <w14:solidFill>
                    <w14:schemeClr w14:val="tx1"/>
                  </w14:solidFill>
                </w14:textFill>
              </w:rPr>
              <w:t>现场考察</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核实</w:t>
            </w:r>
            <w:r>
              <w:rPr>
                <w:rFonts w:hint="eastAsia" w:ascii="宋体" w:hAnsi="宋体"/>
                <w:color w:val="000000" w:themeColor="text1"/>
                <w:sz w:val="24"/>
                <w:highlight w:val="none"/>
                <w14:textFill>
                  <w14:solidFill>
                    <w14:schemeClr w14:val="tx1"/>
                  </w14:solidFill>
                </w14:textFill>
              </w:rPr>
              <w:t>企业实力是否与</w:t>
            </w:r>
            <w:r>
              <w:rPr>
                <w:rFonts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响应文件提供资料一致，</w:t>
            </w:r>
            <w:r>
              <w:rPr>
                <w:rFonts w:ascii="宋体" w:hAnsi="宋体"/>
                <w:color w:val="000000" w:themeColor="text1"/>
                <w:sz w:val="24"/>
                <w:highlight w:val="none"/>
                <w14:textFill>
                  <w14:solidFill>
                    <w14:schemeClr w14:val="tx1"/>
                  </w14:solidFill>
                </w14:textFill>
              </w:rPr>
              <w:t>其是否具有承担中标项目合同的履行能力</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供应商应对</w:t>
            </w:r>
            <w:r>
              <w:rPr>
                <w:rFonts w:hint="eastAsia" w:ascii="宋体" w:hAnsi="宋体"/>
                <w:color w:val="000000" w:themeColor="text1"/>
                <w:sz w:val="24"/>
                <w:highlight w:val="none"/>
                <w14:textFill>
                  <w14:solidFill>
                    <w14:schemeClr w14:val="tx1"/>
                  </w14:solidFill>
                </w14:textFill>
              </w:rPr>
              <w:t>响应文件内容的真实性、合法性、有效性负责。如提供虚假材料，视同为“提供虚假材料谋取中标、成交”的违法行为。经调查核实后，取消</w:t>
            </w:r>
            <w:r>
              <w:rPr>
                <w:rFonts w:hint="eastAsia" w:ascii="宋体" w:hAnsi="宋体"/>
                <w:color w:val="000000" w:themeColor="text1"/>
                <w:sz w:val="24"/>
                <w:highlight w:val="none"/>
                <w:lang w:eastAsia="zh-CN"/>
                <w14:textFill>
                  <w14:solidFill>
                    <w14:schemeClr w14:val="tx1"/>
                  </w14:solidFill>
                </w14:textFill>
              </w:rPr>
              <w:t>成交人</w:t>
            </w:r>
            <w:r>
              <w:rPr>
                <w:rFonts w:hint="eastAsia" w:ascii="宋体" w:hAnsi="宋体"/>
                <w:color w:val="000000" w:themeColor="text1"/>
                <w:sz w:val="24"/>
                <w:highlight w:val="none"/>
                <w14:textFill>
                  <w14:solidFill>
                    <w14:schemeClr w14:val="tx1"/>
                  </w14:solidFill>
                </w14:textFill>
              </w:rPr>
              <w:t>资格，并按照《政府采购法》第七十七条，七十九条规定，处以采购金额千分之五以上千分之十以下的罚款，列入不良行为记录名单，在一至三年内禁止参加政府采购活动，有违法所得的， 并处没收 违法所得，情节严重的，由市场监管部门吊销营业执照；构成犯罪的，依法追究刑事责任；给他人造成损失的，依照有关民事法律规定承担民事责任；</w:t>
            </w:r>
          </w:p>
          <w:p w14:paraId="5E3C5743">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成交供应商在领取中标通知书时，须提供响应文件（上传稿）纸质资料两套，需加盖单位公章，胶装成册。</w:t>
            </w:r>
          </w:p>
        </w:tc>
      </w:tr>
      <w:tr w14:paraId="53BBC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333" w:type="dxa"/>
            <w:vAlign w:val="center"/>
          </w:tcPr>
          <w:p w14:paraId="2A6A3A04">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4.0</w:t>
            </w:r>
          </w:p>
        </w:tc>
        <w:tc>
          <w:tcPr>
            <w:tcW w:w="2353" w:type="dxa"/>
            <w:vAlign w:val="center"/>
          </w:tcPr>
          <w:p w14:paraId="3B42FCAA">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电子化交易注意事项</w:t>
            </w:r>
          </w:p>
        </w:tc>
        <w:tc>
          <w:tcPr>
            <w:tcW w:w="6155" w:type="dxa"/>
            <w:vAlign w:val="center"/>
          </w:tcPr>
          <w:p w14:paraId="472A2882">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为电子化交易项目，磋商响应文件是供应商、供应商（以下简称“供应商”）通过中心磋商响应文件制作系统制作，并经过电子签章和加密后生成的电子版磋商响应文件。供应商投标时，不须提交纸质文件资料。</w:t>
            </w:r>
          </w:p>
          <w:p w14:paraId="3200E12B">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电子化磋商响应文件具体制作教材请供应商通过CA证书登录三门峡市公共资源电子化交易系统在 “交易智库”中下载操作流程</w:t>
            </w:r>
          </w:p>
          <w:p w14:paraId="31D350AE">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温馨提示：本项目为电子化、无纸化交易项目，投标时不接受任何纸质资料，为保证您能投标成功，请需仔细阅读以下条款。</w:t>
            </w:r>
          </w:p>
          <w:p w14:paraId="1144E68B">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一、电子化投标</w:t>
            </w:r>
          </w:p>
          <w:p w14:paraId="025C466B">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（一）电子化磋商响应文件的签章</w:t>
            </w:r>
          </w:p>
          <w:p w14:paraId="05C44CE1">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1、供应商在生成电子化磋商响应文件后，应对电子化磋商响应文件进行签章，未进行签章的视为无效投标。</w:t>
            </w:r>
          </w:p>
          <w:p w14:paraId="5AAF552C">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磋商文件中要求法定代表人或授权委托人签字或盖章的，供应商在进行电子化磋商响应文件签章时，以签盖法定代表人签章为准。电子化磋商响应文件具体制作教材请供应商通过CA证书登录三门峡市公共资源电子化交易系统在右上角“交易智库”中查看。电子化磋商响应文件工具请点击http://t.cn/A6ZvtVob进行下载。</w:t>
            </w:r>
          </w:p>
          <w:p w14:paraId="412AE55F">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（二）电子化磋商响应文件的格式及上传投标</w:t>
            </w:r>
          </w:p>
          <w:p w14:paraId="0FBECB56">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en-US"/>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lang w:eastAsia="en-US"/>
                <w14:textFill>
                  <w14:solidFill>
                    <w14:schemeClr w14:val="tx1"/>
                  </w14:solidFill>
                </w14:textFill>
              </w:rPr>
              <w:t>所上传的电子化</w:t>
            </w:r>
            <w:r>
              <w:rPr>
                <w:rFonts w:hint="eastAsia" w:ascii="宋体" w:hAnsi="宋体"/>
                <w:color w:val="000000" w:themeColor="text1"/>
                <w:sz w:val="24"/>
                <w:highlight w:val="none"/>
                <w14:textFill>
                  <w14:solidFill>
                    <w14:schemeClr w14:val="tx1"/>
                  </w14:solidFill>
                </w14:textFill>
              </w:rPr>
              <w:t>磋商响应文件</w:t>
            </w:r>
            <w:r>
              <w:rPr>
                <w:rFonts w:hint="eastAsia" w:ascii="宋体" w:hAnsi="宋体"/>
                <w:color w:val="000000" w:themeColor="text1"/>
                <w:sz w:val="24"/>
                <w:highlight w:val="none"/>
                <w:lang w:eastAsia="en-US"/>
                <w14:textFill>
                  <w14:solidFill>
                    <w14:schemeClr w14:val="tx1"/>
                  </w14:solidFill>
                </w14:textFill>
              </w:rPr>
              <w:t>，应是通过中心</w:t>
            </w:r>
            <w:r>
              <w:rPr>
                <w:rFonts w:hint="eastAsia" w:ascii="宋体" w:hAnsi="宋体"/>
                <w:color w:val="000000" w:themeColor="text1"/>
                <w:sz w:val="24"/>
                <w:highlight w:val="none"/>
                <w14:textFill>
                  <w14:solidFill>
                    <w14:schemeClr w14:val="tx1"/>
                  </w14:solidFill>
                </w14:textFill>
              </w:rPr>
              <w:t>磋商响应文件</w:t>
            </w:r>
            <w:r>
              <w:rPr>
                <w:rFonts w:hint="eastAsia" w:ascii="宋体" w:hAnsi="宋体"/>
                <w:color w:val="000000" w:themeColor="text1"/>
                <w:sz w:val="24"/>
                <w:highlight w:val="none"/>
                <w:lang w:eastAsia="en-US"/>
                <w14:textFill>
                  <w14:solidFill>
                    <w14:schemeClr w14:val="tx1"/>
                  </w14:solidFill>
                </w14:textFill>
              </w:rPr>
              <w:t>制作系统制作的（</w:t>
            </w:r>
            <w:r>
              <w:rPr>
                <w:rFonts w:hint="eastAsia" w:ascii="宋体" w:hAnsi="宋体"/>
                <w:color w:val="000000" w:themeColor="text1"/>
                <w:sz w:val="24"/>
                <w:highlight w:val="none"/>
                <w14:textFill>
                  <w14:solidFill>
                    <w14:schemeClr w14:val="tx1"/>
                  </w14:solidFill>
                </w14:textFill>
              </w:rPr>
              <w:t>磋商响应文件</w:t>
            </w:r>
            <w:r>
              <w:rPr>
                <w:rFonts w:hint="eastAsia" w:ascii="宋体" w:hAnsi="宋体"/>
                <w:color w:val="000000" w:themeColor="text1"/>
                <w:sz w:val="24"/>
                <w:highlight w:val="none"/>
                <w:lang w:eastAsia="en-US"/>
                <w14:textFill>
                  <w14:solidFill>
                    <w14:schemeClr w14:val="tx1"/>
                  </w14:solidFill>
                </w14:textFill>
              </w:rPr>
              <w:t>制作工具下载地址：http://t.cn/A6ZvtVob），经过签章和加密后生成的电子版</w:t>
            </w:r>
            <w:r>
              <w:rPr>
                <w:rFonts w:hint="eastAsia" w:ascii="宋体" w:hAnsi="宋体"/>
                <w:color w:val="000000" w:themeColor="text1"/>
                <w:sz w:val="24"/>
                <w:highlight w:val="none"/>
                <w14:textFill>
                  <w14:solidFill>
                    <w14:schemeClr w14:val="tx1"/>
                  </w14:solidFill>
                </w14:textFill>
              </w:rPr>
              <w:t>磋商响应文件</w:t>
            </w:r>
            <w:r>
              <w:rPr>
                <w:rFonts w:hint="eastAsia" w:ascii="宋体" w:hAnsi="宋体"/>
                <w:color w:val="000000" w:themeColor="text1"/>
                <w:sz w:val="24"/>
                <w:highlight w:val="none"/>
                <w:lang w:eastAsia="en-US"/>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其中包含用于磋商响应文件上传的主文件（后缀为.smxtf）和用于应急补救的磋商响应文件备份文件（后缀为.nsmxtf）。备份文件主要用于电子化开标出现技术问题后的补救，请供应商随身携带。</w:t>
            </w:r>
          </w:p>
          <w:p w14:paraId="3E4BAB90">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注：供应商投报多个标段的，需要每个标段单独制作电子磋商响应文件。</w:t>
            </w:r>
          </w:p>
          <w:p w14:paraId="6C150705">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2、电子化磋商响应文件应在投标截止时间前成功上传至三门峡市公共资源电子化交易系统。至投标截止时间止，仍未上传成功的电子化磋商响应文件将不予接收。</w:t>
            </w:r>
          </w:p>
          <w:p w14:paraId="40065EC1">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p w14:paraId="6DD6AABA">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技术联系电话：400-998-0000</w:t>
            </w:r>
          </w:p>
          <w:p w14:paraId="5C164942">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（三）电子化项目开标、解密、唱标、评标</w:t>
            </w:r>
          </w:p>
          <w:p w14:paraId="19273A64">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项目采用电子化、无纸化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59E3D455">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2、电子化磋商响应文件采用一次加密方式。开标时，由供应商使用CA 证书，在规定时间内对其电子化磋商响应文件进行解密。每位供应商的解密时间为开标时间起30分钟内，如在规定时间内未完成解密的，其磋商响应文件不予开标、唱标。</w:t>
            </w:r>
          </w:p>
          <w:p w14:paraId="1F977012">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3、电子化磋商响应文件解密异常的处理</w:t>
            </w:r>
          </w:p>
          <w:p w14:paraId="323E01AF">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如出现供应商的电子磋商响应文件无法解密等异常情况，供应商应及时致电中介服务机构说明。磋商响应文件异常，按以下步骤进行处理：</w:t>
            </w:r>
          </w:p>
          <w:p w14:paraId="45AD4DB7">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（1）首先由技术人员进行问题排查。</w:t>
            </w:r>
          </w:p>
          <w:p w14:paraId="397EF773">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（2）经技术人员排查后，是供应商文件自身问题导致磋商响应文件无法解密的，该磋商响应文件将不予接收、解密和唱标。开标会议继续进行。</w:t>
            </w:r>
          </w:p>
          <w:p w14:paraId="05451CA8">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06A57CA2">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4、待所有供应商磋商响应文件解密完成后，由中介服务机构操作，对所有已解密磋商响应文件进行唱标。</w:t>
            </w:r>
          </w:p>
          <w:p w14:paraId="1C252B79">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供应商应保证在开标期间电话、电脑、网络能够正常工作，供应商因停电、电脑病毒、网络堵塞等原因，未在规定的解密时间内对磋商响应文件进行解密的，其磋商响应文件不予接收、唱标。</w:t>
            </w:r>
          </w:p>
          <w:p w14:paraId="66B074FA">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开标时供应商可登录到交易系统中在开标解密栏中点击报价一览表查看自己的投标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w:t>
            </w:r>
          </w:p>
          <w:p w14:paraId="7AFD3E5F">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评标时，磋商小组对电子化磋商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67BDCE3D">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7、如磋商小组对需要回复的供应商连续三次致电未接通的，视为供应商放弃回复，磋商小组将自行对需要回复的内容进行认定。</w:t>
            </w:r>
          </w:p>
          <w:p w14:paraId="0AFE1539">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二、相关证书原件的提交</w:t>
            </w:r>
          </w:p>
          <w:p w14:paraId="78A895FE">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本项目实行资格后审，</w:t>
            </w:r>
            <w:r>
              <w:rPr>
                <w:rFonts w:hint="eastAsia" w:ascii="宋体" w:hAnsi="宋体"/>
                <w:color w:val="000000" w:themeColor="text1"/>
                <w:sz w:val="24"/>
                <w:highlight w:val="none"/>
                <w:lang w:eastAsia="zh-CN"/>
                <w14:textFill>
                  <w14:solidFill>
                    <w14:schemeClr w14:val="tx1"/>
                  </w14:solidFill>
                </w14:textFill>
              </w:rPr>
              <w:t>响应性文件</w:t>
            </w:r>
            <w:r>
              <w:rPr>
                <w:rFonts w:hint="eastAsia" w:ascii="宋体" w:hAnsi="宋体"/>
                <w:color w:val="000000" w:themeColor="text1"/>
                <w:sz w:val="24"/>
                <w:highlight w:val="none"/>
                <w14:textFill>
                  <w14:solidFill>
                    <w14:schemeClr w14:val="tx1"/>
                  </w14:solidFill>
                </w14:textFill>
              </w:rPr>
              <w:t>中要求供应商提交资质、业绩、荣誉及单位人员等相关资料原件的，供应商需将原件扫描件制作到电子</w:t>
            </w:r>
            <w:r>
              <w:rPr>
                <w:rFonts w:hint="eastAsia" w:ascii="宋体" w:hAnsi="宋体"/>
                <w:color w:val="000000" w:themeColor="text1"/>
                <w:sz w:val="24"/>
                <w:highlight w:val="none"/>
                <w:lang w:eastAsia="zh-CN"/>
                <w14:textFill>
                  <w14:solidFill>
                    <w14:schemeClr w14:val="tx1"/>
                  </w14:solidFill>
                </w14:textFill>
              </w:rPr>
              <w:t>响应性文件</w:t>
            </w:r>
            <w:r>
              <w:rPr>
                <w:rFonts w:hint="eastAsia" w:ascii="宋体" w:hAnsi="宋体"/>
                <w:color w:val="000000" w:themeColor="text1"/>
                <w:sz w:val="24"/>
                <w:highlight w:val="none"/>
                <w14:textFill>
                  <w14:solidFill>
                    <w14:schemeClr w14:val="tx1"/>
                  </w14:solidFill>
                </w14:textFill>
              </w:rPr>
              <w:t>中，同时将该原件扫描件上传至三门峡市公共资源交易服务平台市场主体信息库。评标委员会对原件的核验工作按以下条款进行：</w:t>
            </w:r>
          </w:p>
          <w:p w14:paraId="592B171C">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（一）评标时，审查内容以</w:t>
            </w:r>
            <w:r>
              <w:rPr>
                <w:rFonts w:hint="eastAsia" w:ascii="宋体" w:hAnsi="宋体"/>
                <w:color w:val="000000" w:themeColor="text1"/>
                <w:sz w:val="24"/>
                <w:highlight w:val="none"/>
                <w:lang w:eastAsia="zh-CN"/>
                <w14:textFill>
                  <w14:solidFill>
                    <w14:schemeClr w14:val="tx1"/>
                  </w14:solidFill>
                </w14:textFill>
              </w:rPr>
              <w:t>响应性文件</w:t>
            </w:r>
            <w:r>
              <w:rPr>
                <w:rFonts w:hint="eastAsia" w:ascii="宋体" w:hAnsi="宋体"/>
                <w:color w:val="000000" w:themeColor="text1"/>
                <w:sz w:val="24"/>
                <w:highlight w:val="none"/>
                <w14:textFill>
                  <w14:solidFill>
                    <w14:schemeClr w14:val="tx1"/>
                  </w14:solidFill>
                </w14:textFill>
              </w:rPr>
              <w:t>提交的信息为准，其上传资料真实性由供应商自行承担。同时，供应商要完善市场主体库。</w:t>
            </w:r>
          </w:p>
          <w:p w14:paraId="2C5C9375">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本项目需要提交的原件扫描件投标截止前在三门峡市公共资源交易服务平台市场主体信息库中上传。开评标现场不接受供应商所提交的任何原件。</w:t>
            </w:r>
          </w:p>
          <w:p w14:paraId="679E5A7E">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在项目供应商时间起至评标结束至，主体库将处于锁定状态。如连续投报多个项目，主体库锁定时间也将延长，请供应商合理安排资料上传时间，尽可能早的将所有项目资料上传至三门峡市公共资源交易服务平台市场主体信息库。</w:t>
            </w:r>
          </w:p>
          <w:p w14:paraId="7D5543CF">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（二）项目评标结果公示时，将同时公示中标候选人主体库信息，接受社会监督。</w:t>
            </w:r>
          </w:p>
          <w:p w14:paraId="450AA016">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（三）供应商需应仔细阅读操作手册，保证上传内容齐全，真实有效，原件扫描件清晰可辨。因供应商上传原因导致应得分项而未得分或资格审查不合格等情况的，由供应商自行承担责任。</w:t>
            </w:r>
          </w:p>
          <w:p w14:paraId="33F58BB1">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提示：本项目为电子化、无纸化交易项目，供应商时不再接受任何纸质资料，为保证您能投标成功，请需仔细阅读以上条款。</w:t>
            </w:r>
          </w:p>
        </w:tc>
      </w:tr>
      <w:bookmarkEnd w:id="33"/>
      <w:bookmarkEnd w:id="34"/>
      <w:bookmarkEnd w:id="35"/>
      <w:bookmarkEnd w:id="36"/>
      <w:bookmarkEnd w:id="37"/>
      <w:bookmarkEnd w:id="38"/>
      <w:bookmarkEnd w:id="39"/>
      <w:bookmarkEnd w:id="40"/>
      <w:bookmarkEnd w:id="41"/>
      <w:bookmarkEnd w:id="42"/>
      <w:bookmarkEnd w:id="43"/>
      <w:bookmarkEnd w:id="44"/>
      <w:bookmarkEnd w:id="45"/>
    </w:tbl>
    <w:p w14:paraId="5F974074">
      <w:pPr>
        <w:spacing w:line="360" w:lineRule="auto"/>
        <w:ind w:firstLine="482" w:firstLineChars="200"/>
        <w:rPr>
          <w:rFonts w:ascii="宋体" w:hAnsi="宋体"/>
          <w:color w:val="000000" w:themeColor="text1"/>
          <w:sz w:val="24"/>
          <w:highlight w:val="none"/>
          <w14:textFill>
            <w14:solidFill>
              <w14:schemeClr w14:val="tx1"/>
            </w14:solidFill>
          </w14:textFill>
        </w:rPr>
      </w:pPr>
      <w:bookmarkStart w:id="46" w:name="_Toc488504474"/>
      <w:bookmarkStart w:id="47" w:name="_Toc20123_WPSOffice_Level2"/>
      <w:bookmarkStart w:id="48" w:name="_Toc487498474"/>
      <w:bookmarkStart w:id="49" w:name="_Toc455080108"/>
      <w:bookmarkStart w:id="50" w:name="_Toc22449"/>
      <w:bookmarkStart w:id="51" w:name="_Toc4869"/>
      <w:bookmarkStart w:id="52" w:name="_Toc247085689"/>
      <w:bookmarkStart w:id="53" w:name="_Toc152045589"/>
      <w:bookmarkStart w:id="54" w:name="_Toc246996975"/>
      <w:bookmarkStart w:id="55" w:name="_Toc144974556"/>
      <w:bookmarkStart w:id="56" w:name="_Toc296602477"/>
      <w:bookmarkStart w:id="57" w:name="_Toc144974497"/>
      <w:bookmarkStart w:id="58" w:name="_Toc152042366"/>
      <w:bookmarkStart w:id="59" w:name="_Toc246996232"/>
      <w:bookmarkStart w:id="60" w:name="_Toc296602420"/>
      <w:bookmarkStart w:id="61" w:name="_Toc246996175"/>
      <w:bookmarkStart w:id="62" w:name="_Toc152042305"/>
      <w:bookmarkStart w:id="63" w:name="_Toc179632607"/>
      <w:bookmarkStart w:id="64" w:name="_Toc179632546"/>
      <w:bookmarkStart w:id="65" w:name="_Toc247085747"/>
      <w:bookmarkStart w:id="66" w:name="_Toc152045529"/>
      <w:bookmarkStart w:id="67" w:name="_Toc43652638"/>
      <w:bookmarkStart w:id="68" w:name="_Toc456164344"/>
      <w:bookmarkStart w:id="69" w:name="_Toc246996918"/>
      <w:bookmarkStart w:id="70" w:name="_Toc247085767"/>
      <w:bookmarkStart w:id="71" w:name="_Toc152045609"/>
      <w:bookmarkStart w:id="72" w:name="_Toc152042387"/>
      <w:bookmarkStart w:id="73" w:name="_Toc246996995"/>
      <w:bookmarkStart w:id="74" w:name="_Toc246996252"/>
      <w:bookmarkStart w:id="75" w:name="_Toc179632627"/>
      <w:bookmarkStart w:id="76" w:name="_Toc144974577"/>
      <w:r>
        <w:rPr>
          <w:rFonts w:hint="eastAsia" w:ascii="宋体" w:hAnsi="宋体"/>
          <w:b/>
          <w:bCs/>
          <w:color w:val="000000" w:themeColor="text1"/>
          <w:sz w:val="24"/>
          <w:highlight w:val="none"/>
          <w14:textFill>
            <w14:solidFill>
              <w14:schemeClr w14:val="tx1"/>
            </w14:solidFill>
          </w14:textFill>
        </w:rPr>
        <w:t>1. 总则</w:t>
      </w:r>
      <w:bookmarkEnd w:id="46"/>
      <w:bookmarkEnd w:id="47"/>
      <w:bookmarkEnd w:id="48"/>
      <w:bookmarkEnd w:id="49"/>
      <w:bookmarkEnd w:id="50"/>
    </w:p>
    <w:p w14:paraId="5AE9DBF9">
      <w:pPr>
        <w:spacing w:line="360" w:lineRule="auto"/>
        <w:ind w:firstLine="480" w:firstLineChars="200"/>
        <w:rPr>
          <w:rFonts w:ascii="宋体" w:hAnsi="宋体"/>
          <w:color w:val="000000" w:themeColor="text1"/>
          <w:sz w:val="24"/>
          <w:highlight w:val="none"/>
          <w14:textFill>
            <w14:solidFill>
              <w14:schemeClr w14:val="tx1"/>
            </w14:solidFill>
          </w14:textFill>
        </w:rPr>
      </w:pPr>
      <w:bookmarkStart w:id="77" w:name="_Toc15709"/>
      <w:bookmarkStart w:id="78" w:name="_Toc464035510"/>
      <w:bookmarkStart w:id="79" w:name="_Toc29023"/>
      <w:bookmarkStart w:id="80" w:name="_Toc455080109"/>
      <w:bookmarkStart w:id="81" w:name="_Toc1172"/>
      <w:bookmarkStart w:id="82" w:name="_Toc10273"/>
      <w:bookmarkStart w:id="83" w:name="_Toc281380952"/>
      <w:bookmarkStart w:id="84" w:name="_Toc463701031"/>
      <w:bookmarkStart w:id="85" w:name="_Toc21458"/>
      <w:bookmarkStart w:id="86" w:name="_Toc21496_WPSOffice_Level3"/>
      <w:bookmarkStart w:id="87" w:name="_Toc31404"/>
      <w:bookmarkStart w:id="88" w:name="_Toc318450675"/>
      <w:bookmarkStart w:id="89" w:name="_Toc274409866"/>
      <w:bookmarkStart w:id="90" w:name="_Toc144974499"/>
      <w:bookmarkStart w:id="91" w:name="_Toc152042307"/>
      <w:bookmarkStart w:id="92" w:name="_Toc152045531"/>
      <w:r>
        <w:rPr>
          <w:rFonts w:hint="eastAsia" w:ascii="宋体" w:hAnsi="宋体"/>
          <w:color w:val="000000" w:themeColor="text1"/>
          <w:sz w:val="24"/>
          <w:highlight w:val="none"/>
          <w14:textFill>
            <w14:solidFill>
              <w14:schemeClr w14:val="tx1"/>
            </w14:solidFill>
          </w14:textFill>
        </w:rPr>
        <w:t>1.1 适用范围</w:t>
      </w:r>
      <w:bookmarkEnd w:id="77"/>
      <w:bookmarkEnd w:id="78"/>
      <w:bookmarkEnd w:id="79"/>
      <w:bookmarkEnd w:id="80"/>
      <w:bookmarkEnd w:id="81"/>
      <w:bookmarkEnd w:id="82"/>
      <w:bookmarkEnd w:id="83"/>
      <w:bookmarkEnd w:id="84"/>
      <w:bookmarkEnd w:id="85"/>
      <w:bookmarkEnd w:id="86"/>
      <w:bookmarkEnd w:id="87"/>
      <w:bookmarkEnd w:id="88"/>
      <w:bookmarkEnd w:id="89"/>
    </w:p>
    <w:p w14:paraId="28B431F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1.1.1根据《中华人民共和国政府采购法》等有关法律、法规和规章的规定，编制本项目磋商文件。</w:t>
      </w:r>
    </w:p>
    <w:p w14:paraId="5F7DEE78">
      <w:pPr>
        <w:spacing w:line="360" w:lineRule="auto"/>
        <w:ind w:firstLine="480" w:firstLineChars="200"/>
        <w:rPr>
          <w:rFonts w:ascii="宋体" w:hAnsi="宋体"/>
          <w:color w:val="000000" w:themeColor="text1"/>
          <w:sz w:val="24"/>
          <w:highlight w:val="none"/>
          <w14:textFill>
            <w14:solidFill>
              <w14:schemeClr w14:val="tx1"/>
            </w14:solidFill>
          </w14:textFill>
        </w:rPr>
      </w:pPr>
      <w:bookmarkStart w:id="93" w:name="_Toc3336"/>
      <w:bookmarkStart w:id="94" w:name="_Toc455080110"/>
      <w:bookmarkStart w:id="95" w:name="_Toc25399_WPSOffice_Level3"/>
      <w:bookmarkStart w:id="96" w:name="_Toc710"/>
      <w:bookmarkStart w:id="97" w:name="_Toc274409867"/>
      <w:bookmarkStart w:id="98" w:name="_Toc2929"/>
      <w:bookmarkStart w:id="99" w:name="_Toc30891"/>
      <w:bookmarkStart w:id="100" w:name="_Toc463701032"/>
      <w:bookmarkStart w:id="101" w:name="_Toc281405468"/>
      <w:bookmarkStart w:id="102" w:name="_Toc464035511"/>
      <w:bookmarkStart w:id="103" w:name="_Toc32619"/>
      <w:bookmarkStart w:id="104" w:name="_Toc318450676"/>
      <w:bookmarkStart w:id="105" w:name="_Toc25773"/>
      <w:r>
        <w:rPr>
          <w:rFonts w:hint="eastAsia" w:ascii="宋体" w:hAnsi="宋体"/>
          <w:color w:val="000000" w:themeColor="text1"/>
          <w:sz w:val="24"/>
          <w:highlight w:val="none"/>
          <w14:textFill>
            <w14:solidFill>
              <w14:schemeClr w14:val="tx1"/>
            </w14:solidFill>
          </w14:textFill>
        </w:rPr>
        <w:t>1.2 采购项目说明</w:t>
      </w:r>
      <w:bookmarkEnd w:id="93"/>
      <w:bookmarkEnd w:id="94"/>
      <w:bookmarkEnd w:id="95"/>
      <w:bookmarkEnd w:id="96"/>
      <w:bookmarkEnd w:id="97"/>
      <w:bookmarkEnd w:id="98"/>
      <w:bookmarkEnd w:id="99"/>
      <w:bookmarkEnd w:id="100"/>
      <w:bookmarkEnd w:id="101"/>
      <w:bookmarkEnd w:id="102"/>
      <w:bookmarkEnd w:id="103"/>
      <w:bookmarkEnd w:id="104"/>
      <w:bookmarkEnd w:id="105"/>
    </w:p>
    <w:p w14:paraId="3C6556A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1.2.1 本项目采购人：见供应商须知前附表。</w:t>
      </w:r>
    </w:p>
    <w:p w14:paraId="257EDDD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1.2.2 本项目采购代理机构：见供应商须知前附表。</w:t>
      </w:r>
    </w:p>
    <w:p w14:paraId="2BE4BC3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1.2.3 本项目名称：见供应商须知前附表。</w:t>
      </w:r>
    </w:p>
    <w:p w14:paraId="004AF516">
      <w:pPr>
        <w:spacing w:line="360" w:lineRule="auto"/>
        <w:ind w:firstLine="480" w:firstLineChars="200"/>
        <w:rPr>
          <w:rFonts w:ascii="宋体" w:hAnsi="宋体"/>
          <w:color w:val="000000" w:themeColor="text1"/>
          <w:sz w:val="24"/>
          <w:highlight w:val="none"/>
          <w14:textFill>
            <w14:solidFill>
              <w14:schemeClr w14:val="tx1"/>
            </w14:solidFill>
          </w14:textFill>
        </w:rPr>
      </w:pPr>
      <w:bookmarkStart w:id="106" w:name="_Toc318450677"/>
      <w:bookmarkStart w:id="107" w:name="_Toc281405469"/>
      <w:bookmarkStart w:id="108" w:name="_Toc31122_WPSOffice_Level3"/>
      <w:bookmarkStart w:id="109" w:name="_Toc17016"/>
      <w:bookmarkStart w:id="110" w:name="_Toc464035512"/>
      <w:bookmarkStart w:id="111" w:name="_Toc3477"/>
      <w:bookmarkStart w:id="112" w:name="_Toc463701033"/>
      <w:bookmarkStart w:id="113" w:name="_Toc4952"/>
      <w:bookmarkStart w:id="114" w:name="_Toc18960"/>
      <w:bookmarkStart w:id="115" w:name="_Toc274409868"/>
      <w:bookmarkStart w:id="116" w:name="_Toc455080111"/>
      <w:bookmarkStart w:id="117" w:name="_Toc16931"/>
      <w:bookmarkStart w:id="118" w:name="_Toc1373"/>
      <w:r>
        <w:rPr>
          <w:rFonts w:hint="eastAsia" w:ascii="宋体" w:hAnsi="宋体"/>
          <w:color w:val="000000" w:themeColor="text1"/>
          <w:sz w:val="24"/>
          <w:highlight w:val="none"/>
          <w14:textFill>
            <w14:solidFill>
              <w14:schemeClr w14:val="tx1"/>
            </w14:solidFill>
          </w14:textFill>
        </w:rPr>
        <w:t>1.3 定义及解释</w:t>
      </w:r>
      <w:bookmarkEnd w:id="106"/>
      <w:bookmarkEnd w:id="107"/>
      <w:bookmarkEnd w:id="108"/>
      <w:bookmarkEnd w:id="109"/>
      <w:bookmarkEnd w:id="110"/>
      <w:bookmarkEnd w:id="111"/>
      <w:bookmarkEnd w:id="112"/>
      <w:bookmarkEnd w:id="113"/>
      <w:bookmarkEnd w:id="114"/>
      <w:bookmarkEnd w:id="115"/>
      <w:bookmarkEnd w:id="116"/>
      <w:bookmarkEnd w:id="117"/>
      <w:bookmarkEnd w:id="118"/>
    </w:p>
    <w:p w14:paraId="162D4FF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1.3.1采购人：依法进行政府采购的国家机关、事业单位、团体组织。</w:t>
      </w:r>
    </w:p>
    <w:p w14:paraId="0ADABC7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1.3.2采购代理机构：取得政府采购招标代理资质，受采购人委托组织招标活动的社会中介组织。</w:t>
      </w:r>
    </w:p>
    <w:p w14:paraId="1B9658B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1.3.3采购：系指根据本磋商文件规定供应商须承担的服务内容以及其他类似的义务等。</w:t>
      </w:r>
    </w:p>
    <w:p w14:paraId="62FF78B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1.3.4供应商：供应商是响应磋商文件、参加磋商竞争的中华人民共和国境内的法人、其它组织。</w:t>
      </w:r>
    </w:p>
    <w:p w14:paraId="649BBE4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1.3.5响应文件：指供应商根据磋商文件提交的所有文件。</w:t>
      </w:r>
    </w:p>
    <w:p w14:paraId="11B21B5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1.3.6磋商小组：依据</w:t>
      </w:r>
      <w:r>
        <w:rPr>
          <w:rFonts w:hint="eastAsia" w:ascii="宋体" w:hAnsi="宋体"/>
          <w:color w:val="000000" w:themeColor="text1"/>
          <w:sz w:val="24"/>
          <w:highlight w:val="none"/>
          <w:lang w:bidi="en-US"/>
          <w14:textFill>
            <w14:solidFill>
              <w14:schemeClr w14:val="tx1"/>
            </w14:solidFill>
          </w14:textFill>
        </w:rPr>
        <w:t>《中华人民共和国政府采购法》及有关法律、法规的规定依法组建的专门负责本次评标工作的临时机构</w:t>
      </w:r>
      <w:r>
        <w:rPr>
          <w:rFonts w:hint="eastAsia" w:ascii="宋体" w:hAnsi="宋体"/>
          <w:color w:val="000000" w:themeColor="text1"/>
          <w:sz w:val="24"/>
          <w:highlight w:val="none"/>
          <w14:textFill>
            <w14:solidFill>
              <w14:schemeClr w14:val="tx1"/>
            </w14:solidFill>
          </w14:textFill>
        </w:rPr>
        <w:t>。</w:t>
      </w:r>
    </w:p>
    <w:p w14:paraId="1684127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1.3.7偏离：磋商响应文件的响应相对于磋商文件要求的偏差，该偏差优于磋商文件要求的为正偏离；劣于的，为负偏离。</w:t>
      </w:r>
    </w:p>
    <w:p w14:paraId="28695C8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1.3.8“日期”或“天”：指日历天。</w:t>
      </w:r>
    </w:p>
    <w:p w14:paraId="695233A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1.3.9合同：指依据本次采购招标结果签订的协议或合约文件。</w:t>
      </w:r>
    </w:p>
    <w:p w14:paraId="3A9D4B9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1.3.10磋商文件中的标题或题名仅起引导作用，而不应视为对磋商文件内容的理解和解释。</w:t>
      </w:r>
    </w:p>
    <w:bookmarkEnd w:id="90"/>
    <w:bookmarkEnd w:id="91"/>
    <w:bookmarkEnd w:id="92"/>
    <w:p w14:paraId="533BFF6A">
      <w:pPr>
        <w:spacing w:line="360" w:lineRule="auto"/>
        <w:ind w:firstLine="480" w:firstLineChars="200"/>
        <w:rPr>
          <w:rFonts w:ascii="宋体" w:hAnsi="宋体"/>
          <w:color w:val="000000" w:themeColor="text1"/>
          <w:sz w:val="24"/>
          <w:highlight w:val="none"/>
          <w14:textFill>
            <w14:solidFill>
              <w14:schemeClr w14:val="tx1"/>
            </w14:solidFill>
          </w14:textFill>
        </w:rPr>
      </w:pPr>
      <w:bookmarkStart w:id="119" w:name="_Toc14043"/>
      <w:bookmarkStart w:id="120" w:name="_Toc144974500"/>
      <w:bookmarkStart w:id="121" w:name="_Toc455080112"/>
      <w:bookmarkStart w:id="122" w:name="_Toc12752"/>
      <w:bookmarkStart w:id="123" w:name="_Toc27407"/>
      <w:bookmarkStart w:id="124" w:name="_Toc464035513"/>
      <w:bookmarkStart w:id="125" w:name="_Toc16470"/>
      <w:bookmarkStart w:id="126" w:name="_Toc318450678"/>
      <w:bookmarkStart w:id="127" w:name="_Toc3626_WPSOffice_Level3"/>
      <w:bookmarkStart w:id="128" w:name="_Toc152042308"/>
      <w:bookmarkStart w:id="129" w:name="_Toc152045532"/>
      <w:bookmarkStart w:id="130" w:name="_Toc21766"/>
      <w:bookmarkStart w:id="131" w:name="_Toc19363"/>
      <w:bookmarkStart w:id="132" w:name="_Toc463701034"/>
      <w:r>
        <w:rPr>
          <w:rFonts w:hint="eastAsia" w:ascii="宋体" w:hAnsi="宋体"/>
          <w:color w:val="000000" w:themeColor="text1"/>
          <w:sz w:val="24"/>
          <w:highlight w:val="none"/>
          <w14:textFill>
            <w14:solidFill>
              <w14:schemeClr w14:val="tx1"/>
            </w14:solidFill>
          </w14:textFill>
        </w:rPr>
        <w:t>1.4 采购内容、服务期限和</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Pr>
          <w:rFonts w:hint="eastAsia" w:ascii="宋体" w:hAnsi="宋体"/>
          <w:color w:val="000000" w:themeColor="text1"/>
          <w:sz w:val="24"/>
          <w:highlight w:val="none"/>
          <w14:textFill>
            <w14:solidFill>
              <w14:schemeClr w14:val="tx1"/>
            </w14:solidFill>
          </w14:textFill>
        </w:rPr>
        <w:t>服务标准</w:t>
      </w:r>
    </w:p>
    <w:p w14:paraId="185A91E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1.4.1 本次采购内容：见供应商须知前附表。</w:t>
      </w:r>
    </w:p>
    <w:p w14:paraId="3977819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1.4.2 本项目的服务期限：见供应商须知前附表。</w:t>
      </w:r>
    </w:p>
    <w:p w14:paraId="352B6C4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1.4.3 本项目的服务标准：见供应商须知前附表。</w:t>
      </w:r>
    </w:p>
    <w:p w14:paraId="52555C52">
      <w:pPr>
        <w:spacing w:line="360" w:lineRule="auto"/>
        <w:ind w:firstLine="480" w:firstLineChars="200"/>
        <w:rPr>
          <w:rFonts w:ascii="宋体" w:hAnsi="宋体"/>
          <w:color w:val="000000" w:themeColor="text1"/>
          <w:sz w:val="24"/>
          <w:highlight w:val="none"/>
          <w14:textFill>
            <w14:solidFill>
              <w14:schemeClr w14:val="tx1"/>
            </w14:solidFill>
          </w14:textFill>
        </w:rPr>
      </w:pPr>
      <w:bookmarkStart w:id="133" w:name="_Toc7579_WPSOffice_Level3"/>
      <w:bookmarkStart w:id="134" w:name="_Toc318450681"/>
      <w:bookmarkStart w:id="135" w:name="_Toc32053"/>
      <w:bookmarkStart w:id="136" w:name="_Toc5402"/>
      <w:bookmarkStart w:id="137" w:name="_Toc144974504"/>
      <w:bookmarkStart w:id="138" w:name="_Toc463701037"/>
      <w:bookmarkStart w:id="139" w:name="_Toc152045536"/>
      <w:bookmarkStart w:id="140" w:name="_Toc2622"/>
      <w:bookmarkStart w:id="141" w:name="_Toc464035516"/>
      <w:bookmarkStart w:id="142" w:name="_Toc455080115"/>
      <w:bookmarkStart w:id="143" w:name="_Toc20145"/>
      <w:bookmarkStart w:id="144" w:name="_Toc152042312"/>
      <w:bookmarkStart w:id="145" w:name="_Toc8055"/>
      <w:bookmarkStart w:id="146" w:name="_Toc6014"/>
      <w:r>
        <w:rPr>
          <w:rFonts w:hint="eastAsia" w:ascii="宋体" w:hAnsi="宋体"/>
          <w:color w:val="000000" w:themeColor="text1"/>
          <w:sz w:val="24"/>
          <w:highlight w:val="none"/>
          <w14:textFill>
            <w14:solidFill>
              <w14:schemeClr w14:val="tx1"/>
            </w14:solidFill>
          </w14:textFill>
        </w:rPr>
        <w:t>1.5保密</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6A7DB98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参与磋商活动的各方应对磋商文件和磋商响应文件中的商业和技术等秘密保密，违者应对由此造成的后果承担法律责任。 </w:t>
      </w:r>
    </w:p>
    <w:p w14:paraId="56DA8E6C">
      <w:pPr>
        <w:spacing w:line="360" w:lineRule="auto"/>
        <w:ind w:firstLine="480" w:firstLineChars="200"/>
        <w:rPr>
          <w:rFonts w:ascii="宋体" w:hAnsi="宋体"/>
          <w:color w:val="000000" w:themeColor="text1"/>
          <w:sz w:val="24"/>
          <w:highlight w:val="none"/>
          <w14:textFill>
            <w14:solidFill>
              <w14:schemeClr w14:val="tx1"/>
            </w14:solidFill>
          </w14:textFill>
        </w:rPr>
      </w:pPr>
      <w:bookmarkStart w:id="147" w:name="_Toc144974505"/>
      <w:bookmarkStart w:id="148" w:name="_Toc455080116"/>
      <w:bookmarkStart w:id="149" w:name="_Toc30747"/>
      <w:bookmarkStart w:id="150" w:name="_Toc3628"/>
      <w:bookmarkStart w:id="151" w:name="_Toc152042313"/>
      <w:bookmarkStart w:id="152" w:name="_Toc464035517"/>
      <w:bookmarkStart w:id="153" w:name="_Toc318450682"/>
      <w:bookmarkStart w:id="154" w:name="_Toc25517"/>
      <w:bookmarkStart w:id="155" w:name="_Toc21089"/>
      <w:bookmarkStart w:id="156" w:name="_Toc463701038"/>
      <w:bookmarkStart w:id="157" w:name="_Toc14775"/>
      <w:bookmarkStart w:id="158" w:name="_Toc30583"/>
      <w:bookmarkStart w:id="159" w:name="_Toc19210_WPSOffice_Level3"/>
      <w:bookmarkStart w:id="160" w:name="_Toc152045537"/>
      <w:r>
        <w:rPr>
          <w:rFonts w:hint="eastAsia" w:ascii="宋体" w:hAnsi="宋体"/>
          <w:color w:val="000000" w:themeColor="text1"/>
          <w:sz w:val="24"/>
          <w:highlight w:val="none"/>
          <w14:textFill>
            <w14:solidFill>
              <w14:schemeClr w14:val="tx1"/>
            </w14:solidFill>
          </w14:textFill>
        </w:rPr>
        <w:t>1.6语言</w:t>
      </w:r>
      <w:bookmarkEnd w:id="147"/>
      <w:r>
        <w:rPr>
          <w:rFonts w:hint="eastAsia" w:ascii="宋体" w:hAnsi="宋体"/>
          <w:color w:val="000000" w:themeColor="text1"/>
          <w:sz w:val="24"/>
          <w:highlight w:val="none"/>
          <w14:textFill>
            <w14:solidFill>
              <w14:schemeClr w14:val="tx1"/>
            </w14:solidFill>
          </w14:textFill>
        </w:rPr>
        <w:t>文字</w:t>
      </w:r>
      <w:bookmarkEnd w:id="148"/>
      <w:bookmarkEnd w:id="149"/>
      <w:bookmarkEnd w:id="150"/>
      <w:bookmarkEnd w:id="151"/>
      <w:bookmarkEnd w:id="152"/>
      <w:bookmarkEnd w:id="153"/>
      <w:bookmarkEnd w:id="154"/>
      <w:bookmarkEnd w:id="155"/>
      <w:bookmarkEnd w:id="156"/>
      <w:bookmarkEnd w:id="157"/>
      <w:bookmarkEnd w:id="158"/>
      <w:bookmarkEnd w:id="159"/>
      <w:bookmarkEnd w:id="160"/>
    </w:p>
    <w:p w14:paraId="475BEB3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除专用术语外，与磋商有关的语言均使用中文。必要时专用术语应附有中文注释，</w:t>
      </w:r>
      <w:r>
        <w:rPr>
          <w:rFonts w:hint="eastAsia" w:ascii="宋体" w:hAnsi="宋体"/>
          <w:color w:val="000000" w:themeColor="text1"/>
          <w:sz w:val="24"/>
          <w:highlight w:val="none"/>
          <w:lang w:bidi="en-US"/>
          <w14:textFill>
            <w14:solidFill>
              <w14:schemeClr w14:val="tx1"/>
            </w14:solidFill>
          </w14:textFill>
        </w:rPr>
        <w:t>对不同文字文本响应文件的解释发生异议的，以中文文本为准。</w:t>
      </w:r>
    </w:p>
    <w:p w14:paraId="0ADE4B80">
      <w:pPr>
        <w:spacing w:line="360" w:lineRule="auto"/>
        <w:ind w:firstLine="480" w:firstLineChars="200"/>
        <w:rPr>
          <w:rFonts w:ascii="宋体" w:hAnsi="宋体"/>
          <w:color w:val="000000" w:themeColor="text1"/>
          <w:sz w:val="24"/>
          <w:highlight w:val="none"/>
          <w14:textFill>
            <w14:solidFill>
              <w14:schemeClr w14:val="tx1"/>
            </w14:solidFill>
          </w14:textFill>
        </w:rPr>
      </w:pPr>
      <w:bookmarkStart w:id="161" w:name="_Toc32507"/>
      <w:bookmarkStart w:id="162" w:name="_Toc318450683"/>
      <w:bookmarkStart w:id="163" w:name="_Toc4237"/>
      <w:bookmarkStart w:id="164" w:name="_Toc152045538"/>
      <w:bookmarkStart w:id="165" w:name="_Toc24337"/>
      <w:bookmarkStart w:id="166" w:name="_Toc455080117"/>
      <w:bookmarkStart w:id="167" w:name="_Toc2702"/>
      <w:bookmarkStart w:id="168" w:name="_Toc9511_WPSOffice_Level3"/>
      <w:bookmarkStart w:id="169" w:name="_Toc9446"/>
      <w:bookmarkStart w:id="170" w:name="_Toc22378"/>
      <w:bookmarkStart w:id="171" w:name="_Toc464035518"/>
      <w:bookmarkStart w:id="172" w:name="_Toc463701039"/>
      <w:bookmarkStart w:id="173" w:name="_Toc152042314"/>
      <w:bookmarkStart w:id="174" w:name="_Toc144974506"/>
      <w:r>
        <w:rPr>
          <w:rFonts w:hint="eastAsia" w:ascii="宋体" w:hAnsi="宋体"/>
          <w:color w:val="000000" w:themeColor="text1"/>
          <w:sz w:val="24"/>
          <w:highlight w:val="none"/>
          <w14:textFill>
            <w14:solidFill>
              <w14:schemeClr w14:val="tx1"/>
            </w14:solidFill>
          </w14:textFill>
        </w:rPr>
        <w:t>1.7 计量单位</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739AFE0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所有计量均采用中华人民共和国法定计量单位。</w:t>
      </w:r>
    </w:p>
    <w:p w14:paraId="7ED49EB9">
      <w:pPr>
        <w:spacing w:line="360" w:lineRule="auto"/>
        <w:ind w:firstLine="482" w:firstLineChars="200"/>
        <w:rPr>
          <w:rFonts w:ascii="宋体" w:hAnsi="宋体"/>
          <w:b/>
          <w:bCs/>
          <w:color w:val="000000" w:themeColor="text1"/>
          <w:sz w:val="24"/>
          <w:highlight w:val="none"/>
          <w14:textFill>
            <w14:solidFill>
              <w14:schemeClr w14:val="tx1"/>
            </w14:solidFill>
          </w14:textFill>
        </w:rPr>
      </w:pPr>
      <w:bookmarkStart w:id="175" w:name="_Toc12366_WPSOffice_Level2"/>
      <w:r>
        <w:rPr>
          <w:rFonts w:hint="eastAsia" w:ascii="宋体" w:hAnsi="宋体"/>
          <w:b/>
          <w:bCs/>
          <w:color w:val="000000" w:themeColor="text1"/>
          <w:sz w:val="24"/>
          <w:highlight w:val="none"/>
          <w14:textFill>
            <w14:solidFill>
              <w14:schemeClr w14:val="tx1"/>
            </w14:solidFill>
          </w14:textFill>
        </w:rPr>
        <w:t>2、合格的</w:t>
      </w:r>
      <w:bookmarkEnd w:id="175"/>
      <w:r>
        <w:rPr>
          <w:rFonts w:hint="eastAsia" w:ascii="宋体" w:hAnsi="宋体"/>
          <w:b/>
          <w:bCs/>
          <w:color w:val="000000" w:themeColor="text1"/>
          <w:sz w:val="24"/>
          <w:highlight w:val="none"/>
          <w14:textFill>
            <w14:solidFill>
              <w14:schemeClr w14:val="tx1"/>
            </w14:solidFill>
          </w14:textFill>
        </w:rPr>
        <w:t>供应商</w:t>
      </w:r>
    </w:p>
    <w:p w14:paraId="7F54DE5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见供应商须知前附表</w:t>
      </w:r>
    </w:p>
    <w:p w14:paraId="613F62AB">
      <w:pPr>
        <w:spacing w:line="360" w:lineRule="auto"/>
        <w:ind w:firstLine="482" w:firstLineChars="200"/>
        <w:rPr>
          <w:rFonts w:ascii="宋体" w:hAnsi="宋体"/>
          <w:b/>
          <w:bCs/>
          <w:color w:val="000000" w:themeColor="text1"/>
          <w:sz w:val="24"/>
          <w:highlight w:val="none"/>
          <w14:textFill>
            <w14:solidFill>
              <w14:schemeClr w14:val="tx1"/>
            </w14:solidFill>
          </w14:textFill>
        </w:rPr>
      </w:pPr>
      <w:bookmarkStart w:id="176" w:name="_Toc8655_WPSOffice_Level2"/>
      <w:r>
        <w:rPr>
          <w:rFonts w:hint="eastAsia" w:ascii="宋体" w:hAnsi="宋体"/>
          <w:b/>
          <w:bCs/>
          <w:color w:val="000000" w:themeColor="text1"/>
          <w:sz w:val="24"/>
          <w:highlight w:val="none"/>
          <w14:textFill>
            <w14:solidFill>
              <w14:schemeClr w14:val="tx1"/>
            </w14:solidFill>
          </w14:textFill>
        </w:rPr>
        <w:t>3、费用</w:t>
      </w:r>
      <w:bookmarkEnd w:id="176"/>
    </w:p>
    <w:p w14:paraId="3F2B9E7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 供应商应自行承担参加磋商活动有关的全部费用，采购人在任何情况下均无义务和责任承担上述费用。</w:t>
      </w:r>
    </w:p>
    <w:p w14:paraId="1A4159EC">
      <w:pPr>
        <w:spacing w:line="360" w:lineRule="auto"/>
        <w:ind w:firstLine="482" w:firstLineChars="200"/>
        <w:rPr>
          <w:rFonts w:ascii="宋体" w:hAnsi="宋体"/>
          <w:b/>
          <w:bCs/>
          <w:color w:val="000000" w:themeColor="text1"/>
          <w:sz w:val="24"/>
          <w:highlight w:val="none"/>
          <w14:textFill>
            <w14:solidFill>
              <w14:schemeClr w14:val="tx1"/>
            </w14:solidFill>
          </w14:textFill>
        </w:rPr>
      </w:pPr>
      <w:bookmarkStart w:id="177" w:name="_Toc4976_WPSOffice_Level2"/>
      <w:r>
        <w:rPr>
          <w:rFonts w:hint="eastAsia" w:ascii="宋体" w:hAnsi="宋体"/>
          <w:b/>
          <w:bCs/>
          <w:color w:val="000000" w:themeColor="text1"/>
          <w:sz w:val="24"/>
          <w:highlight w:val="none"/>
          <w14:textFill>
            <w14:solidFill>
              <w14:schemeClr w14:val="tx1"/>
            </w14:solidFill>
          </w14:textFill>
        </w:rPr>
        <w:t>4、竞争性磋商文件的构成</w:t>
      </w:r>
    </w:p>
    <w:bookmarkEnd w:id="177"/>
    <w:p w14:paraId="766FB81A">
      <w:pPr>
        <w:spacing w:line="360" w:lineRule="auto"/>
        <w:ind w:firstLine="480" w:firstLineChars="200"/>
        <w:rPr>
          <w:rFonts w:ascii="宋体" w:hAnsi="宋体"/>
          <w:color w:val="000000" w:themeColor="text1"/>
          <w:sz w:val="24"/>
          <w:highlight w:val="none"/>
          <w14:textFill>
            <w14:solidFill>
              <w14:schemeClr w14:val="tx1"/>
            </w14:solidFill>
          </w14:textFill>
        </w:rPr>
      </w:pPr>
      <w:bookmarkStart w:id="178" w:name="_Toc20095_WPSOffice_Level3"/>
      <w:r>
        <w:rPr>
          <w:rFonts w:hint="eastAsia" w:ascii="宋体" w:hAnsi="宋体"/>
          <w:color w:val="000000" w:themeColor="text1"/>
          <w:sz w:val="24"/>
          <w:highlight w:val="none"/>
          <w14:textFill>
            <w14:solidFill>
              <w14:schemeClr w14:val="tx1"/>
            </w14:solidFill>
          </w14:textFill>
        </w:rPr>
        <w:t>第一章 竞争性磋商公告</w:t>
      </w:r>
    </w:p>
    <w:p w14:paraId="6393E98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第二章 供应商须知</w:t>
      </w:r>
    </w:p>
    <w:p w14:paraId="34C4F56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第三章 服务内容与相关要求</w:t>
      </w:r>
    </w:p>
    <w:p w14:paraId="305DE0C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第四章 评审办法</w:t>
      </w:r>
    </w:p>
    <w:p w14:paraId="12E6BCE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第五章 合同主要条款及格式</w:t>
      </w:r>
    </w:p>
    <w:p w14:paraId="4E032FC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第六章 磋商响应文件格式</w:t>
      </w:r>
    </w:p>
    <w:p w14:paraId="5E73E2FC">
      <w:pPr>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5、竞争性磋商文件的澄清</w:t>
      </w:r>
      <w:bookmarkEnd w:id="178"/>
    </w:p>
    <w:p w14:paraId="7C0E779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供应商对磋商文件需有澄清或疑问，应在下载竞争性磋商文件后3日内向采购人进行询问，采购人在收到供应商的疑问后于2日内将视情况确定采用适当方式予以澄清或以书面形式予以答复，并在其认为必要时，将书面答复所有潜在供应商。</w:t>
      </w:r>
    </w:p>
    <w:p w14:paraId="7795BBC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5.2采购人将视情况在认为必要时于采购截止时间前答疑。</w:t>
      </w:r>
    </w:p>
    <w:p w14:paraId="7A9D757B">
      <w:pPr>
        <w:spacing w:line="360" w:lineRule="auto"/>
        <w:ind w:firstLine="482" w:firstLineChars="200"/>
        <w:rPr>
          <w:rFonts w:ascii="宋体" w:hAnsi="宋体"/>
          <w:color w:val="000000" w:themeColor="text1"/>
          <w:sz w:val="24"/>
          <w:highlight w:val="none"/>
          <w14:textFill>
            <w14:solidFill>
              <w14:schemeClr w14:val="tx1"/>
            </w14:solidFill>
          </w14:textFill>
        </w:rPr>
      </w:pPr>
      <w:bookmarkStart w:id="179" w:name="_Toc20123_WPSOffice_Level3"/>
      <w:r>
        <w:rPr>
          <w:rFonts w:hint="eastAsia" w:ascii="宋体" w:hAnsi="宋体"/>
          <w:b/>
          <w:bCs/>
          <w:color w:val="000000" w:themeColor="text1"/>
          <w:sz w:val="24"/>
          <w:highlight w:val="none"/>
          <w14:textFill>
            <w14:solidFill>
              <w14:schemeClr w14:val="tx1"/>
            </w14:solidFill>
          </w14:textFill>
        </w:rPr>
        <w:t>6、竞争性磋商文件的修改</w:t>
      </w:r>
      <w:bookmarkEnd w:id="179"/>
    </w:p>
    <w:p w14:paraId="020E83D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6.1 竞争性磋商文件的修改书将构成磋商响应文件的一部分，对所有供应商均有约束力。</w:t>
      </w:r>
    </w:p>
    <w:p w14:paraId="11003D12">
      <w:pPr>
        <w:spacing w:line="360" w:lineRule="auto"/>
        <w:ind w:firstLine="482" w:firstLineChars="200"/>
        <w:rPr>
          <w:rFonts w:ascii="宋体" w:hAnsi="宋体"/>
          <w:b/>
          <w:bCs/>
          <w:color w:val="000000" w:themeColor="text1"/>
          <w:sz w:val="24"/>
          <w:highlight w:val="none"/>
          <w14:textFill>
            <w14:solidFill>
              <w14:schemeClr w14:val="tx1"/>
            </w14:solidFill>
          </w14:textFill>
        </w:rPr>
      </w:pPr>
      <w:bookmarkStart w:id="180" w:name="_Toc12366_WPSOffice_Level3"/>
      <w:r>
        <w:rPr>
          <w:rFonts w:hint="eastAsia" w:ascii="宋体" w:hAnsi="宋体"/>
          <w:b/>
          <w:bCs/>
          <w:color w:val="000000" w:themeColor="text1"/>
          <w:sz w:val="24"/>
          <w:highlight w:val="none"/>
          <w14:textFill>
            <w14:solidFill>
              <w14:schemeClr w14:val="tx1"/>
            </w14:solidFill>
          </w14:textFill>
        </w:rPr>
        <w:t>7、要求</w:t>
      </w:r>
      <w:bookmarkEnd w:id="180"/>
    </w:p>
    <w:p w14:paraId="53F1B42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7.1 供应商应仔细阅读竞争性磋商文件的所有内容，按竞争性磋商文件的要求提供磋商响应文件，并保证所提供资料的真实性，以使其磋商响应文件对竞争性磋商文件作出实质性响应，否则，其磋商响应文件不予接受。</w:t>
      </w:r>
    </w:p>
    <w:p w14:paraId="4511B17B">
      <w:pPr>
        <w:spacing w:line="360" w:lineRule="auto"/>
        <w:ind w:firstLine="482" w:firstLineChars="200"/>
        <w:rPr>
          <w:rFonts w:ascii="宋体" w:hAnsi="宋体"/>
          <w:b/>
          <w:bCs/>
          <w:color w:val="000000" w:themeColor="text1"/>
          <w:sz w:val="24"/>
          <w:highlight w:val="none"/>
          <w14:textFill>
            <w14:solidFill>
              <w14:schemeClr w14:val="tx1"/>
            </w14:solidFill>
          </w14:textFill>
        </w:rPr>
      </w:pPr>
      <w:bookmarkStart w:id="181" w:name="_Toc8655_WPSOffice_Level3"/>
      <w:r>
        <w:rPr>
          <w:rFonts w:hint="eastAsia" w:ascii="宋体" w:hAnsi="宋体"/>
          <w:b/>
          <w:bCs/>
          <w:color w:val="000000" w:themeColor="text1"/>
          <w:sz w:val="24"/>
          <w:highlight w:val="none"/>
          <w14:textFill>
            <w14:solidFill>
              <w14:schemeClr w14:val="tx1"/>
            </w14:solidFill>
          </w14:textFill>
        </w:rPr>
        <w:t>8、电子化磋商响应文件的组成</w:t>
      </w:r>
      <w:bookmarkEnd w:id="181"/>
    </w:p>
    <w:p w14:paraId="32E49B6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详见第六章响应文件内容及格式</w:t>
      </w:r>
    </w:p>
    <w:p w14:paraId="3703C8EA">
      <w:pPr>
        <w:spacing w:line="360" w:lineRule="auto"/>
        <w:ind w:firstLine="482" w:firstLineChars="200"/>
        <w:rPr>
          <w:rFonts w:ascii="宋体" w:hAnsi="宋体"/>
          <w:b/>
          <w:bCs/>
          <w:color w:val="000000" w:themeColor="text1"/>
          <w:sz w:val="24"/>
          <w:highlight w:val="none"/>
          <w14:textFill>
            <w14:solidFill>
              <w14:schemeClr w14:val="tx1"/>
            </w14:solidFill>
          </w14:textFill>
        </w:rPr>
      </w:pPr>
      <w:bookmarkStart w:id="182" w:name="_Toc4976_WPSOffice_Level3"/>
      <w:r>
        <w:rPr>
          <w:rFonts w:hint="eastAsia" w:ascii="宋体" w:hAnsi="宋体"/>
          <w:b/>
          <w:bCs/>
          <w:color w:val="000000" w:themeColor="text1"/>
          <w:sz w:val="24"/>
          <w:highlight w:val="none"/>
          <w14:textFill>
            <w14:solidFill>
              <w14:schemeClr w14:val="tx1"/>
            </w14:solidFill>
          </w14:textFill>
        </w:rPr>
        <w:t>9、电子化磋商响应文件的格式</w:t>
      </w:r>
      <w:bookmarkEnd w:id="182"/>
    </w:p>
    <w:p w14:paraId="13526EC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9.1 供应商所上传的电子化响应文件，应是通过中心响应文件制作系统制作的（响应文件制作工具下载地址：http://t.cn/A6ZvtVob），经过签章和加密后生成的电子版响应文件。其中包含用于响应文件上传的主文件（后缀为.smxtf）和用于应急补救的响应文件备份文件（后缀为.nsmxtf）。备份文件主要用于电子化开标出现技术问题后的补救，请供应商随身携带。</w:t>
      </w:r>
    </w:p>
    <w:p w14:paraId="528033B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注：供应商投报多个标段的，需要每个标段单独制作电子响应文件。</w:t>
      </w:r>
    </w:p>
    <w:p w14:paraId="5F9DCEEB">
      <w:pPr>
        <w:spacing w:line="360" w:lineRule="auto"/>
        <w:ind w:firstLine="482" w:firstLineChars="200"/>
        <w:rPr>
          <w:rFonts w:ascii="宋体" w:hAnsi="宋体"/>
          <w:b/>
          <w:bCs/>
          <w:color w:val="000000" w:themeColor="text1"/>
          <w:sz w:val="24"/>
          <w:highlight w:val="none"/>
          <w14:textFill>
            <w14:solidFill>
              <w14:schemeClr w14:val="tx1"/>
            </w14:solidFill>
          </w14:textFill>
        </w:rPr>
      </w:pPr>
      <w:bookmarkStart w:id="183" w:name="_Toc3669_WPSOffice_Level3"/>
      <w:r>
        <w:rPr>
          <w:rFonts w:hint="eastAsia" w:ascii="宋体" w:hAnsi="宋体"/>
          <w:b/>
          <w:bCs/>
          <w:color w:val="000000" w:themeColor="text1"/>
          <w:sz w:val="24"/>
          <w:highlight w:val="none"/>
          <w14:textFill>
            <w14:solidFill>
              <w14:schemeClr w14:val="tx1"/>
            </w14:solidFill>
          </w14:textFill>
        </w:rPr>
        <w:t>10、电子化磋商响应文件的签署</w:t>
      </w:r>
      <w:bookmarkEnd w:id="183"/>
    </w:p>
    <w:p w14:paraId="2477040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10.1 供应商在进行电子化磋商响应文件签章时，竞争性磋商文件中要求供应商盖章的，以签盖单位章为准；要求法定代表人签章的，以签盖法定代表人签章为准。电子化磋商响应文件具体制作教材请供应商通过 CA 证书登录三门峡市公共资源电子化交易系统在右上角“组件下载”中查看。</w:t>
      </w:r>
    </w:p>
    <w:p w14:paraId="4AC2AAEB">
      <w:pPr>
        <w:spacing w:line="360" w:lineRule="auto"/>
        <w:ind w:firstLine="482" w:firstLineChars="200"/>
        <w:rPr>
          <w:rFonts w:ascii="宋体" w:hAnsi="宋体"/>
          <w:b/>
          <w:bCs/>
          <w:color w:val="000000" w:themeColor="text1"/>
          <w:sz w:val="24"/>
          <w:highlight w:val="none"/>
          <w14:textFill>
            <w14:solidFill>
              <w14:schemeClr w14:val="tx1"/>
            </w14:solidFill>
          </w14:textFill>
        </w:rPr>
      </w:pPr>
      <w:bookmarkStart w:id="184" w:name="_Toc1982_WPSOffice_Level3"/>
      <w:r>
        <w:rPr>
          <w:rFonts w:hint="eastAsia" w:ascii="宋体" w:hAnsi="宋体"/>
          <w:b/>
          <w:bCs/>
          <w:color w:val="000000" w:themeColor="text1"/>
          <w:sz w:val="24"/>
          <w:highlight w:val="none"/>
          <w14:textFill>
            <w14:solidFill>
              <w14:schemeClr w14:val="tx1"/>
            </w14:solidFill>
          </w14:textFill>
        </w:rPr>
        <w:t>11、电子化磋商响应文件的上传</w:t>
      </w:r>
      <w:bookmarkEnd w:id="184"/>
    </w:p>
    <w:p w14:paraId="5468504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11.1 电子化磋商响应文件应在磋商截止时间前成功上传至三门峡市公共资源电子化交易系统。至磋商截止时间止，仍未上传成功的电子化磋商响应文件将不予接收。</w:t>
      </w:r>
    </w:p>
    <w:p w14:paraId="263D03B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如按照电子化投标操作教材制作完成的电子化磋商响应文件无法上传的，供应商应在磋商截止时间前尽早的联系中心技术人员，以便有充分的时间进行处理。供应商应充分考虑到处理技术问题和上传数据等工作的时间问题，磋商响应文件未在磋商截止时间前成功上传的，其磋商响应文件不予接收。</w:t>
      </w:r>
    </w:p>
    <w:p w14:paraId="7114D774">
      <w:pPr>
        <w:spacing w:line="360" w:lineRule="auto"/>
        <w:ind w:firstLine="482" w:firstLineChars="200"/>
        <w:rPr>
          <w:rFonts w:ascii="宋体" w:hAnsi="宋体"/>
          <w:b/>
          <w:bCs/>
          <w:color w:val="000000" w:themeColor="text1"/>
          <w:sz w:val="24"/>
          <w:highlight w:val="none"/>
          <w14:textFill>
            <w14:solidFill>
              <w14:schemeClr w14:val="tx1"/>
            </w14:solidFill>
          </w14:textFill>
        </w:rPr>
      </w:pPr>
      <w:bookmarkStart w:id="185" w:name="_Toc4328_WPSOffice_Level3"/>
      <w:r>
        <w:rPr>
          <w:rFonts w:hint="eastAsia" w:ascii="宋体" w:hAnsi="宋体"/>
          <w:b/>
          <w:bCs/>
          <w:color w:val="000000" w:themeColor="text1"/>
          <w:sz w:val="24"/>
          <w:highlight w:val="none"/>
          <w14:textFill>
            <w14:solidFill>
              <w14:schemeClr w14:val="tx1"/>
            </w14:solidFill>
          </w14:textFill>
        </w:rPr>
        <w:t>12、磋商截止时间</w:t>
      </w:r>
      <w:bookmarkEnd w:id="185"/>
    </w:p>
    <w:p w14:paraId="7F0E330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12.1 电子化磋商响应文件的截止时间见本须知前附表规定。</w:t>
      </w:r>
    </w:p>
    <w:p w14:paraId="433B2395">
      <w:pPr>
        <w:spacing w:line="360" w:lineRule="auto"/>
        <w:ind w:firstLine="482" w:firstLineChars="200"/>
        <w:rPr>
          <w:rFonts w:ascii="宋体" w:hAnsi="宋体"/>
          <w:b/>
          <w:bCs/>
          <w:color w:val="000000" w:themeColor="text1"/>
          <w:sz w:val="24"/>
          <w:highlight w:val="none"/>
          <w14:textFill>
            <w14:solidFill>
              <w14:schemeClr w14:val="tx1"/>
            </w14:solidFill>
          </w14:textFill>
        </w:rPr>
      </w:pPr>
      <w:bookmarkStart w:id="186" w:name="_Toc14892_WPSOffice_Level3"/>
      <w:r>
        <w:rPr>
          <w:rFonts w:hint="eastAsia" w:ascii="宋体" w:hAnsi="宋体"/>
          <w:b/>
          <w:bCs/>
          <w:color w:val="000000" w:themeColor="text1"/>
          <w:sz w:val="24"/>
          <w:highlight w:val="none"/>
          <w14:textFill>
            <w14:solidFill>
              <w14:schemeClr w14:val="tx1"/>
            </w14:solidFill>
          </w14:textFill>
        </w:rPr>
        <w:t>13、电子化磋商响应文件的补充、修改与撤回</w:t>
      </w:r>
      <w:bookmarkEnd w:id="186"/>
    </w:p>
    <w:p w14:paraId="2783AFC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13.1 在磋商截止时间之后，供应商不得补充、修改电子化磋商响应文件。</w:t>
      </w:r>
    </w:p>
    <w:p w14:paraId="5A98674B">
      <w:pPr>
        <w:spacing w:line="360" w:lineRule="auto"/>
        <w:ind w:firstLine="482" w:firstLineChars="200"/>
        <w:rPr>
          <w:rFonts w:ascii="宋体" w:hAnsi="宋体"/>
          <w:b/>
          <w:bCs/>
          <w:color w:val="000000" w:themeColor="text1"/>
          <w:sz w:val="24"/>
          <w:highlight w:val="none"/>
          <w14:textFill>
            <w14:solidFill>
              <w14:schemeClr w14:val="tx1"/>
            </w14:solidFill>
          </w14:textFill>
        </w:rPr>
      </w:pPr>
      <w:bookmarkStart w:id="187" w:name="_Toc16713_WPSOffice_Level3"/>
      <w:r>
        <w:rPr>
          <w:rFonts w:hint="eastAsia" w:ascii="宋体" w:hAnsi="宋体"/>
          <w:b/>
          <w:bCs/>
          <w:color w:val="000000" w:themeColor="text1"/>
          <w:sz w:val="24"/>
          <w:highlight w:val="none"/>
          <w14:textFill>
            <w14:solidFill>
              <w14:schemeClr w14:val="tx1"/>
            </w14:solidFill>
          </w14:textFill>
        </w:rPr>
        <w:t>14、磋商报价</w:t>
      </w:r>
      <w:bookmarkEnd w:id="187"/>
    </w:p>
    <w:p w14:paraId="3B8E264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14.1 本次磋商均须以人民币为计算单位。</w:t>
      </w:r>
    </w:p>
    <w:p w14:paraId="0EBF6E3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14.2 报价应包含采样（</w:t>
      </w:r>
      <w:r>
        <w:rPr>
          <w:rFonts w:hint="eastAsia" w:ascii="宋体" w:hAnsi="宋体"/>
          <w:b/>
          <w:bCs/>
          <w:color w:val="000000" w:themeColor="text1"/>
          <w:sz w:val="24"/>
          <w:highlight w:val="none"/>
          <w14:textFill>
            <w14:solidFill>
              <w14:schemeClr w14:val="tx1"/>
            </w14:solidFill>
          </w14:textFill>
        </w:rPr>
        <w:t>产品除外</w:t>
      </w:r>
      <w:r>
        <w:rPr>
          <w:rFonts w:hint="eastAsia" w:ascii="宋体" w:hAnsi="宋体"/>
          <w:color w:val="000000" w:themeColor="text1"/>
          <w:sz w:val="24"/>
          <w:highlight w:val="none"/>
          <w14:textFill>
            <w14:solidFill>
              <w14:schemeClr w14:val="tx1"/>
            </w14:solidFill>
          </w14:textFill>
        </w:rPr>
        <w:t>）、备品、税金（含关税、增值税）、检测验收费等各项费用。</w:t>
      </w:r>
    </w:p>
    <w:p w14:paraId="61FAD59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14.3 供应商应充分考虑市场风险和国家政策性风险系数，根据企业具体情况在合理的范围内自主报价，但不得低于企业实际成本。</w:t>
      </w:r>
    </w:p>
    <w:p w14:paraId="7BB9C65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14.4 供应商的磋商报价应包含验收合格正式交付使用前所发生的一切费用，且供应商只能提出一个报价，采购人不接受任何有选择的报价，最后报价不得超过项目采购预算。</w:t>
      </w:r>
    </w:p>
    <w:p w14:paraId="14F7B97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14.5 供应商的报价明显低于其他报价，使得其报价可能低于其个别成本的，有可能影响产品质量和不能诚信履约的，应当要求该报价人作出书面说明并提供相关证明材料。报价人不能合理说明或者不能提供相关证明材料的，由磋商小组认定该报价人以低于成本报价，其报价应作无效报价处理。</w:t>
      </w:r>
    </w:p>
    <w:p w14:paraId="1A5060F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14.6本次采购为竞争性磋商采购，允许二次报价。</w:t>
      </w:r>
    </w:p>
    <w:p w14:paraId="580317D4">
      <w:pPr>
        <w:spacing w:line="360" w:lineRule="auto"/>
        <w:ind w:firstLine="482" w:firstLineChars="200"/>
        <w:rPr>
          <w:rFonts w:ascii="宋体" w:hAnsi="宋体"/>
          <w:b/>
          <w:bCs/>
          <w:color w:val="000000" w:themeColor="text1"/>
          <w:sz w:val="24"/>
          <w:highlight w:val="none"/>
          <w14:textFill>
            <w14:solidFill>
              <w14:schemeClr w14:val="tx1"/>
            </w14:solidFill>
          </w14:textFill>
        </w:rPr>
      </w:pPr>
      <w:bookmarkStart w:id="188" w:name="_Toc28583_WPSOffice_Level3"/>
      <w:r>
        <w:rPr>
          <w:rFonts w:hint="eastAsia" w:ascii="宋体" w:hAnsi="宋体"/>
          <w:b/>
          <w:bCs/>
          <w:color w:val="000000" w:themeColor="text1"/>
          <w:sz w:val="24"/>
          <w:highlight w:val="none"/>
          <w14:textFill>
            <w14:solidFill>
              <w14:schemeClr w14:val="tx1"/>
            </w14:solidFill>
          </w14:textFill>
        </w:rPr>
        <w:t>15、供应商资格的证明文件</w:t>
      </w:r>
      <w:bookmarkEnd w:id="188"/>
    </w:p>
    <w:p w14:paraId="6BF587C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15.1证明供应商是有资格参加磋商的。</w:t>
      </w:r>
    </w:p>
    <w:p w14:paraId="783675C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15.2证明供应商有能力履行竞争性磋商文件中合同条款和技术要求规定的由供应商提供的采购等义务。</w:t>
      </w:r>
    </w:p>
    <w:p w14:paraId="16DA64B2">
      <w:pPr>
        <w:spacing w:line="360" w:lineRule="auto"/>
        <w:ind w:firstLine="482" w:firstLineChars="200"/>
        <w:rPr>
          <w:rFonts w:ascii="宋体" w:hAnsi="宋体"/>
          <w:b/>
          <w:bCs/>
          <w:color w:val="000000" w:themeColor="text1"/>
          <w:sz w:val="24"/>
          <w:highlight w:val="none"/>
          <w14:textFill>
            <w14:solidFill>
              <w14:schemeClr w14:val="tx1"/>
            </w14:solidFill>
          </w14:textFill>
        </w:rPr>
      </w:pPr>
      <w:bookmarkStart w:id="189" w:name="_Toc29721_WPSOffice_Level3"/>
      <w:r>
        <w:rPr>
          <w:rFonts w:hint="eastAsia" w:ascii="宋体" w:hAnsi="宋体"/>
          <w:b/>
          <w:bCs/>
          <w:color w:val="000000" w:themeColor="text1"/>
          <w:sz w:val="24"/>
          <w:highlight w:val="none"/>
          <w14:textFill>
            <w14:solidFill>
              <w14:schemeClr w14:val="tx1"/>
            </w14:solidFill>
          </w14:textFill>
        </w:rPr>
        <w:t>16、磋商保证金</w:t>
      </w:r>
      <w:bookmarkEnd w:id="189"/>
    </w:p>
    <w:p w14:paraId="70BBFFF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16.1按照《河南省财政厅关于优化政府采购营商环境有关问题的通知》（豫财购[2019]4号文）的要求本项目不再收取磋商保证金。</w:t>
      </w:r>
    </w:p>
    <w:p w14:paraId="6D320AB0">
      <w:pPr>
        <w:spacing w:line="360" w:lineRule="auto"/>
        <w:ind w:firstLine="482" w:firstLineChars="200"/>
        <w:rPr>
          <w:rFonts w:ascii="宋体" w:hAnsi="宋体"/>
          <w:color w:val="000000" w:themeColor="text1"/>
          <w:sz w:val="24"/>
          <w:highlight w:val="none"/>
          <w14:textFill>
            <w14:solidFill>
              <w14:schemeClr w14:val="tx1"/>
            </w14:solidFill>
          </w14:textFill>
        </w:rPr>
      </w:pPr>
      <w:bookmarkStart w:id="190" w:name="_Toc26640_WPSOffice_Level3"/>
      <w:r>
        <w:rPr>
          <w:rFonts w:hint="eastAsia" w:ascii="宋体" w:hAnsi="宋体"/>
          <w:b/>
          <w:bCs/>
          <w:color w:val="000000" w:themeColor="text1"/>
          <w:sz w:val="24"/>
          <w:highlight w:val="none"/>
          <w14:textFill>
            <w14:solidFill>
              <w14:schemeClr w14:val="tx1"/>
            </w14:solidFill>
          </w14:textFill>
        </w:rPr>
        <w:t>17、磋商响应文件有效期</w:t>
      </w:r>
      <w:bookmarkEnd w:id="190"/>
    </w:p>
    <w:p w14:paraId="7B0B1D2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17.1响应性文件从首次递交竞争性磋商响应文件截止时间之日起开始生效，磋商有效期为 60 日历天，有效期短于此规定的响应文件将被视为无效文件。</w:t>
      </w:r>
    </w:p>
    <w:p w14:paraId="2379D7F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17.2特殊情况下，采购人可于磋商响应文件有效期满之前要求供应商同意延长有效期，要求与答复均为书面形式。供应商可以拒绝上述要求，对于同意该要求的供应商，不允许其修改磋商响应文件。</w:t>
      </w:r>
    </w:p>
    <w:p w14:paraId="6416A0FA">
      <w:pPr>
        <w:spacing w:line="360" w:lineRule="auto"/>
        <w:ind w:firstLine="482" w:firstLineChars="200"/>
        <w:rPr>
          <w:rFonts w:ascii="宋体" w:hAnsi="宋体"/>
          <w:b/>
          <w:bCs/>
          <w:color w:val="000000" w:themeColor="text1"/>
          <w:sz w:val="24"/>
          <w:highlight w:val="none"/>
          <w14:textFill>
            <w14:solidFill>
              <w14:schemeClr w14:val="tx1"/>
            </w14:solidFill>
          </w14:textFill>
        </w:rPr>
      </w:pPr>
      <w:bookmarkStart w:id="191" w:name="_Toc14449_WPSOffice_Level3"/>
      <w:r>
        <w:rPr>
          <w:rFonts w:hint="eastAsia" w:ascii="宋体" w:hAnsi="宋体"/>
          <w:b/>
          <w:bCs/>
          <w:color w:val="000000" w:themeColor="text1"/>
          <w:sz w:val="24"/>
          <w:highlight w:val="none"/>
          <w14:textFill>
            <w14:solidFill>
              <w14:schemeClr w14:val="tx1"/>
            </w14:solidFill>
          </w14:textFill>
        </w:rPr>
        <w:t>18、磋商</w:t>
      </w:r>
      <w:bookmarkEnd w:id="191"/>
    </w:p>
    <w:p w14:paraId="307F642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18.1采购人按本须知前附表规定的时间和地点磋商。</w:t>
      </w:r>
    </w:p>
    <w:p w14:paraId="0779880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18.2磋商会议由采购代理机构主持；</w:t>
      </w:r>
    </w:p>
    <w:p w14:paraId="48F6C10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18.3宣布磋商会议纪律；</w:t>
      </w:r>
    </w:p>
    <w:p w14:paraId="3D93A25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18.4磋商时，电子招标投标交易平台自动提取所有电子化磋商响应文件，按时在线解密；</w:t>
      </w:r>
    </w:p>
    <w:p w14:paraId="632295D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18.5电子化磋商响应文件的有效性</w:t>
      </w:r>
    </w:p>
    <w:p w14:paraId="55C0806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子化磋商响应文件有下列情形的为无效电子化磋商响应文件，采购人不予受理：因供应商原因造成磋商响应文件未解密的，视为撤销其磋商响应文件；因供应商之外的原因造成电子化磋商响应文件未解密的，视为撤回其磋商响应文件，供应商有权要求责任方赔偿因此遭受的直接损失。部分电子化磋商响应文件未解密的，其他电子化磋商可以继续进行。</w:t>
      </w:r>
    </w:p>
    <w:p w14:paraId="5CF8339B">
      <w:pPr>
        <w:spacing w:line="360" w:lineRule="auto"/>
        <w:ind w:firstLine="482" w:firstLineChars="200"/>
        <w:rPr>
          <w:rFonts w:ascii="宋体" w:hAnsi="宋体"/>
          <w:b/>
          <w:bCs/>
          <w:color w:val="000000" w:themeColor="text1"/>
          <w:sz w:val="24"/>
          <w:highlight w:val="none"/>
          <w14:textFill>
            <w14:solidFill>
              <w14:schemeClr w14:val="tx1"/>
            </w14:solidFill>
          </w14:textFill>
        </w:rPr>
      </w:pPr>
      <w:bookmarkStart w:id="192" w:name="_Toc29167_WPSOffice_Level3"/>
      <w:r>
        <w:rPr>
          <w:rFonts w:hint="eastAsia" w:ascii="宋体" w:hAnsi="宋体"/>
          <w:b/>
          <w:bCs/>
          <w:color w:val="000000" w:themeColor="text1"/>
          <w:sz w:val="24"/>
          <w:highlight w:val="none"/>
          <w14:textFill>
            <w14:solidFill>
              <w14:schemeClr w14:val="tx1"/>
            </w14:solidFill>
          </w14:textFill>
        </w:rPr>
        <w:t>19、磋商小组</w:t>
      </w:r>
      <w:bookmarkEnd w:id="192"/>
    </w:p>
    <w:p w14:paraId="67E314B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19.1磋商小组由3人构成：采购人代表1人，经济、技术方面专家2人，在磋商会议开始前从相关评标专家库中随机抽取。</w:t>
      </w:r>
    </w:p>
    <w:p w14:paraId="21D9E80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19.2磋商小组对所有供应商的磋商响应文件进行评审，按评审后得分由高到低顺序排列，递交给采购人。</w:t>
      </w:r>
    </w:p>
    <w:p w14:paraId="339CA60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19.3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7B5AFFE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19.4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人确定后，磋商小组不得修改评审结果或者要求重新评审，但因资格性审查认定错误或价格计算错误需依法重新评审的除外。应在评审报告中明确记载。</w:t>
      </w:r>
    </w:p>
    <w:p w14:paraId="4FAA6699">
      <w:pPr>
        <w:spacing w:line="360" w:lineRule="auto"/>
        <w:ind w:firstLine="482" w:firstLineChars="200"/>
        <w:rPr>
          <w:rFonts w:ascii="宋体" w:hAnsi="宋体"/>
          <w:b/>
          <w:bCs/>
          <w:color w:val="000000" w:themeColor="text1"/>
          <w:sz w:val="24"/>
          <w:highlight w:val="none"/>
          <w14:textFill>
            <w14:solidFill>
              <w14:schemeClr w14:val="tx1"/>
            </w14:solidFill>
          </w14:textFill>
        </w:rPr>
      </w:pPr>
      <w:bookmarkStart w:id="193" w:name="_Toc30532_WPSOffice_Level3"/>
      <w:r>
        <w:rPr>
          <w:rFonts w:hint="eastAsia" w:ascii="宋体" w:hAnsi="宋体"/>
          <w:b/>
          <w:bCs/>
          <w:color w:val="000000" w:themeColor="text1"/>
          <w:sz w:val="24"/>
          <w:highlight w:val="none"/>
          <w14:textFill>
            <w14:solidFill>
              <w14:schemeClr w14:val="tx1"/>
            </w14:solidFill>
          </w14:textFill>
        </w:rPr>
        <w:t>20、磋商程序</w:t>
      </w:r>
      <w:bookmarkEnd w:id="193"/>
    </w:p>
    <w:p w14:paraId="43319DD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20.1磋商小组所有成员集中评审磋商响应文件及集中与供应商分别进行磋商。</w:t>
      </w:r>
    </w:p>
    <w:p w14:paraId="585B97DE">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20.2磋商小组首先对所有磋商响应文件进行资格性和初步审查。资格性审查是指：磋商小组按照竞争性磋商文件第四章评审办法的要求，对供应商进行资格审查，有一项不符合的，视为未通过资格审查，不得进入下一评审过程。</w:t>
      </w:r>
    </w:p>
    <w:p w14:paraId="35282BF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20.3 初步审查是指：磋商小组按照竞争性磋商文件本须知及第四章评审办法中资格、形式及响应性评审的要求，对供应商进行审查，有一项不符合的，视为未通过初步审查。未通过资格性和初步审查的磋商响应文件按无效响应处理，磋商小组应当告知提交磋商响应文件的供应商。</w:t>
      </w:r>
    </w:p>
    <w:p w14:paraId="101A89F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20.2.1允许修正磋商响应文件中不构成重大偏离的、微小的、非正规的、不一致或不规则的地方。</w:t>
      </w:r>
    </w:p>
    <w:p w14:paraId="07AB83E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20.2.2磋商小组判断磋商响应文件的响应性仅基于磋商响应文件本身内容而不靠外部证据。</w:t>
      </w:r>
    </w:p>
    <w:p w14:paraId="12D06AB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20.2.3实质性未响应磋商文件要求的响应将被拒绝，供应商不得通过修正或撤消不符之处而使其响应成为实质性响应。</w:t>
      </w:r>
    </w:p>
    <w:p w14:paraId="2B86562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20.2.4实质性未响应是指磋商响应文件中提出了超出磋商文件中采购标的、预算金额、供货期限、质量、采购内容及技术参数要求等内容。</w:t>
      </w:r>
    </w:p>
    <w:p w14:paraId="73530EB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20.3 有下列情形之一的，其磋商响应文件将会被拒绝：</w:t>
      </w:r>
    </w:p>
    <w:p w14:paraId="1157BEE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（1）供应商未提交磋商承诺函；</w:t>
      </w:r>
    </w:p>
    <w:p w14:paraId="569860B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（2）磋商报价超过竞争性磋商文件规定的预算金额的；</w:t>
      </w:r>
    </w:p>
    <w:p w14:paraId="4C248F6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（3）以他人的名义磋商、串通磋商、以行贿手段谋取成交或者以其他弄虚作假方式磋商的；</w:t>
      </w:r>
    </w:p>
    <w:p w14:paraId="01AF25D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（4）采取不正当手段谋取成交的。</w:t>
      </w:r>
    </w:p>
    <w:p w14:paraId="3CDC89E8">
      <w:pPr>
        <w:spacing w:line="360" w:lineRule="auto"/>
        <w:ind w:firstLine="482" w:firstLineChars="200"/>
        <w:rPr>
          <w:rFonts w:ascii="宋体" w:hAnsi="宋体"/>
          <w:color w:val="000000" w:themeColor="text1"/>
          <w:sz w:val="24"/>
          <w:highlight w:val="none"/>
          <w14:textFill>
            <w14:solidFill>
              <w14:schemeClr w14:val="tx1"/>
            </w14:solidFill>
          </w14:textFill>
        </w:rPr>
      </w:pPr>
      <w:bookmarkStart w:id="194" w:name="_Toc31948_WPSOffice_Level3"/>
      <w:r>
        <w:rPr>
          <w:rFonts w:hint="eastAsia" w:ascii="宋体" w:hAnsi="宋体"/>
          <w:b/>
          <w:bCs/>
          <w:color w:val="000000" w:themeColor="text1"/>
          <w:sz w:val="24"/>
          <w:highlight w:val="none"/>
          <w14:textFill>
            <w14:solidFill>
              <w14:schemeClr w14:val="tx1"/>
            </w14:solidFill>
          </w14:textFill>
        </w:rPr>
        <w:t>21、对供应商的评价</w:t>
      </w:r>
      <w:bookmarkEnd w:id="194"/>
    </w:p>
    <w:p w14:paraId="61023AB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21.1磋商小组只对已判定为实质性响应且通过资格审查的磋商响应文件进行详细评价和比较。</w:t>
      </w:r>
    </w:p>
    <w:p w14:paraId="3604D68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21.2磋商小组所有成员应当集中与单一供应商分别进行磋商，并给予所有参加磋商的供应商平等的磋商机会。磋商完成后，要求其在规定时间内提交最后报价，提交最后报价的供应商不少于3家。</w:t>
      </w:r>
    </w:p>
    <w:p w14:paraId="4467CDF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21.3经磋商确定最终采购需求和提交最后报价的供应商后，磋商小组采用综合评分法对提交最后报价的供应商的磋商响应文件和最后报价进行综合评分。</w:t>
      </w:r>
    </w:p>
    <w:p w14:paraId="171E0F8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21.4磋商小组根据综合评分情况，按评审得分由高到低的顺序确定</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3名成交候选供应商，并编写评审报告。评审得分相同的，按照最后报价由低到高的顺序确定，评审得分且最后报价相同的，按照技术指标优劣顺序确定成交候选供应商。评审报告由磋商小组全体人员签字。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2B2815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21.5如果第一名供应商放弃成交资格或因不可抗力提出不能履行合同的，采购人将依序确定排名第二名的供应商为成交供应商，也可以重新开展政府采购活动。</w:t>
      </w:r>
    </w:p>
    <w:p w14:paraId="61783906">
      <w:pPr>
        <w:spacing w:line="360" w:lineRule="auto"/>
        <w:ind w:firstLine="482" w:firstLineChars="200"/>
        <w:rPr>
          <w:rFonts w:ascii="宋体" w:hAnsi="宋体"/>
          <w:b/>
          <w:bCs/>
          <w:color w:val="000000" w:themeColor="text1"/>
          <w:sz w:val="24"/>
          <w:highlight w:val="none"/>
          <w14:textFill>
            <w14:solidFill>
              <w14:schemeClr w14:val="tx1"/>
            </w14:solidFill>
          </w14:textFill>
        </w:rPr>
      </w:pPr>
      <w:bookmarkStart w:id="195" w:name="_Toc27346_WPSOffice_Level3"/>
      <w:r>
        <w:rPr>
          <w:rFonts w:hint="eastAsia" w:ascii="宋体" w:hAnsi="宋体"/>
          <w:b/>
          <w:bCs/>
          <w:color w:val="000000" w:themeColor="text1"/>
          <w:sz w:val="24"/>
          <w:highlight w:val="none"/>
          <w14:textFill>
            <w14:solidFill>
              <w14:schemeClr w14:val="tx1"/>
            </w14:solidFill>
          </w14:textFill>
        </w:rPr>
        <w:t>22、磋商响应文件的澄清</w:t>
      </w:r>
      <w:bookmarkEnd w:id="195"/>
    </w:p>
    <w:p w14:paraId="4D47BC3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22.1为了有助于对磋商响应文件进行审查、评估和比较，磋商小组有权向供应商质疑。请供应商澄清其磋商内容。供应商有责任按照磋商小组通知的时间、地点、方式指派委托代理人进行答疑和澄清。</w:t>
      </w:r>
    </w:p>
    <w:p w14:paraId="03F5B6D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22.2重要澄清的答复应是书面的，并由法定代表人或其委托代理人签字。</w:t>
      </w:r>
    </w:p>
    <w:p w14:paraId="2EE7B89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22.3供应商的澄清文件是磋商响应文件的组成部分，并取代磋商响应文件中被澄清的部分。</w:t>
      </w:r>
    </w:p>
    <w:p w14:paraId="4F31B52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22.4磋商响应文件澄清部分不得对磋商内容进行实质性修改。</w:t>
      </w:r>
    </w:p>
    <w:p w14:paraId="12D8A4D3">
      <w:pPr>
        <w:spacing w:line="360" w:lineRule="auto"/>
        <w:ind w:firstLine="482" w:firstLineChars="200"/>
        <w:rPr>
          <w:rFonts w:ascii="宋体" w:hAnsi="宋体"/>
          <w:b/>
          <w:bCs/>
          <w:color w:val="000000" w:themeColor="text1"/>
          <w:sz w:val="24"/>
          <w:highlight w:val="none"/>
          <w14:textFill>
            <w14:solidFill>
              <w14:schemeClr w14:val="tx1"/>
            </w14:solidFill>
          </w14:textFill>
        </w:rPr>
      </w:pPr>
      <w:bookmarkStart w:id="196" w:name="_Toc10070_WPSOffice_Level3"/>
      <w:r>
        <w:rPr>
          <w:rFonts w:hint="eastAsia" w:ascii="宋体" w:hAnsi="宋体"/>
          <w:b/>
          <w:bCs/>
          <w:color w:val="000000" w:themeColor="text1"/>
          <w:sz w:val="24"/>
          <w:highlight w:val="none"/>
          <w14:textFill>
            <w14:solidFill>
              <w14:schemeClr w14:val="tx1"/>
            </w14:solidFill>
          </w14:textFill>
        </w:rPr>
        <w:t>23、磋商原则和方法</w:t>
      </w:r>
      <w:bookmarkEnd w:id="196"/>
    </w:p>
    <w:p w14:paraId="678449A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23.1坚持公开、公平、公正的原则。</w:t>
      </w:r>
    </w:p>
    <w:p w14:paraId="01AAF6B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23.2磋商小组应当集中与单一供应商分别进行磋商，磋商小组将遵照磋商原则，公正、平等地对待所有供应商。</w:t>
      </w:r>
    </w:p>
    <w:p w14:paraId="2428207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23.3评审方法</w:t>
      </w:r>
    </w:p>
    <w:p w14:paraId="37DCAA3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23.3.1初步评审（是否响应竞争性磋商文件的要求），确定合格的供应商。</w:t>
      </w:r>
    </w:p>
    <w:p w14:paraId="26B2DBE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23.3.2公布各供应商报价；</w:t>
      </w:r>
    </w:p>
    <w:p w14:paraId="01190F0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23.3.3供应商依据各自情况进行最后报价。</w:t>
      </w:r>
    </w:p>
    <w:p w14:paraId="16C596E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经磋商确定最终采购需求和提交最后报价的供应商，有磋商小组采用综合评分法对提交最后报价的供应商的响应文件和最后报价进行综合评分。</w:t>
      </w:r>
    </w:p>
    <w:p w14:paraId="3C8E73F2">
      <w:pPr>
        <w:spacing w:line="360" w:lineRule="auto"/>
        <w:ind w:firstLine="482" w:firstLineChars="200"/>
        <w:rPr>
          <w:rFonts w:ascii="宋体" w:hAnsi="宋体"/>
          <w:b/>
          <w:bCs/>
          <w:color w:val="000000" w:themeColor="text1"/>
          <w:sz w:val="24"/>
          <w:highlight w:val="none"/>
          <w14:textFill>
            <w14:solidFill>
              <w14:schemeClr w14:val="tx1"/>
            </w14:solidFill>
          </w14:textFill>
        </w:rPr>
      </w:pPr>
      <w:bookmarkStart w:id="197" w:name="_Toc5813_WPSOffice_Level3"/>
      <w:r>
        <w:rPr>
          <w:rFonts w:hint="eastAsia" w:ascii="宋体" w:hAnsi="宋体"/>
          <w:b/>
          <w:bCs/>
          <w:color w:val="000000" w:themeColor="text1"/>
          <w:sz w:val="24"/>
          <w:highlight w:val="none"/>
          <w14:textFill>
            <w14:solidFill>
              <w14:schemeClr w14:val="tx1"/>
            </w14:solidFill>
          </w14:textFill>
        </w:rPr>
        <w:t>24、确定成交</w:t>
      </w:r>
      <w:bookmarkEnd w:id="197"/>
      <w:r>
        <w:rPr>
          <w:rFonts w:hint="eastAsia" w:ascii="宋体" w:hAnsi="宋体"/>
          <w:b/>
          <w:bCs/>
          <w:color w:val="000000" w:themeColor="text1"/>
          <w:sz w:val="24"/>
          <w:highlight w:val="none"/>
          <w14:textFill>
            <w14:solidFill>
              <w14:schemeClr w14:val="tx1"/>
            </w14:solidFill>
          </w14:textFill>
        </w:rPr>
        <w:t>供应商</w:t>
      </w:r>
    </w:p>
    <w:p w14:paraId="48C6695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24.1 磋商小组应当根据综合评分情况，按照评审由高到低的顺序推荐</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3名成交候选人，并向采购人提供书面评审报告，由采购人确定排名第一的为成交供应商，采购人及采购代理机构在政府采购项目评审结束之日当天完成评标报告的报送、中标（成交）供应商的确定、中标（成交）公告发布及中标（成交）通知书的发出等。</w:t>
      </w:r>
    </w:p>
    <w:p w14:paraId="4E9B3490">
      <w:pPr>
        <w:spacing w:line="360" w:lineRule="auto"/>
        <w:ind w:firstLine="482" w:firstLineChars="200"/>
        <w:rPr>
          <w:rFonts w:ascii="宋体" w:hAnsi="宋体"/>
          <w:color w:val="000000" w:themeColor="text1"/>
          <w:sz w:val="24"/>
          <w:highlight w:val="none"/>
          <w14:textFill>
            <w14:solidFill>
              <w14:schemeClr w14:val="tx1"/>
            </w14:solidFill>
          </w14:textFill>
        </w:rPr>
      </w:pPr>
      <w:bookmarkStart w:id="198" w:name="_Toc28609_WPSOffice_Level3"/>
      <w:r>
        <w:rPr>
          <w:rFonts w:hint="eastAsia" w:ascii="宋体" w:hAnsi="宋体"/>
          <w:b/>
          <w:bCs/>
          <w:color w:val="000000" w:themeColor="text1"/>
          <w:sz w:val="24"/>
          <w:highlight w:val="none"/>
          <w14:textFill>
            <w14:solidFill>
              <w14:schemeClr w14:val="tx1"/>
            </w14:solidFill>
          </w14:textFill>
        </w:rPr>
        <w:t>25、保密及其它注意事项</w:t>
      </w:r>
      <w:bookmarkEnd w:id="198"/>
    </w:p>
    <w:p w14:paraId="4046488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25.1评审工作是磋商工作的重要环节，评审工作在磋商小组内独立进行。</w:t>
      </w:r>
    </w:p>
    <w:p w14:paraId="0784A0C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25.2评审期间，供应商不得向磋商小组成员询问评审情况，不得进行影响评审结果的活动。否则其响应将会被拒绝。</w:t>
      </w:r>
    </w:p>
    <w:p w14:paraId="353BC3E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25.3评审的公正性，磋商开始后直至授予成交供应商合同，磋商小组成员不得与供应商私下交换意见。</w:t>
      </w:r>
    </w:p>
    <w:p w14:paraId="36DFD2A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25.4评审工作结束后，凡与评审情况有接触的任何人不得擅自将评审情况扩散出评审人员之外。</w:t>
      </w:r>
    </w:p>
    <w:p w14:paraId="75BD2572">
      <w:pPr>
        <w:spacing w:line="360" w:lineRule="auto"/>
        <w:ind w:firstLine="482" w:firstLineChars="200"/>
        <w:rPr>
          <w:rFonts w:ascii="宋体" w:hAnsi="宋体"/>
          <w:b/>
          <w:bCs/>
          <w:color w:val="000000" w:themeColor="text1"/>
          <w:sz w:val="24"/>
          <w:highlight w:val="none"/>
          <w14:textFill>
            <w14:solidFill>
              <w14:schemeClr w14:val="tx1"/>
            </w14:solidFill>
          </w14:textFill>
        </w:rPr>
      </w:pPr>
      <w:bookmarkStart w:id="199" w:name="_Toc27984_WPSOffice_Level3"/>
      <w:r>
        <w:rPr>
          <w:rFonts w:hint="eastAsia" w:ascii="宋体" w:hAnsi="宋体"/>
          <w:b/>
          <w:bCs/>
          <w:color w:val="000000" w:themeColor="text1"/>
          <w:sz w:val="24"/>
          <w:highlight w:val="none"/>
          <w14:textFill>
            <w14:solidFill>
              <w14:schemeClr w14:val="tx1"/>
            </w14:solidFill>
          </w14:textFill>
        </w:rPr>
        <w:t>26、成交通知</w:t>
      </w:r>
      <w:bookmarkEnd w:id="199"/>
    </w:p>
    <w:p w14:paraId="75EE461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26.1成交供应商确定后，采购人向成交供应商签发《成交通知书》，并将成交结果通知所有未成交的供应商。</w:t>
      </w:r>
    </w:p>
    <w:p w14:paraId="6506D4D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26.2《成交通知书》作为签订合同的依据，对采购人和成交供应商均具有法律效力，成交通知书发出后，采购人改变成交结果或者成交供应商放弃项目，应依法承担法律责任。</w:t>
      </w:r>
    </w:p>
    <w:p w14:paraId="5EA4BD8B">
      <w:pPr>
        <w:spacing w:line="360" w:lineRule="auto"/>
        <w:ind w:firstLine="482" w:firstLineChars="200"/>
        <w:rPr>
          <w:rFonts w:ascii="宋体" w:hAnsi="宋体"/>
          <w:b/>
          <w:bCs/>
          <w:color w:val="000000" w:themeColor="text1"/>
          <w:sz w:val="24"/>
          <w:highlight w:val="none"/>
          <w14:textFill>
            <w14:solidFill>
              <w14:schemeClr w14:val="tx1"/>
            </w14:solidFill>
          </w14:textFill>
        </w:rPr>
      </w:pPr>
      <w:bookmarkStart w:id="200" w:name="_Toc8188_WPSOffice_Level3"/>
      <w:r>
        <w:rPr>
          <w:rFonts w:hint="eastAsia" w:ascii="宋体" w:hAnsi="宋体"/>
          <w:b/>
          <w:bCs/>
          <w:color w:val="000000" w:themeColor="text1"/>
          <w:sz w:val="24"/>
          <w:highlight w:val="none"/>
          <w14:textFill>
            <w14:solidFill>
              <w14:schemeClr w14:val="tx1"/>
            </w14:solidFill>
          </w14:textFill>
        </w:rPr>
        <w:t>27、授予合同时变更数量的权力</w:t>
      </w:r>
      <w:bookmarkEnd w:id="200"/>
    </w:p>
    <w:p w14:paraId="08138AB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27.1 采购人在授予合同时，保留对服务内容予以适当增减的权利。成交供应商不得在此情况下对磋商响应文件做出修改，如价格、服务承诺等。</w:t>
      </w:r>
    </w:p>
    <w:p w14:paraId="4F117F19">
      <w:pPr>
        <w:spacing w:line="360" w:lineRule="auto"/>
        <w:ind w:firstLine="482" w:firstLineChars="200"/>
        <w:rPr>
          <w:rFonts w:ascii="宋体" w:hAnsi="宋体"/>
          <w:b/>
          <w:bCs/>
          <w:color w:val="000000" w:themeColor="text1"/>
          <w:sz w:val="24"/>
          <w:highlight w:val="none"/>
          <w14:textFill>
            <w14:solidFill>
              <w14:schemeClr w14:val="tx1"/>
            </w14:solidFill>
          </w14:textFill>
        </w:rPr>
      </w:pPr>
      <w:bookmarkStart w:id="201" w:name="_Toc30112_WPSOffice_Level3"/>
      <w:r>
        <w:rPr>
          <w:rFonts w:hint="eastAsia" w:ascii="宋体" w:hAnsi="宋体"/>
          <w:b/>
          <w:bCs/>
          <w:color w:val="000000" w:themeColor="text1"/>
          <w:sz w:val="24"/>
          <w:highlight w:val="none"/>
          <w14:textFill>
            <w14:solidFill>
              <w14:schemeClr w14:val="tx1"/>
            </w14:solidFill>
          </w14:textFill>
        </w:rPr>
        <w:t>28、签订合同</w:t>
      </w:r>
      <w:bookmarkEnd w:id="201"/>
    </w:p>
    <w:p w14:paraId="4C99573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28.1成交供应商接到《成交通知书》后1个工作日内按指定地点与采购人签订采购合同；</w:t>
      </w:r>
    </w:p>
    <w:p w14:paraId="162A546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采购人应当在合同签订后1个工作日内在河南政府采购网公示采购合同，并完成合同备案。</w:t>
      </w:r>
    </w:p>
    <w:p w14:paraId="56F5059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28.2采购人签发的成交通知书、竞争性磋商文件、成交供应商的磋商响应文件及其澄清文件等，均为签订合同的依据。</w:t>
      </w:r>
    </w:p>
    <w:p w14:paraId="23F61A7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28.3成交供应商如不按本供应商须知的规定与采购人订立合同，则采购人将废除授标，并做出相应的处罚，同时依法承担相应法律责任。</w:t>
      </w:r>
    </w:p>
    <w:p w14:paraId="2E3935F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28.4成交供应商需向采购代理机构支付代理服务费。</w:t>
      </w:r>
    </w:p>
    <w:p w14:paraId="75E4838E">
      <w:pPr>
        <w:spacing w:line="360" w:lineRule="auto"/>
        <w:ind w:firstLine="482" w:firstLineChars="200"/>
        <w:rPr>
          <w:rFonts w:ascii="宋体" w:hAnsi="宋体"/>
          <w:b/>
          <w:bCs/>
          <w:color w:val="000000" w:themeColor="text1"/>
          <w:sz w:val="24"/>
          <w:highlight w:val="none"/>
          <w14:textFill>
            <w14:solidFill>
              <w14:schemeClr w14:val="tx1"/>
            </w14:solidFill>
          </w14:textFill>
        </w:rPr>
      </w:pPr>
      <w:bookmarkStart w:id="202" w:name="_Toc7342_WPSOffice_Level3"/>
      <w:r>
        <w:rPr>
          <w:rFonts w:hint="eastAsia" w:ascii="宋体" w:hAnsi="宋体"/>
          <w:b/>
          <w:bCs/>
          <w:color w:val="000000" w:themeColor="text1"/>
          <w:sz w:val="24"/>
          <w:highlight w:val="none"/>
          <w14:textFill>
            <w14:solidFill>
              <w14:schemeClr w14:val="tx1"/>
            </w14:solidFill>
          </w14:textFill>
        </w:rPr>
        <w:t>29、特别注意事项</w:t>
      </w:r>
      <w:bookmarkEnd w:id="202"/>
    </w:p>
    <w:p w14:paraId="2CE12CA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29.1现下列情形之一的，磋商小组可取消其磋商资格：</w:t>
      </w:r>
    </w:p>
    <w:p w14:paraId="3918AC5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（1）未按磋商文件要求和规定提交实质性响应材料的；</w:t>
      </w:r>
    </w:p>
    <w:p w14:paraId="4C79D70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（2）相互串通磋商的（有下列情形之一的，视为供应商相互串通磋商）；</w:t>
      </w:r>
    </w:p>
    <w:p w14:paraId="7D814DE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A、不同供应商的响应文件由同一单位或者个人编制</w:t>
      </w:r>
    </w:p>
    <w:p w14:paraId="4B4FC46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B、不同供应商委托同一单位或者个人办理磋商事宜</w:t>
      </w:r>
    </w:p>
    <w:p w14:paraId="678E88D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C、不同供应商的响应文件载明的项目管理成员为同一人</w:t>
      </w:r>
    </w:p>
    <w:p w14:paraId="09D4CA1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D、不同供应商的响应文件异常一致或者磋商报价呈规律性差异</w:t>
      </w:r>
    </w:p>
    <w:p w14:paraId="41BC611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E、不同供应商的磋商保证金从同一单位的账户转出</w:t>
      </w:r>
    </w:p>
    <w:p w14:paraId="2CF02C6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29.2供应商出现下列情形之一的，将被视为非实质性响应磋商文件要求：</w:t>
      </w:r>
    </w:p>
    <w:p w14:paraId="1BE1142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（1）交货期不确切或不符合磋商文件要求的；</w:t>
      </w:r>
    </w:p>
    <w:p w14:paraId="5CFB0BD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（2）最后报价有选择性的；</w:t>
      </w:r>
    </w:p>
    <w:p w14:paraId="14CAE69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（3）最后报价超过采购预算金额的；</w:t>
      </w:r>
    </w:p>
    <w:p w14:paraId="43CEA40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（4）被磋商小组认定存在重大负偏离的；</w:t>
      </w:r>
    </w:p>
    <w:p w14:paraId="4FEB29C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注：所谓重大负偏离是指供应商对磋商文件的响应在范围、质量、数量和交货期要求等方面明显不能满足采购需求的。重大负偏离的认定须经磋商小组三分之二以上同意。</w:t>
      </w:r>
    </w:p>
    <w:p w14:paraId="7752BAE9">
      <w:pPr>
        <w:spacing w:line="360" w:lineRule="auto"/>
        <w:ind w:firstLine="482" w:firstLineChars="200"/>
        <w:rPr>
          <w:rFonts w:ascii="宋体" w:hAnsi="宋体"/>
          <w:b/>
          <w:bCs/>
          <w:color w:val="000000" w:themeColor="text1"/>
          <w:sz w:val="24"/>
          <w:highlight w:val="none"/>
          <w14:textFill>
            <w14:solidFill>
              <w14:schemeClr w14:val="tx1"/>
            </w14:solidFill>
          </w14:textFill>
        </w:rPr>
      </w:pPr>
      <w:bookmarkStart w:id="203" w:name="_Toc7366_WPSOffice_Level3"/>
      <w:r>
        <w:rPr>
          <w:rFonts w:hint="eastAsia" w:ascii="宋体" w:hAnsi="宋体"/>
          <w:b/>
          <w:bCs/>
          <w:color w:val="000000" w:themeColor="text1"/>
          <w:sz w:val="24"/>
          <w:highlight w:val="none"/>
          <w14:textFill>
            <w14:solidFill>
              <w14:schemeClr w14:val="tx1"/>
            </w14:solidFill>
          </w14:textFill>
        </w:rPr>
        <w:t>30、询问</w:t>
      </w:r>
      <w:bookmarkEnd w:id="203"/>
    </w:p>
    <w:p w14:paraId="5907999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供应商对采购事项有疑问，可以按照《政府采购法》的相关规定向采购人或采购机构提出询问。</w:t>
      </w:r>
    </w:p>
    <w:p w14:paraId="06542955">
      <w:pPr>
        <w:spacing w:line="360" w:lineRule="auto"/>
        <w:ind w:firstLine="482" w:firstLineChars="200"/>
        <w:rPr>
          <w:rFonts w:ascii="宋体" w:hAnsi="宋体"/>
          <w:b/>
          <w:bCs/>
          <w:color w:val="000000" w:themeColor="text1"/>
          <w:sz w:val="24"/>
          <w:highlight w:val="none"/>
          <w14:textFill>
            <w14:solidFill>
              <w14:schemeClr w14:val="tx1"/>
            </w14:solidFill>
          </w14:textFill>
        </w:rPr>
      </w:pPr>
      <w:bookmarkStart w:id="204" w:name="_Toc13604_WPSOffice_Level3"/>
      <w:r>
        <w:rPr>
          <w:rFonts w:hint="eastAsia" w:ascii="宋体" w:hAnsi="宋体"/>
          <w:b/>
          <w:bCs/>
          <w:color w:val="000000" w:themeColor="text1"/>
          <w:sz w:val="24"/>
          <w:highlight w:val="none"/>
          <w14:textFill>
            <w14:solidFill>
              <w14:schemeClr w14:val="tx1"/>
            </w14:solidFill>
          </w14:textFill>
        </w:rPr>
        <w:t>31、质疑程序及处理</w:t>
      </w:r>
      <w:bookmarkEnd w:id="204"/>
    </w:p>
    <w:p w14:paraId="1EADE4E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31.1若竞争性磋商响应人认为其磋商未获公平评审或磋商文件、采购过程和成交结果使自己的合法权益受到损害，可以在知道或者应知其权益受到损害之日起7个工作日内，将质疑书原件送达采购人或采购代理机构。提出质疑期限的计算，依照下列规定办理：</w:t>
      </w:r>
    </w:p>
    <w:p w14:paraId="0A7EFE7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（一）对可以质疑的磋商文件提出质疑的，为收到磋商文件之日或者磋商文件公告期限届满之日；</w:t>
      </w:r>
    </w:p>
    <w:p w14:paraId="64C1A82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（二）对采购过程提出质疑的，为各采购程序环节结束之日；</w:t>
      </w:r>
    </w:p>
    <w:p w14:paraId="4AB1328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（三）对成交结果提出质疑的，为成交结果公告期限届满之日。</w:t>
      </w:r>
    </w:p>
    <w:p w14:paraId="662B8A0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31.2质疑书应当包括下列主要内容，并按照“谁主张、谁举证”的原则，附上相关证明材料。否则，采购人不予受理：</w:t>
      </w:r>
    </w:p>
    <w:p w14:paraId="08CAEFE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（一）质疑供应商全称、地址、法定代表人、联系人及联系电话、邮政编码等；</w:t>
      </w:r>
    </w:p>
    <w:p w14:paraId="71CA0C7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（二）被质疑采购项目的名称、编号；</w:t>
      </w:r>
    </w:p>
    <w:p w14:paraId="207D4DF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（三）质疑的具体事项、明确的请求和主张；</w:t>
      </w:r>
    </w:p>
    <w:p w14:paraId="64E50E1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（四）质疑所依据的法律依据（具体条款）、具体事实和具体理由。质疑书依据理由部分只有主观陈述、推理、猜测等，而没有提供客观事实依据、法律依据的；</w:t>
      </w:r>
    </w:p>
    <w:p w14:paraId="496EDAB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质疑事项按照有关法律、法规和规章规定及竞争性磋商文件要求属于保密或者处于保密阶段的事项，供应商必须提供正常的信息来源或有效证据，供应商不能提供或者拒绝提供合法的信息来源或有效证据的；</w:t>
      </w:r>
    </w:p>
    <w:p w14:paraId="73B27E4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（六）充足有效的相关证明材料；如果涉及到产品功能或技术指标的，应出具相关制造商的证明文件；</w:t>
      </w:r>
    </w:p>
    <w:p w14:paraId="6EFFB56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（七）质疑材料中有外文资料的，应一并附上中文译本，并以中文译本为准。</w:t>
      </w:r>
    </w:p>
    <w:p w14:paraId="6A5D493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（八）提起质疑的日期</w:t>
      </w:r>
    </w:p>
    <w:p w14:paraId="1D3F28C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商其他工作人员或代理人员在质疑书上的署名不具有法律效力。</w:t>
      </w:r>
    </w:p>
    <w:p w14:paraId="138E653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31.3供应商委托代理人办理质疑事宜，应当提交授权委托书，并载明委托代理的具体权限和事项。授权委托书应当由委托人签字并加盖单位公章。</w:t>
      </w:r>
    </w:p>
    <w:p w14:paraId="3C366D5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31.4提交质疑书时，供应商应同时提交本人身份证，委托他人代理质疑事宜的，还应提交被委托人的身份证。供应商是法人的，应一并提交法人营业执照和法定代表人身份证；供应商是其他组织的，应一并提交其他组织经营许可证和主要负责人身份证。供应商应当提供上述证明材料的原件及复印件，原件经采购人核对无误后返还。</w:t>
      </w:r>
    </w:p>
    <w:p w14:paraId="0982F01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31.5质疑书提交方式。供应商或者其委托代理人应当当面提交质疑书及相关证明材料。供应商以电子邮件、传真等其他方式提交质疑书及相关证明材料的，或者不是供应商或者其委托代理人提交质疑书及相关证明材料的，采购人或采购机构可以拒收。</w:t>
      </w:r>
    </w:p>
    <w:p w14:paraId="18498A8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31.6供应商不得虚假质疑和恶意质疑，并对质疑内容的真实性承担责任。供应商或者其他利害关系人通过捏造事实、伪造证明材料等方式提出异议或投诉，阻碍磋商活动正常进行的，属于严重不良行为，采购人将提请财政部门将其列入不良行为记录名单，并依法予以处罚。</w:t>
      </w:r>
    </w:p>
    <w:p w14:paraId="7E38F24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31.7采购人将在收到符合上述条件的书面质疑后7个工作日内审查质疑事项，作出答复或相关处理决定，并以书面形式通知质疑供应商和其他有关供应商，但答复的内容不涉及商业秘密。若质疑涉及磋商制度或程序，将被转交政府采购的管理部门审查。采购人遵循“谁过错谁负担”的原则，有过错的一方承担调查论证费用。</w:t>
      </w:r>
    </w:p>
    <w:p w14:paraId="655FB356">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31.8质疑供应商对采购人的答复不满意以及采购人未在规定的时间内做出答复的， 可以在答复期满后15个工作日内向财政部门。</w:t>
      </w:r>
    </w:p>
    <w:p w14:paraId="324A0EF7">
      <w:pPr>
        <w:pStyle w:val="16"/>
        <w:ind w:firstLine="200"/>
        <w:rPr>
          <w:rFonts w:hint="eastAsia"/>
          <w:color w:val="000000" w:themeColor="text1"/>
          <w:highlight w:val="none"/>
          <w14:textFill>
            <w14:solidFill>
              <w14:schemeClr w14:val="tx1"/>
            </w14:solidFill>
          </w14:textFill>
        </w:rPr>
      </w:pPr>
    </w:p>
    <w:p w14:paraId="3AC6D8FF">
      <w:pPr>
        <w:keepNext/>
        <w:keepLines/>
        <w:spacing w:before="340" w:after="330" w:line="440" w:lineRule="exact"/>
        <w:ind w:firstLine="482" w:firstLineChars="200"/>
        <w:jc w:val="center"/>
        <w:outlineLvl w:val="0"/>
        <w:rPr>
          <w:rFonts w:asciiTheme="minorEastAsia" w:hAnsiTheme="minorEastAsia" w:eastAsiaTheme="minorEastAsia"/>
          <w:b/>
          <w:bCs/>
          <w:color w:val="000000" w:themeColor="text1"/>
          <w:kern w:val="44"/>
          <w:sz w:val="24"/>
          <w:highlight w:val="none"/>
          <w14:textFill>
            <w14:solidFill>
              <w14:schemeClr w14:val="tx1"/>
            </w14:solidFill>
          </w14:textFill>
        </w:rPr>
      </w:pPr>
      <w:bookmarkStart w:id="205" w:name="_Toc171612835"/>
      <w:bookmarkStart w:id="206" w:name="_Toc101344072"/>
      <w:bookmarkStart w:id="207" w:name="_Toc171608856"/>
      <w:bookmarkStart w:id="208" w:name="_Toc171612794"/>
      <w:bookmarkStart w:id="209" w:name="_Toc173510807"/>
      <w:r>
        <w:rPr>
          <w:rFonts w:hint="eastAsia" w:asciiTheme="minorEastAsia" w:hAnsiTheme="minorEastAsia" w:eastAsiaTheme="minorEastAsia"/>
          <w:b/>
          <w:bCs/>
          <w:color w:val="000000" w:themeColor="text1"/>
          <w:kern w:val="44"/>
          <w:sz w:val="24"/>
          <w:highlight w:val="none"/>
          <w14:textFill>
            <w14:solidFill>
              <w14:schemeClr w14:val="tx1"/>
            </w14:solidFill>
          </w14:textFill>
        </w:rPr>
        <w:t>第三章</w:t>
      </w:r>
      <w:bookmarkStart w:id="210" w:name="_Toc27573769"/>
      <w:r>
        <w:rPr>
          <w:rFonts w:hint="eastAsia" w:asciiTheme="minorEastAsia" w:hAnsiTheme="minorEastAsia" w:eastAsiaTheme="minorEastAsia"/>
          <w:b/>
          <w:bCs/>
          <w:color w:val="000000" w:themeColor="text1"/>
          <w:kern w:val="44"/>
          <w:sz w:val="24"/>
          <w:highlight w:val="none"/>
          <w14:textFill>
            <w14:solidFill>
              <w14:schemeClr w14:val="tx1"/>
            </w14:solidFill>
          </w14:textFill>
        </w:rPr>
        <w:t xml:space="preserve"> 服务内容与</w:t>
      </w:r>
      <w:bookmarkEnd w:id="210"/>
      <w:r>
        <w:rPr>
          <w:rFonts w:hint="eastAsia" w:asciiTheme="minorEastAsia" w:hAnsiTheme="minorEastAsia" w:eastAsiaTheme="minorEastAsia"/>
          <w:b/>
          <w:bCs/>
          <w:color w:val="000000" w:themeColor="text1"/>
          <w:kern w:val="44"/>
          <w:sz w:val="24"/>
          <w:highlight w:val="none"/>
          <w14:textFill>
            <w14:solidFill>
              <w14:schemeClr w14:val="tx1"/>
            </w14:solidFill>
          </w14:textFill>
        </w:rPr>
        <w:t>相关要求</w:t>
      </w:r>
      <w:bookmarkEnd w:id="205"/>
      <w:bookmarkEnd w:id="206"/>
      <w:bookmarkEnd w:id="207"/>
      <w:bookmarkEnd w:id="208"/>
      <w:bookmarkEnd w:id="209"/>
    </w:p>
    <w:p w14:paraId="54A7258A">
      <w:pPr>
        <w:spacing w:line="440" w:lineRule="exact"/>
        <w:ind w:firstLine="482"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一.技术要求</w:t>
      </w:r>
    </w:p>
    <w:p w14:paraId="5B1055A5">
      <w:pPr>
        <w:spacing w:line="44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1.总体要求</w:t>
      </w:r>
    </w:p>
    <w:p w14:paraId="28D46829">
      <w:pPr>
        <w:spacing w:line="44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成交供应商应承诺严格按照国家及河南省政府关于政府采购的有关法律法规及政策，规范操作，杜绝违法违规事件。</w:t>
      </w:r>
    </w:p>
    <w:p w14:paraId="2993BA79">
      <w:pPr>
        <w:spacing w:line="44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2.监督抽检品种、项目要求</w:t>
      </w:r>
    </w:p>
    <w:p w14:paraId="3E3D2D91">
      <w:pPr>
        <w:spacing w:line="44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成交标供应商应依据国家市场监督管理总局有关食品、产品安全标准，承担标签检测、性状检验、理化检验、微生物检测、农药检测、兽药检测、重金属检测、营养指标检测等任务（具体品种和批次见附表）。如涉及相关科室、直属机构检测品种、项目有其他具体要求的，按照相关科室、直属机构要求执行。</w:t>
      </w:r>
    </w:p>
    <w:p w14:paraId="09CA00D8">
      <w:pPr>
        <w:spacing w:line="44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蔬菜、水果应选择以本地生产的、时令季节的蔬菜、水果。</w:t>
      </w:r>
    </w:p>
    <w:p w14:paraId="4001BC4F">
      <w:pPr>
        <w:spacing w:line="44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3.抽检费用要求</w:t>
      </w:r>
    </w:p>
    <w:p w14:paraId="773F343D">
      <w:pPr>
        <w:spacing w:line="44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抽样检测费用按实际批次和检验项目结算，购买样品费用（产品除外）和抽样产生费用包含在检测项目费用里，费用由承检方先行垫付，待检验和复检工作全部完成后，承检方须向委托方汇总检测经费，问委托方提供合法、真实有效的检验费用标准，经委托方认可后，按中标价格进行结算。</w:t>
      </w:r>
    </w:p>
    <w:p w14:paraId="045F8AFC">
      <w:pPr>
        <w:spacing w:line="44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4.单位场地</w:t>
      </w:r>
    </w:p>
    <w:p w14:paraId="754898F9">
      <w:pPr>
        <w:spacing w:line="44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1）有满足检测工作需要的、独立的、固定的检测场地。</w:t>
      </w:r>
    </w:p>
    <w:p w14:paraId="3B235D41">
      <w:pPr>
        <w:spacing w:line="44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2）具有格局合理的微生物检验区和理化检验区；</w:t>
      </w:r>
    </w:p>
    <w:p w14:paraId="3F628939">
      <w:pPr>
        <w:spacing w:line="44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抽检工作满足24小时抽样并能保证检验样品能在最科学合理的时间内送到实验室的措施和技术力量，确保检验样品在运输过程中不会受到污染的措施和技术力量，确保检测数据真实有效、科学客观的措施和技术力量。</w:t>
      </w:r>
    </w:p>
    <w:p w14:paraId="2551973E">
      <w:pPr>
        <w:spacing w:line="44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5.设备配备情况</w:t>
      </w:r>
    </w:p>
    <w:p w14:paraId="2697C4E6">
      <w:pPr>
        <w:spacing w:line="44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1）具有满足检测的仪器设备</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有满足检测需求的气相色谱、液相色谱、质谱仪、原子吸收分光光度计、原子荧光分光光度计等。</w:t>
      </w:r>
    </w:p>
    <w:p w14:paraId="4B3D4F19">
      <w:pPr>
        <w:spacing w:line="44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2）实验室食品检测仪器设备充足，能满足检测需要；</w:t>
      </w:r>
    </w:p>
    <w:p w14:paraId="0C8830C8">
      <w:pPr>
        <w:spacing w:line="44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6.应急抽检快速反应能力</w:t>
      </w:r>
    </w:p>
    <w:p w14:paraId="14F641CE">
      <w:pPr>
        <w:spacing w:line="44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成交供应商必需保证接到</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olor w:val="000000" w:themeColor="text1"/>
          <w:sz w:val="24"/>
          <w:highlight w:val="none"/>
          <w14:textFill>
            <w14:solidFill>
              <w14:schemeClr w14:val="tx1"/>
            </w14:solidFill>
          </w14:textFill>
        </w:rPr>
        <w:t>应急抽检要求后，</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z w:val="24"/>
          <w:highlight w:val="none"/>
          <w14:textFill>
            <w14:solidFill>
              <w14:schemeClr w14:val="tx1"/>
            </w14:solidFill>
          </w14:textFill>
        </w:rPr>
        <w:t>小时内到达指定地点开展应急抽检工作。</w:t>
      </w:r>
    </w:p>
    <w:p w14:paraId="596339BB">
      <w:pPr>
        <w:spacing w:line="440" w:lineRule="exact"/>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7、人员配置要求：所投产品的抽检工作项目团队要求岗位配置合理，人员分工明确，专业合理、全面，经验丰富。在人员配置、作业管理、质量控制等相关方面不能满足招标文件的相关要求或没有实现</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响应性文件</w:t>
      </w:r>
      <w:r>
        <w:rPr>
          <w:rFonts w:hint="eastAsia" w:asciiTheme="minorEastAsia" w:hAnsiTheme="minorEastAsia" w:eastAsiaTheme="minorEastAsia"/>
          <w:color w:val="000000" w:themeColor="text1"/>
          <w:sz w:val="24"/>
          <w:highlight w:val="none"/>
          <w14:textFill>
            <w14:solidFill>
              <w14:schemeClr w14:val="tx1"/>
            </w14:solidFill>
          </w14:textFill>
        </w:rPr>
        <w:t>中的相关承诺，采购人有权单方面解除合同，并保留追究其法律责任的权利。</w:t>
      </w:r>
    </w:p>
    <w:p w14:paraId="2B6D5984">
      <w:pPr>
        <w:spacing w:line="440" w:lineRule="exact"/>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8、实验室要求：投标人应具有优良的实验室环境，配备完善的检测设备保障本项目高质量有序进行。所配备仪器设备能够有效支撑完成检验项目，精度适宜、数量充足。试验场所环境优良、产品检验的环境条件控制充分。</w:t>
      </w:r>
    </w:p>
    <w:p w14:paraId="1DA86558">
      <w:pPr>
        <w:spacing w:line="440" w:lineRule="exact"/>
        <w:ind w:firstLine="482" w:firstLineChars="200"/>
        <w:jc w:val="left"/>
        <w:rPr>
          <w:rFonts w:hint="eastAsia"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二、抽检工作的具体内容及要求：</w:t>
      </w:r>
    </w:p>
    <w:p w14:paraId="5F41A194">
      <w:pPr>
        <w:spacing w:line="440" w:lineRule="exact"/>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1、各</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成交人</w:t>
      </w:r>
      <w:r>
        <w:rPr>
          <w:rFonts w:hint="eastAsia" w:asciiTheme="minorEastAsia" w:hAnsiTheme="minorEastAsia" w:eastAsiaTheme="minorEastAsia"/>
          <w:color w:val="000000" w:themeColor="text1"/>
          <w:sz w:val="24"/>
          <w:highlight w:val="none"/>
          <w14:textFill>
            <w14:solidFill>
              <w14:schemeClr w14:val="tx1"/>
            </w14:solidFill>
          </w14:textFill>
        </w:rPr>
        <w:t>应在规定的任务时间内，严格按照《中华人民共和国产品质量法》、《产品质量监督抽查管理暂行办法》、抽样检验工作任务布置要求等开展此项工作。未经采购人同意，不得擅自延期。根据工作需要可要求进行企业标准和有关项目指标的检验检测。</w:t>
      </w:r>
    </w:p>
    <w:p w14:paraId="6B9BE158">
      <w:pPr>
        <w:spacing w:line="440" w:lineRule="exact"/>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2、依据产品所执行的相关标准、相关法律法规及国家有关规定、相关产品的国家监督抽查技术方案、抽查实施细则抽取检验样品。</w:t>
      </w:r>
    </w:p>
    <w:p w14:paraId="71A72900">
      <w:pPr>
        <w:spacing w:line="440" w:lineRule="exact"/>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3、抽查产品类别：项目抽查、检测产品种类、技术项目由采购方确定，抽查产品包括但不限于已列出的产品。</w:t>
      </w:r>
    </w:p>
    <w:p w14:paraId="568BD7BD">
      <w:pPr>
        <w:spacing w:line="440" w:lineRule="exact"/>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成交人</w:t>
      </w:r>
      <w:r>
        <w:rPr>
          <w:rFonts w:hint="eastAsia" w:asciiTheme="minorEastAsia" w:hAnsiTheme="minorEastAsia" w:eastAsiaTheme="minorEastAsia"/>
          <w:color w:val="000000" w:themeColor="text1"/>
          <w:sz w:val="24"/>
          <w:highlight w:val="none"/>
          <w14:textFill>
            <w14:solidFill>
              <w14:schemeClr w14:val="tx1"/>
            </w14:solidFill>
          </w14:textFill>
        </w:rPr>
        <w:t>应负责所投标段中任务涉及的样品抽取、文书填写、样品收寄、样品检验、数据记录保存、结果上报送达和质量技术分析等工作。</w:t>
      </w:r>
    </w:p>
    <w:p w14:paraId="76723682">
      <w:pPr>
        <w:spacing w:line="440" w:lineRule="exact"/>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 w:val="24"/>
          <w:highlight w:val="none"/>
          <w14:textFill>
            <w14:solidFill>
              <w14:schemeClr w14:val="tx1"/>
            </w14:solidFill>
          </w14:textFill>
        </w:rPr>
        <w:t>、抽查产品的样品、采样地点（场所）由省市场监督管理局或其授权的市、县市场监管部门确定，</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成交人</w:t>
      </w:r>
      <w:r>
        <w:rPr>
          <w:rFonts w:hint="eastAsia" w:asciiTheme="minorEastAsia" w:hAnsiTheme="minorEastAsia" w:eastAsiaTheme="minorEastAsia"/>
          <w:color w:val="000000" w:themeColor="text1"/>
          <w:sz w:val="24"/>
          <w:highlight w:val="none"/>
          <w14:textFill>
            <w14:solidFill>
              <w14:schemeClr w14:val="tx1"/>
            </w14:solidFill>
          </w14:textFill>
        </w:rPr>
        <w:t>需提供技术安全支持服务，确保顺利完成采（购）样工作。</w:t>
      </w:r>
    </w:p>
    <w:p w14:paraId="17EA696B">
      <w:pPr>
        <w:spacing w:line="440" w:lineRule="exact"/>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成交人</w:t>
      </w:r>
      <w:r>
        <w:rPr>
          <w:rFonts w:hint="eastAsia" w:asciiTheme="minorEastAsia" w:hAnsiTheme="minorEastAsia" w:eastAsiaTheme="minorEastAsia"/>
          <w:color w:val="000000" w:themeColor="text1"/>
          <w:sz w:val="24"/>
          <w:highlight w:val="none"/>
          <w14:textFill>
            <w14:solidFill>
              <w14:schemeClr w14:val="tx1"/>
            </w14:solidFill>
          </w14:textFill>
        </w:rPr>
        <w:t>对抽取和检验的样品负责，抽取的样品应满足检验要求，检验结果反映样品真实状况。若因</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成交人</w:t>
      </w:r>
      <w:r>
        <w:rPr>
          <w:rFonts w:hint="eastAsia" w:asciiTheme="minorEastAsia" w:hAnsiTheme="minorEastAsia" w:eastAsiaTheme="minorEastAsia"/>
          <w:color w:val="000000" w:themeColor="text1"/>
          <w:sz w:val="24"/>
          <w:highlight w:val="none"/>
          <w14:textFill>
            <w14:solidFill>
              <w14:schemeClr w14:val="tx1"/>
            </w14:solidFill>
          </w14:textFill>
        </w:rPr>
        <w:t>自身原因造成样品失效、丢失或其他因素造成无法实施检验而影响检验进度的，采购人将追究其相关责任，并有权单方面解除合同，过程中所产生的费用采购人将不予支付，并保留追究其法律责任的权利。</w:t>
      </w:r>
    </w:p>
    <w:p w14:paraId="4DA0CB4A">
      <w:pPr>
        <w:spacing w:line="440" w:lineRule="exact"/>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成交人</w:t>
      </w:r>
      <w:r>
        <w:rPr>
          <w:rFonts w:hint="eastAsia" w:asciiTheme="minorEastAsia" w:hAnsiTheme="minorEastAsia" w:eastAsiaTheme="minorEastAsia"/>
          <w:color w:val="000000" w:themeColor="text1"/>
          <w:sz w:val="24"/>
          <w:highlight w:val="none"/>
          <w14:textFill>
            <w14:solidFill>
              <w14:schemeClr w14:val="tx1"/>
            </w14:solidFill>
          </w14:textFill>
        </w:rPr>
        <w:t>要按照采购人要求做好样品交接、保管、运输工作；废弃物应依法进行无害化处理。承担危险化学品、易燃易爆品抽查检验的</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成交人</w:t>
      </w:r>
      <w:r>
        <w:rPr>
          <w:rFonts w:hint="eastAsia" w:asciiTheme="minorEastAsia" w:hAnsiTheme="minorEastAsia" w:eastAsiaTheme="minorEastAsia"/>
          <w:color w:val="000000" w:themeColor="text1"/>
          <w:sz w:val="24"/>
          <w:highlight w:val="none"/>
          <w14:textFill>
            <w14:solidFill>
              <w14:schemeClr w14:val="tx1"/>
            </w14:solidFill>
          </w14:textFill>
        </w:rPr>
        <w:t>要严格遵守相关规定，认真做好样品抽取、储存、运输和保管等工作并对生产安全负完全责任。</w:t>
      </w:r>
    </w:p>
    <w:p w14:paraId="5D757709">
      <w:pPr>
        <w:spacing w:line="440" w:lineRule="exact"/>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8</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成交人</w:t>
      </w:r>
      <w:r>
        <w:rPr>
          <w:rFonts w:hint="eastAsia" w:asciiTheme="minorEastAsia" w:hAnsiTheme="minorEastAsia" w:eastAsiaTheme="minorEastAsia"/>
          <w:color w:val="000000" w:themeColor="text1"/>
          <w:sz w:val="24"/>
          <w:highlight w:val="none"/>
          <w14:textFill>
            <w14:solidFill>
              <w14:schemeClr w14:val="tx1"/>
            </w14:solidFill>
          </w14:textFill>
        </w:rPr>
        <w:t>由于虚假、错误检验数据和结论而给被检验人造成损失的，或者给社会带来不良影响的，承检机构应当负责赔偿，并承担相应法律责任。</w:t>
      </w:r>
    </w:p>
    <w:p w14:paraId="4F222599">
      <w:pPr>
        <w:spacing w:line="440" w:lineRule="exact"/>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9</w:t>
      </w:r>
      <w:r>
        <w:rPr>
          <w:rFonts w:hint="eastAsia" w:asciiTheme="minorEastAsia" w:hAnsiTheme="minorEastAsia" w:eastAsiaTheme="minorEastAsia"/>
          <w:color w:val="000000" w:themeColor="text1"/>
          <w:sz w:val="24"/>
          <w:highlight w:val="none"/>
          <w14:textFill>
            <w14:solidFill>
              <w14:schemeClr w14:val="tx1"/>
            </w14:solidFill>
          </w14:textFill>
        </w:rPr>
        <w:t>、备份样品复检工作采购人可以另行指定的承检机构进行，</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成交人</w:t>
      </w:r>
      <w:r>
        <w:rPr>
          <w:rFonts w:hint="eastAsia" w:asciiTheme="minorEastAsia" w:hAnsiTheme="minorEastAsia" w:eastAsiaTheme="minorEastAsia"/>
          <w:color w:val="000000" w:themeColor="text1"/>
          <w:sz w:val="24"/>
          <w:highlight w:val="none"/>
          <w14:textFill>
            <w14:solidFill>
              <w14:schemeClr w14:val="tx1"/>
            </w14:solidFill>
          </w14:textFill>
        </w:rPr>
        <w:t>由于虚假、错误检验数据和结论而给被检验人造成损失的，或者给社会带来不良影响的，</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成交人</w:t>
      </w:r>
      <w:r>
        <w:rPr>
          <w:rFonts w:hint="eastAsia" w:asciiTheme="minorEastAsia" w:hAnsiTheme="minorEastAsia" w:eastAsiaTheme="minorEastAsia"/>
          <w:color w:val="000000" w:themeColor="text1"/>
          <w:sz w:val="24"/>
          <w:highlight w:val="none"/>
          <w14:textFill>
            <w14:solidFill>
              <w14:schemeClr w14:val="tx1"/>
            </w14:solidFill>
          </w14:textFill>
        </w:rPr>
        <w:t>应当负责赔偿，并承担相应法律责任。</w:t>
      </w:r>
    </w:p>
    <w:p w14:paraId="7FDB14BF">
      <w:pPr>
        <w:spacing w:line="440" w:lineRule="exact"/>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0</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成交人</w:t>
      </w:r>
      <w:r>
        <w:rPr>
          <w:rFonts w:hint="eastAsia" w:asciiTheme="minorEastAsia" w:hAnsiTheme="minorEastAsia" w:eastAsiaTheme="minorEastAsia"/>
          <w:color w:val="000000" w:themeColor="text1"/>
          <w:sz w:val="24"/>
          <w:highlight w:val="none"/>
          <w14:textFill>
            <w14:solidFill>
              <w14:schemeClr w14:val="tx1"/>
            </w14:solidFill>
          </w14:textFill>
        </w:rPr>
        <w:t>不得以任何方式转包或挂靠本项目。确需要分包的，须经采购人同意。如发现</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成交人</w:t>
      </w:r>
      <w:r>
        <w:rPr>
          <w:rFonts w:hint="eastAsia" w:asciiTheme="minorEastAsia" w:hAnsiTheme="minorEastAsia" w:eastAsiaTheme="minorEastAsia"/>
          <w:color w:val="000000" w:themeColor="text1"/>
          <w:sz w:val="24"/>
          <w:highlight w:val="none"/>
          <w14:textFill>
            <w14:solidFill>
              <w14:schemeClr w14:val="tx1"/>
            </w14:solidFill>
          </w14:textFill>
        </w:rPr>
        <w:t>以转包或挂靠的方式谋取中标，采购人有权解除合同、并要求赔偿相关损失。</w:t>
      </w:r>
    </w:p>
    <w:p w14:paraId="5AADB4E1">
      <w:pPr>
        <w:spacing w:line="440" w:lineRule="exact"/>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成交人</w:t>
      </w:r>
      <w:r>
        <w:rPr>
          <w:rFonts w:hint="eastAsia" w:asciiTheme="minorEastAsia" w:hAnsiTheme="minorEastAsia" w:eastAsiaTheme="minorEastAsia"/>
          <w:color w:val="000000" w:themeColor="text1"/>
          <w:sz w:val="24"/>
          <w:highlight w:val="none"/>
          <w14:textFill>
            <w14:solidFill>
              <w14:schemeClr w14:val="tx1"/>
            </w14:solidFill>
          </w14:textFill>
        </w:rPr>
        <w:t>及其人员应对在所承担项目中知悉的国家秘密、商业秘密切实做好保密工作，如（但不限于）：承担检验工作过程中的企业样品信息、检验数据及结果等，不得以任何形式对外泄露。</w:t>
      </w:r>
    </w:p>
    <w:p w14:paraId="294046DD">
      <w:pPr>
        <w:spacing w:line="440" w:lineRule="exact"/>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、采购人有权在签订合同时对项目方案（非实质性条款）作协商修改。</w:t>
      </w:r>
    </w:p>
    <w:p w14:paraId="1A338248">
      <w:pPr>
        <w:spacing w:line="440" w:lineRule="exact"/>
        <w:ind w:firstLine="482" w:firstLineChars="200"/>
        <w:jc w:val="left"/>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三、管理要求</w:t>
      </w:r>
    </w:p>
    <w:p w14:paraId="6641701A">
      <w:pPr>
        <w:spacing w:line="44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各成交供应商应接受灵宝市市场监督管理局的各项规定，切实享受各项权利，严格履行承诺的义务，依法依规做好项目服务，并接受以下各项管理要求：</w:t>
      </w:r>
    </w:p>
    <w:p w14:paraId="5EEDA499">
      <w:pPr>
        <w:spacing w:line="44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一）成交供应商确定后，根据自愿的原则由采购方相关科室（直属单位）与成交供应商达成委托意向，由县局与成交供应商签订委托协议书。本文件未尽事宜，由采购方与成交供应商协商后在协议书中进一步明确。</w:t>
      </w:r>
    </w:p>
    <w:p w14:paraId="0DA4E923">
      <w:pPr>
        <w:spacing w:line="44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（二）成交供应商应严格按照有关法律法规规定依法组织抽样、检验、产品贮藏、留样及检验报告送达等工作；应遵守统一服务承诺，做好各项服务工作，认真履行义务。</w:t>
      </w:r>
    </w:p>
    <w:p w14:paraId="249AD48F">
      <w:pPr>
        <w:spacing w:line="44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（三）在服务期内，成交供应商必须接受灵宝市政府食安办、市场监督管理局及相关科室的管理，项目完成后，成交供应商完成一份高质量的食品安全质量分析报告。 </w:t>
      </w:r>
    </w:p>
    <w:p w14:paraId="7D5E2C25">
      <w:pPr>
        <w:spacing w:line="44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（四）业务建档制度：成交供应商须针对灵宝市市场监督管理局食品检测业务建立单独的业务档案资料。</w:t>
      </w:r>
    </w:p>
    <w:p w14:paraId="354B359D">
      <w:pPr>
        <w:spacing w:line="44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（五）投诉制度：灵宝市市场监督管理局及相关科室有权对检测机构监督投诉。</w:t>
      </w:r>
    </w:p>
    <w:p w14:paraId="63DE9D94">
      <w:pPr>
        <w:spacing w:line="44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（六）违规处理：采购人可就成交供应商是否规范执行相关法律法规等方面进行监督检查，对化验室各电子数据进行溯源。如发现违规情况，根据具体情况分别采取警告、暂停抽检计划、取消资格等措施。</w:t>
      </w:r>
    </w:p>
    <w:p w14:paraId="6E0A1819">
      <w:pPr>
        <w:spacing w:line="44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具体如下：</w:t>
      </w:r>
    </w:p>
    <w:p w14:paraId="07463B8A">
      <w:pPr>
        <w:spacing w:line="44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未按照规定要求开展抽样、检验、产品贮藏、留样及检验报告送达，未按照规定时间和要求上报抽检结果（包括检测报告、汇总表及质量分析报告）的，发现1次给予警告，2次暂停下一期抽检任务，3次取消资格；</w:t>
      </w:r>
    </w:p>
    <w:p w14:paraId="17DA01C7">
      <w:pPr>
        <w:spacing w:line="440" w:lineRule="exact"/>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2.针对中途放弃或恶意中标的承检单位，暂停该承检单位的抽检任务；</w:t>
      </w:r>
    </w:p>
    <w:p w14:paraId="7633E0B6">
      <w:pPr>
        <w:spacing w:line="440" w:lineRule="exact"/>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3.响应文件中存在虚报、错报、骗取检测资质行为的，直接取消抽检资格。</w:t>
      </w:r>
    </w:p>
    <w:p w14:paraId="44335418">
      <w:pPr>
        <w:spacing w:line="440" w:lineRule="exact"/>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4.其他未明确的违规行为，根据具体情况酌情处理。</w:t>
      </w:r>
    </w:p>
    <w:p w14:paraId="0AF4FA1D">
      <w:pPr>
        <w:spacing w:line="440" w:lineRule="exact"/>
        <w:ind w:firstLine="482" w:firstLineChars="200"/>
        <w:jc w:val="left"/>
        <w:rPr>
          <w:rFonts w:hint="eastAsia"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四、其他要求：</w:t>
      </w:r>
    </w:p>
    <w:p w14:paraId="7477F9AB">
      <w:pPr>
        <w:spacing w:line="440" w:lineRule="exact"/>
        <w:ind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1、报价要求：投标报价包含完成该项目所需的购样费、差旅费、人工费、邮递费、运输费、检测费、数据审核、检测废料无害化处置、样品残值处置、保险费、税金及承诺义务等所有相关费用（产品除外）。</w:t>
      </w:r>
    </w:p>
    <w:p w14:paraId="20976A2A">
      <w:pPr>
        <w:spacing w:line="440" w:lineRule="exact"/>
        <w:ind w:firstLine="480" w:firstLineChars="200"/>
        <w:jc w:val="left"/>
        <w:rPr>
          <w:rFonts w:hint="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2、付款方式：</w:t>
      </w:r>
      <w:r>
        <w:rPr>
          <w:rFonts w:hint="eastAsia" w:ascii="宋体" w:hAnsi="宋体"/>
          <w:color w:val="000000" w:themeColor="text1"/>
          <w:sz w:val="24"/>
          <w:highlight w:val="none"/>
          <w14:textFill>
            <w14:solidFill>
              <w14:schemeClr w14:val="tx1"/>
            </w14:solidFill>
          </w14:textFill>
        </w:rPr>
        <w:t>抽样检测费用按实际批次和检验项目结算，检测购买样品费用和抽检产生费用包含在项目检测费用里（注：产品类不包含购买样品费用，费用由乙方先行垫付，待检验和复检工作全部完成后，乙方按照实际抽检批次和成交项目单价合计抽样检测费用，经甲方认可后，向甲方提供合法、真实、有效的检测费用发票、样品清单等资料，每季度结算一次）</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0131131E">
      <w:pPr>
        <w:rPr>
          <w:rFonts w:hint="eastAsia"/>
          <w:color w:val="000000" w:themeColor="text1"/>
          <w:highlight w:val="none"/>
          <w14:textFill>
            <w14:solidFill>
              <w14:schemeClr w14:val="tx1"/>
            </w14:solidFill>
          </w14:textFill>
        </w:rPr>
      </w:pPr>
    </w:p>
    <w:p w14:paraId="7A2E1431">
      <w:pPr>
        <w:autoSpaceDE w:val="0"/>
        <w:autoSpaceDN w:val="0"/>
        <w:adjustRightInd w:val="0"/>
        <w:spacing w:line="360" w:lineRule="auto"/>
        <w:jc w:val="left"/>
        <w:rPr>
          <w:rFonts w:hint="eastAsia" w:asciiTheme="minorEastAsia" w:hAnsiTheme="minorEastAsia" w:eastAsiaTheme="minorEastAsia"/>
          <w:b/>
          <w:bCs/>
          <w:color w:val="000000" w:themeColor="text1"/>
          <w:sz w:val="24"/>
          <w:highlight w:val="none"/>
          <w14:textFill>
            <w14:solidFill>
              <w14:schemeClr w14:val="tx1"/>
            </w14:solidFill>
          </w14:textFill>
        </w:rPr>
      </w:pPr>
    </w:p>
    <w:p w14:paraId="7C164920">
      <w:pPr>
        <w:autoSpaceDE w:val="0"/>
        <w:autoSpaceDN w:val="0"/>
        <w:adjustRightInd w:val="0"/>
        <w:spacing w:line="360" w:lineRule="auto"/>
        <w:jc w:val="left"/>
        <w:rPr>
          <w:rFonts w:hint="eastAsia" w:asciiTheme="minorEastAsia" w:hAnsiTheme="minorEastAsia" w:eastAsiaTheme="minorEastAsia"/>
          <w:b/>
          <w:bCs/>
          <w:color w:val="000000" w:themeColor="text1"/>
          <w:sz w:val="24"/>
          <w:highlight w:val="none"/>
          <w14:textFill>
            <w14:solidFill>
              <w14:schemeClr w14:val="tx1"/>
            </w14:solidFill>
          </w14:textFill>
        </w:rPr>
      </w:pPr>
    </w:p>
    <w:p w14:paraId="0B778816">
      <w:pPr>
        <w:autoSpaceDE w:val="0"/>
        <w:autoSpaceDN w:val="0"/>
        <w:adjustRightInd w:val="0"/>
        <w:spacing w:line="360" w:lineRule="auto"/>
        <w:jc w:val="left"/>
        <w:rPr>
          <w:rFonts w:hint="eastAsia" w:asciiTheme="minorEastAsia" w:hAnsiTheme="minorEastAsia" w:eastAsiaTheme="minorEastAsia"/>
          <w:b/>
          <w:bCs/>
          <w:color w:val="000000" w:themeColor="text1"/>
          <w:sz w:val="24"/>
          <w:highlight w:val="none"/>
          <w14:textFill>
            <w14:solidFill>
              <w14:schemeClr w14:val="tx1"/>
            </w14:solidFill>
          </w14:textFill>
        </w:rPr>
      </w:pPr>
    </w:p>
    <w:p w14:paraId="50728ECE">
      <w:pPr>
        <w:pStyle w:val="51"/>
        <w:rPr>
          <w:rFonts w:hint="eastAsia"/>
        </w:rPr>
        <w:sectPr>
          <w:footerReference r:id="rId4" w:type="default"/>
          <w:pgSz w:w="11910" w:h="16840"/>
          <w:pgMar w:top="1361" w:right="1361" w:bottom="1361" w:left="1340" w:header="720" w:footer="720" w:gutter="0"/>
          <w:pgNumType w:fmt="decimal"/>
          <w:cols w:space="720" w:num="1"/>
        </w:sectPr>
      </w:pPr>
    </w:p>
    <w:p w14:paraId="26A85DB6">
      <w:pPr>
        <w:pStyle w:val="51"/>
        <w:keepNext w:val="0"/>
        <w:keepLines w:val="0"/>
        <w:pageBreakBefore w:val="0"/>
        <w:kinsoku/>
        <w:wordWrap/>
        <w:overflowPunct/>
        <w:topLinePunct w:val="0"/>
        <w:autoSpaceDE/>
        <w:autoSpaceDN/>
        <w:bidi w:val="0"/>
        <w:adjustRightInd/>
        <w:snapToGrid/>
        <w:ind w:left="0" w:right="0"/>
        <w:jc w:val="center"/>
        <w:rPr>
          <w:rFonts w:hint="eastAsia"/>
        </w:rPr>
      </w:pPr>
    </w:p>
    <w:p w14:paraId="3C256FB5">
      <w:pPr>
        <w:keepNext w:val="0"/>
        <w:keepLines w:val="0"/>
        <w:pageBreakBefore w:val="0"/>
        <w:tabs>
          <w:tab w:val="left" w:pos="697"/>
        </w:tabs>
        <w:kinsoku/>
        <w:wordWrap/>
        <w:overflowPunct/>
        <w:topLinePunct w:val="0"/>
        <w:autoSpaceDE/>
        <w:autoSpaceDN/>
        <w:bidi w:val="0"/>
        <w:adjustRightInd/>
        <w:snapToGrid/>
        <w:ind w:left="0" w:right="0"/>
        <w:jc w:val="center"/>
        <w:rPr>
          <w:rFonts w:hint="eastAsia" w:ascii="Arial Unicode MS" w:hAnsi="Arial Unicode MS" w:eastAsia="Arial Unicode MS" w:cs="Arial Unicode MS"/>
          <w:bCs/>
          <w:spacing w:val="0"/>
          <w:position w:val="0"/>
          <w:sz w:val="44"/>
          <w:szCs w:val="44"/>
          <w:lang w:val="en-US" w:eastAsia="zh-CN"/>
        </w:rPr>
      </w:pPr>
      <w:r>
        <w:rPr>
          <w:rFonts w:hint="eastAsia" w:ascii="Arial Unicode MS" w:hAnsi="Arial Unicode MS" w:eastAsia="Arial Unicode MS" w:cs="Arial Unicode MS"/>
          <w:bCs/>
          <w:spacing w:val="0"/>
          <w:position w:val="0"/>
          <w:sz w:val="44"/>
          <w:szCs w:val="44"/>
          <w:lang w:eastAsia="zh-CN"/>
        </w:rPr>
        <w:t>灵宝</w:t>
      </w:r>
      <w:r>
        <w:rPr>
          <w:rFonts w:hint="eastAsia" w:ascii="Arial Unicode MS" w:hAnsi="Arial Unicode MS" w:eastAsia="Arial Unicode MS" w:cs="Arial Unicode MS"/>
          <w:bCs/>
          <w:spacing w:val="0"/>
          <w:position w:val="0"/>
          <w:sz w:val="44"/>
          <w:szCs w:val="44"/>
        </w:rPr>
        <w:t>市202</w:t>
      </w:r>
      <w:r>
        <w:rPr>
          <w:rFonts w:hint="eastAsia" w:ascii="Arial Unicode MS" w:hAnsi="Arial Unicode MS" w:eastAsia="Arial Unicode MS" w:cs="Arial Unicode MS"/>
          <w:bCs/>
          <w:spacing w:val="0"/>
          <w:position w:val="0"/>
          <w:sz w:val="44"/>
          <w:szCs w:val="44"/>
          <w:lang w:val="en-US" w:eastAsia="zh-CN"/>
        </w:rPr>
        <w:t>5</w:t>
      </w:r>
      <w:r>
        <w:rPr>
          <w:rFonts w:hint="eastAsia" w:ascii="Arial Unicode MS" w:hAnsi="Arial Unicode MS" w:eastAsia="Arial Unicode MS" w:cs="Arial Unicode MS"/>
          <w:bCs/>
          <w:spacing w:val="0"/>
          <w:position w:val="0"/>
          <w:sz w:val="44"/>
          <w:szCs w:val="44"/>
        </w:rPr>
        <w:t>年市级食品安全抽检</w:t>
      </w:r>
      <w:r>
        <w:rPr>
          <w:rFonts w:hint="eastAsia" w:ascii="Arial Unicode MS" w:hAnsi="Arial Unicode MS" w:eastAsia="Arial Unicode MS" w:cs="Arial Unicode MS"/>
          <w:bCs/>
          <w:spacing w:val="0"/>
          <w:position w:val="0"/>
          <w:sz w:val="44"/>
          <w:szCs w:val="44"/>
          <w:lang w:val="en-US" w:eastAsia="zh-CN"/>
        </w:rPr>
        <w:t>表</w:t>
      </w:r>
    </w:p>
    <w:tbl>
      <w:tblPr>
        <w:tblStyle w:val="17"/>
        <w:tblpPr w:leftFromText="180" w:rightFromText="180" w:vertAnchor="text" w:horzAnchor="page" w:tblpX="1694" w:tblpY="1129"/>
        <w:tblOverlap w:val="never"/>
        <w:tblW w:w="14186"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7" w:type="dxa"/>
          <w:left w:w="17" w:type="dxa"/>
          <w:bottom w:w="17" w:type="dxa"/>
          <w:right w:w="17" w:type="dxa"/>
        </w:tblCellMar>
      </w:tblPr>
      <w:tblGrid>
        <w:gridCol w:w="726"/>
        <w:gridCol w:w="1418"/>
        <w:gridCol w:w="2268"/>
        <w:gridCol w:w="892"/>
        <w:gridCol w:w="6199"/>
        <w:gridCol w:w="1367"/>
        <w:gridCol w:w="1316"/>
      </w:tblGrid>
      <w:tr w14:paraId="2935916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90" w:hRule="atLeast"/>
        </w:trPr>
        <w:tc>
          <w:tcPr>
            <w:tcW w:w="726" w:type="dxa"/>
            <w:vAlign w:val="center"/>
          </w:tcPr>
          <w:p w14:paraId="415B408B">
            <w:pPr>
              <w:keepNext w:val="0"/>
              <w:keepLines w:val="0"/>
              <w:pageBreakBefore w:val="0"/>
              <w:widowControl/>
              <w:kinsoku/>
              <w:wordWrap/>
              <w:overflowPunct/>
              <w:topLinePunct w:val="0"/>
              <w:autoSpaceDE/>
              <w:autoSpaceDN/>
              <w:bidi w:val="0"/>
              <w:adjustRightInd/>
              <w:snapToGrid/>
              <w:spacing w:line="320" w:lineRule="exact"/>
              <w:ind w:left="0" w:right="0"/>
              <w:jc w:val="center"/>
              <w:textAlignment w:val="center"/>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序号</w:t>
            </w:r>
          </w:p>
        </w:tc>
        <w:tc>
          <w:tcPr>
            <w:tcW w:w="1418" w:type="dxa"/>
            <w:vAlign w:val="center"/>
          </w:tcPr>
          <w:p w14:paraId="782F91D3">
            <w:pPr>
              <w:keepNext w:val="0"/>
              <w:keepLines w:val="0"/>
              <w:pageBreakBefore w:val="0"/>
              <w:widowControl/>
              <w:kinsoku/>
              <w:wordWrap/>
              <w:overflowPunct/>
              <w:topLinePunct w:val="0"/>
              <w:autoSpaceDE/>
              <w:autoSpaceDN/>
              <w:bidi w:val="0"/>
              <w:adjustRightInd/>
              <w:snapToGrid/>
              <w:spacing w:line="320" w:lineRule="exact"/>
              <w:ind w:left="0" w:right="0"/>
              <w:jc w:val="center"/>
              <w:textAlignment w:val="center"/>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食品大类</w:t>
            </w:r>
          </w:p>
        </w:tc>
        <w:tc>
          <w:tcPr>
            <w:tcW w:w="2268" w:type="dxa"/>
            <w:vAlign w:val="center"/>
          </w:tcPr>
          <w:p w14:paraId="78FAD32E">
            <w:pPr>
              <w:keepNext w:val="0"/>
              <w:keepLines w:val="0"/>
              <w:pageBreakBefore w:val="0"/>
              <w:widowControl/>
              <w:kinsoku/>
              <w:wordWrap/>
              <w:overflowPunct/>
              <w:topLinePunct w:val="0"/>
              <w:autoSpaceDE/>
              <w:autoSpaceDN/>
              <w:bidi w:val="0"/>
              <w:adjustRightInd/>
              <w:snapToGrid/>
              <w:spacing w:line="320" w:lineRule="exact"/>
              <w:ind w:left="0" w:right="0"/>
              <w:jc w:val="center"/>
              <w:textAlignment w:val="center"/>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食品小类</w:t>
            </w:r>
          </w:p>
        </w:tc>
        <w:tc>
          <w:tcPr>
            <w:tcW w:w="892" w:type="dxa"/>
            <w:vAlign w:val="center"/>
          </w:tcPr>
          <w:p w14:paraId="633F8363">
            <w:pPr>
              <w:keepNext w:val="0"/>
              <w:keepLines w:val="0"/>
              <w:pageBreakBefore w:val="0"/>
              <w:widowControl/>
              <w:kinsoku/>
              <w:wordWrap/>
              <w:overflowPunct/>
              <w:topLinePunct w:val="0"/>
              <w:autoSpaceDE/>
              <w:autoSpaceDN/>
              <w:bidi w:val="0"/>
              <w:adjustRightInd/>
              <w:snapToGrid/>
              <w:spacing w:line="320" w:lineRule="exact"/>
              <w:ind w:left="0" w:right="0"/>
              <w:jc w:val="center"/>
              <w:textAlignment w:val="center"/>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风险等级</w:t>
            </w:r>
          </w:p>
        </w:tc>
        <w:tc>
          <w:tcPr>
            <w:tcW w:w="6199" w:type="dxa"/>
            <w:vAlign w:val="center"/>
          </w:tcPr>
          <w:p w14:paraId="71BF444A">
            <w:pPr>
              <w:keepNext w:val="0"/>
              <w:keepLines w:val="0"/>
              <w:pageBreakBefore w:val="0"/>
              <w:widowControl/>
              <w:kinsoku/>
              <w:wordWrap/>
              <w:overflowPunct/>
              <w:topLinePunct w:val="0"/>
              <w:autoSpaceDE/>
              <w:autoSpaceDN/>
              <w:bidi w:val="0"/>
              <w:adjustRightInd/>
              <w:snapToGrid/>
              <w:spacing w:line="320" w:lineRule="exact"/>
              <w:ind w:left="0" w:right="0"/>
              <w:jc w:val="center"/>
              <w:textAlignment w:val="center"/>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检验项目</w:t>
            </w:r>
          </w:p>
        </w:tc>
        <w:tc>
          <w:tcPr>
            <w:tcW w:w="1367" w:type="dxa"/>
            <w:vAlign w:val="center"/>
          </w:tcPr>
          <w:p w14:paraId="59A4427C">
            <w:pPr>
              <w:keepNext w:val="0"/>
              <w:keepLines w:val="0"/>
              <w:pageBreakBefore w:val="0"/>
              <w:widowControl/>
              <w:kinsoku/>
              <w:wordWrap/>
              <w:overflowPunct/>
              <w:topLinePunct w:val="0"/>
              <w:autoSpaceDE/>
              <w:autoSpaceDN/>
              <w:bidi w:val="0"/>
              <w:adjustRightInd/>
              <w:snapToGrid/>
              <w:spacing w:line="320" w:lineRule="exact"/>
              <w:ind w:left="0" w:right="0"/>
              <w:jc w:val="center"/>
              <w:textAlignment w:val="center"/>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抽检</w:t>
            </w:r>
          </w:p>
          <w:p w14:paraId="368A9B10">
            <w:pPr>
              <w:keepNext w:val="0"/>
              <w:keepLines w:val="0"/>
              <w:pageBreakBefore w:val="0"/>
              <w:widowControl/>
              <w:kinsoku/>
              <w:wordWrap/>
              <w:overflowPunct/>
              <w:topLinePunct w:val="0"/>
              <w:autoSpaceDE/>
              <w:autoSpaceDN/>
              <w:bidi w:val="0"/>
              <w:adjustRightInd/>
              <w:snapToGrid/>
              <w:spacing w:line="320" w:lineRule="exact"/>
              <w:ind w:left="0" w:right="0"/>
              <w:jc w:val="center"/>
              <w:textAlignment w:val="center"/>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批次</w:t>
            </w:r>
          </w:p>
        </w:tc>
        <w:tc>
          <w:tcPr>
            <w:tcW w:w="1316" w:type="dxa"/>
            <w:vAlign w:val="center"/>
          </w:tcPr>
          <w:p w14:paraId="7CE8B02D">
            <w:pPr>
              <w:keepNext w:val="0"/>
              <w:keepLines w:val="0"/>
              <w:pageBreakBefore w:val="0"/>
              <w:widowControl/>
              <w:kinsoku/>
              <w:wordWrap/>
              <w:overflowPunct/>
              <w:topLinePunct w:val="0"/>
              <w:autoSpaceDE/>
              <w:autoSpaceDN/>
              <w:bidi w:val="0"/>
              <w:adjustRightInd/>
              <w:snapToGrid/>
              <w:spacing w:line="320" w:lineRule="exact"/>
              <w:ind w:left="0" w:right="0"/>
              <w:jc w:val="center"/>
              <w:textAlignment w:val="center"/>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备注</w:t>
            </w:r>
          </w:p>
        </w:tc>
      </w:tr>
      <w:tr w14:paraId="3327E5F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39" w:hRule="atLeast"/>
        </w:trPr>
        <w:tc>
          <w:tcPr>
            <w:tcW w:w="726" w:type="dxa"/>
            <w:vMerge w:val="restart"/>
            <w:vAlign w:val="center"/>
          </w:tcPr>
          <w:p w14:paraId="6576FB41">
            <w:pPr>
              <w:keepNext w:val="0"/>
              <w:keepLines w:val="0"/>
              <w:pageBreakBefore w:val="0"/>
              <w:widowControl/>
              <w:kinsoku/>
              <w:wordWrap/>
              <w:overflowPunct/>
              <w:topLinePunct w:val="0"/>
              <w:autoSpaceDE/>
              <w:autoSpaceDN/>
              <w:bidi w:val="0"/>
              <w:adjustRightInd/>
              <w:snapToGrid/>
              <w:spacing w:line="280" w:lineRule="exact"/>
              <w:ind w:left="0" w:right="0"/>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1</w:t>
            </w:r>
          </w:p>
        </w:tc>
        <w:tc>
          <w:tcPr>
            <w:tcW w:w="1418" w:type="dxa"/>
            <w:vMerge w:val="restart"/>
            <w:vAlign w:val="center"/>
          </w:tcPr>
          <w:p w14:paraId="2812A3C4">
            <w:pPr>
              <w:keepNext w:val="0"/>
              <w:keepLines w:val="0"/>
              <w:pageBreakBefore w:val="0"/>
              <w:widowControl/>
              <w:kinsoku/>
              <w:wordWrap/>
              <w:overflowPunct/>
              <w:topLinePunct w:val="0"/>
              <w:autoSpaceDE/>
              <w:autoSpaceDN/>
              <w:bidi w:val="0"/>
              <w:adjustRightInd/>
              <w:snapToGrid/>
              <w:spacing w:line="280" w:lineRule="exact"/>
              <w:ind w:left="0" w:right="0"/>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粮食加工品</w:t>
            </w:r>
          </w:p>
        </w:tc>
        <w:tc>
          <w:tcPr>
            <w:tcW w:w="2268" w:type="dxa"/>
            <w:vAlign w:val="center"/>
          </w:tcPr>
          <w:p w14:paraId="7887C51B">
            <w:pPr>
              <w:keepNext w:val="0"/>
              <w:keepLines w:val="0"/>
              <w:pageBreakBefore w:val="0"/>
              <w:widowControl/>
              <w:kinsoku/>
              <w:wordWrap/>
              <w:overflowPunct/>
              <w:topLinePunct w:val="0"/>
              <w:autoSpaceDE/>
              <w:autoSpaceDN/>
              <w:bidi w:val="0"/>
              <w:adjustRightInd/>
              <w:snapToGrid/>
              <w:spacing w:line="280" w:lineRule="exact"/>
              <w:ind w:left="0" w:right="0"/>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小麦粉</w:t>
            </w:r>
          </w:p>
        </w:tc>
        <w:tc>
          <w:tcPr>
            <w:tcW w:w="892" w:type="dxa"/>
            <w:vAlign w:val="center"/>
          </w:tcPr>
          <w:p w14:paraId="2E5D7CD5">
            <w:pPr>
              <w:pStyle w:val="34"/>
              <w:keepNext w:val="0"/>
              <w:keepLines w:val="0"/>
              <w:pageBreakBefore w:val="0"/>
              <w:kinsoku/>
              <w:wordWrap/>
              <w:overflowPunct/>
              <w:topLinePunct w:val="0"/>
              <w:autoSpaceDE/>
              <w:autoSpaceDN/>
              <w:bidi w:val="0"/>
              <w:adjustRightInd/>
              <w:snapToGrid/>
              <w:spacing w:line="280" w:lineRule="exact"/>
              <w:ind w:left="0" w:right="0"/>
              <w:jc w:val="center"/>
              <w:rPr>
                <w:rFonts w:hint="eastAsia" w:ascii="宋体" w:hAnsi="宋体" w:eastAsia="宋体" w:cs="宋体"/>
                <w:color w:val="000000" w:themeColor="text1"/>
                <w:spacing w:val="0"/>
                <w:w w:val="95"/>
                <w:position w:val="0"/>
                <w:sz w:val="21"/>
                <w:szCs w:val="21"/>
                <w14:textFill>
                  <w14:solidFill>
                    <w14:schemeClr w14:val="tx1"/>
                  </w14:solidFill>
                </w14:textFill>
              </w:rPr>
            </w:pPr>
            <w:r>
              <w:rPr>
                <w:rFonts w:hint="eastAsia" w:ascii="宋体" w:hAnsi="宋体" w:eastAsia="宋体" w:cs="宋体"/>
                <w:color w:val="000000" w:themeColor="text1"/>
                <w:spacing w:val="0"/>
                <w:w w:val="95"/>
                <w:position w:val="0"/>
                <w:sz w:val="21"/>
                <w:szCs w:val="21"/>
                <w14:textFill>
                  <w14:solidFill>
                    <w14:schemeClr w14:val="tx1"/>
                  </w14:solidFill>
                </w14:textFill>
              </w:rPr>
              <w:t>较高</w:t>
            </w:r>
          </w:p>
        </w:tc>
        <w:tc>
          <w:tcPr>
            <w:tcW w:w="6199" w:type="dxa"/>
            <w:vAlign w:val="center"/>
          </w:tcPr>
          <w:p w14:paraId="1F32B7D6">
            <w:pPr>
              <w:pStyle w:val="34"/>
              <w:keepNext w:val="0"/>
              <w:keepLines w:val="0"/>
              <w:pageBreakBefore w:val="0"/>
              <w:kinsoku/>
              <w:wordWrap/>
              <w:overflowPunct/>
              <w:topLinePunct w:val="0"/>
              <w:autoSpaceDE/>
              <w:autoSpaceDN/>
              <w:bidi w:val="0"/>
              <w:adjustRightInd/>
              <w:snapToGrid/>
              <w:spacing w:line="380" w:lineRule="exact"/>
              <w:ind w:left="0" w:right="0"/>
              <w:jc w:val="both"/>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spacing w:val="0"/>
                <w:position w:val="0"/>
                <w:sz w:val="21"/>
                <w:szCs w:val="21"/>
              </w:rPr>
              <w:t>镉（以Cd计）、苯并[a]芘、玉米赤霉烯酮、脱氧雪腐镰刀菌烯醇、赭曲霉毒素A、黄曲霉毒素B1、偶氮甲酰胺、过氧化苯甲酰</w:t>
            </w:r>
          </w:p>
        </w:tc>
        <w:tc>
          <w:tcPr>
            <w:tcW w:w="1367" w:type="dxa"/>
            <w:vAlign w:val="center"/>
          </w:tcPr>
          <w:p w14:paraId="12CC77F0">
            <w:pPr>
              <w:keepNext w:val="0"/>
              <w:keepLines w:val="0"/>
              <w:pageBreakBefore w:val="0"/>
              <w:widowControl/>
              <w:kinsoku/>
              <w:wordWrap/>
              <w:overflowPunct/>
              <w:topLinePunct w:val="0"/>
              <w:autoSpaceDE/>
              <w:autoSpaceDN/>
              <w:bidi w:val="0"/>
              <w:adjustRightInd/>
              <w:snapToGrid/>
              <w:spacing w:line="280" w:lineRule="exact"/>
              <w:ind w:left="0" w:right="0"/>
              <w:jc w:val="center"/>
              <w:textAlignment w:val="center"/>
              <w:rPr>
                <w:rFonts w:hint="eastAsia" w:ascii="宋体" w:hAnsi="宋体" w:eastAsia="宋体" w:cs="宋体"/>
                <w:color w:val="000000" w:themeColor="text1"/>
                <w:spacing w:val="0"/>
                <w:kern w:val="31"/>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12</w:t>
            </w:r>
          </w:p>
        </w:tc>
        <w:tc>
          <w:tcPr>
            <w:tcW w:w="1316" w:type="dxa"/>
            <w:vAlign w:val="center"/>
          </w:tcPr>
          <w:p w14:paraId="20E03ACF">
            <w:pPr>
              <w:keepNext w:val="0"/>
              <w:keepLines w:val="0"/>
              <w:pageBreakBefore w:val="0"/>
              <w:widowControl/>
              <w:kinsoku/>
              <w:wordWrap/>
              <w:overflowPunct/>
              <w:topLinePunct w:val="0"/>
              <w:autoSpaceDE/>
              <w:autoSpaceDN/>
              <w:bidi w:val="0"/>
              <w:adjustRightInd/>
              <w:snapToGrid/>
              <w:spacing w:line="280" w:lineRule="exact"/>
              <w:ind w:left="0" w:right="0"/>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6F1BB8C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13" w:hRule="atLeast"/>
        </w:trPr>
        <w:tc>
          <w:tcPr>
            <w:tcW w:w="726" w:type="dxa"/>
            <w:vMerge w:val="continue"/>
            <w:vAlign w:val="center"/>
          </w:tcPr>
          <w:p w14:paraId="5C818927">
            <w:pPr>
              <w:keepNext w:val="0"/>
              <w:keepLines w:val="0"/>
              <w:pageBreakBefore w:val="0"/>
              <w:widowControl/>
              <w:kinsoku/>
              <w:wordWrap/>
              <w:overflowPunct/>
              <w:topLinePunct w:val="0"/>
              <w:autoSpaceDE/>
              <w:autoSpaceDN/>
              <w:bidi w:val="0"/>
              <w:adjustRightInd/>
              <w:snapToGrid/>
              <w:spacing w:line="280" w:lineRule="exact"/>
              <w:ind w:left="0" w:right="0"/>
              <w:jc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60ACB98D">
            <w:pPr>
              <w:keepNext w:val="0"/>
              <w:keepLines w:val="0"/>
              <w:pageBreakBefore w:val="0"/>
              <w:widowControl/>
              <w:kinsoku/>
              <w:wordWrap/>
              <w:overflowPunct/>
              <w:topLinePunct w:val="0"/>
              <w:autoSpaceDE/>
              <w:autoSpaceDN/>
              <w:bidi w:val="0"/>
              <w:adjustRightInd/>
              <w:snapToGrid/>
              <w:spacing w:line="280" w:lineRule="exact"/>
              <w:ind w:left="0" w:right="0"/>
              <w:jc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4457D226">
            <w:pPr>
              <w:keepNext w:val="0"/>
              <w:keepLines w:val="0"/>
              <w:pageBreakBefore w:val="0"/>
              <w:widowControl/>
              <w:kinsoku/>
              <w:wordWrap/>
              <w:overflowPunct/>
              <w:topLinePunct w:val="0"/>
              <w:autoSpaceDE/>
              <w:autoSpaceDN/>
              <w:bidi w:val="0"/>
              <w:adjustRightInd/>
              <w:snapToGrid/>
              <w:spacing w:line="280" w:lineRule="exact"/>
              <w:ind w:left="0" w:right="0"/>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大米</w:t>
            </w:r>
          </w:p>
        </w:tc>
        <w:tc>
          <w:tcPr>
            <w:tcW w:w="892" w:type="dxa"/>
            <w:vAlign w:val="center"/>
          </w:tcPr>
          <w:p w14:paraId="4E8586BA">
            <w:pPr>
              <w:pStyle w:val="34"/>
              <w:keepNext w:val="0"/>
              <w:keepLines w:val="0"/>
              <w:pageBreakBefore w:val="0"/>
              <w:kinsoku/>
              <w:wordWrap/>
              <w:overflowPunct/>
              <w:topLinePunct w:val="0"/>
              <w:autoSpaceDE/>
              <w:autoSpaceDN/>
              <w:bidi w:val="0"/>
              <w:adjustRightInd/>
              <w:snapToGrid/>
              <w:spacing w:line="280" w:lineRule="exact"/>
              <w:ind w:left="0" w:right="0"/>
              <w:jc w:val="center"/>
              <w:rPr>
                <w:rFonts w:hint="eastAsia" w:ascii="宋体" w:hAnsi="宋体" w:eastAsia="宋体" w:cs="宋体"/>
                <w:color w:val="000000" w:themeColor="text1"/>
                <w:spacing w:val="0"/>
                <w:w w:val="95"/>
                <w:position w:val="0"/>
                <w:sz w:val="21"/>
                <w:szCs w:val="21"/>
                <w14:textFill>
                  <w14:solidFill>
                    <w14:schemeClr w14:val="tx1"/>
                  </w14:solidFill>
                </w14:textFill>
              </w:rPr>
            </w:pPr>
            <w:r>
              <w:rPr>
                <w:rFonts w:hint="eastAsia" w:ascii="宋体" w:hAnsi="宋体" w:eastAsia="宋体" w:cs="宋体"/>
                <w:color w:val="000000" w:themeColor="text1"/>
                <w:spacing w:val="0"/>
                <w:w w:val="95"/>
                <w:position w:val="0"/>
                <w:sz w:val="21"/>
                <w:szCs w:val="21"/>
                <w14:textFill>
                  <w14:solidFill>
                    <w14:schemeClr w14:val="tx1"/>
                  </w14:solidFill>
                </w14:textFill>
              </w:rPr>
              <w:t>较高</w:t>
            </w:r>
          </w:p>
        </w:tc>
        <w:tc>
          <w:tcPr>
            <w:tcW w:w="6199" w:type="dxa"/>
            <w:vAlign w:val="center"/>
          </w:tcPr>
          <w:p w14:paraId="7010E134">
            <w:pPr>
              <w:pStyle w:val="34"/>
              <w:keepNext w:val="0"/>
              <w:keepLines w:val="0"/>
              <w:pageBreakBefore w:val="0"/>
              <w:kinsoku/>
              <w:wordWrap/>
              <w:overflowPunct/>
              <w:topLinePunct w:val="0"/>
              <w:autoSpaceDE/>
              <w:autoSpaceDN/>
              <w:bidi w:val="0"/>
              <w:adjustRightInd/>
              <w:snapToGrid/>
              <w:spacing w:line="380" w:lineRule="exact"/>
              <w:ind w:left="0" w:right="0"/>
              <w:jc w:val="both"/>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spacing w:val="0"/>
                <w:position w:val="0"/>
                <w:sz w:val="21"/>
                <w:szCs w:val="21"/>
              </w:rPr>
              <w:t>铅（以Pb计）</w:t>
            </w:r>
            <w:r>
              <w:rPr>
                <w:rFonts w:hint="eastAsia" w:ascii="宋体" w:hAnsi="宋体" w:eastAsia="宋体" w:cs="宋体"/>
                <w:spacing w:val="0"/>
                <w:position w:val="0"/>
                <w:sz w:val="21"/>
                <w:szCs w:val="21"/>
                <w:lang w:eastAsia="zh-CN"/>
              </w:rPr>
              <w:t>、</w:t>
            </w:r>
            <w:r>
              <w:rPr>
                <w:rFonts w:hint="eastAsia" w:ascii="宋体" w:hAnsi="宋体" w:eastAsia="宋体" w:cs="宋体"/>
                <w:spacing w:val="0"/>
                <w:position w:val="0"/>
                <w:sz w:val="21"/>
                <w:szCs w:val="21"/>
              </w:rPr>
              <w:t>镉（以Cd计）、无机砷（以As计）、苯并[a]芘、黄曲霉毒素B1、赭曲霉毒素A</w:t>
            </w:r>
          </w:p>
        </w:tc>
        <w:tc>
          <w:tcPr>
            <w:tcW w:w="1367" w:type="dxa"/>
            <w:vAlign w:val="center"/>
          </w:tcPr>
          <w:p w14:paraId="6AA11A39">
            <w:pPr>
              <w:keepNext w:val="0"/>
              <w:keepLines w:val="0"/>
              <w:pageBreakBefore w:val="0"/>
              <w:widowControl/>
              <w:kinsoku/>
              <w:wordWrap/>
              <w:overflowPunct/>
              <w:topLinePunct w:val="0"/>
              <w:autoSpaceDE/>
              <w:autoSpaceDN/>
              <w:bidi w:val="0"/>
              <w:adjustRightInd/>
              <w:snapToGrid/>
              <w:spacing w:line="280" w:lineRule="exact"/>
              <w:ind w:left="0" w:right="0"/>
              <w:jc w:val="center"/>
              <w:textAlignment w:val="center"/>
              <w:rPr>
                <w:rFonts w:hint="eastAsia" w:ascii="宋体" w:hAnsi="宋体" w:eastAsia="宋体" w:cs="宋体"/>
                <w:color w:val="000000" w:themeColor="text1"/>
                <w:spacing w:val="0"/>
                <w:position w:val="0"/>
                <w:sz w:val="21"/>
                <w:szCs w:val="21"/>
                <w:lang w:val="en-US"/>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2</w:t>
            </w:r>
          </w:p>
        </w:tc>
        <w:tc>
          <w:tcPr>
            <w:tcW w:w="1316" w:type="dxa"/>
            <w:vAlign w:val="center"/>
          </w:tcPr>
          <w:p w14:paraId="74514DFD">
            <w:pPr>
              <w:keepNext w:val="0"/>
              <w:keepLines w:val="0"/>
              <w:pageBreakBefore w:val="0"/>
              <w:widowControl/>
              <w:kinsoku/>
              <w:wordWrap/>
              <w:overflowPunct/>
              <w:topLinePunct w:val="0"/>
              <w:autoSpaceDE/>
              <w:autoSpaceDN/>
              <w:bidi w:val="0"/>
              <w:adjustRightInd/>
              <w:snapToGrid/>
              <w:spacing w:line="280" w:lineRule="exact"/>
              <w:ind w:left="0" w:right="0"/>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291DEBC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4" w:hRule="atLeast"/>
        </w:trPr>
        <w:tc>
          <w:tcPr>
            <w:tcW w:w="726" w:type="dxa"/>
            <w:vMerge w:val="continue"/>
            <w:vAlign w:val="center"/>
          </w:tcPr>
          <w:p w14:paraId="2857E9DC">
            <w:pPr>
              <w:widowControl/>
              <w:spacing w:line="280" w:lineRule="exact"/>
              <w:jc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56436CEF">
            <w:pPr>
              <w:widowControl/>
              <w:spacing w:line="280" w:lineRule="exact"/>
              <w:jc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447A6A0C">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spacing w:val="0"/>
                <w:w w:val="95"/>
                <w:position w:val="0"/>
                <w:sz w:val="21"/>
                <w:szCs w:val="21"/>
              </w:rPr>
              <w:t>挂面</w:t>
            </w:r>
          </w:p>
        </w:tc>
        <w:tc>
          <w:tcPr>
            <w:tcW w:w="892" w:type="dxa"/>
            <w:vAlign w:val="center"/>
          </w:tcPr>
          <w:p w14:paraId="2A4F0D61">
            <w:pPr>
              <w:widowControl/>
              <w:spacing w:line="280" w:lineRule="exact"/>
              <w:jc w:val="center"/>
              <w:textAlignment w:val="center"/>
              <w:rPr>
                <w:rFonts w:hint="eastAsia" w:ascii="宋体" w:hAnsi="宋体" w:eastAsia="宋体" w:cs="宋体"/>
                <w:color w:val="000000" w:themeColor="text1"/>
                <w:spacing w:val="0"/>
                <w:position w:val="0"/>
                <w:sz w:val="21"/>
                <w:szCs w:val="21"/>
                <w:lang w:eastAsia="zh-CN"/>
                <w14:textFill>
                  <w14:solidFill>
                    <w14:schemeClr w14:val="tx1"/>
                  </w14:solidFill>
                </w14:textFill>
              </w:rPr>
            </w:pPr>
            <w:r>
              <w:rPr>
                <w:rFonts w:hint="eastAsia" w:ascii="宋体" w:hAnsi="宋体" w:eastAsia="宋体" w:cs="宋体"/>
                <w:color w:val="000000" w:themeColor="text1"/>
                <w:spacing w:val="0"/>
                <w:position w:val="0"/>
                <w:sz w:val="21"/>
                <w:szCs w:val="21"/>
                <w:lang w:eastAsia="zh-CN"/>
                <w14:textFill>
                  <w14:solidFill>
                    <w14:schemeClr w14:val="tx1"/>
                  </w14:solidFill>
                </w14:textFill>
              </w:rPr>
              <w:t>一般</w:t>
            </w:r>
          </w:p>
        </w:tc>
        <w:tc>
          <w:tcPr>
            <w:tcW w:w="6199" w:type="dxa"/>
            <w:vAlign w:val="center"/>
          </w:tcPr>
          <w:p w14:paraId="651A8AE3">
            <w:pPr>
              <w:widowControl/>
              <w:spacing w:line="280" w:lineRule="exact"/>
              <w:jc w:val="both"/>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spacing w:val="0"/>
                <w:position w:val="0"/>
                <w:sz w:val="21"/>
                <w:szCs w:val="21"/>
              </w:rPr>
              <w:t>铅（以 Pb 计）、黄曲霉毒素 B1、脱氢乙酸及其钠盐（以脱氢乙酸计）、合成着色剂（柠檬黄、日落黄）</w:t>
            </w:r>
          </w:p>
        </w:tc>
        <w:tc>
          <w:tcPr>
            <w:tcW w:w="1367" w:type="dxa"/>
            <w:vAlign w:val="center"/>
          </w:tcPr>
          <w:p w14:paraId="2FE864E3">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2</w:t>
            </w:r>
          </w:p>
        </w:tc>
        <w:tc>
          <w:tcPr>
            <w:tcW w:w="1316" w:type="dxa"/>
            <w:vAlign w:val="center"/>
          </w:tcPr>
          <w:p w14:paraId="7313FD52">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36CD187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4" w:hRule="atLeast"/>
        </w:trPr>
        <w:tc>
          <w:tcPr>
            <w:tcW w:w="726" w:type="dxa"/>
            <w:vMerge w:val="continue"/>
            <w:vAlign w:val="center"/>
          </w:tcPr>
          <w:p w14:paraId="32960AA9">
            <w:pPr>
              <w:widowControl/>
              <w:spacing w:line="280" w:lineRule="exact"/>
              <w:jc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32293E95">
            <w:pPr>
              <w:widowControl/>
              <w:spacing w:line="280" w:lineRule="exact"/>
              <w:jc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004C6DBE">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玉米粉(片、渣)</w:t>
            </w:r>
          </w:p>
        </w:tc>
        <w:tc>
          <w:tcPr>
            <w:tcW w:w="892" w:type="dxa"/>
            <w:vAlign w:val="center"/>
          </w:tcPr>
          <w:p w14:paraId="6D70B263">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较高</w:t>
            </w:r>
          </w:p>
        </w:tc>
        <w:tc>
          <w:tcPr>
            <w:tcW w:w="6199" w:type="dxa"/>
            <w:vAlign w:val="center"/>
          </w:tcPr>
          <w:p w14:paraId="17FEFF6D">
            <w:pPr>
              <w:widowControl/>
              <w:spacing w:line="280" w:lineRule="exact"/>
              <w:jc w:val="both"/>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spacing w:val="0"/>
                <w:w w:val="95"/>
                <w:position w:val="0"/>
                <w:sz w:val="21"/>
                <w:szCs w:val="21"/>
              </w:rPr>
              <w:t>苯并[a]芘、黄曲霉毒素B1、赭曲霉毒素A、玉米赤霉烯酮、脱氧雪腐镰刀菌烯醇</w:t>
            </w:r>
          </w:p>
        </w:tc>
        <w:tc>
          <w:tcPr>
            <w:tcW w:w="1367" w:type="dxa"/>
            <w:vAlign w:val="center"/>
          </w:tcPr>
          <w:p w14:paraId="15553AFF">
            <w:pPr>
              <w:widowControl/>
              <w:spacing w:line="280" w:lineRule="exact"/>
              <w:jc w:val="center"/>
              <w:textAlignment w:val="center"/>
              <w:rPr>
                <w:rFonts w:hint="eastAsia" w:ascii="宋体" w:hAnsi="宋体" w:eastAsia="宋体" w:cs="宋体"/>
                <w:color w:val="000000" w:themeColor="text1"/>
                <w:spacing w:val="0"/>
                <w:position w:val="0"/>
                <w:sz w:val="21"/>
                <w:szCs w:val="21"/>
                <w:lang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2</w:t>
            </w:r>
          </w:p>
        </w:tc>
        <w:tc>
          <w:tcPr>
            <w:tcW w:w="1316" w:type="dxa"/>
            <w:vAlign w:val="center"/>
          </w:tcPr>
          <w:p w14:paraId="41B1EA04">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5ABBA14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65" w:hRule="atLeast"/>
        </w:trPr>
        <w:tc>
          <w:tcPr>
            <w:tcW w:w="726" w:type="dxa"/>
            <w:vMerge w:val="restart"/>
            <w:vAlign w:val="center"/>
          </w:tcPr>
          <w:p w14:paraId="7D3EC08E">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2</w:t>
            </w:r>
          </w:p>
        </w:tc>
        <w:tc>
          <w:tcPr>
            <w:tcW w:w="1418" w:type="dxa"/>
            <w:vMerge w:val="restart"/>
            <w:vAlign w:val="center"/>
          </w:tcPr>
          <w:p w14:paraId="7F7B6690">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食用油、油脂及其制品</w:t>
            </w:r>
          </w:p>
        </w:tc>
        <w:tc>
          <w:tcPr>
            <w:tcW w:w="2268" w:type="dxa"/>
            <w:vAlign w:val="center"/>
          </w:tcPr>
          <w:p w14:paraId="1BE48E05">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花生油</w:t>
            </w:r>
          </w:p>
        </w:tc>
        <w:tc>
          <w:tcPr>
            <w:tcW w:w="892" w:type="dxa"/>
            <w:vAlign w:val="center"/>
          </w:tcPr>
          <w:p w14:paraId="01B918CA">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高</w:t>
            </w:r>
          </w:p>
        </w:tc>
        <w:tc>
          <w:tcPr>
            <w:tcW w:w="6199" w:type="dxa"/>
            <w:vAlign w:val="center"/>
          </w:tcPr>
          <w:p w14:paraId="2BE4E970">
            <w:pPr>
              <w:widowControl/>
              <w:spacing w:line="280" w:lineRule="exact"/>
              <w:jc w:val="both"/>
              <w:textAlignment w:val="center"/>
              <w:rPr>
                <w:rFonts w:hint="eastAsia" w:ascii="宋体" w:hAnsi="宋体" w:eastAsia="宋体" w:cs="宋体"/>
                <w:color w:val="000000" w:themeColor="text1"/>
                <w:spacing w:val="0"/>
                <w:position w:val="0"/>
                <w:sz w:val="21"/>
                <w:szCs w:val="21"/>
                <w:lang w:eastAsia="zh-CN"/>
                <w14:textFill>
                  <w14:solidFill>
                    <w14:schemeClr w14:val="tx1"/>
                  </w14:solidFill>
                </w14:textFill>
              </w:rPr>
            </w:pPr>
            <w:r>
              <w:rPr>
                <w:rFonts w:hint="eastAsia" w:ascii="宋体" w:hAnsi="宋体" w:eastAsia="宋体" w:cs="宋体"/>
                <w:spacing w:val="0"/>
                <w:w w:val="95"/>
                <w:position w:val="0"/>
                <w:sz w:val="21"/>
                <w:szCs w:val="21"/>
              </w:rPr>
              <w:t>酸值/酸价、过氧化值、黄曲霉毒素B1、苯并[a]芘、溶剂残留量、特丁基对苯二酚（TBHQ</w:t>
            </w:r>
            <w:r>
              <w:rPr>
                <w:rFonts w:hint="eastAsia" w:ascii="宋体" w:hAnsi="宋体" w:eastAsia="宋体" w:cs="宋体"/>
                <w:spacing w:val="0"/>
                <w:w w:val="95"/>
                <w:position w:val="0"/>
                <w:sz w:val="21"/>
                <w:szCs w:val="21"/>
                <w:lang w:eastAsia="zh-CN"/>
              </w:rPr>
              <w:t>）</w:t>
            </w:r>
          </w:p>
        </w:tc>
        <w:tc>
          <w:tcPr>
            <w:tcW w:w="1367" w:type="dxa"/>
            <w:vAlign w:val="center"/>
          </w:tcPr>
          <w:p w14:paraId="51C560C4">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6</w:t>
            </w:r>
          </w:p>
        </w:tc>
        <w:tc>
          <w:tcPr>
            <w:tcW w:w="1316" w:type="dxa"/>
            <w:vAlign w:val="center"/>
          </w:tcPr>
          <w:p w14:paraId="1FED14F0">
            <w:pPr>
              <w:widowControl/>
              <w:spacing w:line="280" w:lineRule="exact"/>
              <w:jc w:val="left"/>
              <w:rPr>
                <w:rFonts w:hint="eastAsia" w:ascii="宋体" w:hAnsi="宋体" w:eastAsia="宋体" w:cs="宋体"/>
                <w:color w:val="000000" w:themeColor="text1"/>
                <w:spacing w:val="0"/>
                <w:position w:val="0"/>
                <w:sz w:val="21"/>
                <w:szCs w:val="21"/>
                <w:lang w:eastAsia="zh-CN"/>
                <w14:textFill>
                  <w14:solidFill>
                    <w14:schemeClr w14:val="tx1"/>
                  </w14:solidFill>
                </w14:textFill>
              </w:rPr>
            </w:pPr>
          </w:p>
        </w:tc>
      </w:tr>
      <w:tr w14:paraId="358AD6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81" w:hRule="atLeast"/>
        </w:trPr>
        <w:tc>
          <w:tcPr>
            <w:tcW w:w="726" w:type="dxa"/>
            <w:vMerge w:val="continue"/>
            <w:vAlign w:val="center"/>
          </w:tcPr>
          <w:p w14:paraId="7BF683CE">
            <w:pPr>
              <w:widowControl/>
              <w:spacing w:line="280" w:lineRule="exact"/>
              <w:jc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6A1EA47E">
            <w:pPr>
              <w:widowControl/>
              <w:spacing w:line="280" w:lineRule="exact"/>
              <w:jc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top"/>
          </w:tcPr>
          <w:p w14:paraId="71C8107A">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en-US"/>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玉米油</w:t>
            </w:r>
          </w:p>
        </w:tc>
        <w:tc>
          <w:tcPr>
            <w:tcW w:w="892" w:type="dxa"/>
            <w:vAlign w:val="top"/>
          </w:tcPr>
          <w:p w14:paraId="789F636F">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en-US"/>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高</w:t>
            </w:r>
          </w:p>
        </w:tc>
        <w:tc>
          <w:tcPr>
            <w:tcW w:w="6199" w:type="dxa"/>
            <w:vAlign w:val="center"/>
          </w:tcPr>
          <w:p w14:paraId="38940F61">
            <w:pPr>
              <w:widowControl/>
              <w:spacing w:line="280" w:lineRule="exact"/>
              <w:jc w:val="both"/>
              <w:textAlignment w:val="center"/>
              <w:rPr>
                <w:rFonts w:hint="eastAsia" w:ascii="宋体" w:hAnsi="宋体" w:eastAsia="宋体" w:cs="宋体"/>
                <w:color w:val="000000" w:themeColor="text1"/>
                <w:spacing w:val="0"/>
                <w:position w:val="0"/>
                <w:sz w:val="21"/>
                <w:szCs w:val="21"/>
                <w:lang w:val="en-US" w:eastAsia="en-US"/>
                <w14:textFill>
                  <w14:solidFill>
                    <w14:schemeClr w14:val="tx1"/>
                  </w14:solidFill>
                </w14:textFill>
              </w:rPr>
            </w:pPr>
            <w:r>
              <w:rPr>
                <w:rFonts w:hint="eastAsia" w:ascii="宋体" w:hAnsi="宋体" w:eastAsia="宋体" w:cs="宋体"/>
                <w:spacing w:val="0"/>
                <w:w w:val="95"/>
                <w:position w:val="0"/>
                <w:sz w:val="21"/>
                <w:szCs w:val="21"/>
              </w:rPr>
              <w:t>酸值/酸价、过氧化值、黄曲霉毒素B1、苯并[a]芘、特丁基对苯二酚（TBHQ）</w:t>
            </w:r>
          </w:p>
        </w:tc>
        <w:tc>
          <w:tcPr>
            <w:tcW w:w="1367" w:type="dxa"/>
            <w:vAlign w:val="center"/>
          </w:tcPr>
          <w:p w14:paraId="4A4DD290">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2</w:t>
            </w:r>
          </w:p>
        </w:tc>
        <w:tc>
          <w:tcPr>
            <w:tcW w:w="1316" w:type="dxa"/>
            <w:vAlign w:val="center"/>
          </w:tcPr>
          <w:p w14:paraId="70220C39">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4C12DF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81" w:hRule="atLeast"/>
        </w:trPr>
        <w:tc>
          <w:tcPr>
            <w:tcW w:w="726" w:type="dxa"/>
            <w:vMerge w:val="continue"/>
            <w:vAlign w:val="center"/>
          </w:tcPr>
          <w:p w14:paraId="72099BE1">
            <w:pPr>
              <w:widowControl/>
              <w:spacing w:line="280" w:lineRule="exact"/>
              <w:jc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38EDC209">
            <w:pPr>
              <w:widowControl/>
              <w:spacing w:line="280" w:lineRule="exact"/>
              <w:jc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4C0E2A11">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芝麻油</w:t>
            </w:r>
          </w:p>
        </w:tc>
        <w:tc>
          <w:tcPr>
            <w:tcW w:w="892" w:type="dxa"/>
            <w:vAlign w:val="center"/>
          </w:tcPr>
          <w:p w14:paraId="18A6FB43">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高</w:t>
            </w:r>
          </w:p>
        </w:tc>
        <w:tc>
          <w:tcPr>
            <w:tcW w:w="6199" w:type="dxa"/>
            <w:vAlign w:val="center"/>
          </w:tcPr>
          <w:p w14:paraId="586974A0">
            <w:pPr>
              <w:widowControl/>
              <w:spacing w:line="280" w:lineRule="exact"/>
              <w:jc w:val="both"/>
              <w:textAlignment w:val="center"/>
              <w:rPr>
                <w:rFonts w:hint="eastAsia" w:ascii="宋体" w:hAnsi="宋体" w:eastAsia="宋体" w:cs="宋体"/>
                <w:color w:val="000000" w:themeColor="text1"/>
                <w:spacing w:val="0"/>
                <w:position w:val="0"/>
                <w:sz w:val="21"/>
                <w:szCs w:val="21"/>
                <w:lang w:eastAsia="zh-CN"/>
                <w14:textFill>
                  <w14:solidFill>
                    <w14:schemeClr w14:val="tx1"/>
                  </w14:solidFill>
                </w14:textFill>
              </w:rPr>
            </w:pPr>
            <w:r>
              <w:rPr>
                <w:rFonts w:hint="eastAsia" w:ascii="宋体" w:hAnsi="宋体" w:eastAsia="宋体" w:cs="宋体"/>
                <w:spacing w:val="0"/>
                <w:w w:val="95"/>
                <w:position w:val="0"/>
                <w:sz w:val="21"/>
                <w:szCs w:val="21"/>
              </w:rPr>
              <w:t>酸值/酸价、过氧化值、苯并[a]芘、溶剂残留量、乙基麦芽酚</w:t>
            </w:r>
          </w:p>
        </w:tc>
        <w:tc>
          <w:tcPr>
            <w:tcW w:w="1367" w:type="dxa"/>
            <w:vAlign w:val="center"/>
          </w:tcPr>
          <w:p w14:paraId="5C1145F0">
            <w:pPr>
              <w:widowControl/>
              <w:spacing w:line="280" w:lineRule="exact"/>
              <w:jc w:val="center"/>
              <w:textAlignment w:val="center"/>
              <w:rPr>
                <w:rFonts w:hint="eastAsia" w:ascii="宋体" w:hAnsi="宋体" w:eastAsia="宋体" w:cs="宋体"/>
                <w:color w:val="000000" w:themeColor="text1"/>
                <w:spacing w:val="0"/>
                <w:kern w:val="31"/>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2</w:t>
            </w:r>
          </w:p>
        </w:tc>
        <w:tc>
          <w:tcPr>
            <w:tcW w:w="1316" w:type="dxa"/>
            <w:vAlign w:val="center"/>
          </w:tcPr>
          <w:p w14:paraId="58310492">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3B3EEC4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5" w:hRule="atLeast"/>
        </w:trPr>
        <w:tc>
          <w:tcPr>
            <w:tcW w:w="726" w:type="dxa"/>
            <w:vMerge w:val="continue"/>
            <w:vAlign w:val="center"/>
          </w:tcPr>
          <w:p w14:paraId="06DC1130">
            <w:pPr>
              <w:widowControl/>
              <w:spacing w:line="280" w:lineRule="exact"/>
              <w:jc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5E85445D">
            <w:pPr>
              <w:widowControl/>
              <w:spacing w:line="280" w:lineRule="exact"/>
              <w:jc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4890448B">
            <w:pPr>
              <w:widowControl/>
              <w:spacing w:line="280" w:lineRule="exact"/>
              <w:jc w:val="center"/>
              <w:textAlignment w:val="center"/>
              <w:rPr>
                <w:rFonts w:hint="eastAsia" w:ascii="宋体" w:hAnsi="宋体" w:eastAsia="宋体" w:cs="宋体"/>
                <w:color w:val="000000" w:themeColor="text1"/>
                <w:spacing w:val="0"/>
                <w:position w:val="0"/>
                <w:sz w:val="21"/>
                <w:szCs w:val="21"/>
                <w:lang w:eastAsia="zh-CN"/>
                <w14:textFill>
                  <w14:solidFill>
                    <w14:schemeClr w14:val="tx1"/>
                  </w14:solidFill>
                </w14:textFill>
              </w:rPr>
            </w:pPr>
            <w:r>
              <w:rPr>
                <w:rFonts w:hint="eastAsia" w:ascii="宋体" w:hAnsi="宋体" w:eastAsia="宋体" w:cs="宋体"/>
                <w:color w:val="000000" w:themeColor="text1"/>
                <w:spacing w:val="0"/>
                <w:position w:val="0"/>
                <w:sz w:val="21"/>
                <w:szCs w:val="21"/>
                <w:lang w:eastAsia="zh-CN"/>
                <w14:textFill>
                  <w14:solidFill>
                    <w14:schemeClr w14:val="tx1"/>
                  </w14:solidFill>
                </w14:textFill>
              </w:rPr>
              <w:t>菜籽油</w:t>
            </w:r>
          </w:p>
        </w:tc>
        <w:tc>
          <w:tcPr>
            <w:tcW w:w="892" w:type="dxa"/>
            <w:vAlign w:val="center"/>
          </w:tcPr>
          <w:p w14:paraId="01BDA175">
            <w:pPr>
              <w:widowControl/>
              <w:spacing w:line="280" w:lineRule="exact"/>
              <w:jc w:val="center"/>
              <w:textAlignment w:val="center"/>
              <w:rPr>
                <w:rFonts w:hint="eastAsia" w:ascii="宋体" w:hAnsi="宋体" w:eastAsia="宋体" w:cs="宋体"/>
                <w:color w:val="000000" w:themeColor="text1"/>
                <w:spacing w:val="0"/>
                <w:position w:val="0"/>
                <w:sz w:val="21"/>
                <w:szCs w:val="21"/>
                <w:lang w:eastAsia="zh-CN"/>
                <w14:textFill>
                  <w14:solidFill>
                    <w14:schemeClr w14:val="tx1"/>
                  </w14:solidFill>
                </w14:textFill>
              </w:rPr>
            </w:pPr>
            <w:r>
              <w:rPr>
                <w:rFonts w:hint="eastAsia" w:ascii="宋体" w:hAnsi="宋体" w:eastAsia="宋体" w:cs="宋体"/>
                <w:color w:val="000000" w:themeColor="text1"/>
                <w:spacing w:val="0"/>
                <w:position w:val="0"/>
                <w:sz w:val="21"/>
                <w:szCs w:val="21"/>
                <w:lang w:eastAsia="zh-CN"/>
                <w14:textFill>
                  <w14:solidFill>
                    <w14:schemeClr w14:val="tx1"/>
                  </w14:solidFill>
                </w14:textFill>
              </w:rPr>
              <w:t>高</w:t>
            </w:r>
          </w:p>
        </w:tc>
        <w:tc>
          <w:tcPr>
            <w:tcW w:w="6199" w:type="dxa"/>
            <w:vAlign w:val="center"/>
          </w:tcPr>
          <w:p w14:paraId="63DB2F72">
            <w:pPr>
              <w:widowControl/>
              <w:spacing w:line="380" w:lineRule="exact"/>
              <w:jc w:val="both"/>
              <w:textAlignment w:val="top"/>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spacing w:val="0"/>
                <w:position w:val="0"/>
                <w:sz w:val="21"/>
                <w:szCs w:val="21"/>
              </w:rPr>
              <w:t>酸值/酸价、过氧化值、铅（以Pb计）、苯并[a]芘、溶剂残留量、特丁基对苯二酚</w:t>
            </w:r>
            <w:r>
              <w:rPr>
                <w:rFonts w:hint="eastAsia" w:ascii="宋体" w:hAnsi="宋体" w:eastAsia="宋体" w:cs="宋体"/>
                <w:spacing w:val="0"/>
                <w:w w:val="94"/>
                <w:position w:val="0"/>
                <w:sz w:val="21"/>
                <w:szCs w:val="21"/>
              </w:rPr>
              <w:t>（</w:t>
            </w:r>
            <w:r>
              <w:rPr>
                <w:rFonts w:hint="eastAsia" w:ascii="宋体" w:hAnsi="宋体" w:eastAsia="宋体" w:cs="宋体"/>
                <w:spacing w:val="0"/>
                <w:w w:val="101"/>
                <w:position w:val="0"/>
                <w:sz w:val="21"/>
                <w:szCs w:val="21"/>
              </w:rPr>
              <w:t>T</w:t>
            </w:r>
            <w:r>
              <w:rPr>
                <w:rFonts w:hint="eastAsia" w:ascii="宋体" w:hAnsi="宋体" w:eastAsia="宋体" w:cs="宋体"/>
                <w:spacing w:val="0"/>
                <w:w w:val="92"/>
                <w:position w:val="0"/>
                <w:sz w:val="21"/>
                <w:szCs w:val="21"/>
              </w:rPr>
              <w:t>B</w:t>
            </w:r>
            <w:r>
              <w:rPr>
                <w:rFonts w:hint="eastAsia" w:ascii="宋体" w:hAnsi="宋体" w:eastAsia="宋体" w:cs="宋体"/>
                <w:spacing w:val="0"/>
                <w:w w:val="106"/>
                <w:position w:val="0"/>
                <w:sz w:val="21"/>
                <w:szCs w:val="21"/>
              </w:rPr>
              <w:t>H</w:t>
            </w:r>
            <w:r>
              <w:rPr>
                <w:rFonts w:hint="eastAsia" w:ascii="宋体" w:hAnsi="宋体" w:eastAsia="宋体" w:cs="宋体"/>
                <w:spacing w:val="0"/>
                <w:w w:val="108"/>
                <w:position w:val="0"/>
                <w:sz w:val="21"/>
                <w:szCs w:val="21"/>
              </w:rPr>
              <w:t>Q</w:t>
            </w:r>
            <w:r>
              <w:rPr>
                <w:rFonts w:hint="eastAsia" w:ascii="宋体" w:hAnsi="宋体" w:eastAsia="宋体" w:cs="宋体"/>
                <w:spacing w:val="0"/>
                <w:w w:val="94"/>
                <w:position w:val="0"/>
                <w:sz w:val="21"/>
                <w:szCs w:val="21"/>
              </w:rPr>
              <w:t>）</w:t>
            </w:r>
            <w:r>
              <w:rPr>
                <w:rFonts w:hint="eastAsia" w:ascii="宋体" w:hAnsi="宋体" w:eastAsia="宋体" w:cs="宋体"/>
                <w:spacing w:val="0"/>
                <w:position w:val="0"/>
                <w:sz w:val="21"/>
                <w:szCs w:val="21"/>
              </w:rPr>
              <w:t>、</w:t>
            </w:r>
            <w:r>
              <w:rPr>
                <w:rFonts w:hint="eastAsia" w:ascii="宋体" w:hAnsi="宋体" w:eastAsia="宋体" w:cs="宋体"/>
                <w:spacing w:val="0"/>
                <w:w w:val="105"/>
                <w:position w:val="0"/>
                <w:sz w:val="21"/>
                <w:szCs w:val="21"/>
              </w:rPr>
              <w:t>乙基麦芽酚</w:t>
            </w:r>
          </w:p>
        </w:tc>
        <w:tc>
          <w:tcPr>
            <w:tcW w:w="1367" w:type="dxa"/>
            <w:vAlign w:val="center"/>
          </w:tcPr>
          <w:p w14:paraId="7D53D2D5">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2</w:t>
            </w:r>
          </w:p>
        </w:tc>
        <w:tc>
          <w:tcPr>
            <w:tcW w:w="1316" w:type="dxa"/>
            <w:vAlign w:val="center"/>
          </w:tcPr>
          <w:p w14:paraId="2714BAE5">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707203E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5" w:hRule="atLeast"/>
        </w:trPr>
        <w:tc>
          <w:tcPr>
            <w:tcW w:w="726" w:type="dxa"/>
            <w:vMerge w:val="continue"/>
            <w:vAlign w:val="center"/>
          </w:tcPr>
          <w:p w14:paraId="0E8A3476">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5EA8A534">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4CD798E5">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大豆油</w:t>
            </w:r>
          </w:p>
        </w:tc>
        <w:tc>
          <w:tcPr>
            <w:tcW w:w="892" w:type="dxa"/>
            <w:vAlign w:val="center"/>
          </w:tcPr>
          <w:p w14:paraId="55696ACE">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高</w:t>
            </w:r>
          </w:p>
        </w:tc>
        <w:tc>
          <w:tcPr>
            <w:tcW w:w="6199" w:type="dxa"/>
            <w:vAlign w:val="center"/>
          </w:tcPr>
          <w:p w14:paraId="6D4C2419">
            <w:pPr>
              <w:widowControl/>
              <w:spacing w:line="380" w:lineRule="exact"/>
              <w:jc w:val="both"/>
              <w:textAlignment w:val="top"/>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spacing w:val="0"/>
                <w:w w:val="95"/>
                <w:position w:val="0"/>
                <w:sz w:val="21"/>
                <w:szCs w:val="21"/>
              </w:rPr>
              <w:t>酸值/酸价、过氧化值、苯并[a]芘、溶剂残留量、特丁基对苯二酚（TBHQ）</w:t>
            </w:r>
          </w:p>
        </w:tc>
        <w:tc>
          <w:tcPr>
            <w:tcW w:w="1367" w:type="dxa"/>
            <w:vAlign w:val="center"/>
          </w:tcPr>
          <w:p w14:paraId="431CC93C">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2</w:t>
            </w:r>
          </w:p>
        </w:tc>
        <w:tc>
          <w:tcPr>
            <w:tcW w:w="1316" w:type="dxa"/>
            <w:vAlign w:val="center"/>
          </w:tcPr>
          <w:p w14:paraId="0971662A">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29CDEC9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81" w:hRule="atLeast"/>
        </w:trPr>
        <w:tc>
          <w:tcPr>
            <w:tcW w:w="726" w:type="dxa"/>
            <w:vMerge w:val="continue"/>
            <w:vAlign w:val="center"/>
          </w:tcPr>
          <w:p w14:paraId="590B0678">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5BD56407">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2526568E">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食用植物调和油</w:t>
            </w:r>
          </w:p>
        </w:tc>
        <w:tc>
          <w:tcPr>
            <w:tcW w:w="892" w:type="dxa"/>
            <w:vAlign w:val="center"/>
          </w:tcPr>
          <w:p w14:paraId="2554CA79">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高</w:t>
            </w:r>
          </w:p>
        </w:tc>
        <w:tc>
          <w:tcPr>
            <w:tcW w:w="6199" w:type="dxa"/>
            <w:vAlign w:val="center"/>
          </w:tcPr>
          <w:p w14:paraId="745A6C37">
            <w:pPr>
              <w:widowControl/>
              <w:spacing w:line="380" w:lineRule="exact"/>
              <w:jc w:val="both"/>
              <w:textAlignment w:val="top"/>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spacing w:val="0"/>
                <w:w w:val="95"/>
                <w:position w:val="0"/>
                <w:sz w:val="21"/>
                <w:szCs w:val="21"/>
              </w:rPr>
              <w:t>酸价、过氧化值、苯并[a]芘、溶剂残留量、特丁基对苯二酚（TBHQ）、乙基麦芽酚</w:t>
            </w:r>
          </w:p>
        </w:tc>
        <w:tc>
          <w:tcPr>
            <w:tcW w:w="1367" w:type="dxa"/>
            <w:vAlign w:val="center"/>
          </w:tcPr>
          <w:p w14:paraId="7F781FDD">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2</w:t>
            </w:r>
          </w:p>
        </w:tc>
        <w:tc>
          <w:tcPr>
            <w:tcW w:w="1316" w:type="dxa"/>
            <w:vAlign w:val="center"/>
          </w:tcPr>
          <w:p w14:paraId="1DF37EBA">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14D1AC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1639" w:hRule="atLeast"/>
        </w:trPr>
        <w:tc>
          <w:tcPr>
            <w:tcW w:w="726" w:type="dxa"/>
            <w:vMerge w:val="restart"/>
            <w:shd w:val="clear" w:color="auto" w:fill="auto"/>
            <w:vAlign w:val="center"/>
          </w:tcPr>
          <w:p w14:paraId="6863F11B">
            <w:pPr>
              <w:widowControl/>
              <w:spacing w:line="280" w:lineRule="exact"/>
              <w:jc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3</w:t>
            </w:r>
          </w:p>
        </w:tc>
        <w:tc>
          <w:tcPr>
            <w:tcW w:w="1418" w:type="dxa"/>
            <w:vMerge w:val="restart"/>
            <w:shd w:val="clear" w:color="auto" w:fill="FFFFFF"/>
            <w:vAlign w:val="center"/>
          </w:tcPr>
          <w:p w14:paraId="7747B97A">
            <w:pPr>
              <w:widowControl/>
              <w:spacing w:line="280" w:lineRule="exact"/>
              <w:jc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调味品</w:t>
            </w:r>
          </w:p>
        </w:tc>
        <w:tc>
          <w:tcPr>
            <w:tcW w:w="2268" w:type="dxa"/>
            <w:shd w:val="clear" w:color="auto" w:fill="FFFFFF"/>
            <w:vAlign w:val="center"/>
          </w:tcPr>
          <w:p w14:paraId="0B6345C6">
            <w:pPr>
              <w:widowControl/>
              <w:spacing w:line="280" w:lineRule="exact"/>
              <w:jc w:val="center"/>
              <w:rPr>
                <w:rFonts w:hint="eastAsia" w:ascii="宋体" w:hAnsi="宋体" w:eastAsia="宋体" w:cs="宋体"/>
                <w:color w:val="000000" w:themeColor="text1"/>
                <w:spacing w:val="0"/>
                <w:kern w:val="31"/>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食醋</w:t>
            </w:r>
          </w:p>
        </w:tc>
        <w:tc>
          <w:tcPr>
            <w:tcW w:w="892" w:type="dxa"/>
            <w:vAlign w:val="center"/>
          </w:tcPr>
          <w:p w14:paraId="76611E10">
            <w:pPr>
              <w:widowControl/>
              <w:spacing w:line="280" w:lineRule="exact"/>
              <w:jc w:val="center"/>
              <w:textAlignment w:val="center"/>
              <w:rPr>
                <w:rFonts w:hint="eastAsia" w:ascii="宋体" w:hAnsi="宋体" w:eastAsia="宋体" w:cs="宋体"/>
                <w:color w:val="000000" w:themeColor="text1"/>
                <w:spacing w:val="0"/>
                <w:kern w:val="31"/>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一般</w:t>
            </w:r>
          </w:p>
        </w:tc>
        <w:tc>
          <w:tcPr>
            <w:tcW w:w="6199" w:type="dxa"/>
            <w:vAlign w:val="center"/>
          </w:tcPr>
          <w:p w14:paraId="79D5A53E">
            <w:pPr>
              <w:pStyle w:val="34"/>
              <w:spacing w:before="44" w:line="261" w:lineRule="auto"/>
              <w:ind w:left="3" w:right="-116"/>
              <w:jc w:val="left"/>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spacing w:val="0"/>
                <w:position w:val="0"/>
                <w:sz w:val="21"/>
                <w:szCs w:val="21"/>
              </w:rPr>
              <w:t>总酸（以乙酸计）、不挥发酸（以乳酸计）、苯甲酸及其钠盐（以苯甲酸计）、山梨酸及其钾盐（以山梨酸计）、脱氢乙酸及其钠盐（以脱氢乙酸计）、对羟基苯甲酸酯类及</w:t>
            </w:r>
            <w:r>
              <w:rPr>
                <w:rFonts w:hint="eastAsia" w:ascii="宋体" w:hAnsi="宋体" w:eastAsia="宋体" w:cs="宋体"/>
                <w:spacing w:val="0"/>
                <w:w w:val="95"/>
                <w:position w:val="0"/>
                <w:sz w:val="21"/>
                <w:szCs w:val="21"/>
              </w:rPr>
              <w:t>其钠盐（以对羟基苯甲酸计）、防腐剂混合使用时各自用量占其最大使用量的比例之和、糖精钠（以糖精计）、三氯蔗糖、甜蜜素（以环己基氨基磺酸计）、菌落总数</w:t>
            </w:r>
          </w:p>
        </w:tc>
        <w:tc>
          <w:tcPr>
            <w:tcW w:w="1367" w:type="dxa"/>
            <w:vAlign w:val="center"/>
          </w:tcPr>
          <w:p w14:paraId="6C8CE5A8">
            <w:pPr>
              <w:widowControl/>
              <w:spacing w:line="280" w:lineRule="exact"/>
              <w:jc w:val="center"/>
              <w:textAlignment w:val="center"/>
              <w:rPr>
                <w:rFonts w:hint="eastAsia" w:ascii="宋体" w:hAnsi="宋体" w:eastAsia="宋体" w:cs="宋体"/>
                <w:color w:val="000000" w:themeColor="text1"/>
                <w:spacing w:val="0"/>
                <w:kern w:val="31"/>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3</w:t>
            </w:r>
          </w:p>
        </w:tc>
        <w:tc>
          <w:tcPr>
            <w:tcW w:w="1316" w:type="dxa"/>
            <w:vAlign w:val="center"/>
          </w:tcPr>
          <w:p w14:paraId="61F1F935">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6224A9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90" w:hRule="atLeast"/>
        </w:trPr>
        <w:tc>
          <w:tcPr>
            <w:tcW w:w="726" w:type="dxa"/>
            <w:vMerge w:val="continue"/>
            <w:shd w:val="clear" w:color="auto" w:fill="auto"/>
            <w:vAlign w:val="center"/>
          </w:tcPr>
          <w:p w14:paraId="276C024B">
            <w:pPr>
              <w:widowControl/>
              <w:spacing w:line="280" w:lineRule="exact"/>
              <w:jc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shd w:val="clear" w:color="auto" w:fill="FFFFFF"/>
            <w:vAlign w:val="center"/>
          </w:tcPr>
          <w:p w14:paraId="2D2314AD">
            <w:pPr>
              <w:widowControl/>
              <w:spacing w:line="280" w:lineRule="exact"/>
              <w:jc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shd w:val="clear" w:color="auto" w:fill="FFFFFF"/>
            <w:vAlign w:val="center"/>
          </w:tcPr>
          <w:p w14:paraId="6EE7976F">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坚果与籽类的</w:t>
            </w:r>
          </w:p>
          <w:p w14:paraId="56134B97">
            <w:pPr>
              <w:widowControl/>
              <w:spacing w:line="280" w:lineRule="exact"/>
              <w:ind w:left="0" w:leftChars="0" w:right="0" w:rightChars="0"/>
              <w:jc w:val="center"/>
              <w:rPr>
                <w:rFonts w:hint="eastAsia" w:ascii="宋体" w:hAnsi="宋体" w:eastAsia="宋体" w:cs="宋体"/>
                <w:color w:val="000000" w:themeColor="text1"/>
                <w:spacing w:val="0"/>
                <w:kern w:val="31"/>
                <w:position w:val="0"/>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泥（酱）</w:t>
            </w:r>
          </w:p>
        </w:tc>
        <w:tc>
          <w:tcPr>
            <w:tcW w:w="892" w:type="dxa"/>
            <w:shd w:val="clear" w:color="auto" w:fill="auto"/>
            <w:vAlign w:val="center"/>
          </w:tcPr>
          <w:p w14:paraId="642AF792">
            <w:pPr>
              <w:widowControl/>
              <w:spacing w:line="280" w:lineRule="exact"/>
              <w:ind w:left="0" w:leftChars="0" w:right="0" w:rightChars="0"/>
              <w:jc w:val="center"/>
              <w:textAlignment w:val="center"/>
              <w:rPr>
                <w:rFonts w:hint="eastAsia" w:ascii="宋体" w:hAnsi="宋体" w:eastAsia="宋体" w:cs="宋体"/>
                <w:color w:val="000000" w:themeColor="text1"/>
                <w:spacing w:val="0"/>
                <w:kern w:val="31"/>
                <w:position w:val="0"/>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kern w:val="31"/>
                <w:position w:val="0"/>
                <w:sz w:val="21"/>
                <w:szCs w:val="21"/>
                <w14:textFill>
                  <w14:solidFill>
                    <w14:schemeClr w14:val="tx1"/>
                  </w14:solidFill>
                </w14:textFill>
              </w:rPr>
              <w:t>一般</w:t>
            </w:r>
          </w:p>
        </w:tc>
        <w:tc>
          <w:tcPr>
            <w:tcW w:w="6199" w:type="dxa"/>
            <w:shd w:val="clear" w:color="auto" w:fill="auto"/>
            <w:vAlign w:val="center"/>
          </w:tcPr>
          <w:p w14:paraId="7B120334">
            <w:pPr>
              <w:pStyle w:val="34"/>
              <w:spacing w:line="380" w:lineRule="exact"/>
              <w:ind w:left="39" w:leftChars="0" w:right="0" w:rightChars="0"/>
              <w:jc w:val="both"/>
              <w:rPr>
                <w:rFonts w:hint="eastAsia" w:ascii="宋体" w:hAnsi="宋体" w:eastAsia="宋体" w:cs="宋体"/>
                <w:color w:val="000000" w:themeColor="text1"/>
                <w:spacing w:val="0"/>
                <w:position w:val="0"/>
                <w:sz w:val="21"/>
                <w:szCs w:val="21"/>
                <w:lang w:val="en-US" w:eastAsia="zh-CN" w:bidi="ar-SA"/>
                <w14:textFill>
                  <w14:solidFill>
                    <w14:schemeClr w14:val="tx1"/>
                  </w14:solidFill>
                </w14:textFill>
              </w:rPr>
            </w:pPr>
            <w:r>
              <w:rPr>
                <w:rFonts w:hint="eastAsia" w:ascii="宋体" w:hAnsi="宋体" w:eastAsia="宋体" w:cs="宋体"/>
                <w:spacing w:val="0"/>
                <w:position w:val="0"/>
                <w:sz w:val="21"/>
                <w:szCs w:val="21"/>
              </w:rPr>
              <w:t>酸价/酸值、过氧化值、铅（以Pb计）、黄曲霉毒素B1</w:t>
            </w:r>
          </w:p>
        </w:tc>
        <w:tc>
          <w:tcPr>
            <w:tcW w:w="1367" w:type="dxa"/>
            <w:shd w:val="clear" w:color="auto" w:fill="auto"/>
            <w:vAlign w:val="center"/>
          </w:tcPr>
          <w:p w14:paraId="25DADB32">
            <w:pPr>
              <w:widowControl/>
              <w:spacing w:line="280" w:lineRule="exact"/>
              <w:ind w:left="0" w:leftChars="0" w:right="0" w:rightChars="0"/>
              <w:jc w:val="center"/>
              <w:textAlignment w:val="center"/>
              <w:rPr>
                <w:rFonts w:hint="eastAsia" w:ascii="宋体" w:hAnsi="宋体" w:eastAsia="宋体" w:cs="宋体"/>
                <w:color w:val="000000" w:themeColor="text1"/>
                <w:spacing w:val="0"/>
                <w:kern w:val="31"/>
                <w:position w:val="0"/>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1</w:t>
            </w:r>
          </w:p>
        </w:tc>
        <w:tc>
          <w:tcPr>
            <w:tcW w:w="1316" w:type="dxa"/>
            <w:shd w:val="clear" w:color="auto" w:fill="auto"/>
            <w:vAlign w:val="center"/>
          </w:tcPr>
          <w:p w14:paraId="43B81F28">
            <w:pPr>
              <w:widowControl/>
              <w:spacing w:line="280" w:lineRule="exact"/>
              <w:ind w:left="0" w:leftChars="0" w:right="0" w:rightChars="0"/>
              <w:jc w:val="left"/>
              <w:rPr>
                <w:rFonts w:hint="eastAsia" w:ascii="宋体" w:hAnsi="宋体" w:eastAsia="宋体" w:cs="宋体"/>
                <w:color w:val="000000" w:themeColor="text1"/>
                <w:spacing w:val="0"/>
                <w:position w:val="0"/>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黄曲霉毒素B</w:t>
            </w:r>
            <w:r>
              <w:rPr>
                <w:rFonts w:hint="eastAsia" w:ascii="宋体" w:hAnsi="宋体" w:eastAsia="宋体" w:cs="宋体"/>
                <w:color w:val="000000" w:themeColor="text1"/>
                <w:spacing w:val="0"/>
                <w:position w:val="0"/>
                <w:sz w:val="21"/>
                <w:szCs w:val="21"/>
                <w:vertAlign w:val="subscript"/>
                <w14:textFill>
                  <w14:solidFill>
                    <w14:schemeClr w14:val="tx1"/>
                  </w14:solidFill>
                </w14:textFill>
              </w:rPr>
              <w:t>1</w:t>
            </w:r>
            <w:r>
              <w:rPr>
                <w:rFonts w:hint="eastAsia" w:ascii="宋体" w:hAnsi="宋体" w:eastAsia="宋体" w:cs="宋体"/>
                <w:color w:val="000000" w:themeColor="text1"/>
                <w:spacing w:val="0"/>
                <w:position w:val="0"/>
                <w:sz w:val="21"/>
                <w:szCs w:val="21"/>
                <w14:textFill>
                  <w14:solidFill>
                    <w14:schemeClr w14:val="tx1"/>
                  </w14:solidFill>
                </w14:textFill>
              </w:rPr>
              <w:t>限花生制品</w:t>
            </w:r>
          </w:p>
        </w:tc>
      </w:tr>
      <w:tr w14:paraId="359BD76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90" w:hRule="atLeast"/>
        </w:trPr>
        <w:tc>
          <w:tcPr>
            <w:tcW w:w="726" w:type="dxa"/>
            <w:vMerge w:val="continue"/>
            <w:shd w:val="clear" w:color="auto" w:fill="auto"/>
            <w:vAlign w:val="center"/>
          </w:tcPr>
          <w:p w14:paraId="5E2E44EA">
            <w:pPr>
              <w:widowControl/>
              <w:spacing w:line="280" w:lineRule="exact"/>
              <w:jc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shd w:val="clear" w:color="auto" w:fill="FFFFFF"/>
            <w:vAlign w:val="center"/>
          </w:tcPr>
          <w:p w14:paraId="1B58F77C">
            <w:pPr>
              <w:widowControl/>
              <w:spacing w:line="280" w:lineRule="exact"/>
              <w:jc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shd w:val="clear" w:color="auto" w:fill="FFFFFF"/>
            <w:vAlign w:val="center"/>
          </w:tcPr>
          <w:p w14:paraId="02FFC2F7">
            <w:pPr>
              <w:widowControl/>
              <w:spacing w:line="280" w:lineRule="exact"/>
              <w:jc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食盐</w:t>
            </w:r>
          </w:p>
        </w:tc>
        <w:tc>
          <w:tcPr>
            <w:tcW w:w="892" w:type="dxa"/>
            <w:vAlign w:val="center"/>
          </w:tcPr>
          <w:p w14:paraId="4CD53DCC">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一般</w:t>
            </w:r>
          </w:p>
        </w:tc>
        <w:tc>
          <w:tcPr>
            <w:tcW w:w="6199" w:type="dxa"/>
            <w:vAlign w:val="center"/>
          </w:tcPr>
          <w:p w14:paraId="289357F5">
            <w:pPr>
              <w:pStyle w:val="34"/>
              <w:spacing w:before="44"/>
              <w:ind w:left="3"/>
              <w:jc w:val="both"/>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spacing w:val="0"/>
                <w:position w:val="0"/>
                <w:sz w:val="21"/>
                <w:szCs w:val="21"/>
              </w:rPr>
              <w:t>氯化钠、钡（以Ba计）、碘（以</w:t>
            </w:r>
            <w:r>
              <w:rPr>
                <w:rFonts w:hint="eastAsia" w:ascii="宋体" w:hAnsi="宋体" w:eastAsia="宋体" w:cs="宋体"/>
                <w:spacing w:val="0"/>
                <w:position w:val="0"/>
                <w:sz w:val="21"/>
                <w:szCs w:val="21"/>
                <w:lang w:val="en-US" w:eastAsia="zh-CN"/>
              </w:rPr>
              <w:t>I</w:t>
            </w:r>
            <w:r>
              <w:rPr>
                <w:rFonts w:hint="eastAsia" w:ascii="宋体" w:hAnsi="宋体" w:eastAsia="宋体" w:cs="宋体"/>
                <w:spacing w:val="0"/>
                <w:position w:val="0"/>
                <w:sz w:val="21"/>
                <w:szCs w:val="21"/>
              </w:rPr>
              <w:t>计）、铅（以Pb 计）、总砷（以 As计）、镉（以Cd计）、总汞（以Hg计）、亚铁氰化钾/亚铁氰化钠（以亚铁氰根计</w:t>
            </w:r>
            <w:r>
              <w:rPr>
                <w:rFonts w:hint="eastAsia" w:ascii="宋体" w:hAnsi="宋体" w:eastAsia="宋体" w:cs="宋体"/>
                <w:spacing w:val="0"/>
                <w:position w:val="0"/>
                <w:sz w:val="21"/>
                <w:szCs w:val="21"/>
                <w:lang w:val="en-US" w:eastAsia="zh-CN"/>
              </w:rPr>
              <w:t>)</w:t>
            </w:r>
          </w:p>
        </w:tc>
        <w:tc>
          <w:tcPr>
            <w:tcW w:w="1367" w:type="dxa"/>
            <w:vAlign w:val="center"/>
          </w:tcPr>
          <w:p w14:paraId="2B0ED455">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2</w:t>
            </w:r>
          </w:p>
        </w:tc>
        <w:tc>
          <w:tcPr>
            <w:tcW w:w="1316" w:type="dxa"/>
            <w:vAlign w:val="center"/>
          </w:tcPr>
          <w:p w14:paraId="721BA5AC">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3DBBD8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8" w:hRule="atLeast"/>
        </w:trPr>
        <w:tc>
          <w:tcPr>
            <w:tcW w:w="726" w:type="dxa"/>
            <w:vAlign w:val="center"/>
          </w:tcPr>
          <w:p w14:paraId="79B1F54A">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4</w:t>
            </w:r>
          </w:p>
        </w:tc>
        <w:tc>
          <w:tcPr>
            <w:tcW w:w="1418" w:type="dxa"/>
            <w:vAlign w:val="center"/>
          </w:tcPr>
          <w:p w14:paraId="61EC1BE3">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肉制品</w:t>
            </w:r>
          </w:p>
        </w:tc>
        <w:tc>
          <w:tcPr>
            <w:tcW w:w="2268" w:type="dxa"/>
            <w:vAlign w:val="center"/>
          </w:tcPr>
          <w:p w14:paraId="166A7B48">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酱卤肉制品</w:t>
            </w:r>
          </w:p>
        </w:tc>
        <w:tc>
          <w:tcPr>
            <w:tcW w:w="892" w:type="dxa"/>
            <w:vAlign w:val="center"/>
          </w:tcPr>
          <w:p w14:paraId="7DDC275A">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高</w:t>
            </w:r>
          </w:p>
        </w:tc>
        <w:tc>
          <w:tcPr>
            <w:tcW w:w="6199" w:type="dxa"/>
            <w:vAlign w:val="center"/>
          </w:tcPr>
          <w:p w14:paraId="44AB0D7C">
            <w:pPr>
              <w:pStyle w:val="34"/>
              <w:spacing w:before="45" w:line="261" w:lineRule="auto"/>
              <w:ind w:left="3" w:right="-15"/>
              <w:jc w:val="both"/>
              <w:rPr>
                <w:rFonts w:hint="eastAsia" w:ascii="宋体" w:hAnsi="宋体" w:eastAsia="宋体" w:cs="宋体"/>
                <w:color w:val="000000" w:themeColor="text1"/>
                <w:spacing w:val="0"/>
                <w:position w:val="0"/>
                <w:sz w:val="21"/>
                <w:szCs w:val="21"/>
                <w:lang w:eastAsia="zh-CN"/>
                <w14:textFill>
                  <w14:solidFill>
                    <w14:schemeClr w14:val="tx1"/>
                  </w14:solidFill>
                </w14:textFill>
              </w:rPr>
            </w:pPr>
            <w:r>
              <w:rPr>
                <w:rFonts w:hint="eastAsia" w:ascii="宋体" w:hAnsi="宋体" w:eastAsia="宋体" w:cs="宋体"/>
                <w:spacing w:val="0"/>
                <w:w w:val="99"/>
                <w:position w:val="0"/>
                <w:sz w:val="21"/>
                <w:szCs w:val="21"/>
              </w:rPr>
              <w:t>镉（以</w:t>
            </w:r>
            <w:r>
              <w:rPr>
                <w:rFonts w:hint="eastAsia" w:ascii="宋体" w:hAnsi="宋体" w:eastAsia="宋体" w:cs="宋体"/>
                <w:spacing w:val="0"/>
                <w:w w:val="100"/>
                <w:position w:val="0"/>
                <w:sz w:val="21"/>
                <w:szCs w:val="21"/>
              </w:rPr>
              <w:t>C</w:t>
            </w:r>
            <w:r>
              <w:rPr>
                <w:rFonts w:hint="eastAsia" w:ascii="宋体" w:hAnsi="宋体" w:eastAsia="宋体" w:cs="宋体"/>
                <w:spacing w:val="0"/>
                <w:w w:val="105"/>
                <w:position w:val="0"/>
                <w:sz w:val="21"/>
                <w:szCs w:val="21"/>
              </w:rPr>
              <w:t>d</w:t>
            </w:r>
            <w:r>
              <w:rPr>
                <w:rFonts w:hint="eastAsia" w:ascii="宋体" w:hAnsi="宋体" w:eastAsia="宋体" w:cs="宋体"/>
                <w:spacing w:val="0"/>
                <w:w w:val="99"/>
                <w:position w:val="0"/>
                <w:sz w:val="21"/>
                <w:szCs w:val="21"/>
              </w:rPr>
              <w:t>计）、铬（以</w:t>
            </w:r>
            <w:r>
              <w:rPr>
                <w:rFonts w:hint="eastAsia" w:ascii="宋体" w:hAnsi="宋体" w:eastAsia="宋体" w:cs="宋体"/>
                <w:spacing w:val="0"/>
                <w:w w:val="100"/>
                <w:position w:val="0"/>
                <w:sz w:val="21"/>
                <w:szCs w:val="21"/>
              </w:rPr>
              <w:t>C</w:t>
            </w:r>
            <w:r>
              <w:rPr>
                <w:rFonts w:hint="eastAsia" w:ascii="宋体" w:hAnsi="宋体" w:eastAsia="宋体" w:cs="宋体"/>
                <w:spacing w:val="0"/>
                <w:w w:val="105"/>
                <w:position w:val="0"/>
                <w:sz w:val="21"/>
                <w:szCs w:val="21"/>
              </w:rPr>
              <w:t>r</w:t>
            </w:r>
            <w:r>
              <w:rPr>
                <w:rFonts w:hint="eastAsia" w:ascii="宋体" w:hAnsi="宋体" w:eastAsia="宋体" w:cs="宋体"/>
                <w:spacing w:val="0"/>
                <w:w w:val="99"/>
                <w:position w:val="0"/>
                <w:sz w:val="21"/>
                <w:szCs w:val="21"/>
              </w:rPr>
              <w:t>计）、总砷（以As计）、</w:t>
            </w:r>
            <w:r>
              <w:rPr>
                <w:rFonts w:hint="eastAsia" w:ascii="宋体" w:hAnsi="宋体" w:eastAsia="宋体" w:cs="宋体"/>
                <w:spacing w:val="0"/>
                <w:w w:val="113"/>
                <w:position w:val="0"/>
                <w:sz w:val="21"/>
                <w:szCs w:val="21"/>
              </w:rPr>
              <w:t>N</w:t>
            </w:r>
            <w:r>
              <w:rPr>
                <w:rFonts w:hint="eastAsia" w:ascii="宋体" w:hAnsi="宋体" w:eastAsia="宋体" w:cs="宋体"/>
                <w:spacing w:val="0"/>
                <w:w w:val="99"/>
                <w:position w:val="0"/>
                <w:sz w:val="21"/>
                <w:szCs w:val="21"/>
              </w:rPr>
              <w:t>－二甲基亚硝胺、亚硝酸盐（以亚硝酸钠计）、苯甲酸及其钠盐（以苯甲酸计）、山梨酸及其钾盐（以山梨酸计）、脱氢乙酸及其钠盐（以脱氢乙酸计）、纳他霉素、防腐剂混合使用时各自用量占其最大使用量的比例之和、糖精钠（以糖精计）、合成着色剂（柠檬黄、日落黄、胭脂红、诱惑红）、氯霉素、菌落总数、大肠菌群、沙门氏菌、金黄色葡萄球菌、单核细胞增生李斯</w:t>
            </w:r>
            <w:r>
              <w:rPr>
                <w:rFonts w:hint="eastAsia" w:ascii="宋体" w:hAnsi="宋体" w:eastAsia="宋体" w:cs="宋体"/>
                <w:spacing w:val="0"/>
                <w:w w:val="95"/>
                <w:position w:val="0"/>
                <w:sz w:val="21"/>
                <w:szCs w:val="21"/>
              </w:rPr>
              <w:t>特氏菌、致泻大肠埃希氏菌、商业无菌</w:t>
            </w:r>
            <w:r>
              <w:rPr>
                <w:rFonts w:hint="eastAsia" w:ascii="宋体" w:hAnsi="宋体" w:eastAsia="宋体" w:cs="宋体"/>
                <w:spacing w:val="0"/>
                <w:w w:val="95"/>
                <w:position w:val="0"/>
                <w:sz w:val="21"/>
                <w:szCs w:val="21"/>
                <w:lang w:eastAsia="zh-CN"/>
              </w:rPr>
              <w:t>、磷酸及磷酸盐</w:t>
            </w:r>
          </w:p>
        </w:tc>
        <w:tc>
          <w:tcPr>
            <w:tcW w:w="1367" w:type="dxa"/>
            <w:vAlign w:val="center"/>
          </w:tcPr>
          <w:p w14:paraId="73F58AEC">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5</w:t>
            </w:r>
          </w:p>
        </w:tc>
        <w:tc>
          <w:tcPr>
            <w:tcW w:w="1316" w:type="dxa"/>
            <w:vAlign w:val="center"/>
          </w:tcPr>
          <w:p w14:paraId="4482BBD7">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6B8B515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5" w:hRule="atLeast"/>
        </w:trPr>
        <w:tc>
          <w:tcPr>
            <w:tcW w:w="726" w:type="dxa"/>
            <w:vMerge w:val="restart"/>
            <w:vAlign w:val="center"/>
          </w:tcPr>
          <w:p w14:paraId="1D89DBD9">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p w14:paraId="5925BC44">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p w14:paraId="47CB1711">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p w14:paraId="6CA47973">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bCs/>
                <w:spacing w:val="0"/>
                <w:position w:val="0"/>
                <w:sz w:val="21"/>
                <w:szCs w:val="21"/>
              </w:rPr>
              <mc:AlternateContent>
                <mc:Choice Requires="wps">
                  <w:drawing>
                    <wp:anchor distT="0" distB="0" distL="114300" distR="114300" simplePos="0" relativeHeight="251660288" behindDoc="0" locked="0" layoutInCell="1" allowOverlap="1">
                      <wp:simplePos x="0" y="0"/>
                      <wp:positionH relativeFrom="column">
                        <wp:posOffset>-498475</wp:posOffset>
                      </wp:positionH>
                      <wp:positionV relativeFrom="paragraph">
                        <wp:posOffset>169545</wp:posOffset>
                      </wp:positionV>
                      <wp:extent cx="403225" cy="890270"/>
                      <wp:effectExtent l="4445" t="4445" r="11430" b="19685"/>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3225" cy="890270"/>
                              </a:xfrm>
                              <a:prstGeom prst="rect">
                                <a:avLst/>
                              </a:prstGeom>
                              <a:solidFill>
                                <a:srgbClr val="FFFFFF"/>
                              </a:solidFill>
                              <a:ln w="9525">
                                <a:solidFill>
                                  <a:srgbClr val="FFFFFF"/>
                                </a:solidFill>
                                <a:miter lim="800000"/>
                              </a:ln>
                              <a:effectLst/>
                            </wps:spPr>
                            <wps:txbx>
                              <w:txbxContent>
                                <w:p w14:paraId="61F70923"/>
                              </w:txbxContent>
                            </wps:txbx>
                            <wps:bodyPr rot="0" vert="vert" wrap="square" lIns="91440" tIns="45720" rIns="91440" bIns="45720" anchor="t" anchorCtr="0">
                              <a:noAutofit/>
                            </wps:bodyPr>
                          </wps:wsp>
                        </a:graphicData>
                      </a:graphic>
                    </wp:anchor>
                  </w:drawing>
                </mc:Choice>
                <mc:Fallback>
                  <w:pict>
                    <v:shape id="文本框 2" o:spid="_x0000_s1026" o:spt="202" type="#_x0000_t202" style="position:absolute;left:0pt;margin-left:-39.25pt;margin-top:13.35pt;height:70.1pt;width:31.75pt;z-index:251660288;mso-width-relative:page;mso-height-relative:page;" fillcolor="#FFFFFF" filled="t" stroked="t" coordsize="21600,21600" o:gfxdata="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VKtOj2QAAAAoBAAAPAAAAAAAAAAEAIAAAACIAAABkcnMv&#10;ZG93bnJldi54bWxQSwECFAAUAAAACACHTuJATNbRSzsCAACKBAAADgAAAAAAAAABACAAAAAoAQAA&#10;ZHJzL2Uyb0RvYy54bWxQSwUGAAAAAAYABgBZAQAA1QUAAAAA&#10;">
                      <v:fill on="t" focussize="0,0"/>
                      <v:stroke color="#FFFFFF" miterlimit="8" joinstyle="miter"/>
                      <v:imagedata o:title=""/>
                      <o:lock v:ext="edit" aspectratio="f"/>
                      <v:textbox style="layout-flow:vertical;">
                        <w:txbxContent>
                          <w:p w14:paraId="61F70923"/>
                        </w:txbxContent>
                      </v:textbox>
                    </v:shape>
                  </w:pict>
                </mc:Fallback>
              </mc:AlternateContent>
            </w:r>
          </w:p>
          <w:p w14:paraId="166CBF64">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5</w:t>
            </w:r>
          </w:p>
        </w:tc>
        <w:tc>
          <w:tcPr>
            <w:tcW w:w="1418" w:type="dxa"/>
            <w:vMerge w:val="restart"/>
            <w:vAlign w:val="center"/>
          </w:tcPr>
          <w:p w14:paraId="2705B054">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乳制品</w:t>
            </w:r>
          </w:p>
        </w:tc>
        <w:tc>
          <w:tcPr>
            <w:tcW w:w="2268" w:type="dxa"/>
            <w:vAlign w:val="center"/>
          </w:tcPr>
          <w:p w14:paraId="3EC94C6C">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巴氏杀菌乳</w:t>
            </w:r>
          </w:p>
        </w:tc>
        <w:tc>
          <w:tcPr>
            <w:tcW w:w="892" w:type="dxa"/>
            <w:vAlign w:val="center"/>
          </w:tcPr>
          <w:p w14:paraId="6979F270">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高</w:t>
            </w:r>
          </w:p>
        </w:tc>
        <w:tc>
          <w:tcPr>
            <w:tcW w:w="6199" w:type="dxa"/>
            <w:vAlign w:val="center"/>
          </w:tcPr>
          <w:p w14:paraId="5AE41F59">
            <w:pPr>
              <w:widowControl/>
              <w:spacing w:line="380" w:lineRule="exact"/>
              <w:jc w:val="both"/>
              <w:textAlignment w:val="center"/>
              <w:rPr>
                <w:rFonts w:hint="eastAsia" w:ascii="宋体" w:hAnsi="宋体" w:eastAsia="宋体" w:cs="宋体"/>
                <w:color w:val="000000" w:themeColor="text1"/>
                <w:spacing w:val="0"/>
                <w:kern w:val="2"/>
                <w:position w:val="0"/>
                <w:sz w:val="21"/>
                <w:szCs w:val="21"/>
                <w:lang w:val="en-US" w:eastAsia="zh-CN" w:bidi="ar-SA"/>
                <w14:textFill>
                  <w14:solidFill>
                    <w14:schemeClr w14:val="tx1"/>
                  </w14:solidFill>
                </w14:textFill>
              </w:rPr>
            </w:pPr>
            <w:r>
              <w:rPr>
                <w:rFonts w:hint="eastAsia" w:ascii="宋体" w:hAnsi="宋体" w:eastAsia="宋体" w:cs="宋体"/>
                <w:spacing w:val="0"/>
                <w:position w:val="0"/>
                <w:sz w:val="21"/>
                <w:szCs w:val="21"/>
              </w:rPr>
              <w:t>蛋白质、酸度、三聚氰胺、铅（以Pb计）、丙二醇、沙门氏菌、金黄色葡萄球菌、菌落总数、大肠菌群</w:t>
            </w:r>
          </w:p>
        </w:tc>
        <w:tc>
          <w:tcPr>
            <w:tcW w:w="1367" w:type="dxa"/>
            <w:vAlign w:val="center"/>
          </w:tcPr>
          <w:p w14:paraId="4F27BD43">
            <w:pPr>
              <w:widowControl/>
              <w:spacing w:line="280" w:lineRule="exact"/>
              <w:jc w:val="center"/>
              <w:textAlignment w:val="center"/>
              <w:rPr>
                <w:rFonts w:hint="eastAsia" w:ascii="宋体" w:hAnsi="宋体" w:eastAsia="宋体" w:cs="宋体"/>
                <w:color w:val="000000" w:themeColor="text1"/>
                <w:spacing w:val="0"/>
                <w:kern w:val="31"/>
                <w:position w:val="0"/>
                <w:sz w:val="21"/>
                <w:szCs w:val="21"/>
                <w:lang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2</w:t>
            </w:r>
          </w:p>
        </w:tc>
        <w:tc>
          <w:tcPr>
            <w:tcW w:w="1316" w:type="dxa"/>
            <w:vAlign w:val="center"/>
          </w:tcPr>
          <w:p w14:paraId="130C835E">
            <w:pPr>
              <w:widowControl/>
              <w:spacing w:line="280" w:lineRule="exact"/>
              <w:jc w:val="left"/>
              <w:rPr>
                <w:rFonts w:hint="eastAsia" w:ascii="宋体" w:hAnsi="宋体" w:eastAsia="宋体" w:cs="宋体"/>
                <w:color w:val="000000" w:themeColor="text1"/>
                <w:spacing w:val="0"/>
                <w:position w:val="0"/>
                <w:sz w:val="21"/>
                <w:szCs w:val="21"/>
                <w:lang w:eastAsia="zh-CN"/>
                <w14:textFill>
                  <w14:solidFill>
                    <w14:schemeClr w14:val="tx1"/>
                  </w14:solidFill>
                </w14:textFill>
              </w:rPr>
            </w:pPr>
          </w:p>
        </w:tc>
      </w:tr>
      <w:tr w14:paraId="0A2A95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61" w:hRule="atLeast"/>
        </w:trPr>
        <w:tc>
          <w:tcPr>
            <w:tcW w:w="726" w:type="dxa"/>
            <w:vMerge w:val="continue"/>
            <w:vAlign w:val="center"/>
          </w:tcPr>
          <w:p w14:paraId="637A7CFD">
            <w:pPr>
              <w:widowControl/>
              <w:spacing w:line="280" w:lineRule="exact"/>
              <w:jc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79F4544F">
            <w:pPr>
              <w:widowControl/>
              <w:spacing w:line="280" w:lineRule="exact"/>
              <w:jc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714F1D90">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灭菌乳</w:t>
            </w:r>
          </w:p>
        </w:tc>
        <w:tc>
          <w:tcPr>
            <w:tcW w:w="892" w:type="dxa"/>
            <w:vAlign w:val="center"/>
          </w:tcPr>
          <w:p w14:paraId="19F2E8D0">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高</w:t>
            </w:r>
          </w:p>
        </w:tc>
        <w:tc>
          <w:tcPr>
            <w:tcW w:w="6199" w:type="dxa"/>
            <w:vAlign w:val="center"/>
          </w:tcPr>
          <w:p w14:paraId="34B64CAB">
            <w:pPr>
              <w:widowControl/>
              <w:spacing w:line="380" w:lineRule="exact"/>
              <w:jc w:val="both"/>
              <w:textAlignment w:val="top"/>
              <w:rPr>
                <w:rFonts w:hint="eastAsia" w:ascii="宋体" w:hAnsi="宋体" w:eastAsia="宋体" w:cs="宋体"/>
                <w:color w:val="000000" w:themeColor="text1"/>
                <w:spacing w:val="0"/>
                <w:kern w:val="2"/>
                <w:position w:val="0"/>
                <w:sz w:val="21"/>
                <w:szCs w:val="21"/>
                <w:lang w:val="zh-CN" w:eastAsia="zh-CN" w:bidi="ar-SA"/>
                <w14:textFill>
                  <w14:solidFill>
                    <w14:schemeClr w14:val="tx1"/>
                  </w14:solidFill>
                </w14:textFill>
              </w:rPr>
            </w:pPr>
            <w:r>
              <w:rPr>
                <w:rFonts w:hint="eastAsia" w:ascii="宋体" w:hAnsi="宋体" w:eastAsia="宋体" w:cs="宋体"/>
                <w:spacing w:val="0"/>
                <w:w w:val="95"/>
                <w:position w:val="0"/>
                <w:sz w:val="21"/>
                <w:szCs w:val="21"/>
              </w:rPr>
              <w:t>蛋白质、非脂乳固体、酸度、脂肪、三聚氰胺、铅（以Pb计）、丙二醇、商业无菌</w:t>
            </w:r>
          </w:p>
        </w:tc>
        <w:tc>
          <w:tcPr>
            <w:tcW w:w="1367" w:type="dxa"/>
            <w:vAlign w:val="center"/>
          </w:tcPr>
          <w:p w14:paraId="1F1904D6">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1</w:t>
            </w:r>
          </w:p>
        </w:tc>
        <w:tc>
          <w:tcPr>
            <w:tcW w:w="1316" w:type="dxa"/>
            <w:vAlign w:val="center"/>
          </w:tcPr>
          <w:p w14:paraId="2A18E35C">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6189BAC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61" w:hRule="atLeast"/>
        </w:trPr>
        <w:tc>
          <w:tcPr>
            <w:tcW w:w="726" w:type="dxa"/>
            <w:vMerge w:val="continue"/>
            <w:vAlign w:val="center"/>
          </w:tcPr>
          <w:p w14:paraId="0FA6A554">
            <w:pPr>
              <w:widowControl/>
              <w:spacing w:line="280" w:lineRule="exact"/>
              <w:jc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0B4AF796">
            <w:pPr>
              <w:widowControl/>
              <w:spacing w:line="280" w:lineRule="exact"/>
              <w:jc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29DED8B4">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发酵乳</w:t>
            </w:r>
          </w:p>
        </w:tc>
        <w:tc>
          <w:tcPr>
            <w:tcW w:w="892" w:type="dxa"/>
            <w:vAlign w:val="center"/>
          </w:tcPr>
          <w:p w14:paraId="40CE5715">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高</w:t>
            </w:r>
          </w:p>
        </w:tc>
        <w:tc>
          <w:tcPr>
            <w:tcW w:w="6199" w:type="dxa"/>
            <w:vAlign w:val="center"/>
          </w:tcPr>
          <w:p w14:paraId="4074A9BF">
            <w:pPr>
              <w:pStyle w:val="34"/>
              <w:spacing w:before="44"/>
              <w:ind w:left="3" w:right="-116"/>
              <w:jc w:val="left"/>
              <w:rPr>
                <w:rFonts w:hint="eastAsia" w:ascii="宋体" w:hAnsi="宋体" w:eastAsia="宋体" w:cs="宋体"/>
                <w:color w:val="000000" w:themeColor="text1"/>
                <w:spacing w:val="0"/>
                <w:kern w:val="2"/>
                <w:position w:val="0"/>
                <w:sz w:val="21"/>
                <w:szCs w:val="21"/>
                <w:lang w:val="en-US" w:eastAsia="zh-CN" w:bidi="ar-SA"/>
                <w14:textFill>
                  <w14:solidFill>
                    <w14:schemeClr w14:val="tx1"/>
                  </w14:solidFill>
                </w14:textFill>
              </w:rPr>
            </w:pPr>
            <w:r>
              <w:rPr>
                <w:rFonts w:hint="eastAsia" w:ascii="宋体" w:hAnsi="宋体" w:eastAsia="宋体" w:cs="宋体"/>
                <w:spacing w:val="0"/>
                <w:w w:val="95"/>
                <w:position w:val="0"/>
                <w:sz w:val="21"/>
                <w:szCs w:val="21"/>
              </w:rPr>
              <w:t>脂肪、蛋白质、酸度、山梨酸及其钾盐（以山梨酸计）、甜蜜素（以环己基氨基磺酸计）、</w:t>
            </w:r>
            <w:r>
              <w:rPr>
                <w:rFonts w:hint="eastAsia" w:ascii="宋体" w:hAnsi="宋体" w:eastAsia="宋体" w:cs="宋体"/>
                <w:spacing w:val="0"/>
                <w:position w:val="0"/>
                <w:sz w:val="21"/>
                <w:szCs w:val="21"/>
              </w:rPr>
              <w:t>阿斯巴甜、安赛蜜、三聚氰胺、铅（以Pb计）、金黄色葡萄球菌、沙门氏菌、大肠菌群、酵母、霉菌</w:t>
            </w:r>
          </w:p>
        </w:tc>
        <w:tc>
          <w:tcPr>
            <w:tcW w:w="1367" w:type="dxa"/>
            <w:vAlign w:val="center"/>
          </w:tcPr>
          <w:p w14:paraId="7AABD0D1">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1</w:t>
            </w:r>
          </w:p>
        </w:tc>
        <w:tc>
          <w:tcPr>
            <w:tcW w:w="1316" w:type="dxa"/>
            <w:vAlign w:val="center"/>
          </w:tcPr>
          <w:p w14:paraId="1B03388F">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6DFC7B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49" w:hRule="atLeast"/>
        </w:trPr>
        <w:tc>
          <w:tcPr>
            <w:tcW w:w="726" w:type="dxa"/>
            <w:vMerge w:val="restart"/>
            <w:vAlign w:val="center"/>
          </w:tcPr>
          <w:p w14:paraId="159938AE">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6</w:t>
            </w:r>
          </w:p>
        </w:tc>
        <w:tc>
          <w:tcPr>
            <w:tcW w:w="1418" w:type="dxa"/>
            <w:vMerge w:val="restart"/>
            <w:vAlign w:val="center"/>
          </w:tcPr>
          <w:p w14:paraId="4408C3FF">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饮 料</w:t>
            </w:r>
          </w:p>
        </w:tc>
        <w:tc>
          <w:tcPr>
            <w:tcW w:w="2268" w:type="dxa"/>
            <w:vAlign w:val="center"/>
          </w:tcPr>
          <w:p w14:paraId="262236EE">
            <w:pPr>
              <w:widowControl/>
              <w:spacing w:line="280" w:lineRule="exact"/>
              <w:jc w:val="center"/>
              <w:textAlignment w:val="center"/>
              <w:rPr>
                <w:rFonts w:hint="eastAsia" w:ascii="宋体" w:hAnsi="宋体" w:eastAsia="宋体" w:cs="宋体"/>
                <w:color w:val="000000" w:themeColor="text1"/>
                <w:spacing w:val="0"/>
                <w:position w:val="0"/>
                <w:sz w:val="21"/>
                <w:szCs w:val="21"/>
                <w:lang w:eastAsia="zh-CN"/>
                <w14:textFill>
                  <w14:solidFill>
                    <w14:schemeClr w14:val="tx1"/>
                  </w14:solidFill>
                </w14:textFill>
              </w:rPr>
            </w:pPr>
            <w:r>
              <w:rPr>
                <w:rFonts w:hint="eastAsia" w:ascii="宋体" w:hAnsi="宋体" w:eastAsia="宋体" w:cs="宋体"/>
                <w:color w:val="000000" w:themeColor="text1"/>
                <w:spacing w:val="0"/>
                <w:position w:val="0"/>
                <w:sz w:val="21"/>
                <w:szCs w:val="21"/>
                <w:lang w:eastAsia="zh-CN"/>
                <w14:textFill>
                  <w14:solidFill>
                    <w14:schemeClr w14:val="tx1"/>
                  </w14:solidFill>
                </w14:textFill>
              </w:rPr>
              <w:t>饮用纯净水（大桶水）</w:t>
            </w:r>
          </w:p>
        </w:tc>
        <w:tc>
          <w:tcPr>
            <w:tcW w:w="892" w:type="dxa"/>
            <w:vAlign w:val="center"/>
          </w:tcPr>
          <w:p w14:paraId="06633552">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高</w:t>
            </w:r>
          </w:p>
        </w:tc>
        <w:tc>
          <w:tcPr>
            <w:tcW w:w="6199" w:type="dxa"/>
            <w:vAlign w:val="center"/>
          </w:tcPr>
          <w:p w14:paraId="0930B4D6">
            <w:pPr>
              <w:widowControl/>
              <w:spacing w:line="380" w:lineRule="exact"/>
              <w:jc w:val="both"/>
              <w:textAlignment w:val="center"/>
              <w:rPr>
                <w:rFonts w:hint="eastAsia" w:ascii="宋体" w:hAnsi="宋体" w:eastAsia="宋体" w:cs="宋体"/>
                <w:color w:val="000000" w:themeColor="text1"/>
                <w:spacing w:val="0"/>
                <w:kern w:val="2"/>
                <w:position w:val="0"/>
                <w:sz w:val="21"/>
                <w:szCs w:val="21"/>
                <w:lang w:val="en-US" w:eastAsia="zh-CN" w:bidi="ar-SA"/>
                <w14:textFill>
                  <w14:solidFill>
                    <w14:schemeClr w14:val="tx1"/>
                  </w14:solidFill>
                </w14:textFill>
              </w:rPr>
            </w:pPr>
            <w:r>
              <w:rPr>
                <w:rFonts w:hint="eastAsia" w:ascii="宋体" w:hAnsi="宋体" w:eastAsia="宋体" w:cs="宋体"/>
                <w:spacing w:val="0"/>
                <w:position w:val="0"/>
                <w:sz w:val="21"/>
                <w:szCs w:val="21"/>
              </w:rPr>
              <w:t>电导率、耗氧量（以O2计）、铅（以Pb 计）、总砷（以 As计）、镉（以Cd计）、亚</w:t>
            </w:r>
            <w:r>
              <w:rPr>
                <w:rFonts w:hint="eastAsia" w:ascii="宋体" w:hAnsi="宋体" w:eastAsia="宋体" w:cs="宋体"/>
                <w:spacing w:val="0"/>
                <w:w w:val="95"/>
                <w:position w:val="0"/>
                <w:sz w:val="21"/>
                <w:szCs w:val="21"/>
              </w:rPr>
              <w:t>硝酸盐（以NO2-计）、余氯（游离氯）、溴酸盐、三氯甲烷、大肠菌群、铜绿假单胞菌</w:t>
            </w:r>
          </w:p>
        </w:tc>
        <w:tc>
          <w:tcPr>
            <w:tcW w:w="1367" w:type="dxa"/>
            <w:vAlign w:val="center"/>
          </w:tcPr>
          <w:p w14:paraId="30398FA4">
            <w:pPr>
              <w:widowControl/>
              <w:spacing w:line="280" w:lineRule="exact"/>
              <w:jc w:val="center"/>
              <w:textAlignment w:val="center"/>
              <w:rPr>
                <w:rFonts w:hint="eastAsia" w:ascii="宋体" w:hAnsi="宋体" w:eastAsia="宋体" w:cs="宋体"/>
                <w:color w:val="000000" w:themeColor="text1"/>
                <w:spacing w:val="0"/>
                <w:kern w:val="31"/>
                <w:position w:val="0"/>
                <w:sz w:val="21"/>
                <w:szCs w:val="21"/>
                <w:lang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3</w:t>
            </w:r>
          </w:p>
        </w:tc>
        <w:tc>
          <w:tcPr>
            <w:tcW w:w="1316" w:type="dxa"/>
            <w:vAlign w:val="center"/>
          </w:tcPr>
          <w:p w14:paraId="3CCB1B0C">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2F18FA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2209" w:hRule="atLeast"/>
        </w:trPr>
        <w:tc>
          <w:tcPr>
            <w:tcW w:w="726" w:type="dxa"/>
            <w:vMerge w:val="continue"/>
            <w:vAlign w:val="center"/>
          </w:tcPr>
          <w:p w14:paraId="38FD6690">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247E5C3E">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7519E40D">
            <w:pPr>
              <w:widowControl/>
              <w:spacing w:line="280" w:lineRule="exact"/>
              <w:jc w:val="center"/>
              <w:textAlignment w:val="center"/>
              <w:rPr>
                <w:rFonts w:hint="eastAsia" w:ascii="宋体" w:hAnsi="宋体" w:eastAsia="宋体" w:cs="宋体"/>
                <w:color w:val="000000" w:themeColor="text1"/>
                <w:spacing w:val="0"/>
                <w:position w:val="0"/>
                <w:sz w:val="21"/>
                <w:szCs w:val="21"/>
                <w:lang w:eastAsia="zh-CN"/>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果蔬汁类及饮料</w:t>
            </w:r>
          </w:p>
        </w:tc>
        <w:tc>
          <w:tcPr>
            <w:tcW w:w="892" w:type="dxa"/>
            <w:vAlign w:val="center"/>
          </w:tcPr>
          <w:p w14:paraId="486D9808">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较高</w:t>
            </w:r>
          </w:p>
        </w:tc>
        <w:tc>
          <w:tcPr>
            <w:tcW w:w="6199" w:type="dxa"/>
            <w:vAlign w:val="center"/>
          </w:tcPr>
          <w:p w14:paraId="0E9FCD64">
            <w:pPr>
              <w:pStyle w:val="34"/>
              <w:keepNext w:val="0"/>
              <w:keepLines w:val="0"/>
              <w:pageBreakBefore w:val="0"/>
              <w:widowControl/>
              <w:kinsoku/>
              <w:wordWrap/>
              <w:overflowPunct/>
              <w:topLinePunct/>
              <w:autoSpaceDE/>
              <w:autoSpaceDN/>
              <w:bidi w:val="0"/>
              <w:adjustRightInd/>
              <w:snapToGrid/>
              <w:spacing w:before="44" w:line="261" w:lineRule="auto"/>
              <w:ind w:left="3" w:right="-116"/>
              <w:jc w:val="left"/>
              <w:rPr>
                <w:rFonts w:hint="eastAsia" w:ascii="宋体" w:hAnsi="宋体" w:eastAsia="宋体" w:cs="宋体"/>
                <w:spacing w:val="0"/>
                <w:w w:val="95"/>
                <w:position w:val="0"/>
                <w:sz w:val="21"/>
                <w:szCs w:val="21"/>
              </w:rPr>
            </w:pPr>
            <w:r>
              <w:rPr>
                <w:rFonts w:hint="eastAsia" w:ascii="宋体" w:hAnsi="宋体" w:eastAsia="宋体" w:cs="宋体"/>
                <w:spacing w:val="0"/>
                <w:position w:val="0"/>
                <w:sz w:val="21"/>
                <w:szCs w:val="21"/>
              </w:rPr>
              <w:t>铅（以Pb计）、展青霉素、苯甲酸及其钠盐（以苯甲酸计）、山梨酸及其钾盐（以山梨酸计）、脱氢乙酸及其钠盐（以脱氢乙酸计）、纳他霉素、防腐剂混合使用时各自用量占其最大使用量的比例之和、安赛蜜、甜蜜素（以环己基氨基磺酸计）、阿斯巴甜、</w:t>
            </w:r>
            <w:r>
              <w:rPr>
                <w:rFonts w:hint="eastAsia" w:ascii="宋体" w:hAnsi="宋体" w:eastAsia="宋体" w:cs="宋体"/>
                <w:spacing w:val="0"/>
                <w:w w:val="95"/>
                <w:position w:val="0"/>
                <w:sz w:val="21"/>
                <w:szCs w:val="21"/>
              </w:rPr>
              <w:t>合成着色剂</w:t>
            </w:r>
          </w:p>
          <w:p w14:paraId="2204279D">
            <w:pPr>
              <w:pStyle w:val="34"/>
              <w:keepNext w:val="0"/>
              <w:keepLines w:val="0"/>
              <w:pageBreakBefore w:val="0"/>
              <w:widowControl/>
              <w:kinsoku/>
              <w:wordWrap/>
              <w:overflowPunct/>
              <w:topLinePunct/>
              <w:autoSpaceDE/>
              <w:autoSpaceDN/>
              <w:bidi w:val="0"/>
              <w:adjustRightInd/>
              <w:snapToGrid/>
              <w:spacing w:before="44" w:line="261" w:lineRule="auto"/>
              <w:ind w:left="3" w:right="-116"/>
              <w:jc w:val="left"/>
              <w:rPr>
                <w:rFonts w:hint="eastAsia" w:ascii="宋体" w:hAnsi="宋体" w:eastAsia="宋体" w:cs="宋体"/>
                <w:color w:val="000000" w:themeColor="text1"/>
                <w:spacing w:val="0"/>
                <w:kern w:val="2"/>
                <w:position w:val="0"/>
                <w:sz w:val="21"/>
                <w:szCs w:val="21"/>
                <w:lang w:val="en-US" w:eastAsia="zh-CN" w:bidi="ar-SA"/>
                <w14:textFill>
                  <w14:solidFill>
                    <w14:schemeClr w14:val="tx1"/>
                  </w14:solidFill>
                </w14:textFill>
              </w:rPr>
            </w:pPr>
            <w:r>
              <w:rPr>
                <w:rFonts w:hint="eastAsia" w:ascii="宋体" w:hAnsi="宋体" w:eastAsia="宋体" w:cs="宋体"/>
                <w:spacing w:val="0"/>
                <w:w w:val="95"/>
                <w:position w:val="0"/>
                <w:sz w:val="21"/>
                <w:szCs w:val="21"/>
              </w:rPr>
              <w:t>（柠檬黄、新红、苋菜红、靛蓝、胭脂红、日落黄、诱惑红、亮蓝、酸性红、喹啉黄、赤藓红）、菌落总数、大肠菌群、霉菌、酵母</w:t>
            </w:r>
          </w:p>
        </w:tc>
        <w:tc>
          <w:tcPr>
            <w:tcW w:w="1367" w:type="dxa"/>
            <w:vAlign w:val="center"/>
          </w:tcPr>
          <w:p w14:paraId="3C92D330">
            <w:pPr>
              <w:keepNext w:val="0"/>
              <w:keepLines w:val="0"/>
              <w:pageBreakBefore w:val="0"/>
              <w:widowControl/>
              <w:kinsoku/>
              <w:wordWrap/>
              <w:overflowPunct/>
              <w:topLinePunct/>
              <w:autoSpaceDE/>
              <w:autoSpaceDN/>
              <w:bidi w:val="0"/>
              <w:adjustRightInd/>
              <w:snapToGrid/>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2</w:t>
            </w:r>
          </w:p>
        </w:tc>
        <w:tc>
          <w:tcPr>
            <w:tcW w:w="1316" w:type="dxa"/>
            <w:vAlign w:val="center"/>
          </w:tcPr>
          <w:p w14:paraId="63891915">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0A8761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1389" w:hRule="atLeast"/>
        </w:trPr>
        <w:tc>
          <w:tcPr>
            <w:tcW w:w="726" w:type="dxa"/>
            <w:vAlign w:val="center"/>
          </w:tcPr>
          <w:p w14:paraId="3D94CD39">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7</w:t>
            </w:r>
          </w:p>
        </w:tc>
        <w:tc>
          <w:tcPr>
            <w:tcW w:w="1418" w:type="dxa"/>
            <w:vAlign w:val="center"/>
          </w:tcPr>
          <w:p w14:paraId="235A5E6E">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方便食品</w:t>
            </w:r>
          </w:p>
        </w:tc>
        <w:tc>
          <w:tcPr>
            <w:tcW w:w="2268" w:type="dxa"/>
            <w:vAlign w:val="center"/>
          </w:tcPr>
          <w:p w14:paraId="68F4856D">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调味面制品</w:t>
            </w:r>
          </w:p>
        </w:tc>
        <w:tc>
          <w:tcPr>
            <w:tcW w:w="892" w:type="dxa"/>
            <w:vAlign w:val="center"/>
          </w:tcPr>
          <w:p w14:paraId="7D108FF4">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较高</w:t>
            </w:r>
          </w:p>
        </w:tc>
        <w:tc>
          <w:tcPr>
            <w:tcW w:w="6199" w:type="dxa"/>
            <w:vAlign w:val="center"/>
          </w:tcPr>
          <w:p w14:paraId="7AEBE0C0">
            <w:pPr>
              <w:pStyle w:val="34"/>
              <w:spacing w:before="44" w:line="261" w:lineRule="auto"/>
              <w:ind w:left="3" w:right="-15"/>
              <w:jc w:val="both"/>
              <w:rPr>
                <w:rFonts w:hint="eastAsia" w:ascii="宋体" w:hAnsi="宋体" w:eastAsia="宋体" w:cs="宋体"/>
                <w:color w:val="000000" w:themeColor="text1"/>
                <w:spacing w:val="0"/>
                <w:kern w:val="2"/>
                <w:position w:val="0"/>
                <w:sz w:val="21"/>
                <w:szCs w:val="21"/>
                <w:lang w:val="en-US" w:eastAsia="zh-CN" w:bidi="ar-SA"/>
                <w14:textFill>
                  <w14:solidFill>
                    <w14:schemeClr w14:val="tx1"/>
                  </w14:solidFill>
                </w14:textFill>
              </w:rPr>
            </w:pPr>
            <w:r>
              <w:rPr>
                <w:rFonts w:hint="eastAsia" w:ascii="宋体" w:hAnsi="宋体" w:eastAsia="宋体" w:cs="宋体"/>
                <w:spacing w:val="0"/>
                <w:position w:val="0"/>
                <w:sz w:val="21"/>
                <w:szCs w:val="21"/>
              </w:rPr>
              <w:t xml:space="preserve">酸价（以脂肪计）(KOH) 、过氧化值（以脂肪计）、苯甲酸及其钠盐（以苯甲酸计） </w:t>
            </w:r>
            <w:r>
              <w:rPr>
                <w:rFonts w:hint="eastAsia" w:ascii="宋体" w:hAnsi="宋体" w:eastAsia="宋体" w:cs="宋体"/>
                <w:spacing w:val="0"/>
                <w:w w:val="95"/>
                <w:position w:val="0"/>
                <w:sz w:val="21"/>
                <w:szCs w:val="21"/>
              </w:rPr>
              <w:t>山梨酸及其钾盐（以山梨酸计）、脱氢乙酸及其钠盐（以脱氢乙酸计）、糖精钠（以糖精计）、甜蜜素（以环己基氨基磺酸计）、安赛蜜、三氯蔗糖、合成着色剂（柠檬黄、日落黄、诱惑红、苋菜红）、菌落总数、大肠菌群、霉菌、沙门氏菌、金黄色葡萄球菌</w:t>
            </w:r>
          </w:p>
        </w:tc>
        <w:tc>
          <w:tcPr>
            <w:tcW w:w="1367" w:type="dxa"/>
            <w:vAlign w:val="center"/>
          </w:tcPr>
          <w:p w14:paraId="574FE5EE">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p w14:paraId="12E3FF10">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3</w:t>
            </w:r>
          </w:p>
        </w:tc>
        <w:tc>
          <w:tcPr>
            <w:tcW w:w="1316" w:type="dxa"/>
            <w:vAlign w:val="center"/>
          </w:tcPr>
          <w:p w14:paraId="15F770F2">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32B44EE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3" w:hRule="atLeast"/>
        </w:trPr>
        <w:tc>
          <w:tcPr>
            <w:tcW w:w="726" w:type="dxa"/>
            <w:vMerge w:val="restart"/>
            <w:vAlign w:val="center"/>
          </w:tcPr>
          <w:p w14:paraId="73B2F4B3">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8</w:t>
            </w:r>
          </w:p>
        </w:tc>
        <w:tc>
          <w:tcPr>
            <w:tcW w:w="1418" w:type="dxa"/>
            <w:vMerge w:val="restart"/>
            <w:vAlign w:val="center"/>
          </w:tcPr>
          <w:p w14:paraId="4D6F730D">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酒 类</w:t>
            </w:r>
          </w:p>
        </w:tc>
        <w:tc>
          <w:tcPr>
            <w:tcW w:w="2268" w:type="dxa"/>
            <w:vAlign w:val="center"/>
          </w:tcPr>
          <w:p w14:paraId="1CFD9500">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蒸馏酒（白酒）</w:t>
            </w:r>
          </w:p>
        </w:tc>
        <w:tc>
          <w:tcPr>
            <w:tcW w:w="892" w:type="dxa"/>
            <w:vAlign w:val="center"/>
          </w:tcPr>
          <w:p w14:paraId="2062A716">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高</w:t>
            </w:r>
          </w:p>
        </w:tc>
        <w:tc>
          <w:tcPr>
            <w:tcW w:w="6199" w:type="dxa"/>
            <w:vAlign w:val="center"/>
          </w:tcPr>
          <w:p w14:paraId="5C2047FD">
            <w:pPr>
              <w:pStyle w:val="34"/>
              <w:spacing w:before="205"/>
              <w:ind w:left="3" w:right="-15"/>
              <w:jc w:val="both"/>
              <w:rPr>
                <w:rFonts w:hint="eastAsia" w:ascii="宋体" w:hAnsi="宋体" w:eastAsia="宋体" w:cs="宋体"/>
                <w:color w:val="000000" w:themeColor="text1"/>
                <w:spacing w:val="0"/>
                <w:kern w:val="2"/>
                <w:position w:val="0"/>
                <w:sz w:val="21"/>
                <w:szCs w:val="21"/>
                <w:lang w:val="en-US" w:eastAsia="zh-CN" w:bidi="ar-SA"/>
                <w14:textFill>
                  <w14:solidFill>
                    <w14:schemeClr w14:val="tx1"/>
                  </w14:solidFill>
                </w14:textFill>
              </w:rPr>
            </w:pPr>
            <w:r>
              <w:rPr>
                <w:rFonts w:hint="eastAsia" w:ascii="宋体" w:hAnsi="宋体" w:eastAsia="宋体" w:cs="宋体"/>
                <w:spacing w:val="0"/>
                <w:position w:val="0"/>
                <w:sz w:val="21"/>
                <w:szCs w:val="21"/>
              </w:rPr>
              <w:t>酒精度、铅（以Pb计）、甲醇、氰化物（以HCN计）、糖精钠（以糖精计）、甜蜜素</w:t>
            </w:r>
            <w:r>
              <w:rPr>
                <w:rFonts w:hint="eastAsia" w:ascii="宋体" w:hAnsi="宋体" w:eastAsia="宋体" w:cs="宋体"/>
                <w:spacing w:val="0"/>
                <w:w w:val="95"/>
                <w:position w:val="0"/>
                <w:sz w:val="21"/>
                <w:szCs w:val="21"/>
              </w:rPr>
              <w:t>（以环己基氨基磺酸计）、三氯蔗糖、安赛蜜</w:t>
            </w:r>
          </w:p>
        </w:tc>
        <w:tc>
          <w:tcPr>
            <w:tcW w:w="1367" w:type="dxa"/>
            <w:vAlign w:val="center"/>
          </w:tcPr>
          <w:p w14:paraId="4DD58626">
            <w:pPr>
              <w:widowControl/>
              <w:spacing w:line="280" w:lineRule="exact"/>
              <w:jc w:val="center"/>
              <w:textAlignment w:val="center"/>
              <w:rPr>
                <w:rFonts w:hint="eastAsia" w:ascii="宋体" w:hAnsi="宋体" w:eastAsia="宋体" w:cs="宋体"/>
                <w:color w:val="000000" w:themeColor="text1"/>
                <w:spacing w:val="0"/>
                <w:kern w:val="31"/>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1</w:t>
            </w:r>
          </w:p>
        </w:tc>
        <w:tc>
          <w:tcPr>
            <w:tcW w:w="1316" w:type="dxa"/>
            <w:vAlign w:val="center"/>
          </w:tcPr>
          <w:p w14:paraId="6F5A2399">
            <w:pPr>
              <w:widowControl/>
              <w:spacing w:line="24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47B6EE7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7" w:hRule="atLeast"/>
        </w:trPr>
        <w:tc>
          <w:tcPr>
            <w:tcW w:w="726" w:type="dxa"/>
            <w:vMerge w:val="continue"/>
            <w:vAlign w:val="center"/>
          </w:tcPr>
          <w:p w14:paraId="349A50ED">
            <w:pPr>
              <w:widowControl/>
              <w:spacing w:line="280" w:lineRule="exact"/>
              <w:jc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50EDED2F">
            <w:pPr>
              <w:widowControl/>
              <w:spacing w:line="280" w:lineRule="exact"/>
              <w:jc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3C1D8566">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发酵酒（葡萄酒）</w:t>
            </w:r>
          </w:p>
        </w:tc>
        <w:tc>
          <w:tcPr>
            <w:tcW w:w="892" w:type="dxa"/>
            <w:vAlign w:val="center"/>
          </w:tcPr>
          <w:p w14:paraId="69B73B2E">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较高</w:t>
            </w:r>
          </w:p>
        </w:tc>
        <w:tc>
          <w:tcPr>
            <w:tcW w:w="6199" w:type="dxa"/>
            <w:vAlign w:val="center"/>
          </w:tcPr>
          <w:p w14:paraId="4B587E06">
            <w:pPr>
              <w:pStyle w:val="34"/>
              <w:spacing w:line="380" w:lineRule="exact"/>
              <w:ind w:left="40" w:right="125"/>
              <w:jc w:val="both"/>
              <w:rPr>
                <w:rFonts w:hint="eastAsia" w:ascii="宋体" w:hAnsi="宋体" w:eastAsia="宋体" w:cs="宋体"/>
                <w:color w:val="000000" w:themeColor="text1"/>
                <w:spacing w:val="0"/>
                <w:kern w:val="2"/>
                <w:position w:val="0"/>
                <w:sz w:val="21"/>
                <w:szCs w:val="21"/>
                <w:lang w:val="en-US" w:eastAsia="zh-CN" w:bidi="ar-SA"/>
                <w14:textFill>
                  <w14:solidFill>
                    <w14:schemeClr w14:val="tx1"/>
                  </w14:solidFill>
                </w14:textFill>
              </w:rPr>
            </w:pPr>
            <w:r>
              <w:rPr>
                <w:rFonts w:hint="eastAsia" w:ascii="宋体" w:hAnsi="宋体" w:eastAsia="宋体" w:cs="宋体"/>
                <w:spacing w:val="0"/>
                <w:w w:val="99"/>
                <w:position w:val="0"/>
                <w:sz w:val="21"/>
                <w:szCs w:val="21"/>
              </w:rPr>
              <w:t>酒精度、甲醇、苯甲酸及其钠盐（以苯甲酸计）、山梨酸及其钾盐（以山梨酸计）、糖精钠（以糖精计）、二氧化硫残留量、甜蜜素（以环己基氨基磺酸计）、三氯蔗糖、合成着色剂（柠檬黄、日落黄、新红、胭脂红、赤藓红、苋菜红、诱惑红、酸性红、亮蓝</w:t>
            </w:r>
            <w:r>
              <w:rPr>
                <w:rFonts w:hint="eastAsia" w:ascii="宋体" w:hAnsi="宋体" w:eastAsia="宋体" w:cs="宋体"/>
                <w:spacing w:val="0"/>
                <w:w w:val="99"/>
                <w:position w:val="0"/>
                <w:sz w:val="21"/>
                <w:szCs w:val="21"/>
                <w:lang w:val="en-US" w:eastAsia="zh-CN"/>
              </w:rPr>
              <w:t>）</w:t>
            </w:r>
          </w:p>
        </w:tc>
        <w:tc>
          <w:tcPr>
            <w:tcW w:w="1367" w:type="dxa"/>
            <w:vAlign w:val="center"/>
          </w:tcPr>
          <w:p w14:paraId="71A4F385">
            <w:pPr>
              <w:widowControl/>
              <w:spacing w:line="280" w:lineRule="exact"/>
              <w:jc w:val="center"/>
              <w:textAlignment w:val="center"/>
              <w:rPr>
                <w:rFonts w:hint="eastAsia" w:ascii="宋体" w:hAnsi="宋体" w:eastAsia="宋体" w:cs="宋体"/>
                <w:color w:val="000000" w:themeColor="text1"/>
                <w:spacing w:val="0"/>
                <w:position w:val="0"/>
                <w:sz w:val="21"/>
                <w:szCs w:val="21"/>
                <w:lang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2</w:t>
            </w:r>
          </w:p>
        </w:tc>
        <w:tc>
          <w:tcPr>
            <w:tcW w:w="1316" w:type="dxa"/>
            <w:vAlign w:val="center"/>
          </w:tcPr>
          <w:p w14:paraId="41AAADCF">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73EADB4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78" w:hRule="atLeast"/>
        </w:trPr>
        <w:tc>
          <w:tcPr>
            <w:tcW w:w="726" w:type="dxa"/>
            <w:tcBorders>
              <w:top w:val="single" w:color="auto" w:sz="4" w:space="0"/>
              <w:bottom w:val="single" w:color="auto" w:sz="4" w:space="0"/>
            </w:tcBorders>
            <w:vAlign w:val="center"/>
          </w:tcPr>
          <w:p w14:paraId="06380B20">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9</w:t>
            </w:r>
          </w:p>
        </w:tc>
        <w:tc>
          <w:tcPr>
            <w:tcW w:w="1418" w:type="dxa"/>
            <w:tcBorders>
              <w:top w:val="single" w:color="auto" w:sz="4" w:space="0"/>
              <w:bottom w:val="single" w:color="auto" w:sz="4" w:space="0"/>
            </w:tcBorders>
            <w:vAlign w:val="center"/>
          </w:tcPr>
          <w:p w14:paraId="4D687922">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蔬菜制品</w:t>
            </w:r>
          </w:p>
        </w:tc>
        <w:tc>
          <w:tcPr>
            <w:tcW w:w="2268" w:type="dxa"/>
            <w:vAlign w:val="center"/>
          </w:tcPr>
          <w:p w14:paraId="080CABC7">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spacing w:val="0"/>
                <w:position w:val="0"/>
                <w:sz w:val="21"/>
                <w:szCs w:val="21"/>
              </w:rPr>
              <w:t>干制食用菌</w:t>
            </w:r>
          </w:p>
        </w:tc>
        <w:tc>
          <w:tcPr>
            <w:tcW w:w="892" w:type="dxa"/>
            <w:vAlign w:val="center"/>
          </w:tcPr>
          <w:p w14:paraId="64D8DE81">
            <w:pPr>
              <w:widowControl/>
              <w:tabs>
                <w:tab w:val="left" w:pos="389"/>
              </w:tabs>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一般</w:t>
            </w:r>
          </w:p>
        </w:tc>
        <w:tc>
          <w:tcPr>
            <w:tcW w:w="6199" w:type="dxa"/>
            <w:vAlign w:val="center"/>
          </w:tcPr>
          <w:p w14:paraId="7157D73E">
            <w:pPr>
              <w:pStyle w:val="34"/>
              <w:spacing w:before="1"/>
              <w:ind w:left="3" w:right="-15"/>
              <w:jc w:val="both"/>
              <w:rPr>
                <w:rFonts w:hint="eastAsia" w:ascii="宋体" w:hAnsi="宋体" w:eastAsia="宋体" w:cs="宋体"/>
                <w:color w:val="000000" w:themeColor="text1"/>
                <w:spacing w:val="0"/>
                <w:kern w:val="2"/>
                <w:position w:val="0"/>
                <w:sz w:val="21"/>
                <w:szCs w:val="21"/>
                <w:lang w:val="en-US" w:eastAsia="zh-CN" w:bidi="ar-SA"/>
                <w14:textFill>
                  <w14:solidFill>
                    <w14:schemeClr w14:val="tx1"/>
                  </w14:solidFill>
                </w14:textFill>
              </w:rPr>
            </w:pPr>
            <w:r>
              <w:rPr>
                <w:rFonts w:hint="eastAsia" w:ascii="宋体" w:hAnsi="宋体" w:eastAsia="宋体" w:cs="宋体"/>
                <w:spacing w:val="0"/>
                <w:position w:val="0"/>
                <w:sz w:val="21"/>
                <w:szCs w:val="21"/>
              </w:rPr>
              <w:t>铅（以Pb计）、镉（以Cd计）、总汞（以Hg计）、甲基汞（以Hg计）、总砷（以As计）、无机砷（以As计）</w:t>
            </w:r>
          </w:p>
        </w:tc>
        <w:tc>
          <w:tcPr>
            <w:tcW w:w="1367" w:type="dxa"/>
            <w:vAlign w:val="center"/>
          </w:tcPr>
          <w:p w14:paraId="0B9B5892">
            <w:pPr>
              <w:widowControl/>
              <w:spacing w:line="280" w:lineRule="exact"/>
              <w:jc w:val="center"/>
              <w:textAlignment w:val="center"/>
              <w:rPr>
                <w:rFonts w:hint="eastAsia" w:ascii="宋体" w:hAnsi="宋体" w:eastAsia="宋体" w:cs="宋体"/>
                <w:color w:val="000000" w:themeColor="text1"/>
                <w:spacing w:val="0"/>
                <w:position w:val="0"/>
                <w:sz w:val="21"/>
                <w:szCs w:val="21"/>
                <w:lang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2</w:t>
            </w:r>
          </w:p>
        </w:tc>
        <w:tc>
          <w:tcPr>
            <w:tcW w:w="1316" w:type="dxa"/>
            <w:vAlign w:val="center"/>
          </w:tcPr>
          <w:p w14:paraId="43FA8EA3">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0AFD392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33" w:hRule="atLeast"/>
        </w:trPr>
        <w:tc>
          <w:tcPr>
            <w:tcW w:w="726" w:type="dxa"/>
            <w:tcBorders>
              <w:top w:val="single" w:color="auto" w:sz="4" w:space="0"/>
            </w:tcBorders>
            <w:vAlign w:val="center"/>
          </w:tcPr>
          <w:p w14:paraId="5BFFF945">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10</w:t>
            </w:r>
          </w:p>
        </w:tc>
        <w:tc>
          <w:tcPr>
            <w:tcW w:w="1418" w:type="dxa"/>
            <w:tcBorders>
              <w:top w:val="single" w:color="auto" w:sz="4" w:space="0"/>
            </w:tcBorders>
            <w:vAlign w:val="center"/>
          </w:tcPr>
          <w:p w14:paraId="5247C9E7">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淀粉及淀粉制品</w:t>
            </w:r>
          </w:p>
        </w:tc>
        <w:tc>
          <w:tcPr>
            <w:tcW w:w="2268" w:type="dxa"/>
            <w:vAlign w:val="center"/>
          </w:tcPr>
          <w:p w14:paraId="1C6FE047">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lang w:eastAsia="zh-CN"/>
                <w14:textFill>
                  <w14:solidFill>
                    <w14:schemeClr w14:val="tx1"/>
                  </w14:solidFill>
                </w14:textFill>
              </w:rPr>
              <w:t>粉丝、粉条</w:t>
            </w:r>
          </w:p>
        </w:tc>
        <w:tc>
          <w:tcPr>
            <w:tcW w:w="892" w:type="dxa"/>
            <w:vAlign w:val="center"/>
          </w:tcPr>
          <w:p w14:paraId="042F5A97">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较高</w:t>
            </w:r>
          </w:p>
        </w:tc>
        <w:tc>
          <w:tcPr>
            <w:tcW w:w="6199" w:type="dxa"/>
            <w:vAlign w:val="center"/>
          </w:tcPr>
          <w:p w14:paraId="106EC152">
            <w:pPr>
              <w:pStyle w:val="34"/>
              <w:spacing w:before="45" w:line="261" w:lineRule="auto"/>
              <w:ind w:left="3" w:right="-15"/>
              <w:jc w:val="both"/>
              <w:rPr>
                <w:rFonts w:hint="eastAsia" w:ascii="宋体" w:hAnsi="宋体" w:eastAsia="宋体" w:cs="宋体"/>
                <w:color w:val="000000" w:themeColor="text1"/>
                <w:spacing w:val="0"/>
                <w:kern w:val="2"/>
                <w:position w:val="0"/>
                <w:sz w:val="21"/>
                <w:szCs w:val="21"/>
                <w:lang w:val="en-US" w:eastAsia="zh-CN" w:bidi="ar-SA"/>
                <w14:textFill>
                  <w14:solidFill>
                    <w14:schemeClr w14:val="tx1"/>
                  </w14:solidFill>
                </w14:textFill>
              </w:rPr>
            </w:pPr>
            <w:r>
              <w:rPr>
                <w:rFonts w:hint="eastAsia" w:ascii="宋体" w:hAnsi="宋体" w:eastAsia="宋体" w:cs="宋体"/>
                <w:spacing w:val="0"/>
                <w:position w:val="0"/>
                <w:sz w:val="21"/>
                <w:szCs w:val="21"/>
              </w:rPr>
              <w:t>铅（以Pb计）、苯甲酸及其钠盐（以苯甲酸计）、山梨酸及其钾盐（以山梨酸计） 脱氢乙酸及其钠盐（以脱氢乙酸计）、铝的残留量（干样品，以Al计）、二氧化硫</w:t>
            </w:r>
            <w:r>
              <w:rPr>
                <w:rFonts w:hint="eastAsia" w:ascii="宋体" w:hAnsi="宋体" w:eastAsia="宋体" w:cs="宋体"/>
                <w:spacing w:val="0"/>
                <w:position w:val="0"/>
                <w:sz w:val="21"/>
                <w:szCs w:val="21"/>
                <w:lang w:eastAsia="zh-CN"/>
              </w:rPr>
              <w:t>残留</w:t>
            </w:r>
            <w:r>
              <w:rPr>
                <w:rFonts w:hint="eastAsia" w:ascii="宋体" w:hAnsi="宋体" w:eastAsia="宋体" w:cs="宋体"/>
                <w:spacing w:val="0"/>
                <w:w w:val="95"/>
                <w:position w:val="0"/>
                <w:sz w:val="21"/>
                <w:szCs w:val="21"/>
              </w:rPr>
              <w:t>量、合成着色剂（柠檬黄、新红、苋菜红、靛蓝、胭脂红、日落黄、诱惑红、亮蓝、酸性红、喹啉黄、赤藓红</w:t>
            </w:r>
            <w:r>
              <w:rPr>
                <w:rFonts w:hint="eastAsia" w:ascii="宋体" w:hAnsi="宋体" w:eastAsia="宋体" w:cs="宋体"/>
                <w:spacing w:val="0"/>
                <w:w w:val="95"/>
                <w:position w:val="0"/>
                <w:sz w:val="21"/>
                <w:szCs w:val="21"/>
                <w:lang w:eastAsia="zh-CN"/>
              </w:rPr>
              <w:t>）</w:t>
            </w:r>
          </w:p>
        </w:tc>
        <w:tc>
          <w:tcPr>
            <w:tcW w:w="1367" w:type="dxa"/>
            <w:vAlign w:val="center"/>
          </w:tcPr>
          <w:p w14:paraId="043C7078">
            <w:pPr>
              <w:widowControl/>
              <w:spacing w:line="280" w:lineRule="exact"/>
              <w:jc w:val="center"/>
              <w:textAlignment w:val="center"/>
              <w:rPr>
                <w:rFonts w:hint="eastAsia" w:ascii="宋体" w:hAnsi="宋体" w:eastAsia="宋体" w:cs="宋体"/>
                <w:color w:val="000000" w:themeColor="text1"/>
                <w:spacing w:val="0"/>
                <w:position w:val="0"/>
                <w:sz w:val="21"/>
                <w:szCs w:val="21"/>
                <w:lang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2</w:t>
            </w:r>
          </w:p>
        </w:tc>
        <w:tc>
          <w:tcPr>
            <w:tcW w:w="1316" w:type="dxa"/>
            <w:vAlign w:val="center"/>
          </w:tcPr>
          <w:p w14:paraId="08B53BBD">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7234F72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1435" w:hRule="atLeast"/>
        </w:trPr>
        <w:tc>
          <w:tcPr>
            <w:tcW w:w="726" w:type="dxa"/>
            <w:vMerge w:val="restart"/>
            <w:vAlign w:val="center"/>
          </w:tcPr>
          <w:p w14:paraId="5473CB5F">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11</w:t>
            </w:r>
          </w:p>
        </w:tc>
        <w:tc>
          <w:tcPr>
            <w:tcW w:w="1418" w:type="dxa"/>
            <w:vMerge w:val="restart"/>
            <w:vAlign w:val="center"/>
          </w:tcPr>
          <w:p w14:paraId="28C4ADCA">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糕 点</w:t>
            </w:r>
          </w:p>
        </w:tc>
        <w:tc>
          <w:tcPr>
            <w:tcW w:w="2268" w:type="dxa"/>
            <w:vAlign w:val="center"/>
          </w:tcPr>
          <w:p w14:paraId="54AB8954">
            <w:pPr>
              <w:pStyle w:val="50"/>
              <w:spacing w:before="6" w:line="201" w:lineRule="auto"/>
              <w:ind w:left="74" w:firstLine="12"/>
              <w:jc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糕点</w:t>
            </w:r>
          </w:p>
        </w:tc>
        <w:tc>
          <w:tcPr>
            <w:tcW w:w="892" w:type="dxa"/>
            <w:vAlign w:val="center"/>
          </w:tcPr>
          <w:p w14:paraId="11034EE0">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较高</w:t>
            </w:r>
          </w:p>
        </w:tc>
        <w:tc>
          <w:tcPr>
            <w:tcW w:w="6199" w:type="dxa"/>
            <w:vAlign w:val="center"/>
          </w:tcPr>
          <w:p w14:paraId="05433E55">
            <w:pPr>
              <w:pStyle w:val="34"/>
              <w:spacing w:before="45" w:line="261" w:lineRule="auto"/>
              <w:ind w:left="3" w:right="-15"/>
              <w:jc w:val="both"/>
              <w:rPr>
                <w:rFonts w:hint="eastAsia" w:ascii="宋体" w:hAnsi="宋体" w:eastAsia="宋体" w:cs="宋体"/>
                <w:color w:val="000000" w:themeColor="text1"/>
                <w:spacing w:val="0"/>
                <w:kern w:val="2"/>
                <w:position w:val="0"/>
                <w:sz w:val="21"/>
                <w:szCs w:val="21"/>
                <w:lang w:val="en-US" w:eastAsia="zh-CN" w:bidi="ar-SA"/>
                <w14:textFill>
                  <w14:solidFill>
                    <w14:schemeClr w14:val="tx1"/>
                  </w14:solidFill>
                </w14:textFill>
              </w:rPr>
            </w:pPr>
            <w:r>
              <w:rPr>
                <w:rFonts w:hint="eastAsia" w:ascii="宋体" w:hAnsi="宋体" w:eastAsia="宋体" w:cs="宋体"/>
                <w:spacing w:val="0"/>
                <w:w w:val="99"/>
                <w:position w:val="0"/>
                <w:sz w:val="21"/>
                <w:szCs w:val="21"/>
              </w:rPr>
              <w:t>酸价（以脂肪计）</w:t>
            </w:r>
            <w:r>
              <w:rPr>
                <w:rFonts w:hint="eastAsia" w:ascii="宋体" w:hAnsi="宋体" w:eastAsia="宋体" w:cs="宋体"/>
                <w:spacing w:val="0"/>
                <w:w w:val="92"/>
                <w:position w:val="0"/>
                <w:sz w:val="21"/>
                <w:szCs w:val="21"/>
              </w:rPr>
              <w:t>(</w:t>
            </w:r>
            <w:r>
              <w:rPr>
                <w:rFonts w:hint="eastAsia" w:ascii="宋体" w:hAnsi="宋体" w:eastAsia="宋体" w:cs="宋体"/>
                <w:spacing w:val="0"/>
                <w:w w:val="92"/>
                <w:position w:val="0"/>
                <w:sz w:val="21"/>
                <w:szCs w:val="21"/>
                <w:lang w:val="en-US" w:eastAsia="zh-CN"/>
              </w:rPr>
              <w:t>KOH</w:t>
            </w:r>
            <w:r>
              <w:rPr>
                <w:rFonts w:hint="eastAsia" w:ascii="宋体" w:hAnsi="宋体" w:eastAsia="宋体" w:cs="宋体"/>
                <w:spacing w:val="0"/>
                <w:w w:val="92"/>
                <w:position w:val="0"/>
                <w:sz w:val="21"/>
                <w:szCs w:val="21"/>
              </w:rPr>
              <w:t>)</w:t>
            </w:r>
            <w:r>
              <w:rPr>
                <w:rFonts w:hint="eastAsia" w:ascii="宋体" w:hAnsi="宋体" w:eastAsia="宋体" w:cs="宋体"/>
                <w:spacing w:val="0"/>
                <w:position w:val="0"/>
                <w:sz w:val="21"/>
                <w:szCs w:val="21"/>
              </w:rPr>
              <w:t xml:space="preserve"> </w:t>
            </w:r>
            <w:r>
              <w:rPr>
                <w:rFonts w:hint="eastAsia" w:ascii="宋体" w:hAnsi="宋体" w:eastAsia="宋体" w:cs="宋体"/>
                <w:spacing w:val="0"/>
                <w:w w:val="99"/>
                <w:position w:val="0"/>
                <w:sz w:val="21"/>
                <w:szCs w:val="21"/>
              </w:rPr>
              <w:t>、过氧化值（以脂肪计）、铅（以</w:t>
            </w:r>
            <w:r>
              <w:rPr>
                <w:rFonts w:hint="eastAsia" w:ascii="宋体" w:hAnsi="宋体" w:eastAsia="宋体" w:cs="宋体"/>
                <w:spacing w:val="0"/>
                <w:w w:val="107"/>
                <w:position w:val="0"/>
                <w:sz w:val="21"/>
                <w:szCs w:val="21"/>
              </w:rPr>
              <w:t>P</w:t>
            </w:r>
            <w:r>
              <w:rPr>
                <w:rFonts w:hint="eastAsia" w:ascii="宋体" w:hAnsi="宋体" w:eastAsia="宋体" w:cs="宋体"/>
                <w:spacing w:val="0"/>
                <w:w w:val="108"/>
                <w:position w:val="0"/>
                <w:sz w:val="21"/>
                <w:szCs w:val="21"/>
              </w:rPr>
              <w:t>b</w:t>
            </w:r>
            <w:r>
              <w:rPr>
                <w:rFonts w:hint="eastAsia" w:ascii="宋体" w:hAnsi="宋体" w:eastAsia="宋体" w:cs="宋体"/>
                <w:spacing w:val="0"/>
                <w:w w:val="99"/>
                <w:position w:val="0"/>
                <w:sz w:val="21"/>
                <w:szCs w:val="21"/>
              </w:rPr>
              <w:t>计）、苯甲酸及其钠盐（以苯甲酸计）、山梨酸及其钾盐（以山梨酸计）、糖精钠（以糖精计）、甜蜜素（以环己基氨基磺酸计）、安赛蜜、铝的残留量（干样品，以A</w:t>
            </w:r>
            <w:r>
              <w:rPr>
                <w:rFonts w:hint="eastAsia" w:ascii="宋体" w:hAnsi="宋体" w:eastAsia="宋体" w:cs="宋体"/>
                <w:spacing w:val="0"/>
                <w:w w:val="87"/>
                <w:position w:val="0"/>
                <w:sz w:val="21"/>
                <w:szCs w:val="21"/>
              </w:rPr>
              <w:t>l</w:t>
            </w:r>
            <w:r>
              <w:rPr>
                <w:rFonts w:hint="eastAsia" w:ascii="宋体" w:hAnsi="宋体" w:eastAsia="宋体" w:cs="宋体"/>
                <w:spacing w:val="0"/>
                <w:w w:val="99"/>
                <w:position w:val="0"/>
                <w:sz w:val="21"/>
                <w:szCs w:val="21"/>
              </w:rPr>
              <w:t>计）、丙酸及其钠盐、钙盐（以丙酸计）、脱氢乙酸及其钠盐（以脱氢乙酸计）、纳他霉素、三氯蔗糖、丙二醇、合成着色剂（柠檬黄、日落黄、胭脂红、苋菜红、亮蓝、赤藓红、诱惑红）、防腐剂混合使用时各自用量占其最大使用量的比例之和、菌落总数、大肠菌群、金黄色葡萄球菌、沙</w:t>
            </w:r>
            <w:r>
              <w:rPr>
                <w:rFonts w:hint="eastAsia" w:ascii="宋体" w:hAnsi="宋体" w:eastAsia="宋体" w:cs="宋体"/>
                <w:spacing w:val="0"/>
                <w:w w:val="95"/>
                <w:position w:val="0"/>
                <w:sz w:val="21"/>
                <w:szCs w:val="21"/>
              </w:rPr>
              <w:t>门氏菌、霉菌</w:t>
            </w:r>
          </w:p>
        </w:tc>
        <w:tc>
          <w:tcPr>
            <w:tcW w:w="1367" w:type="dxa"/>
            <w:vAlign w:val="center"/>
          </w:tcPr>
          <w:p w14:paraId="3E933EE6">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6</w:t>
            </w:r>
          </w:p>
        </w:tc>
        <w:tc>
          <w:tcPr>
            <w:tcW w:w="1316" w:type="dxa"/>
            <w:vAlign w:val="center"/>
          </w:tcPr>
          <w:p w14:paraId="13F6F928">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280FBC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87" w:hRule="atLeast"/>
        </w:trPr>
        <w:tc>
          <w:tcPr>
            <w:tcW w:w="726" w:type="dxa"/>
            <w:vMerge w:val="continue"/>
            <w:vAlign w:val="center"/>
          </w:tcPr>
          <w:p w14:paraId="4A787875">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4B706112">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4CA033E6">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粽  子</w:t>
            </w:r>
          </w:p>
        </w:tc>
        <w:tc>
          <w:tcPr>
            <w:tcW w:w="892" w:type="dxa"/>
            <w:vAlign w:val="center"/>
          </w:tcPr>
          <w:p w14:paraId="2D326910">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较高</w:t>
            </w:r>
          </w:p>
        </w:tc>
        <w:tc>
          <w:tcPr>
            <w:tcW w:w="6199" w:type="dxa"/>
            <w:vAlign w:val="center"/>
          </w:tcPr>
          <w:p w14:paraId="5312A563">
            <w:pPr>
              <w:pStyle w:val="34"/>
              <w:spacing w:line="380" w:lineRule="exact"/>
              <w:ind w:left="40" w:right="125"/>
              <w:jc w:val="both"/>
              <w:rPr>
                <w:rFonts w:hint="eastAsia" w:ascii="宋体" w:hAnsi="宋体" w:eastAsia="宋体" w:cs="宋体"/>
                <w:color w:val="000000" w:themeColor="text1"/>
                <w:spacing w:val="0"/>
                <w:kern w:val="2"/>
                <w:position w:val="0"/>
                <w:sz w:val="21"/>
                <w:szCs w:val="21"/>
                <w:lang w:val="en-US" w:eastAsia="zh-CN" w:bidi="ar-SA"/>
                <w14:textFill>
                  <w14:solidFill>
                    <w14:schemeClr w14:val="tx1"/>
                  </w14:solidFill>
                </w14:textFill>
              </w:rPr>
            </w:pPr>
            <w:r>
              <w:rPr>
                <w:rFonts w:hint="eastAsia" w:ascii="宋体" w:hAnsi="宋体" w:eastAsia="宋体" w:cs="宋体"/>
                <w:spacing w:val="0"/>
                <w:w w:val="99"/>
                <w:position w:val="0"/>
                <w:sz w:val="21"/>
                <w:szCs w:val="21"/>
              </w:rPr>
              <w:t>过氧化值（以脂肪计）、甜蜜素（以环己基氨基磺酸计）、山梨酸及其钾盐（以山梨酸计）、脱氢乙酸及其钠盐（以脱氢乙酸计）、糖精钠（以糖精计）、安赛蜜、菌落总数、大肠菌群、金黄色葡萄球菌、沙门氏菌、霉菌、商业无菌</w:t>
            </w:r>
          </w:p>
        </w:tc>
        <w:tc>
          <w:tcPr>
            <w:tcW w:w="1367" w:type="dxa"/>
            <w:vAlign w:val="center"/>
          </w:tcPr>
          <w:p w14:paraId="7C07AE87">
            <w:pPr>
              <w:widowControl/>
              <w:spacing w:line="280" w:lineRule="exact"/>
              <w:jc w:val="center"/>
              <w:textAlignment w:val="center"/>
              <w:rPr>
                <w:rFonts w:hint="eastAsia" w:ascii="宋体" w:hAnsi="宋体" w:eastAsia="宋体" w:cs="宋体"/>
                <w:color w:val="000000" w:themeColor="text1"/>
                <w:spacing w:val="0"/>
                <w:position w:val="0"/>
                <w:sz w:val="21"/>
                <w:szCs w:val="21"/>
                <w:lang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2</w:t>
            </w:r>
          </w:p>
        </w:tc>
        <w:tc>
          <w:tcPr>
            <w:tcW w:w="1316" w:type="dxa"/>
            <w:vAlign w:val="center"/>
          </w:tcPr>
          <w:p w14:paraId="008C4AC4">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节令性食品节前出检验报告</w:t>
            </w:r>
          </w:p>
        </w:tc>
      </w:tr>
      <w:tr w14:paraId="6EB880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1487" w:hRule="atLeast"/>
        </w:trPr>
        <w:tc>
          <w:tcPr>
            <w:tcW w:w="726" w:type="dxa"/>
            <w:vMerge w:val="continue"/>
            <w:tcBorders>
              <w:bottom w:val="single" w:color="auto" w:sz="4" w:space="0"/>
            </w:tcBorders>
            <w:vAlign w:val="center"/>
          </w:tcPr>
          <w:p w14:paraId="19C38CEC">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tcBorders>
              <w:bottom w:val="single" w:color="auto" w:sz="4" w:space="0"/>
            </w:tcBorders>
            <w:vAlign w:val="center"/>
          </w:tcPr>
          <w:p w14:paraId="558653A8">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tcBorders>
              <w:bottom w:val="single" w:color="auto" w:sz="4" w:space="0"/>
            </w:tcBorders>
            <w:vAlign w:val="center"/>
          </w:tcPr>
          <w:p w14:paraId="6E1C58A4">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月  饼</w:t>
            </w:r>
          </w:p>
        </w:tc>
        <w:tc>
          <w:tcPr>
            <w:tcW w:w="892" w:type="dxa"/>
            <w:vAlign w:val="center"/>
          </w:tcPr>
          <w:p w14:paraId="61E467F6">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较高</w:t>
            </w:r>
          </w:p>
        </w:tc>
        <w:tc>
          <w:tcPr>
            <w:tcW w:w="6199" w:type="dxa"/>
            <w:vAlign w:val="center"/>
          </w:tcPr>
          <w:p w14:paraId="7CE07321">
            <w:pPr>
              <w:pStyle w:val="34"/>
              <w:spacing w:line="380" w:lineRule="exact"/>
              <w:ind w:left="40" w:right="125"/>
              <w:jc w:val="both"/>
              <w:rPr>
                <w:rFonts w:hint="eastAsia" w:ascii="宋体" w:hAnsi="宋体" w:eastAsia="宋体" w:cs="宋体"/>
                <w:color w:val="000000" w:themeColor="text1"/>
                <w:spacing w:val="0"/>
                <w:kern w:val="2"/>
                <w:position w:val="0"/>
                <w:sz w:val="21"/>
                <w:szCs w:val="21"/>
                <w:lang w:val="en-US" w:eastAsia="zh-CN" w:bidi="ar-SA"/>
                <w14:textFill>
                  <w14:solidFill>
                    <w14:schemeClr w14:val="tx1"/>
                  </w14:solidFill>
                </w14:textFill>
              </w:rPr>
            </w:pPr>
            <w:r>
              <w:rPr>
                <w:rFonts w:hint="eastAsia" w:ascii="宋体" w:hAnsi="宋体" w:eastAsia="宋体" w:cs="宋体"/>
                <w:spacing w:val="0"/>
                <w:w w:val="99"/>
                <w:position w:val="0"/>
                <w:sz w:val="21"/>
                <w:szCs w:val="21"/>
              </w:rPr>
              <w:t>酸价（以脂肪计）</w:t>
            </w:r>
            <w:r>
              <w:rPr>
                <w:rFonts w:hint="eastAsia" w:ascii="宋体" w:hAnsi="宋体" w:eastAsia="宋体" w:cs="宋体"/>
                <w:spacing w:val="0"/>
                <w:w w:val="92"/>
                <w:position w:val="0"/>
                <w:sz w:val="21"/>
                <w:szCs w:val="21"/>
              </w:rPr>
              <w:t>(</w:t>
            </w:r>
            <w:r>
              <w:rPr>
                <w:rFonts w:hint="eastAsia" w:ascii="宋体" w:hAnsi="宋体" w:eastAsia="宋体" w:cs="宋体"/>
                <w:spacing w:val="0"/>
                <w:w w:val="92"/>
                <w:position w:val="0"/>
                <w:sz w:val="21"/>
                <w:szCs w:val="21"/>
                <w:lang w:val="en-US" w:eastAsia="zh-CN"/>
              </w:rPr>
              <w:t>KOH</w:t>
            </w:r>
            <w:r>
              <w:rPr>
                <w:rFonts w:hint="eastAsia" w:ascii="宋体" w:hAnsi="宋体" w:eastAsia="宋体" w:cs="宋体"/>
                <w:spacing w:val="0"/>
                <w:w w:val="92"/>
                <w:position w:val="0"/>
                <w:sz w:val="21"/>
                <w:szCs w:val="21"/>
              </w:rPr>
              <w:t>)</w:t>
            </w:r>
            <w:r>
              <w:rPr>
                <w:rFonts w:hint="eastAsia" w:ascii="宋体" w:hAnsi="宋体" w:eastAsia="宋体" w:cs="宋体"/>
                <w:spacing w:val="0"/>
                <w:position w:val="0"/>
                <w:sz w:val="21"/>
                <w:szCs w:val="21"/>
              </w:rPr>
              <w:t xml:space="preserve"> </w:t>
            </w:r>
            <w:r>
              <w:rPr>
                <w:rFonts w:hint="eastAsia" w:ascii="宋体" w:hAnsi="宋体" w:eastAsia="宋体" w:cs="宋体"/>
                <w:spacing w:val="0"/>
                <w:w w:val="99"/>
                <w:position w:val="0"/>
                <w:sz w:val="21"/>
                <w:szCs w:val="21"/>
              </w:rPr>
              <w:t>、过氧化值（以脂肪计）、糖精钠（以糖精计）、苯甲酸及其钠盐（以苯甲酸计）、山梨酸及其钾盐（以山梨酸计）、铝的残留量（干样品，以A</w:t>
            </w:r>
            <w:r>
              <w:rPr>
                <w:rFonts w:hint="eastAsia" w:ascii="宋体" w:hAnsi="宋体" w:eastAsia="宋体" w:cs="宋体"/>
                <w:spacing w:val="0"/>
                <w:w w:val="87"/>
                <w:position w:val="0"/>
                <w:sz w:val="21"/>
                <w:szCs w:val="21"/>
              </w:rPr>
              <w:t>l</w:t>
            </w:r>
            <w:r>
              <w:rPr>
                <w:rFonts w:hint="eastAsia" w:ascii="宋体" w:hAnsi="宋体" w:eastAsia="宋体" w:cs="宋体"/>
                <w:spacing w:val="0"/>
                <w:w w:val="99"/>
                <w:position w:val="0"/>
                <w:sz w:val="21"/>
                <w:szCs w:val="21"/>
              </w:rPr>
              <w:t>计）、丙酸及其钠盐、钙盐（以丙酸计）、脱氢乙酸及其钠盐（以脱氢乙酸计）、纳他霉素、合成着色剂（柠檬黄、日落黄、胭脂红、苋菜红、亮蓝、赤藓红、诱惑红）、防腐剂混合使用时各自用量占其最大使用量的比例之和、菌落总数、大肠菌群、金黄色葡萄球菌、沙门氏菌、霉菌</w:t>
            </w:r>
          </w:p>
        </w:tc>
        <w:tc>
          <w:tcPr>
            <w:tcW w:w="1367" w:type="dxa"/>
            <w:vAlign w:val="center"/>
          </w:tcPr>
          <w:p w14:paraId="06A79860">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2</w:t>
            </w:r>
          </w:p>
        </w:tc>
        <w:tc>
          <w:tcPr>
            <w:tcW w:w="1316" w:type="dxa"/>
            <w:vAlign w:val="center"/>
          </w:tcPr>
          <w:p w14:paraId="57CE7AA2">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节令性食品节前出检验报告</w:t>
            </w:r>
          </w:p>
        </w:tc>
      </w:tr>
      <w:tr w14:paraId="1E5BC68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90" w:hRule="atLeast"/>
        </w:trPr>
        <w:tc>
          <w:tcPr>
            <w:tcW w:w="726" w:type="dxa"/>
            <w:tcBorders>
              <w:top w:val="single" w:color="auto" w:sz="4" w:space="0"/>
            </w:tcBorders>
            <w:vAlign w:val="center"/>
          </w:tcPr>
          <w:p w14:paraId="59464944">
            <w:pPr>
              <w:widowControl/>
              <w:spacing w:line="280" w:lineRule="exact"/>
              <w:jc w:val="center"/>
              <w:textAlignment w:val="center"/>
              <w:rPr>
                <w:rFonts w:hint="eastAsia" w:ascii="宋体" w:hAnsi="宋体" w:eastAsia="宋体" w:cs="宋体"/>
                <w:color w:val="000000" w:themeColor="text1"/>
                <w:spacing w:val="0"/>
                <w:kern w:val="2"/>
                <w:position w:val="0"/>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12</w:t>
            </w:r>
          </w:p>
        </w:tc>
        <w:tc>
          <w:tcPr>
            <w:tcW w:w="1418" w:type="dxa"/>
            <w:tcBorders>
              <w:top w:val="single" w:color="auto" w:sz="4" w:space="0"/>
            </w:tcBorders>
            <w:vAlign w:val="center"/>
          </w:tcPr>
          <w:p w14:paraId="2968F3A0">
            <w:pPr>
              <w:widowControl/>
              <w:spacing w:line="280" w:lineRule="exact"/>
              <w:jc w:val="center"/>
              <w:textAlignment w:val="center"/>
              <w:rPr>
                <w:rFonts w:hint="eastAsia" w:ascii="宋体" w:hAnsi="宋体" w:eastAsia="宋体" w:cs="宋体"/>
                <w:color w:val="000000" w:themeColor="text1"/>
                <w:spacing w:val="0"/>
                <w:kern w:val="2"/>
                <w:position w:val="0"/>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豆制品</w:t>
            </w:r>
          </w:p>
        </w:tc>
        <w:tc>
          <w:tcPr>
            <w:tcW w:w="2268" w:type="dxa"/>
            <w:tcBorders>
              <w:top w:val="single" w:color="auto" w:sz="4" w:space="0"/>
            </w:tcBorders>
            <w:vAlign w:val="center"/>
          </w:tcPr>
          <w:p w14:paraId="1E059A0A">
            <w:pPr>
              <w:widowControl/>
              <w:spacing w:line="280" w:lineRule="exact"/>
              <w:jc w:val="center"/>
              <w:textAlignment w:val="center"/>
              <w:rPr>
                <w:rFonts w:hint="eastAsia" w:ascii="宋体" w:hAnsi="宋体" w:eastAsia="宋体" w:cs="宋体"/>
                <w:color w:val="000000" w:themeColor="text1"/>
                <w:spacing w:val="0"/>
                <w:kern w:val="2"/>
                <w:position w:val="0"/>
                <w:sz w:val="21"/>
                <w:szCs w:val="21"/>
                <w:lang w:val="en-US" w:eastAsia="zh-CN" w:bidi="ar-SA"/>
                <w14:textFill>
                  <w14:solidFill>
                    <w14:schemeClr w14:val="tx1"/>
                  </w14:solidFill>
                </w14:textFill>
              </w:rPr>
            </w:pPr>
            <w:r>
              <w:rPr>
                <w:rFonts w:hint="eastAsia" w:ascii="宋体" w:hAnsi="宋体" w:eastAsia="宋体" w:cs="宋体"/>
                <w:spacing w:val="0"/>
                <w:position w:val="0"/>
                <w:sz w:val="21"/>
                <w:szCs w:val="21"/>
              </w:rPr>
              <w:t>腐竹、油皮及其再制品</w:t>
            </w:r>
          </w:p>
        </w:tc>
        <w:tc>
          <w:tcPr>
            <w:tcW w:w="892" w:type="dxa"/>
            <w:vAlign w:val="center"/>
          </w:tcPr>
          <w:p w14:paraId="03647BA6">
            <w:pPr>
              <w:widowControl/>
              <w:spacing w:line="280" w:lineRule="exact"/>
              <w:jc w:val="center"/>
              <w:textAlignment w:val="center"/>
              <w:rPr>
                <w:rFonts w:hint="eastAsia" w:ascii="宋体" w:hAnsi="宋体" w:eastAsia="宋体" w:cs="宋体"/>
                <w:color w:val="000000" w:themeColor="text1"/>
                <w:spacing w:val="0"/>
                <w:kern w:val="2"/>
                <w:position w:val="0"/>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较高</w:t>
            </w:r>
          </w:p>
        </w:tc>
        <w:tc>
          <w:tcPr>
            <w:tcW w:w="6199" w:type="dxa"/>
            <w:vAlign w:val="center"/>
          </w:tcPr>
          <w:p w14:paraId="4FBF3AB0">
            <w:pPr>
              <w:pStyle w:val="34"/>
              <w:spacing w:before="21" w:line="230" w:lineRule="auto"/>
              <w:ind w:left="3" w:right="-15"/>
              <w:jc w:val="both"/>
              <w:rPr>
                <w:rFonts w:hint="eastAsia" w:ascii="宋体" w:hAnsi="宋体" w:eastAsia="宋体" w:cs="宋体"/>
                <w:color w:val="000000" w:themeColor="text1"/>
                <w:spacing w:val="0"/>
                <w:kern w:val="2"/>
                <w:position w:val="0"/>
                <w:sz w:val="21"/>
                <w:szCs w:val="21"/>
                <w:lang w:val="en-US" w:eastAsia="zh-CN" w:bidi="ar-SA"/>
                <w14:textFill>
                  <w14:solidFill>
                    <w14:schemeClr w14:val="tx1"/>
                  </w14:solidFill>
                </w14:textFill>
              </w:rPr>
            </w:pPr>
            <w:r>
              <w:rPr>
                <w:rFonts w:hint="eastAsia" w:ascii="宋体" w:hAnsi="宋体" w:eastAsia="宋体" w:cs="宋体"/>
                <w:spacing w:val="0"/>
                <w:position w:val="0"/>
                <w:sz w:val="21"/>
                <w:szCs w:val="21"/>
              </w:rPr>
              <w:t>蛋白质、铅（以Pb计）、碱性嫩黄、苯甲酸及其钠盐（以苯甲酸计）、山梨酸及其钾</w:t>
            </w:r>
            <w:r>
              <w:rPr>
                <w:rFonts w:hint="eastAsia" w:ascii="宋体" w:hAnsi="宋体" w:eastAsia="宋体" w:cs="宋体"/>
                <w:spacing w:val="0"/>
                <w:w w:val="95"/>
                <w:position w:val="0"/>
                <w:sz w:val="21"/>
                <w:szCs w:val="21"/>
              </w:rPr>
              <w:t>盐（以山梨酸计）、脱氢乙酸及其钠盐（以脱氢乙酸计）、二氧化硫残留量、铝的残留量（干样品，以Al计）、合成着色剂（柠檬黄、日落黄</w:t>
            </w:r>
            <w:r>
              <w:rPr>
                <w:rFonts w:hint="eastAsia" w:ascii="宋体" w:hAnsi="宋体" w:eastAsia="宋体" w:cs="宋体"/>
                <w:spacing w:val="0"/>
                <w:w w:val="95"/>
                <w:position w:val="0"/>
                <w:sz w:val="21"/>
                <w:szCs w:val="21"/>
                <w:lang w:eastAsia="zh-CN"/>
              </w:rPr>
              <w:t>）</w:t>
            </w:r>
          </w:p>
        </w:tc>
        <w:tc>
          <w:tcPr>
            <w:tcW w:w="1367" w:type="dxa"/>
            <w:vAlign w:val="center"/>
          </w:tcPr>
          <w:p w14:paraId="5BCC24D8">
            <w:pPr>
              <w:widowControl/>
              <w:spacing w:line="280" w:lineRule="exact"/>
              <w:jc w:val="center"/>
              <w:textAlignment w:val="center"/>
              <w:rPr>
                <w:rFonts w:hint="eastAsia" w:ascii="宋体" w:hAnsi="宋体" w:eastAsia="宋体" w:cs="宋体"/>
                <w:color w:val="000000" w:themeColor="text1"/>
                <w:spacing w:val="0"/>
                <w:kern w:val="2"/>
                <w:position w:val="0"/>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kern w:val="2"/>
                <w:position w:val="0"/>
                <w:sz w:val="21"/>
                <w:szCs w:val="21"/>
                <w:lang w:val="en-US" w:eastAsia="zh-CN" w:bidi="ar-SA"/>
                <w14:textFill>
                  <w14:solidFill>
                    <w14:schemeClr w14:val="tx1"/>
                  </w14:solidFill>
                </w14:textFill>
              </w:rPr>
              <w:t>4</w:t>
            </w:r>
          </w:p>
        </w:tc>
        <w:tc>
          <w:tcPr>
            <w:tcW w:w="1316" w:type="dxa"/>
            <w:vAlign w:val="center"/>
          </w:tcPr>
          <w:p w14:paraId="25D1B6F6">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02F819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1149" w:hRule="atLeast"/>
        </w:trPr>
        <w:tc>
          <w:tcPr>
            <w:tcW w:w="726" w:type="dxa"/>
            <w:tcBorders>
              <w:top w:val="single" w:color="auto" w:sz="4" w:space="0"/>
            </w:tcBorders>
            <w:vAlign w:val="center"/>
          </w:tcPr>
          <w:p w14:paraId="79A5A1C4">
            <w:pPr>
              <w:widowControl/>
              <w:spacing w:line="280" w:lineRule="exact"/>
              <w:jc w:val="center"/>
              <w:textAlignment w:val="center"/>
              <w:rPr>
                <w:rFonts w:hint="eastAsia" w:ascii="宋体" w:hAnsi="宋体" w:eastAsia="宋体" w:cs="宋体"/>
                <w:color w:val="000000" w:themeColor="text1"/>
                <w:spacing w:val="0"/>
                <w:kern w:val="2"/>
                <w:position w:val="0"/>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13</w:t>
            </w:r>
          </w:p>
        </w:tc>
        <w:tc>
          <w:tcPr>
            <w:tcW w:w="1418" w:type="dxa"/>
            <w:tcBorders>
              <w:top w:val="single" w:color="auto" w:sz="4" w:space="0"/>
            </w:tcBorders>
            <w:vAlign w:val="center"/>
          </w:tcPr>
          <w:p w14:paraId="74CE9521">
            <w:pPr>
              <w:widowControl/>
              <w:spacing w:line="280" w:lineRule="exact"/>
              <w:jc w:val="center"/>
              <w:textAlignment w:val="center"/>
              <w:rPr>
                <w:rFonts w:hint="eastAsia" w:ascii="宋体" w:hAnsi="宋体" w:eastAsia="宋体" w:cs="宋体"/>
                <w:color w:val="000000" w:themeColor="text1"/>
                <w:spacing w:val="0"/>
                <w:kern w:val="2"/>
                <w:position w:val="0"/>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蜂产品</w:t>
            </w:r>
          </w:p>
        </w:tc>
        <w:tc>
          <w:tcPr>
            <w:tcW w:w="2268" w:type="dxa"/>
            <w:tcBorders>
              <w:top w:val="single" w:color="auto" w:sz="4" w:space="0"/>
            </w:tcBorders>
            <w:vAlign w:val="center"/>
          </w:tcPr>
          <w:p w14:paraId="6F09E163">
            <w:pPr>
              <w:widowControl/>
              <w:spacing w:line="280" w:lineRule="exact"/>
              <w:jc w:val="center"/>
              <w:textAlignment w:val="center"/>
              <w:rPr>
                <w:rFonts w:hint="eastAsia" w:ascii="宋体" w:hAnsi="宋体" w:eastAsia="宋体" w:cs="宋体"/>
                <w:color w:val="000000" w:themeColor="text1"/>
                <w:spacing w:val="0"/>
                <w:kern w:val="2"/>
                <w:position w:val="0"/>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蜂蜜</w:t>
            </w:r>
          </w:p>
        </w:tc>
        <w:tc>
          <w:tcPr>
            <w:tcW w:w="892" w:type="dxa"/>
            <w:vAlign w:val="center"/>
          </w:tcPr>
          <w:p w14:paraId="76BC17F1">
            <w:pPr>
              <w:widowControl/>
              <w:spacing w:line="280" w:lineRule="exact"/>
              <w:jc w:val="center"/>
              <w:textAlignment w:val="center"/>
              <w:rPr>
                <w:rFonts w:hint="eastAsia" w:ascii="宋体" w:hAnsi="宋体" w:eastAsia="宋体" w:cs="宋体"/>
                <w:color w:val="000000" w:themeColor="text1"/>
                <w:spacing w:val="0"/>
                <w:kern w:val="2"/>
                <w:position w:val="0"/>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高</w:t>
            </w:r>
          </w:p>
        </w:tc>
        <w:tc>
          <w:tcPr>
            <w:tcW w:w="6199" w:type="dxa"/>
            <w:vAlign w:val="center"/>
          </w:tcPr>
          <w:p w14:paraId="547A6869">
            <w:pPr>
              <w:pStyle w:val="34"/>
              <w:spacing w:before="24" w:line="228" w:lineRule="auto"/>
              <w:ind w:left="3" w:right="-72"/>
              <w:jc w:val="both"/>
              <w:rPr>
                <w:rFonts w:hint="eastAsia" w:ascii="宋体" w:hAnsi="宋体" w:eastAsia="宋体" w:cs="宋体"/>
                <w:color w:val="000000" w:themeColor="text1"/>
                <w:spacing w:val="0"/>
                <w:kern w:val="2"/>
                <w:position w:val="0"/>
                <w:sz w:val="21"/>
                <w:szCs w:val="21"/>
                <w:lang w:val="en-US" w:eastAsia="zh-CN" w:bidi="ar-SA"/>
                <w14:textFill>
                  <w14:solidFill>
                    <w14:schemeClr w14:val="tx1"/>
                  </w14:solidFill>
                </w14:textFill>
              </w:rPr>
            </w:pPr>
            <w:r>
              <w:rPr>
                <w:rFonts w:hint="eastAsia" w:ascii="宋体" w:hAnsi="宋体" w:eastAsia="宋体" w:cs="宋体"/>
                <w:spacing w:val="0"/>
                <w:position w:val="0"/>
                <w:sz w:val="21"/>
                <w:szCs w:val="21"/>
              </w:rPr>
              <w:t>果糖和葡萄糖、蔗糖、铅（以Pb计）、山梨酸及其钾盐（以山梨酸计）、氯霉素、呋</w:t>
            </w:r>
            <w:r>
              <w:rPr>
                <w:rFonts w:hint="eastAsia" w:ascii="宋体" w:hAnsi="宋体" w:eastAsia="宋体" w:cs="宋体"/>
                <w:spacing w:val="0"/>
                <w:w w:val="95"/>
                <w:position w:val="0"/>
                <w:sz w:val="21"/>
                <w:szCs w:val="21"/>
              </w:rPr>
              <w:t>喃西林代谢物、呋喃唑酮代谢物、甲硝唑、双甲脒、诺氟沙星、氧氟沙星、菌落总数、霉菌计数、嗜渗酵母计数</w:t>
            </w:r>
          </w:p>
        </w:tc>
        <w:tc>
          <w:tcPr>
            <w:tcW w:w="1367" w:type="dxa"/>
            <w:vAlign w:val="center"/>
          </w:tcPr>
          <w:p w14:paraId="2666D50F">
            <w:pPr>
              <w:widowControl/>
              <w:spacing w:line="280" w:lineRule="exact"/>
              <w:jc w:val="center"/>
              <w:textAlignment w:val="center"/>
              <w:rPr>
                <w:rFonts w:hint="eastAsia" w:ascii="宋体" w:hAnsi="宋体" w:eastAsia="宋体" w:cs="宋体"/>
                <w:color w:val="000000" w:themeColor="text1"/>
                <w:spacing w:val="0"/>
                <w:kern w:val="2"/>
                <w:position w:val="0"/>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1</w:t>
            </w:r>
          </w:p>
        </w:tc>
        <w:tc>
          <w:tcPr>
            <w:tcW w:w="1316" w:type="dxa"/>
            <w:vAlign w:val="center"/>
          </w:tcPr>
          <w:p w14:paraId="5EF3F2D0">
            <w:pPr>
              <w:widowControl/>
              <w:spacing w:line="280" w:lineRule="exact"/>
              <w:jc w:val="left"/>
              <w:rPr>
                <w:rFonts w:hint="eastAsia" w:ascii="宋体" w:hAnsi="宋体" w:eastAsia="宋体" w:cs="宋体"/>
                <w:color w:val="FF0000"/>
                <w:spacing w:val="0"/>
                <w:kern w:val="2"/>
                <w:position w:val="0"/>
                <w:sz w:val="21"/>
                <w:szCs w:val="21"/>
                <w:lang w:val="en-US" w:eastAsia="zh-CN" w:bidi="ar-SA"/>
              </w:rPr>
            </w:pPr>
          </w:p>
        </w:tc>
      </w:tr>
      <w:tr w14:paraId="014EF51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734" w:hRule="atLeast"/>
        </w:trPr>
        <w:tc>
          <w:tcPr>
            <w:tcW w:w="726" w:type="dxa"/>
            <w:vAlign w:val="center"/>
          </w:tcPr>
          <w:p w14:paraId="04067E65">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14</w:t>
            </w:r>
          </w:p>
        </w:tc>
        <w:tc>
          <w:tcPr>
            <w:tcW w:w="1418" w:type="dxa"/>
            <w:vAlign w:val="top"/>
          </w:tcPr>
          <w:p w14:paraId="33E7550A">
            <w:pPr>
              <w:spacing w:line="341" w:lineRule="auto"/>
              <w:jc w:val="center"/>
              <w:rPr>
                <w:rFonts w:hint="eastAsia" w:ascii="宋体" w:hAnsi="宋体" w:eastAsia="宋体" w:cs="宋体"/>
                <w:spacing w:val="0"/>
                <w:position w:val="0"/>
                <w:sz w:val="21"/>
                <w:szCs w:val="21"/>
              </w:rPr>
            </w:pPr>
          </w:p>
          <w:p w14:paraId="423868B6">
            <w:pPr>
              <w:spacing w:line="342" w:lineRule="auto"/>
              <w:jc w:val="center"/>
              <w:rPr>
                <w:rFonts w:hint="eastAsia" w:ascii="宋体" w:hAnsi="宋体" w:eastAsia="宋体" w:cs="宋体"/>
                <w:spacing w:val="0"/>
                <w:position w:val="0"/>
                <w:sz w:val="21"/>
                <w:szCs w:val="21"/>
              </w:rPr>
            </w:pPr>
          </w:p>
          <w:p w14:paraId="5D6E151E">
            <w:pPr>
              <w:pStyle w:val="50"/>
              <w:spacing w:before="73" w:line="206" w:lineRule="auto"/>
              <w:ind w:left="342" w:leftChars="0"/>
              <w:jc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spacing w:val="0"/>
                <w:position w:val="0"/>
                <w:sz w:val="21"/>
                <w:szCs w:val="21"/>
              </w:rPr>
              <w:t>保健食品</w:t>
            </w:r>
          </w:p>
        </w:tc>
        <w:tc>
          <w:tcPr>
            <w:tcW w:w="2268" w:type="dxa"/>
            <w:vAlign w:val="top"/>
          </w:tcPr>
          <w:p w14:paraId="43D59EFC">
            <w:pPr>
              <w:spacing w:line="341" w:lineRule="auto"/>
              <w:jc w:val="center"/>
              <w:rPr>
                <w:rFonts w:hint="eastAsia" w:ascii="宋体" w:hAnsi="宋体" w:eastAsia="宋体" w:cs="宋体"/>
                <w:spacing w:val="0"/>
                <w:position w:val="0"/>
                <w:sz w:val="21"/>
                <w:szCs w:val="21"/>
              </w:rPr>
            </w:pPr>
          </w:p>
          <w:p w14:paraId="5F6744FF">
            <w:pPr>
              <w:spacing w:line="342" w:lineRule="auto"/>
              <w:jc w:val="center"/>
              <w:rPr>
                <w:rFonts w:hint="eastAsia" w:ascii="宋体" w:hAnsi="宋体" w:eastAsia="宋体" w:cs="宋体"/>
                <w:spacing w:val="0"/>
                <w:position w:val="0"/>
                <w:sz w:val="21"/>
                <w:szCs w:val="21"/>
              </w:rPr>
            </w:pPr>
          </w:p>
          <w:p w14:paraId="66CC390F">
            <w:pPr>
              <w:pStyle w:val="50"/>
              <w:spacing w:before="73" w:line="206" w:lineRule="auto"/>
              <w:jc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spacing w:val="0"/>
                <w:position w:val="0"/>
                <w:sz w:val="21"/>
                <w:szCs w:val="21"/>
              </w:rPr>
              <w:t>保健食品</w:t>
            </w:r>
          </w:p>
        </w:tc>
        <w:tc>
          <w:tcPr>
            <w:tcW w:w="892" w:type="dxa"/>
            <w:vAlign w:val="top"/>
          </w:tcPr>
          <w:p w14:paraId="47752692">
            <w:pPr>
              <w:spacing w:line="341" w:lineRule="auto"/>
              <w:jc w:val="center"/>
              <w:rPr>
                <w:rFonts w:hint="eastAsia" w:ascii="宋体" w:hAnsi="宋体" w:eastAsia="宋体" w:cs="宋体"/>
                <w:spacing w:val="0"/>
                <w:position w:val="0"/>
                <w:sz w:val="21"/>
                <w:szCs w:val="21"/>
              </w:rPr>
            </w:pPr>
          </w:p>
          <w:p w14:paraId="524E3FAD">
            <w:pPr>
              <w:spacing w:line="341" w:lineRule="auto"/>
              <w:jc w:val="center"/>
              <w:rPr>
                <w:rFonts w:hint="eastAsia" w:ascii="宋体" w:hAnsi="宋体" w:eastAsia="宋体" w:cs="宋体"/>
                <w:spacing w:val="0"/>
                <w:position w:val="0"/>
                <w:sz w:val="21"/>
                <w:szCs w:val="21"/>
              </w:rPr>
            </w:pPr>
          </w:p>
          <w:p w14:paraId="295ABB6B">
            <w:pPr>
              <w:pStyle w:val="50"/>
              <w:spacing w:before="73" w:line="207" w:lineRule="auto"/>
              <w:jc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spacing w:val="0"/>
                <w:position w:val="0"/>
                <w:sz w:val="21"/>
                <w:szCs w:val="21"/>
              </w:rPr>
              <w:t>较高</w:t>
            </w:r>
          </w:p>
        </w:tc>
        <w:tc>
          <w:tcPr>
            <w:tcW w:w="6199" w:type="dxa"/>
            <w:vAlign w:val="center"/>
          </w:tcPr>
          <w:p w14:paraId="5C3064E7">
            <w:pPr>
              <w:pStyle w:val="34"/>
              <w:spacing w:before="24" w:line="228" w:lineRule="auto"/>
              <w:ind w:left="3" w:right="-116"/>
              <w:jc w:val="left"/>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spacing w:val="0"/>
                <w:position w:val="0"/>
                <w:sz w:val="21"/>
                <w:szCs w:val="21"/>
              </w:rPr>
              <w:t>氨基酸、10- 羟基- 2- 癸烯酸、蛋白质、二十二碳六烯酸、二十碳五烯酸、泛酸、钙、还原糖、肌醇、赖氨酸、绿原酸、铁、维生素A、维生素B1、维生素B12、维生素B2、维生素B6、维生素C、维生素D、维生素D3、维生素E、硒、锌、烟酰胺、叶酸、免疫球蛋白</w:t>
            </w:r>
            <w:r>
              <w:rPr>
                <w:rFonts w:hint="eastAsia" w:ascii="宋体" w:hAnsi="宋体" w:eastAsia="宋体" w:cs="宋体"/>
                <w:spacing w:val="0"/>
                <w:position w:val="0"/>
                <w:sz w:val="21"/>
                <w:szCs w:val="21"/>
                <w:lang w:val="en-US" w:eastAsia="zh-CN"/>
              </w:rPr>
              <w:t>IgG</w:t>
            </w:r>
            <w:r>
              <w:rPr>
                <w:rFonts w:hint="eastAsia" w:ascii="宋体" w:hAnsi="宋体" w:eastAsia="宋体" w:cs="宋体"/>
                <w:spacing w:val="0"/>
                <w:position w:val="0"/>
                <w:sz w:val="21"/>
                <w:szCs w:val="21"/>
              </w:rPr>
              <w:t>、总黄酮、总皂苷、总蒽醌、吡啶甲酸铬、芦荟苷、总三萜、嗜酸乳杆菌、双歧</w:t>
            </w:r>
            <w:r>
              <w:rPr>
                <w:rFonts w:hint="eastAsia" w:ascii="宋体" w:hAnsi="宋体" w:eastAsia="宋体" w:cs="宋体"/>
                <w:spacing w:val="0"/>
                <w:w w:val="95"/>
                <w:position w:val="0"/>
                <w:sz w:val="21"/>
                <w:szCs w:val="21"/>
              </w:rPr>
              <w:t>杆菌、水分、可溶性固形物、酸价、过氧化值、崩解时限、灰分、铅（Pb）、总砷（As）、总汞（Hg）、硬胶囊壳中的铬、菌落总数、大肠菌群、霉菌和酵母、金黄色葡萄球菌、沙门氏菌</w:t>
            </w:r>
          </w:p>
        </w:tc>
        <w:tc>
          <w:tcPr>
            <w:tcW w:w="1367" w:type="dxa"/>
            <w:vAlign w:val="top"/>
          </w:tcPr>
          <w:p w14:paraId="06D55FF4">
            <w:pPr>
              <w:spacing w:line="341" w:lineRule="auto"/>
              <w:jc w:val="center"/>
              <w:rPr>
                <w:rFonts w:hint="eastAsia" w:ascii="宋体" w:hAnsi="宋体" w:eastAsia="宋体" w:cs="宋体"/>
                <w:spacing w:val="0"/>
                <w:position w:val="0"/>
                <w:sz w:val="21"/>
                <w:szCs w:val="21"/>
              </w:rPr>
            </w:pPr>
          </w:p>
          <w:p w14:paraId="4633A1B5">
            <w:pPr>
              <w:spacing w:line="342" w:lineRule="auto"/>
              <w:jc w:val="center"/>
              <w:rPr>
                <w:rFonts w:hint="eastAsia" w:ascii="宋体" w:hAnsi="宋体" w:eastAsia="宋体" w:cs="宋体"/>
                <w:spacing w:val="0"/>
                <w:position w:val="0"/>
                <w:sz w:val="21"/>
                <w:szCs w:val="21"/>
              </w:rPr>
            </w:pPr>
          </w:p>
          <w:p w14:paraId="1438B209">
            <w:pPr>
              <w:pStyle w:val="50"/>
              <w:spacing w:before="73" w:line="206" w:lineRule="auto"/>
              <w:jc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15</w:t>
            </w:r>
          </w:p>
        </w:tc>
        <w:tc>
          <w:tcPr>
            <w:tcW w:w="1316" w:type="dxa"/>
            <w:vAlign w:val="top"/>
          </w:tcPr>
          <w:p w14:paraId="7E4E1793">
            <w:pPr>
              <w:spacing w:line="341" w:lineRule="auto"/>
              <w:jc w:val="left"/>
              <w:rPr>
                <w:rFonts w:hint="eastAsia" w:ascii="宋体" w:hAnsi="宋体" w:eastAsia="宋体" w:cs="宋体"/>
                <w:spacing w:val="0"/>
                <w:position w:val="0"/>
                <w:sz w:val="21"/>
                <w:szCs w:val="21"/>
              </w:rPr>
            </w:pPr>
          </w:p>
          <w:p w14:paraId="315F729E">
            <w:pPr>
              <w:spacing w:line="342" w:lineRule="auto"/>
              <w:jc w:val="left"/>
              <w:rPr>
                <w:rFonts w:hint="eastAsia" w:ascii="宋体" w:hAnsi="宋体" w:eastAsia="宋体" w:cs="宋体"/>
                <w:spacing w:val="0"/>
                <w:position w:val="0"/>
                <w:sz w:val="21"/>
                <w:szCs w:val="21"/>
              </w:rPr>
            </w:pPr>
          </w:p>
          <w:p w14:paraId="530463AB">
            <w:pPr>
              <w:pStyle w:val="50"/>
              <w:spacing w:before="73" w:line="206" w:lineRule="auto"/>
              <w:ind w:left="184" w:leftChars="0"/>
              <w:jc w:val="left"/>
              <w:rPr>
                <w:rFonts w:hint="eastAsia" w:ascii="宋体" w:hAnsi="宋体" w:eastAsia="宋体" w:cs="宋体"/>
                <w:color w:val="FF0000"/>
                <w:spacing w:val="0"/>
                <w:position w:val="0"/>
                <w:sz w:val="21"/>
                <w:szCs w:val="21"/>
                <w:lang w:eastAsia="zh-CN"/>
              </w:rPr>
            </w:pPr>
          </w:p>
        </w:tc>
      </w:tr>
      <w:tr w14:paraId="14E36D3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86" w:hRule="atLeast"/>
        </w:trPr>
        <w:tc>
          <w:tcPr>
            <w:tcW w:w="726" w:type="dxa"/>
            <w:vMerge w:val="restart"/>
            <w:vAlign w:val="center"/>
          </w:tcPr>
          <w:p w14:paraId="69FF676D">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p w14:paraId="21CEFE33">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p w14:paraId="6658638B">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p w14:paraId="4BF4788F">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p w14:paraId="32877427">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p w14:paraId="25B12209">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p w14:paraId="32698517">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p w14:paraId="1C54A6C0">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p w14:paraId="51E4DFC7">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p w14:paraId="21EE5996">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p w14:paraId="6BE24A94">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p w14:paraId="093FE840">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p w14:paraId="55F04051">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p w14:paraId="5B94F1C1">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p w14:paraId="14F2BD85">
            <w:pPr>
              <w:widowControl/>
              <w:spacing w:line="280" w:lineRule="exact"/>
              <w:jc w:val="both"/>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p w14:paraId="4096AF58">
            <w:pPr>
              <w:widowControl/>
              <w:spacing w:line="280" w:lineRule="exact"/>
              <w:jc w:val="center"/>
              <w:textAlignment w:val="center"/>
              <w:rPr>
                <w:rFonts w:hint="eastAsia" w:ascii="宋体" w:hAnsi="宋体" w:eastAsia="宋体" w:cs="宋体"/>
                <w:color w:val="000000" w:themeColor="text1"/>
                <w:spacing w:val="0"/>
                <w:position w:val="0"/>
                <w:sz w:val="21"/>
                <w:szCs w:val="21"/>
                <w:lang w:eastAsia="zh-CN"/>
                <w14:textFill>
                  <w14:solidFill>
                    <w14:schemeClr w14:val="tx1"/>
                  </w14:solidFill>
                </w14:textFill>
              </w:rPr>
            </w:pPr>
            <w:r>
              <w:rPr>
                <w:rFonts w:hint="eastAsia" w:ascii="宋体" w:hAnsi="宋体" w:eastAsia="宋体" w:cs="宋体"/>
                <w:bCs/>
                <w:color w:val="000000" w:themeColor="text1"/>
                <w:spacing w:val="0"/>
                <w:position w:val="0"/>
                <w:sz w:val="21"/>
                <w:szCs w:val="2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-561340</wp:posOffset>
                      </wp:positionH>
                      <wp:positionV relativeFrom="paragraph">
                        <wp:posOffset>3728085</wp:posOffset>
                      </wp:positionV>
                      <wp:extent cx="403225" cy="890270"/>
                      <wp:effectExtent l="4445" t="4445" r="11430" b="19685"/>
                      <wp:wrapNone/>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3225" cy="890270"/>
                              </a:xfrm>
                              <a:prstGeom prst="rect">
                                <a:avLst/>
                              </a:prstGeom>
                              <a:solidFill>
                                <a:srgbClr val="FFFFFF"/>
                              </a:solidFill>
                              <a:ln w="9525">
                                <a:solidFill>
                                  <a:srgbClr val="FFFFFF"/>
                                </a:solidFill>
                                <a:miter lim="800000"/>
                              </a:ln>
                              <a:effectLst/>
                            </wps:spPr>
                            <wps:txbx>
                              <w:txbxContent>
                                <w:p w14:paraId="0EB77095">
                                  <w:pPr>
                                    <w:pStyle w:val="11"/>
                                    <w:rPr>
                                      <w:color w:val="000000"/>
                                      <w:sz w:val="28"/>
                                      <w:szCs w:val="28"/>
                                    </w:rPr>
                                  </w:pPr>
                                  <w:r>
                                    <w:rPr>
                                      <w:color w:val="000000"/>
                                      <w:sz w:val="28"/>
                                      <w:szCs w:val="28"/>
                                    </w:rPr>
                                    <w:t xml:space="preserve">— </w:t>
                                  </w:r>
                                  <w:r>
                                    <w:rPr>
                                      <w:rFonts w:hint="eastAsia"/>
                                      <w:color w:val="000000"/>
                                      <w:sz w:val="28"/>
                                      <w:szCs w:val="28"/>
                                      <w:lang w:val="en-US" w:eastAsia="zh-CN"/>
                                    </w:rPr>
                                    <w:t>16</w:t>
                                  </w:r>
                                  <w:r>
                                    <w:rPr>
                                      <w:color w:val="000000"/>
                                      <w:sz w:val="28"/>
                                      <w:szCs w:val="28"/>
                                    </w:rPr>
                                    <w:t xml:space="preserve"> —</w:t>
                                  </w:r>
                                </w:p>
                                <w:p w14:paraId="43125E71"/>
                              </w:txbxContent>
                            </wps:txbx>
                            <wps:bodyPr rot="0" vert="vert" wrap="square" lIns="91440" tIns="45720" rIns="91440" bIns="45720" anchor="t" anchorCtr="0">
                              <a:noAutofit/>
                            </wps:bodyPr>
                          </wps:wsp>
                        </a:graphicData>
                      </a:graphic>
                    </wp:anchor>
                  </w:drawing>
                </mc:Choice>
                <mc:Fallback>
                  <w:pict>
                    <v:shape id="文本框 2" o:spid="_x0000_s1026" o:spt="202" type="#_x0000_t202" style="position:absolute;left:0pt;margin-left:-44.2pt;margin-top:293.55pt;height:70.1pt;width:31.75pt;z-index:251659264;mso-width-relative:page;mso-height-relative:page;" fillcolor="#FFFFFF" filled="t" stroked="t" coordsize="21600,21600" o:gfxdata="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yx9LdwAAAALAQAADwAAAAAAAAABACAAAAAiAAAAZHJz&#10;L2Rvd25yZXYueG1sUEsBAhQAFAAAAAgAh07iQCnwEzk5AgAAiAQAAA4AAAAAAAAAAQAgAAAAKwEA&#10;AGRycy9lMm9Eb2MueG1sUEsFBgAAAAAGAAYAWQEAANYFAAAAAA==&#10;">
                      <v:fill on="t" focussize="0,0"/>
                      <v:stroke color="#FFFFFF" miterlimit="8" joinstyle="miter"/>
                      <v:imagedata o:title=""/>
                      <o:lock v:ext="edit" aspectratio="f"/>
                      <v:textbox style="layout-flow:vertical;">
                        <w:txbxContent>
                          <w:p w14:paraId="0EB77095">
                            <w:pPr>
                              <w:pStyle w:val="11"/>
                              <w:rPr>
                                <w:color w:val="000000"/>
                                <w:sz w:val="28"/>
                                <w:szCs w:val="28"/>
                              </w:rPr>
                            </w:pPr>
                            <w:r>
                              <w:rPr>
                                <w:color w:val="000000"/>
                                <w:sz w:val="28"/>
                                <w:szCs w:val="28"/>
                              </w:rPr>
                              <w:t xml:space="preserve">— </w:t>
                            </w:r>
                            <w:r>
                              <w:rPr>
                                <w:rFonts w:hint="eastAsia"/>
                                <w:color w:val="000000"/>
                                <w:sz w:val="28"/>
                                <w:szCs w:val="28"/>
                                <w:lang w:val="en-US" w:eastAsia="zh-CN"/>
                              </w:rPr>
                              <w:t>16</w:t>
                            </w:r>
                            <w:r>
                              <w:rPr>
                                <w:color w:val="000000"/>
                                <w:sz w:val="28"/>
                                <w:szCs w:val="28"/>
                              </w:rPr>
                              <w:t xml:space="preserve"> —</w:t>
                            </w:r>
                          </w:p>
                          <w:p w14:paraId="43125E71"/>
                        </w:txbxContent>
                      </v:textbox>
                    </v:shape>
                  </w:pict>
                </mc:Fallback>
              </mc:AlternateContent>
            </w:r>
            <w:r>
              <w:rPr>
                <w:rFonts w:hint="eastAsia" w:ascii="宋体" w:hAnsi="宋体" w:eastAsia="宋体" w:cs="宋体"/>
                <w:color w:val="000000" w:themeColor="text1"/>
                <w:spacing w:val="0"/>
                <w:position w:val="0"/>
                <w:sz w:val="21"/>
                <w:szCs w:val="21"/>
                <w14:textFill>
                  <w14:solidFill>
                    <w14:schemeClr w14:val="tx1"/>
                  </w14:solidFill>
                </w14:textFill>
              </w:rPr>
              <w:t>1</w:t>
            </w: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5</w:t>
            </w:r>
          </w:p>
        </w:tc>
        <w:tc>
          <w:tcPr>
            <w:tcW w:w="1418" w:type="dxa"/>
            <w:vMerge w:val="restart"/>
            <w:vAlign w:val="center"/>
          </w:tcPr>
          <w:p w14:paraId="104FE661">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p w14:paraId="7DD44290">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p w14:paraId="7EA28C8E">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p w14:paraId="139B0CA4">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p w14:paraId="66E33320">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p w14:paraId="3793C286">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p w14:paraId="5035C785">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p w14:paraId="1EFB11FE">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p w14:paraId="38A38C97">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p w14:paraId="23B1B90D">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p w14:paraId="28AF2BE4">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p w14:paraId="61BF4525">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p w14:paraId="5AE4968D">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食用农产品</w:t>
            </w:r>
          </w:p>
        </w:tc>
        <w:tc>
          <w:tcPr>
            <w:tcW w:w="2268" w:type="dxa"/>
            <w:vAlign w:val="center"/>
          </w:tcPr>
          <w:p w14:paraId="2E6AD8DA">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畜肉（猪肉）</w:t>
            </w:r>
          </w:p>
        </w:tc>
        <w:tc>
          <w:tcPr>
            <w:tcW w:w="892" w:type="dxa"/>
            <w:vAlign w:val="center"/>
          </w:tcPr>
          <w:p w14:paraId="79ECE39C">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高</w:t>
            </w:r>
          </w:p>
        </w:tc>
        <w:tc>
          <w:tcPr>
            <w:tcW w:w="6199" w:type="dxa"/>
            <w:vAlign w:val="center"/>
          </w:tcPr>
          <w:p w14:paraId="7F362AD0">
            <w:pPr>
              <w:pStyle w:val="34"/>
              <w:spacing w:before="44" w:line="261" w:lineRule="auto"/>
              <w:ind w:left="3" w:right="-72"/>
              <w:jc w:val="left"/>
              <w:rPr>
                <w:rFonts w:hint="eastAsia" w:ascii="宋体" w:hAnsi="宋体" w:eastAsia="宋体" w:cs="宋体"/>
                <w:color w:val="000000" w:themeColor="text1"/>
                <w:spacing w:val="0"/>
                <w:position w:val="0"/>
                <w:sz w:val="21"/>
                <w:szCs w:val="21"/>
                <w:lang w:eastAsia="zh-CN"/>
                <w14:textFill>
                  <w14:solidFill>
                    <w14:schemeClr w14:val="tx1"/>
                  </w14:solidFill>
                </w14:textFill>
              </w:rPr>
            </w:pPr>
            <w:r>
              <w:rPr>
                <w:rFonts w:hint="eastAsia" w:ascii="宋体" w:hAnsi="宋体" w:eastAsia="宋体" w:cs="宋体"/>
                <w:spacing w:val="0"/>
                <w:w w:val="99"/>
                <w:position w:val="0"/>
                <w:sz w:val="21"/>
                <w:szCs w:val="21"/>
              </w:rPr>
              <w:t>挥发性盐基氮、呋喃唑酮代谢物、呋喃西林代谢物、氯霉素、克伦特罗、莱克多巴胺、沙丁胺醇、喹乙醇、恩诺沙星、替米考星、磺胺类（总量）、甲氧苄啶、氟苯尼考、多</w:t>
            </w:r>
            <w:r>
              <w:rPr>
                <w:rFonts w:hint="eastAsia" w:ascii="宋体" w:hAnsi="宋体" w:eastAsia="宋体" w:cs="宋体"/>
                <w:spacing w:val="0"/>
                <w:position w:val="0"/>
                <w:sz w:val="21"/>
                <w:szCs w:val="21"/>
              </w:rPr>
              <w:t>西环素、地塞米松、甲硝唑、氯丙嗪、林可霉素、土霉素/金霉素/四环素（组合含量）</w:t>
            </w:r>
          </w:p>
        </w:tc>
        <w:tc>
          <w:tcPr>
            <w:tcW w:w="1367" w:type="dxa"/>
            <w:vAlign w:val="center"/>
          </w:tcPr>
          <w:p w14:paraId="1B808397">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24</w:t>
            </w:r>
          </w:p>
        </w:tc>
        <w:tc>
          <w:tcPr>
            <w:tcW w:w="1316" w:type="dxa"/>
            <w:vAlign w:val="center"/>
          </w:tcPr>
          <w:p w14:paraId="130D83A2">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59CAC4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38" w:hRule="atLeast"/>
        </w:trPr>
        <w:tc>
          <w:tcPr>
            <w:tcW w:w="726" w:type="dxa"/>
            <w:vMerge w:val="continue"/>
            <w:vAlign w:val="center"/>
          </w:tcPr>
          <w:p w14:paraId="35ABB982">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2CAB0C14">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08734140">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畜肉（牛肉）</w:t>
            </w:r>
          </w:p>
        </w:tc>
        <w:tc>
          <w:tcPr>
            <w:tcW w:w="892" w:type="dxa"/>
            <w:vAlign w:val="center"/>
          </w:tcPr>
          <w:p w14:paraId="3AE8BD42">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高</w:t>
            </w:r>
          </w:p>
        </w:tc>
        <w:tc>
          <w:tcPr>
            <w:tcW w:w="6199" w:type="dxa"/>
            <w:vAlign w:val="center"/>
          </w:tcPr>
          <w:p w14:paraId="6C015E45">
            <w:pPr>
              <w:pStyle w:val="34"/>
              <w:spacing w:before="44"/>
              <w:ind w:left="3" w:right="-72"/>
              <w:jc w:val="left"/>
              <w:rPr>
                <w:rFonts w:hint="eastAsia" w:ascii="宋体" w:hAnsi="宋体" w:eastAsia="宋体" w:cs="宋体"/>
                <w:color w:val="000000" w:themeColor="text1"/>
                <w:spacing w:val="0"/>
                <w:position w:val="0"/>
                <w:sz w:val="21"/>
                <w:szCs w:val="21"/>
                <w:lang w:eastAsia="zh-CN"/>
                <w14:textFill>
                  <w14:solidFill>
                    <w14:schemeClr w14:val="tx1"/>
                  </w14:solidFill>
                </w14:textFill>
              </w:rPr>
            </w:pPr>
            <w:r>
              <w:rPr>
                <w:rFonts w:hint="eastAsia" w:ascii="宋体" w:hAnsi="宋体" w:eastAsia="宋体" w:cs="宋体"/>
                <w:spacing w:val="0"/>
                <w:w w:val="95"/>
                <w:position w:val="0"/>
                <w:sz w:val="21"/>
                <w:szCs w:val="21"/>
              </w:rPr>
              <w:t>挥发性盐基氮、呋喃唑酮代谢物、呋喃西林代谢物、氯霉素、克伦特罗、莱克多巴胺、</w:t>
            </w:r>
            <w:r>
              <w:rPr>
                <w:rFonts w:hint="eastAsia" w:ascii="宋体" w:hAnsi="宋体" w:eastAsia="宋体" w:cs="宋体"/>
                <w:spacing w:val="0"/>
                <w:w w:val="99"/>
                <w:position w:val="0"/>
                <w:sz w:val="21"/>
                <w:szCs w:val="21"/>
              </w:rPr>
              <w:t>沙丁胺醇、恩诺沙星、磺胺类（总量）、甲氧苄啶、氟苯尼考、多西环素、地塞米松、林可霉素、倍他米松、土霉素</w:t>
            </w:r>
            <w:r>
              <w:rPr>
                <w:rFonts w:hint="eastAsia" w:ascii="宋体" w:hAnsi="宋体" w:eastAsia="宋体" w:cs="宋体"/>
                <w:spacing w:val="0"/>
                <w:w w:val="190"/>
                <w:position w:val="0"/>
                <w:sz w:val="21"/>
                <w:szCs w:val="21"/>
              </w:rPr>
              <w:t>/</w:t>
            </w:r>
            <w:r>
              <w:rPr>
                <w:rFonts w:hint="eastAsia" w:ascii="宋体" w:hAnsi="宋体" w:eastAsia="宋体" w:cs="宋体"/>
                <w:spacing w:val="0"/>
                <w:w w:val="99"/>
                <w:position w:val="0"/>
                <w:sz w:val="21"/>
                <w:szCs w:val="21"/>
              </w:rPr>
              <w:t>金霉素</w:t>
            </w:r>
            <w:r>
              <w:rPr>
                <w:rFonts w:hint="eastAsia" w:ascii="宋体" w:hAnsi="宋体" w:eastAsia="宋体" w:cs="宋体"/>
                <w:spacing w:val="0"/>
                <w:w w:val="190"/>
                <w:position w:val="0"/>
                <w:sz w:val="21"/>
                <w:szCs w:val="21"/>
              </w:rPr>
              <w:t>/</w:t>
            </w:r>
            <w:r>
              <w:rPr>
                <w:rFonts w:hint="eastAsia" w:ascii="宋体" w:hAnsi="宋体" w:eastAsia="宋体" w:cs="宋体"/>
                <w:spacing w:val="0"/>
                <w:w w:val="99"/>
                <w:position w:val="0"/>
                <w:sz w:val="21"/>
                <w:szCs w:val="21"/>
              </w:rPr>
              <w:t>四环素（组合含量</w:t>
            </w:r>
            <w:r>
              <w:rPr>
                <w:rFonts w:hint="eastAsia" w:ascii="宋体" w:hAnsi="宋体" w:eastAsia="宋体" w:cs="宋体"/>
                <w:spacing w:val="0"/>
                <w:w w:val="99"/>
                <w:position w:val="0"/>
                <w:sz w:val="21"/>
                <w:szCs w:val="21"/>
                <w:lang w:eastAsia="zh-CN"/>
              </w:rPr>
              <w:t>）</w:t>
            </w:r>
          </w:p>
        </w:tc>
        <w:tc>
          <w:tcPr>
            <w:tcW w:w="1367" w:type="dxa"/>
            <w:vAlign w:val="center"/>
          </w:tcPr>
          <w:p w14:paraId="66712C59">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14</w:t>
            </w:r>
          </w:p>
        </w:tc>
        <w:tc>
          <w:tcPr>
            <w:tcW w:w="1316" w:type="dxa"/>
            <w:vAlign w:val="center"/>
          </w:tcPr>
          <w:p w14:paraId="65DE7893">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5B2E5DD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69" w:hRule="atLeast"/>
        </w:trPr>
        <w:tc>
          <w:tcPr>
            <w:tcW w:w="726" w:type="dxa"/>
            <w:vMerge w:val="continue"/>
            <w:vAlign w:val="center"/>
          </w:tcPr>
          <w:p w14:paraId="2F7E8A07">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6CA55BE6">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5EC1778F">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畜肉（羊肉）</w:t>
            </w:r>
          </w:p>
        </w:tc>
        <w:tc>
          <w:tcPr>
            <w:tcW w:w="892" w:type="dxa"/>
            <w:vAlign w:val="center"/>
          </w:tcPr>
          <w:p w14:paraId="0DCCEA8D">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高</w:t>
            </w:r>
          </w:p>
        </w:tc>
        <w:tc>
          <w:tcPr>
            <w:tcW w:w="6199" w:type="dxa"/>
            <w:vAlign w:val="center"/>
          </w:tcPr>
          <w:p w14:paraId="7EE697E8">
            <w:pPr>
              <w:pStyle w:val="34"/>
              <w:spacing w:before="26"/>
              <w:ind w:left="3" w:right="-15"/>
              <w:jc w:val="both"/>
              <w:rPr>
                <w:rFonts w:hint="eastAsia" w:ascii="宋体" w:hAnsi="宋体" w:eastAsia="宋体" w:cs="宋体"/>
                <w:color w:val="000000" w:themeColor="text1"/>
                <w:spacing w:val="0"/>
                <w:position w:val="0"/>
                <w:sz w:val="21"/>
                <w:szCs w:val="21"/>
                <w:lang w:val="zh-CN"/>
                <w14:textFill>
                  <w14:solidFill>
                    <w14:schemeClr w14:val="tx1"/>
                  </w14:solidFill>
                </w14:textFill>
              </w:rPr>
            </w:pPr>
            <w:r>
              <w:rPr>
                <w:rFonts w:hint="eastAsia" w:ascii="宋体" w:hAnsi="宋体" w:eastAsia="宋体" w:cs="宋体"/>
                <w:spacing w:val="0"/>
                <w:w w:val="95"/>
                <w:position w:val="0"/>
                <w:sz w:val="21"/>
                <w:szCs w:val="21"/>
              </w:rPr>
              <w:t>呋喃唑酮代谢物、呋喃西林代谢物、氯霉素、克伦特罗、莱克多巴胺、沙丁胺醇、恩诺</w:t>
            </w:r>
            <w:r>
              <w:rPr>
                <w:rFonts w:hint="eastAsia" w:ascii="宋体" w:hAnsi="宋体" w:eastAsia="宋体" w:cs="宋体"/>
                <w:spacing w:val="0"/>
                <w:position w:val="0"/>
                <w:sz w:val="21"/>
                <w:szCs w:val="21"/>
              </w:rPr>
              <w:t>沙星、磺胺类（总量）、氟苯尼考、林可霉素、环丙氨嗪、土霉素/金霉素/四环素（组</w:t>
            </w:r>
            <w:r>
              <w:rPr>
                <w:rFonts w:hint="eastAsia" w:ascii="宋体" w:hAnsi="宋体" w:eastAsia="宋体" w:cs="宋体"/>
                <w:spacing w:val="0"/>
                <w:w w:val="105"/>
                <w:position w:val="0"/>
                <w:sz w:val="21"/>
                <w:szCs w:val="21"/>
              </w:rPr>
              <w:t>合含量）</w:t>
            </w:r>
          </w:p>
        </w:tc>
        <w:tc>
          <w:tcPr>
            <w:tcW w:w="1367" w:type="dxa"/>
            <w:vAlign w:val="center"/>
          </w:tcPr>
          <w:p w14:paraId="34879AFC">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14</w:t>
            </w:r>
          </w:p>
        </w:tc>
        <w:tc>
          <w:tcPr>
            <w:tcW w:w="1316" w:type="dxa"/>
            <w:vAlign w:val="center"/>
          </w:tcPr>
          <w:p w14:paraId="5895641B">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5BC336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51" w:hRule="atLeast"/>
        </w:trPr>
        <w:tc>
          <w:tcPr>
            <w:tcW w:w="726" w:type="dxa"/>
            <w:vMerge w:val="continue"/>
            <w:vAlign w:val="center"/>
          </w:tcPr>
          <w:p w14:paraId="327ADBB2">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174712A5">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7DFB7CC2">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禽肉（鸡肉）</w:t>
            </w:r>
          </w:p>
        </w:tc>
        <w:tc>
          <w:tcPr>
            <w:tcW w:w="892" w:type="dxa"/>
            <w:vAlign w:val="center"/>
          </w:tcPr>
          <w:p w14:paraId="4216E4E5">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高</w:t>
            </w:r>
          </w:p>
        </w:tc>
        <w:tc>
          <w:tcPr>
            <w:tcW w:w="6199" w:type="dxa"/>
            <w:vAlign w:val="center"/>
          </w:tcPr>
          <w:p w14:paraId="71BDD544">
            <w:pPr>
              <w:pStyle w:val="34"/>
              <w:spacing w:before="44" w:line="261" w:lineRule="auto"/>
              <w:ind w:left="3" w:right="-15"/>
              <w:jc w:val="both"/>
              <w:rPr>
                <w:rFonts w:hint="eastAsia" w:ascii="宋体" w:hAnsi="宋体" w:eastAsia="宋体" w:cs="宋体"/>
                <w:color w:val="000000" w:themeColor="text1"/>
                <w:spacing w:val="0"/>
                <w:position w:val="0"/>
                <w:sz w:val="21"/>
                <w:szCs w:val="21"/>
                <w:lang w:val="zh-CN" w:eastAsia="zh-CN"/>
                <w14:textFill>
                  <w14:solidFill>
                    <w14:schemeClr w14:val="tx1"/>
                  </w14:solidFill>
                </w14:textFill>
              </w:rPr>
            </w:pPr>
            <w:r>
              <w:rPr>
                <w:rFonts w:hint="eastAsia" w:ascii="宋体" w:hAnsi="宋体" w:eastAsia="宋体" w:cs="宋体"/>
                <w:spacing w:val="0"/>
                <w:w w:val="99"/>
                <w:position w:val="0"/>
                <w:sz w:val="21"/>
                <w:szCs w:val="21"/>
              </w:rPr>
              <w:t>挥发性盐基氮、呋喃唑酮代谢物、呋喃西林代谢物、呋喃它酮代谢物、氯霉素、氧氟沙星、培氟沙星、诺氟沙星、恩诺沙星、沙拉沙星、替米考星、磺胺类（总量）、甲氧苄啶、氟苯尼考、多西环素、甲硝唑、尼卡巴嗪、环丙氨嗪、土霉素</w:t>
            </w:r>
            <w:r>
              <w:rPr>
                <w:rFonts w:hint="eastAsia" w:ascii="宋体" w:hAnsi="宋体" w:eastAsia="宋体" w:cs="宋体"/>
                <w:spacing w:val="0"/>
                <w:w w:val="190"/>
                <w:position w:val="0"/>
                <w:sz w:val="21"/>
                <w:szCs w:val="21"/>
              </w:rPr>
              <w:t>/</w:t>
            </w:r>
            <w:r>
              <w:rPr>
                <w:rFonts w:hint="eastAsia" w:ascii="宋体" w:hAnsi="宋体" w:eastAsia="宋体" w:cs="宋体"/>
                <w:spacing w:val="0"/>
                <w:w w:val="99"/>
                <w:position w:val="0"/>
                <w:sz w:val="21"/>
                <w:szCs w:val="21"/>
              </w:rPr>
              <w:t>金霉素</w:t>
            </w:r>
            <w:r>
              <w:rPr>
                <w:rFonts w:hint="eastAsia" w:ascii="宋体" w:hAnsi="宋体" w:eastAsia="宋体" w:cs="宋体"/>
                <w:spacing w:val="0"/>
                <w:w w:val="190"/>
                <w:position w:val="0"/>
                <w:sz w:val="21"/>
                <w:szCs w:val="21"/>
              </w:rPr>
              <w:t>/</w:t>
            </w:r>
            <w:r>
              <w:rPr>
                <w:rFonts w:hint="eastAsia" w:ascii="宋体" w:hAnsi="宋体" w:eastAsia="宋体" w:cs="宋体"/>
                <w:spacing w:val="0"/>
                <w:w w:val="99"/>
                <w:position w:val="0"/>
                <w:sz w:val="21"/>
                <w:szCs w:val="21"/>
              </w:rPr>
              <w:t>四环素（组</w:t>
            </w:r>
            <w:r>
              <w:rPr>
                <w:rFonts w:hint="eastAsia" w:ascii="宋体" w:hAnsi="宋体" w:eastAsia="宋体" w:cs="宋体"/>
                <w:spacing w:val="0"/>
                <w:w w:val="95"/>
                <w:position w:val="0"/>
                <w:sz w:val="21"/>
                <w:szCs w:val="21"/>
              </w:rPr>
              <w:t>合含量）</w:t>
            </w:r>
          </w:p>
        </w:tc>
        <w:tc>
          <w:tcPr>
            <w:tcW w:w="1367" w:type="dxa"/>
            <w:vAlign w:val="center"/>
          </w:tcPr>
          <w:p w14:paraId="275C44E1">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23</w:t>
            </w:r>
          </w:p>
        </w:tc>
        <w:tc>
          <w:tcPr>
            <w:tcW w:w="1316" w:type="dxa"/>
            <w:vAlign w:val="center"/>
          </w:tcPr>
          <w:p w14:paraId="292C4E25">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4CB812F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49" w:hRule="atLeast"/>
        </w:trPr>
        <w:tc>
          <w:tcPr>
            <w:tcW w:w="726" w:type="dxa"/>
            <w:vMerge w:val="continue"/>
            <w:vAlign w:val="center"/>
          </w:tcPr>
          <w:p w14:paraId="0E7B12FF">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2BE9F48C">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2FFE95D0">
            <w:pPr>
              <w:widowControl/>
              <w:spacing w:line="280" w:lineRule="exact"/>
              <w:jc w:val="center"/>
              <w:textAlignment w:val="center"/>
              <w:rPr>
                <w:rFonts w:hint="eastAsia" w:ascii="宋体" w:hAnsi="宋体" w:eastAsia="宋体" w:cs="宋体"/>
                <w:color w:val="000000" w:themeColor="text1"/>
                <w:spacing w:val="0"/>
                <w:position w:val="0"/>
                <w:sz w:val="21"/>
                <w:szCs w:val="21"/>
                <w:lang w:eastAsia="zh-CN"/>
                <w14:textFill>
                  <w14:solidFill>
                    <w14:schemeClr w14:val="tx1"/>
                  </w14:solidFill>
                </w14:textFill>
              </w:rPr>
            </w:pPr>
            <w:r>
              <w:rPr>
                <w:rFonts w:hint="eastAsia" w:ascii="宋体" w:hAnsi="宋体" w:eastAsia="宋体" w:cs="宋体"/>
                <w:color w:val="000000" w:themeColor="text1"/>
                <w:spacing w:val="0"/>
                <w:position w:val="0"/>
                <w:sz w:val="21"/>
                <w:szCs w:val="21"/>
                <w:lang w:eastAsia="zh-CN"/>
                <w14:textFill>
                  <w14:solidFill>
                    <w14:schemeClr w14:val="tx1"/>
                  </w14:solidFill>
                </w14:textFill>
              </w:rPr>
              <w:t>豆类蔬菜（菜豆）</w:t>
            </w:r>
          </w:p>
        </w:tc>
        <w:tc>
          <w:tcPr>
            <w:tcW w:w="892" w:type="dxa"/>
            <w:vAlign w:val="center"/>
          </w:tcPr>
          <w:p w14:paraId="013DD22A">
            <w:pPr>
              <w:widowControl/>
              <w:spacing w:line="280" w:lineRule="exact"/>
              <w:jc w:val="center"/>
              <w:textAlignment w:val="center"/>
              <w:rPr>
                <w:rFonts w:hint="eastAsia" w:ascii="宋体" w:hAnsi="宋体" w:eastAsia="宋体" w:cs="宋体"/>
                <w:color w:val="000000" w:themeColor="text1"/>
                <w:spacing w:val="0"/>
                <w:position w:val="0"/>
                <w:sz w:val="21"/>
                <w:szCs w:val="21"/>
                <w:lang w:eastAsia="zh-CN"/>
                <w14:textFill>
                  <w14:solidFill>
                    <w14:schemeClr w14:val="tx1"/>
                  </w14:solidFill>
                </w14:textFill>
              </w:rPr>
            </w:pPr>
            <w:r>
              <w:rPr>
                <w:rFonts w:hint="eastAsia" w:ascii="宋体" w:hAnsi="宋体" w:eastAsia="宋体" w:cs="宋体"/>
                <w:color w:val="000000" w:themeColor="text1"/>
                <w:spacing w:val="0"/>
                <w:position w:val="0"/>
                <w:sz w:val="21"/>
                <w:szCs w:val="21"/>
                <w:lang w:eastAsia="zh-CN"/>
                <w14:textFill>
                  <w14:solidFill>
                    <w14:schemeClr w14:val="tx1"/>
                  </w14:solidFill>
                </w14:textFill>
              </w:rPr>
              <w:t>较高</w:t>
            </w:r>
          </w:p>
        </w:tc>
        <w:tc>
          <w:tcPr>
            <w:tcW w:w="6199" w:type="dxa"/>
            <w:vAlign w:val="center"/>
          </w:tcPr>
          <w:p w14:paraId="7D912C82">
            <w:pPr>
              <w:widowControl/>
              <w:spacing w:line="380" w:lineRule="exact"/>
              <w:jc w:val="both"/>
              <w:textAlignment w:val="center"/>
              <w:rPr>
                <w:rFonts w:hint="eastAsia" w:ascii="宋体" w:hAnsi="宋体" w:eastAsia="宋体" w:cs="宋体"/>
                <w:color w:val="000000" w:themeColor="text1"/>
                <w:spacing w:val="0"/>
                <w:position w:val="0"/>
                <w:sz w:val="21"/>
                <w:szCs w:val="21"/>
                <w:lang w:val="zh-CN"/>
                <w14:textFill>
                  <w14:solidFill>
                    <w14:schemeClr w14:val="tx1"/>
                  </w14:solidFill>
                </w14:textFill>
              </w:rPr>
            </w:pPr>
            <w:r>
              <w:rPr>
                <w:rFonts w:hint="eastAsia" w:ascii="宋体" w:hAnsi="宋体" w:eastAsia="宋体" w:cs="宋体"/>
                <w:spacing w:val="0"/>
                <w:w w:val="99"/>
                <w:position w:val="0"/>
                <w:sz w:val="21"/>
                <w:szCs w:val="21"/>
              </w:rPr>
              <w:t>倍硫磷、吡虫啉、毒死蜱、多菌灵、甲氨基阿维菌素苯甲酸盐、甲胺磷、克百威、氯氟氰菊酯和高效氯氟氰菊酯、灭蝇胺、噻虫胺、水胺硫磷、氧乐果、乙酰甲胺磷</w:t>
            </w:r>
          </w:p>
        </w:tc>
        <w:tc>
          <w:tcPr>
            <w:tcW w:w="1367" w:type="dxa"/>
            <w:vAlign w:val="center"/>
          </w:tcPr>
          <w:p w14:paraId="1AAAF49F">
            <w:pPr>
              <w:widowControl/>
              <w:spacing w:line="280" w:lineRule="exact"/>
              <w:jc w:val="center"/>
              <w:textAlignment w:val="center"/>
              <w:rPr>
                <w:rFonts w:hint="eastAsia" w:ascii="宋体" w:hAnsi="宋体" w:eastAsia="宋体" w:cs="宋体"/>
                <w:color w:val="000000" w:themeColor="text1"/>
                <w:spacing w:val="0"/>
                <w:position w:val="0"/>
                <w:sz w:val="21"/>
                <w:szCs w:val="21"/>
                <w:lang w:val="en-US"/>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15</w:t>
            </w:r>
          </w:p>
        </w:tc>
        <w:tc>
          <w:tcPr>
            <w:tcW w:w="1316" w:type="dxa"/>
            <w:vAlign w:val="center"/>
          </w:tcPr>
          <w:p w14:paraId="7A1E5A70">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1FEF5B3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758" w:hRule="atLeast"/>
        </w:trPr>
        <w:tc>
          <w:tcPr>
            <w:tcW w:w="726" w:type="dxa"/>
            <w:vMerge w:val="continue"/>
            <w:vAlign w:val="center"/>
          </w:tcPr>
          <w:p w14:paraId="0839F3FA">
            <w:pPr>
              <w:widowControl/>
              <w:spacing w:line="280" w:lineRule="exact"/>
              <w:jc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038E716E">
            <w:pPr>
              <w:widowControl/>
              <w:spacing w:line="280" w:lineRule="exact"/>
              <w:jc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262C23B0">
            <w:pPr>
              <w:widowControl/>
              <w:spacing w:line="280" w:lineRule="exact"/>
              <w:jc w:val="center"/>
              <w:textAlignment w:val="center"/>
              <w:rPr>
                <w:rFonts w:hint="eastAsia" w:ascii="宋体" w:hAnsi="宋体" w:eastAsia="宋体" w:cs="宋体"/>
                <w:color w:val="000000" w:themeColor="text1"/>
                <w:spacing w:val="0"/>
                <w:position w:val="0"/>
                <w:sz w:val="21"/>
                <w:szCs w:val="21"/>
                <w:lang w:eastAsia="zh-CN"/>
                <w14:textFill>
                  <w14:solidFill>
                    <w14:schemeClr w14:val="tx1"/>
                  </w14:solidFill>
                </w14:textFill>
              </w:rPr>
            </w:pPr>
            <w:r>
              <w:rPr>
                <w:rFonts w:hint="eastAsia" w:ascii="宋体" w:hAnsi="宋体" w:eastAsia="宋体" w:cs="宋体"/>
                <w:color w:val="000000" w:themeColor="text1"/>
                <w:spacing w:val="0"/>
                <w:position w:val="0"/>
                <w:sz w:val="21"/>
                <w:szCs w:val="21"/>
                <w:lang w:eastAsia="zh-CN"/>
                <w14:textFill>
                  <w14:solidFill>
                    <w14:schemeClr w14:val="tx1"/>
                  </w14:solidFill>
                </w14:textFill>
              </w:rPr>
              <w:t>豆类蔬菜（豇豆）</w:t>
            </w:r>
          </w:p>
        </w:tc>
        <w:tc>
          <w:tcPr>
            <w:tcW w:w="892" w:type="dxa"/>
            <w:vAlign w:val="center"/>
          </w:tcPr>
          <w:p w14:paraId="20C0BE92">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lang w:eastAsia="zh-CN"/>
                <w14:textFill>
                  <w14:solidFill>
                    <w14:schemeClr w14:val="tx1"/>
                  </w14:solidFill>
                </w14:textFill>
              </w:rPr>
              <w:t>较</w:t>
            </w:r>
            <w:r>
              <w:rPr>
                <w:rFonts w:hint="eastAsia" w:ascii="宋体" w:hAnsi="宋体" w:eastAsia="宋体" w:cs="宋体"/>
                <w:color w:val="000000" w:themeColor="text1"/>
                <w:spacing w:val="0"/>
                <w:position w:val="0"/>
                <w:sz w:val="21"/>
                <w:szCs w:val="21"/>
                <w14:textFill>
                  <w14:solidFill>
                    <w14:schemeClr w14:val="tx1"/>
                  </w14:solidFill>
                </w14:textFill>
              </w:rPr>
              <w:t>高</w:t>
            </w:r>
          </w:p>
        </w:tc>
        <w:tc>
          <w:tcPr>
            <w:tcW w:w="6199" w:type="dxa"/>
            <w:vAlign w:val="center"/>
          </w:tcPr>
          <w:p w14:paraId="59664749">
            <w:pPr>
              <w:pStyle w:val="34"/>
              <w:spacing w:before="45" w:line="261" w:lineRule="auto"/>
              <w:ind w:left="3" w:right="-15"/>
              <w:jc w:val="both"/>
              <w:rPr>
                <w:rFonts w:hint="eastAsia" w:ascii="宋体" w:hAnsi="宋体" w:eastAsia="宋体" w:cs="宋体"/>
                <w:color w:val="000000" w:themeColor="text1"/>
                <w:spacing w:val="0"/>
                <w:position w:val="0"/>
                <w:sz w:val="21"/>
                <w:szCs w:val="21"/>
                <w:lang w:val="zh-CN" w:eastAsia="zh-CN"/>
                <w14:textFill>
                  <w14:solidFill>
                    <w14:schemeClr w14:val="tx1"/>
                  </w14:solidFill>
                </w14:textFill>
              </w:rPr>
            </w:pPr>
            <w:r>
              <w:rPr>
                <w:rFonts w:hint="eastAsia" w:ascii="宋体" w:hAnsi="宋体" w:eastAsia="宋体" w:cs="宋体"/>
                <w:spacing w:val="0"/>
                <w:w w:val="99"/>
                <w:position w:val="0"/>
                <w:sz w:val="21"/>
                <w:szCs w:val="21"/>
              </w:rPr>
              <w:t>阿维菌素、倍硫磷、啶虫脒、毒死蜱、氟虫腈、甲氨基阿维菌素苯甲酸盐、甲胺磷、甲拌磷、甲基异柳磷、克百威、乐果、氯氟氰菊酯和高效氯氟氰菊酯、氯氰菊酯和高效氯</w:t>
            </w:r>
            <w:r>
              <w:rPr>
                <w:rFonts w:hint="eastAsia" w:ascii="宋体" w:hAnsi="宋体" w:eastAsia="宋体" w:cs="宋体"/>
                <w:spacing w:val="0"/>
                <w:w w:val="95"/>
                <w:position w:val="0"/>
                <w:sz w:val="21"/>
                <w:szCs w:val="21"/>
              </w:rPr>
              <w:t>氰菊酯、灭蝇胺、噻虫胺、噻虫嗪、三唑磷、水胺硫磷、氧乐果、乙酰甲胺磷</w:t>
            </w:r>
          </w:p>
        </w:tc>
        <w:tc>
          <w:tcPr>
            <w:tcW w:w="1367" w:type="dxa"/>
            <w:vAlign w:val="center"/>
          </w:tcPr>
          <w:p w14:paraId="3518623C">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25</w:t>
            </w:r>
          </w:p>
        </w:tc>
        <w:tc>
          <w:tcPr>
            <w:tcW w:w="1316" w:type="dxa"/>
            <w:vAlign w:val="center"/>
          </w:tcPr>
          <w:p w14:paraId="064974D3">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32E92BA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76" w:hRule="atLeast"/>
        </w:trPr>
        <w:tc>
          <w:tcPr>
            <w:tcW w:w="726" w:type="dxa"/>
            <w:vMerge w:val="continue"/>
            <w:vAlign w:val="center"/>
          </w:tcPr>
          <w:p w14:paraId="29372262">
            <w:pPr>
              <w:widowControl/>
              <w:spacing w:line="280" w:lineRule="exact"/>
              <w:jc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7C4FEEEF">
            <w:pPr>
              <w:widowControl/>
              <w:spacing w:line="280" w:lineRule="exact"/>
              <w:jc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01E3A2E7">
            <w:pPr>
              <w:widowControl/>
              <w:spacing w:line="280" w:lineRule="exact"/>
              <w:jc w:val="center"/>
              <w:textAlignment w:val="center"/>
              <w:rPr>
                <w:rFonts w:hint="eastAsia" w:ascii="宋体" w:hAnsi="宋体" w:eastAsia="宋体" w:cs="宋体"/>
                <w:color w:val="000000" w:themeColor="text1"/>
                <w:spacing w:val="0"/>
                <w:position w:val="0"/>
                <w:sz w:val="21"/>
                <w:szCs w:val="21"/>
                <w:lang w:eastAsia="zh-CN"/>
                <w14:textFill>
                  <w14:solidFill>
                    <w14:schemeClr w14:val="tx1"/>
                  </w14:solidFill>
                </w14:textFill>
              </w:rPr>
            </w:pPr>
            <w:r>
              <w:rPr>
                <w:rFonts w:hint="eastAsia" w:ascii="宋体" w:hAnsi="宋体" w:eastAsia="宋体" w:cs="宋体"/>
                <w:color w:val="000000" w:themeColor="text1"/>
                <w:spacing w:val="0"/>
                <w:position w:val="0"/>
                <w:sz w:val="21"/>
                <w:szCs w:val="21"/>
                <w:lang w:eastAsia="zh-CN"/>
                <w14:textFill>
                  <w14:solidFill>
                    <w14:schemeClr w14:val="tx1"/>
                  </w14:solidFill>
                </w14:textFill>
              </w:rPr>
              <w:t>豆类蔬菜（食荚豌豆）</w:t>
            </w:r>
          </w:p>
        </w:tc>
        <w:tc>
          <w:tcPr>
            <w:tcW w:w="892" w:type="dxa"/>
            <w:vAlign w:val="center"/>
          </w:tcPr>
          <w:p w14:paraId="049346EF">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lang w:eastAsia="zh-CN"/>
                <w14:textFill>
                  <w14:solidFill>
                    <w14:schemeClr w14:val="tx1"/>
                  </w14:solidFill>
                </w14:textFill>
              </w:rPr>
              <w:t>较</w:t>
            </w:r>
            <w:r>
              <w:rPr>
                <w:rFonts w:hint="eastAsia" w:ascii="宋体" w:hAnsi="宋体" w:eastAsia="宋体" w:cs="宋体"/>
                <w:color w:val="000000" w:themeColor="text1"/>
                <w:spacing w:val="0"/>
                <w:position w:val="0"/>
                <w:sz w:val="21"/>
                <w:szCs w:val="21"/>
                <w14:textFill>
                  <w14:solidFill>
                    <w14:schemeClr w14:val="tx1"/>
                  </w14:solidFill>
                </w14:textFill>
              </w:rPr>
              <w:t>高</w:t>
            </w:r>
          </w:p>
        </w:tc>
        <w:tc>
          <w:tcPr>
            <w:tcW w:w="6199" w:type="dxa"/>
            <w:vAlign w:val="center"/>
          </w:tcPr>
          <w:p w14:paraId="654F949B">
            <w:pPr>
              <w:widowControl/>
              <w:spacing w:line="380" w:lineRule="exact"/>
              <w:jc w:val="both"/>
              <w:textAlignment w:val="center"/>
              <w:rPr>
                <w:rFonts w:hint="eastAsia" w:ascii="宋体" w:hAnsi="宋体" w:eastAsia="宋体" w:cs="宋体"/>
                <w:color w:val="000000" w:themeColor="text1"/>
                <w:spacing w:val="0"/>
                <w:position w:val="0"/>
                <w:sz w:val="21"/>
                <w:szCs w:val="21"/>
                <w:lang w:val="zh-CN" w:eastAsia="zh-CN"/>
                <w14:textFill>
                  <w14:solidFill>
                    <w14:schemeClr w14:val="tx1"/>
                  </w14:solidFill>
                </w14:textFill>
              </w:rPr>
            </w:pPr>
            <w:r>
              <w:rPr>
                <w:rFonts w:hint="eastAsia" w:ascii="宋体" w:hAnsi="宋体" w:eastAsia="宋体" w:cs="宋体"/>
                <w:spacing w:val="0"/>
                <w:w w:val="99"/>
                <w:position w:val="0"/>
                <w:sz w:val="21"/>
                <w:szCs w:val="21"/>
              </w:rPr>
              <w:t>阿维菌素、吡唑醚菌酯、毒死蜱、多菌灵、甲氨基阿维菌素苯甲酸盐、灭蝇胺、噻虫胺、烯酰吗啉、氧乐果、乙酰甲胺磷</w:t>
            </w:r>
          </w:p>
        </w:tc>
        <w:tc>
          <w:tcPr>
            <w:tcW w:w="1367" w:type="dxa"/>
            <w:vAlign w:val="center"/>
          </w:tcPr>
          <w:p w14:paraId="355D42D0">
            <w:pPr>
              <w:widowControl/>
              <w:spacing w:line="280" w:lineRule="exact"/>
              <w:jc w:val="center"/>
              <w:textAlignment w:val="center"/>
              <w:rPr>
                <w:rFonts w:hint="eastAsia" w:ascii="宋体" w:hAnsi="宋体" w:eastAsia="宋体" w:cs="宋体"/>
                <w:color w:val="000000" w:themeColor="text1"/>
                <w:spacing w:val="0"/>
                <w:position w:val="0"/>
                <w:sz w:val="21"/>
                <w:szCs w:val="21"/>
                <w:lang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2</w:t>
            </w:r>
          </w:p>
        </w:tc>
        <w:tc>
          <w:tcPr>
            <w:tcW w:w="1316" w:type="dxa"/>
            <w:vAlign w:val="center"/>
          </w:tcPr>
          <w:p w14:paraId="0E09BB2E">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34F0AF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51" w:hRule="atLeast"/>
        </w:trPr>
        <w:tc>
          <w:tcPr>
            <w:tcW w:w="726" w:type="dxa"/>
            <w:vMerge w:val="continue"/>
            <w:vAlign w:val="center"/>
          </w:tcPr>
          <w:p w14:paraId="36B96923">
            <w:pPr>
              <w:widowControl/>
              <w:spacing w:line="280" w:lineRule="exact"/>
              <w:jc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0BCF49BE">
            <w:pPr>
              <w:widowControl/>
              <w:spacing w:line="280" w:lineRule="exact"/>
              <w:jc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0A614A48">
            <w:pPr>
              <w:widowControl/>
              <w:spacing w:line="280" w:lineRule="exact"/>
              <w:jc w:val="center"/>
              <w:textAlignment w:val="center"/>
              <w:rPr>
                <w:rFonts w:hint="eastAsia" w:ascii="宋体" w:hAnsi="宋体" w:eastAsia="宋体" w:cs="宋体"/>
                <w:color w:val="000000" w:themeColor="text1"/>
                <w:spacing w:val="0"/>
                <w:position w:val="0"/>
                <w:sz w:val="21"/>
                <w:szCs w:val="21"/>
                <w:lang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zh-TW" w:eastAsia="zh-CN"/>
                <w14:textFill>
                  <w14:solidFill>
                    <w14:schemeClr w14:val="tx1"/>
                  </w14:solidFill>
                </w14:textFill>
              </w:rPr>
              <w:t>豆芽</w:t>
            </w:r>
          </w:p>
        </w:tc>
        <w:tc>
          <w:tcPr>
            <w:tcW w:w="892" w:type="dxa"/>
            <w:vAlign w:val="center"/>
          </w:tcPr>
          <w:p w14:paraId="47F5BE43">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lang w:eastAsia="zh-CN"/>
                <w14:textFill>
                  <w14:solidFill>
                    <w14:schemeClr w14:val="tx1"/>
                  </w14:solidFill>
                </w14:textFill>
              </w:rPr>
              <w:t>较</w:t>
            </w:r>
            <w:r>
              <w:rPr>
                <w:rFonts w:hint="eastAsia" w:ascii="宋体" w:hAnsi="宋体" w:eastAsia="宋体" w:cs="宋体"/>
                <w:color w:val="000000" w:themeColor="text1"/>
                <w:spacing w:val="0"/>
                <w:position w:val="0"/>
                <w:sz w:val="21"/>
                <w:szCs w:val="21"/>
                <w14:textFill>
                  <w14:solidFill>
                    <w14:schemeClr w14:val="tx1"/>
                  </w14:solidFill>
                </w14:textFill>
              </w:rPr>
              <w:t>高</w:t>
            </w:r>
          </w:p>
        </w:tc>
        <w:tc>
          <w:tcPr>
            <w:tcW w:w="6199" w:type="dxa"/>
            <w:vAlign w:val="center"/>
          </w:tcPr>
          <w:p w14:paraId="556BA3DB">
            <w:pPr>
              <w:widowControl/>
              <w:spacing w:line="380" w:lineRule="exact"/>
              <w:jc w:val="both"/>
              <w:textAlignment w:val="center"/>
              <w:rPr>
                <w:rFonts w:hint="eastAsia" w:ascii="宋体" w:hAnsi="宋体" w:eastAsia="宋体" w:cs="宋体"/>
                <w:color w:val="000000" w:themeColor="text1"/>
                <w:spacing w:val="0"/>
                <w:position w:val="0"/>
                <w:sz w:val="21"/>
                <w:szCs w:val="21"/>
                <w:lang w:val="zh-TW" w:eastAsia="zh-TW"/>
                <w14:textFill>
                  <w14:solidFill>
                    <w14:schemeClr w14:val="tx1"/>
                  </w14:solidFill>
                </w14:textFill>
              </w:rPr>
            </w:pPr>
            <w:r>
              <w:rPr>
                <w:rFonts w:hint="eastAsia" w:ascii="宋体" w:hAnsi="宋体" w:eastAsia="宋体" w:cs="宋体"/>
                <w:spacing w:val="0"/>
                <w:position w:val="0"/>
                <w:sz w:val="21"/>
                <w:szCs w:val="21"/>
              </w:rPr>
              <w:t>铅（以Pb计）、4- 氯苯氧乙酸钠（以4- 氯苯氧乙酸计）、6- 苄基腺嘌呤（6- BA）、亚硫酸盐（以SO2计）、总汞（以Hg计）</w:t>
            </w:r>
          </w:p>
        </w:tc>
        <w:tc>
          <w:tcPr>
            <w:tcW w:w="1367" w:type="dxa"/>
            <w:vAlign w:val="center"/>
          </w:tcPr>
          <w:p w14:paraId="66C041EC">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30</w:t>
            </w:r>
          </w:p>
        </w:tc>
        <w:tc>
          <w:tcPr>
            <w:tcW w:w="1316" w:type="dxa"/>
            <w:vAlign w:val="center"/>
          </w:tcPr>
          <w:p w14:paraId="6DC9B4BE">
            <w:pPr>
              <w:pStyle w:val="50"/>
              <w:spacing w:before="163" w:line="239" w:lineRule="auto"/>
              <w:ind w:left="14" w:right="9" w:firstLine="3"/>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42CC5E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86" w:hRule="atLeast"/>
        </w:trPr>
        <w:tc>
          <w:tcPr>
            <w:tcW w:w="726" w:type="dxa"/>
            <w:vMerge w:val="continue"/>
            <w:vAlign w:val="center"/>
          </w:tcPr>
          <w:p w14:paraId="4394DF1B">
            <w:pPr>
              <w:widowControl/>
              <w:spacing w:line="280" w:lineRule="exact"/>
              <w:jc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17BA6035">
            <w:pPr>
              <w:widowControl/>
              <w:spacing w:line="280" w:lineRule="exact"/>
              <w:jc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17F61C40">
            <w:pPr>
              <w:widowControl/>
              <w:spacing w:line="280" w:lineRule="exact"/>
              <w:jc w:val="center"/>
              <w:textAlignment w:val="center"/>
              <w:rPr>
                <w:rFonts w:hint="eastAsia" w:ascii="宋体" w:hAnsi="宋体" w:eastAsia="宋体" w:cs="宋体"/>
                <w:color w:val="000000" w:themeColor="text1"/>
                <w:spacing w:val="0"/>
                <w:position w:val="0"/>
                <w:sz w:val="21"/>
                <w:szCs w:val="21"/>
                <w:lang w:val="zh-TW" w:eastAsia="zh-TW"/>
                <w14:textFill>
                  <w14:solidFill>
                    <w14:schemeClr w14:val="tx1"/>
                  </w14:solidFill>
                </w14:textFill>
              </w:rPr>
            </w:pPr>
            <w:r>
              <w:rPr>
                <w:rFonts w:hint="eastAsia" w:ascii="宋体" w:hAnsi="宋体" w:eastAsia="宋体" w:cs="宋体"/>
                <w:color w:val="000000" w:themeColor="text1"/>
                <w:spacing w:val="0"/>
                <w:position w:val="0"/>
                <w:sz w:val="21"/>
                <w:szCs w:val="21"/>
                <w:lang w:val="zh-TW" w:eastAsia="zh-TW"/>
                <w14:textFill>
                  <w14:solidFill>
                    <w14:schemeClr w14:val="tx1"/>
                  </w14:solidFill>
                </w14:textFill>
              </w:rPr>
              <w:t>根茎类和薯芋类</w:t>
            </w:r>
          </w:p>
          <w:p w14:paraId="18BE21A4">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lang w:val="zh-TW" w:eastAsia="zh-TW"/>
                <w14:textFill>
                  <w14:solidFill>
                    <w14:schemeClr w14:val="tx1"/>
                  </w14:solidFill>
                </w14:textFill>
              </w:rPr>
              <w:t>蔬菜</w:t>
            </w:r>
            <w:r>
              <w:rPr>
                <w:rFonts w:hint="eastAsia" w:ascii="宋体" w:hAnsi="宋体" w:eastAsia="宋体" w:cs="宋体"/>
                <w:color w:val="000000" w:themeColor="text1"/>
                <w:spacing w:val="0"/>
                <w:position w:val="0"/>
                <w:sz w:val="21"/>
                <w:szCs w:val="21"/>
                <w:lang w:val="zh-TW"/>
                <w14:textFill>
                  <w14:solidFill>
                    <w14:schemeClr w14:val="tx1"/>
                  </w14:solidFill>
                </w14:textFill>
              </w:rPr>
              <w:t>（姜）</w:t>
            </w:r>
          </w:p>
        </w:tc>
        <w:tc>
          <w:tcPr>
            <w:tcW w:w="892" w:type="dxa"/>
            <w:vAlign w:val="center"/>
          </w:tcPr>
          <w:p w14:paraId="00829F67">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lang w:eastAsia="zh-CN"/>
                <w14:textFill>
                  <w14:solidFill>
                    <w14:schemeClr w14:val="tx1"/>
                  </w14:solidFill>
                </w14:textFill>
              </w:rPr>
              <w:t>较</w:t>
            </w:r>
            <w:r>
              <w:rPr>
                <w:rFonts w:hint="eastAsia" w:ascii="宋体" w:hAnsi="宋体" w:eastAsia="宋体" w:cs="宋体"/>
                <w:color w:val="000000" w:themeColor="text1"/>
                <w:spacing w:val="0"/>
                <w:position w:val="0"/>
                <w:sz w:val="21"/>
                <w:szCs w:val="21"/>
                <w14:textFill>
                  <w14:solidFill>
                    <w14:schemeClr w14:val="tx1"/>
                  </w14:solidFill>
                </w14:textFill>
              </w:rPr>
              <w:t>高</w:t>
            </w:r>
          </w:p>
        </w:tc>
        <w:tc>
          <w:tcPr>
            <w:tcW w:w="6199" w:type="dxa"/>
            <w:vAlign w:val="center"/>
          </w:tcPr>
          <w:p w14:paraId="3285F1D0">
            <w:pPr>
              <w:pStyle w:val="34"/>
              <w:spacing w:before="44"/>
              <w:ind w:left="3" w:right="-15"/>
              <w:jc w:val="both"/>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spacing w:val="0"/>
                <w:w w:val="95"/>
                <w:position w:val="0"/>
                <w:sz w:val="21"/>
                <w:szCs w:val="21"/>
              </w:rPr>
              <w:t>铅（以Pb计）、镉（以Cd计）、吡虫啉、吡唑醚菌酯、敌敌畏、毒死蜱、甲胺磷、甲</w:t>
            </w:r>
            <w:r>
              <w:rPr>
                <w:rFonts w:hint="eastAsia" w:ascii="宋体" w:hAnsi="宋体" w:eastAsia="宋体" w:cs="宋体"/>
                <w:spacing w:val="0"/>
                <w:w w:val="99"/>
                <w:position w:val="0"/>
                <w:sz w:val="21"/>
                <w:szCs w:val="21"/>
              </w:rPr>
              <w:t>拌磷、克百威、六六六、氯氟氰菊酯和高效氯氟氰菊酯、氯氰菊酯和高效氯氰菊酯、氯唑磷、咪鲜胺和咪鲜胺锰盐、噻虫胺、噻虫嗪、二氧化硫残留量</w:t>
            </w:r>
          </w:p>
        </w:tc>
        <w:tc>
          <w:tcPr>
            <w:tcW w:w="1367" w:type="dxa"/>
            <w:vAlign w:val="center"/>
          </w:tcPr>
          <w:p w14:paraId="4DD4CD9F">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18</w:t>
            </w:r>
          </w:p>
        </w:tc>
        <w:tc>
          <w:tcPr>
            <w:tcW w:w="1316" w:type="dxa"/>
            <w:vAlign w:val="center"/>
          </w:tcPr>
          <w:p w14:paraId="7B2D9E42">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0700896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09" w:hRule="atLeast"/>
        </w:trPr>
        <w:tc>
          <w:tcPr>
            <w:tcW w:w="726" w:type="dxa"/>
            <w:vMerge w:val="continue"/>
            <w:vAlign w:val="center"/>
          </w:tcPr>
          <w:p w14:paraId="1218CD35">
            <w:pPr>
              <w:widowControl/>
              <w:spacing w:line="280" w:lineRule="exact"/>
              <w:jc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2D2BE6B6">
            <w:pPr>
              <w:widowControl/>
              <w:spacing w:line="280" w:lineRule="exact"/>
              <w:jc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3D58F7B3">
            <w:pPr>
              <w:widowControl/>
              <w:spacing w:line="280" w:lineRule="exact"/>
              <w:jc w:val="center"/>
              <w:textAlignment w:val="center"/>
              <w:rPr>
                <w:rFonts w:hint="eastAsia" w:ascii="宋体" w:hAnsi="宋体" w:eastAsia="宋体" w:cs="宋体"/>
                <w:color w:val="000000" w:themeColor="text1"/>
                <w:spacing w:val="0"/>
                <w:position w:val="0"/>
                <w:sz w:val="21"/>
                <w:szCs w:val="21"/>
                <w:lang w:val="zh-TW" w:eastAsia="zh-TW"/>
                <w14:textFill>
                  <w14:solidFill>
                    <w14:schemeClr w14:val="tx1"/>
                  </w14:solidFill>
                </w14:textFill>
              </w:rPr>
            </w:pPr>
            <w:r>
              <w:rPr>
                <w:rFonts w:hint="eastAsia" w:ascii="宋体" w:hAnsi="宋体" w:eastAsia="宋体" w:cs="宋体"/>
                <w:color w:val="000000" w:themeColor="text1"/>
                <w:spacing w:val="0"/>
                <w:position w:val="0"/>
                <w:sz w:val="21"/>
                <w:szCs w:val="21"/>
                <w:lang w:val="zh-TW" w:eastAsia="zh-TW"/>
                <w14:textFill>
                  <w14:solidFill>
                    <w14:schemeClr w14:val="tx1"/>
                  </w14:solidFill>
                </w14:textFill>
              </w:rPr>
              <w:t>根茎类和薯芋类</w:t>
            </w:r>
          </w:p>
          <w:p w14:paraId="5E38A270">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lang w:val="zh-TW" w:eastAsia="zh-TW"/>
                <w14:textFill>
                  <w14:solidFill>
                    <w14:schemeClr w14:val="tx1"/>
                  </w14:solidFill>
                </w14:textFill>
              </w:rPr>
              <w:t>蔬菜</w:t>
            </w:r>
            <w:r>
              <w:rPr>
                <w:rFonts w:hint="eastAsia" w:ascii="宋体" w:hAnsi="宋体" w:eastAsia="宋体" w:cs="宋体"/>
                <w:color w:val="000000" w:themeColor="text1"/>
                <w:spacing w:val="0"/>
                <w:position w:val="0"/>
                <w:sz w:val="21"/>
                <w:szCs w:val="21"/>
                <w:lang w:val="zh-TW"/>
                <w14:textFill>
                  <w14:solidFill>
                    <w14:schemeClr w14:val="tx1"/>
                  </w14:solidFill>
                </w14:textFill>
              </w:rPr>
              <w:t>（</w:t>
            </w:r>
            <w:r>
              <w:rPr>
                <w:rFonts w:hint="eastAsia" w:ascii="宋体" w:hAnsi="宋体" w:eastAsia="宋体" w:cs="宋体"/>
                <w:color w:val="000000" w:themeColor="text1"/>
                <w:spacing w:val="0"/>
                <w:position w:val="0"/>
                <w:sz w:val="21"/>
                <w:szCs w:val="21"/>
                <w:lang w:val="zh-TW" w:eastAsia="zh-CN"/>
                <w14:textFill>
                  <w14:solidFill>
                    <w14:schemeClr w14:val="tx1"/>
                  </w14:solidFill>
                </w14:textFill>
              </w:rPr>
              <w:t>山药</w:t>
            </w:r>
            <w:r>
              <w:rPr>
                <w:rFonts w:hint="eastAsia" w:ascii="宋体" w:hAnsi="宋体" w:eastAsia="宋体" w:cs="宋体"/>
                <w:color w:val="000000" w:themeColor="text1"/>
                <w:spacing w:val="0"/>
                <w:position w:val="0"/>
                <w:sz w:val="21"/>
                <w:szCs w:val="21"/>
                <w:lang w:val="zh-TW"/>
                <w14:textFill>
                  <w14:solidFill>
                    <w14:schemeClr w14:val="tx1"/>
                  </w14:solidFill>
                </w14:textFill>
              </w:rPr>
              <w:t>）</w:t>
            </w:r>
          </w:p>
        </w:tc>
        <w:tc>
          <w:tcPr>
            <w:tcW w:w="892" w:type="dxa"/>
            <w:vAlign w:val="center"/>
          </w:tcPr>
          <w:p w14:paraId="50382AB0">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较高</w:t>
            </w:r>
          </w:p>
        </w:tc>
        <w:tc>
          <w:tcPr>
            <w:tcW w:w="6199" w:type="dxa"/>
            <w:vAlign w:val="center"/>
          </w:tcPr>
          <w:p w14:paraId="2EBE7FB9">
            <w:pPr>
              <w:widowControl/>
              <w:spacing w:line="380" w:lineRule="exact"/>
              <w:jc w:val="both"/>
              <w:textAlignment w:val="center"/>
              <w:rPr>
                <w:rFonts w:hint="eastAsia" w:ascii="宋体" w:hAnsi="宋体" w:eastAsia="宋体" w:cs="宋体"/>
                <w:color w:val="000000" w:themeColor="text1"/>
                <w:spacing w:val="0"/>
                <w:position w:val="0"/>
                <w:sz w:val="21"/>
                <w:szCs w:val="21"/>
                <w:lang w:val="zh-CN" w:eastAsia="zh-CN"/>
                <w14:textFill>
                  <w14:solidFill>
                    <w14:schemeClr w14:val="tx1"/>
                  </w14:solidFill>
                </w14:textFill>
              </w:rPr>
            </w:pPr>
            <w:r>
              <w:rPr>
                <w:rFonts w:hint="eastAsia" w:ascii="宋体" w:hAnsi="宋体" w:eastAsia="宋体" w:cs="宋体"/>
                <w:spacing w:val="0"/>
                <w:position w:val="0"/>
                <w:sz w:val="21"/>
                <w:szCs w:val="21"/>
              </w:rPr>
              <w:t>铅</w:t>
            </w:r>
            <w:r>
              <w:rPr>
                <w:rFonts w:hint="eastAsia" w:ascii="宋体" w:hAnsi="宋体" w:eastAsia="宋体" w:cs="宋体"/>
                <w:spacing w:val="0"/>
                <w:w w:val="95"/>
                <w:position w:val="0"/>
                <w:sz w:val="21"/>
                <w:szCs w:val="21"/>
              </w:rPr>
              <w:t>（以Pb计）</w:t>
            </w:r>
            <w:r>
              <w:rPr>
                <w:rFonts w:hint="eastAsia" w:ascii="宋体" w:hAnsi="宋体" w:eastAsia="宋体" w:cs="宋体"/>
                <w:spacing w:val="0"/>
                <w:position w:val="0"/>
                <w:sz w:val="21"/>
                <w:szCs w:val="21"/>
              </w:rPr>
              <w:t>、毒死蜱、氯氟氰菊酯和高效氯氟氰菊酯、咪鲜胺和咪鲜胺锰盐、涕灭威</w:t>
            </w:r>
          </w:p>
        </w:tc>
        <w:tc>
          <w:tcPr>
            <w:tcW w:w="1367" w:type="dxa"/>
            <w:vAlign w:val="center"/>
          </w:tcPr>
          <w:p w14:paraId="16C9AB4E">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12</w:t>
            </w:r>
          </w:p>
        </w:tc>
        <w:tc>
          <w:tcPr>
            <w:tcW w:w="1316" w:type="dxa"/>
            <w:vAlign w:val="center"/>
          </w:tcPr>
          <w:p w14:paraId="46358788">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463043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09" w:hRule="atLeast"/>
        </w:trPr>
        <w:tc>
          <w:tcPr>
            <w:tcW w:w="726" w:type="dxa"/>
            <w:vMerge w:val="continue"/>
            <w:vAlign w:val="center"/>
          </w:tcPr>
          <w:p w14:paraId="0250496F">
            <w:pPr>
              <w:widowControl/>
              <w:spacing w:line="280" w:lineRule="exact"/>
              <w:jc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556F76E6">
            <w:pPr>
              <w:widowControl/>
              <w:spacing w:line="280" w:lineRule="exact"/>
              <w:jc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1C71D425">
            <w:pPr>
              <w:widowControl/>
              <w:spacing w:line="280" w:lineRule="exact"/>
              <w:jc w:val="center"/>
              <w:textAlignment w:val="center"/>
              <w:rPr>
                <w:rFonts w:hint="eastAsia" w:ascii="宋体" w:hAnsi="宋体" w:eastAsia="宋体" w:cs="宋体"/>
                <w:color w:val="000000" w:themeColor="text1"/>
                <w:spacing w:val="0"/>
                <w:position w:val="0"/>
                <w:sz w:val="21"/>
                <w:szCs w:val="21"/>
                <w:lang w:val="zh-TW" w:eastAsia="zh-TW"/>
                <w14:textFill>
                  <w14:solidFill>
                    <w14:schemeClr w14:val="tx1"/>
                  </w14:solidFill>
                </w14:textFill>
              </w:rPr>
            </w:pPr>
            <w:r>
              <w:rPr>
                <w:rFonts w:hint="eastAsia" w:ascii="宋体" w:hAnsi="宋体" w:eastAsia="宋体" w:cs="宋体"/>
                <w:color w:val="000000" w:themeColor="text1"/>
                <w:spacing w:val="0"/>
                <w:position w:val="0"/>
                <w:sz w:val="21"/>
                <w:szCs w:val="21"/>
                <w:lang w:val="zh-TW" w:eastAsia="zh-TW"/>
                <w14:textFill>
                  <w14:solidFill>
                    <w14:schemeClr w14:val="tx1"/>
                  </w14:solidFill>
                </w14:textFill>
              </w:rPr>
              <w:t>根茎类和薯芋类</w:t>
            </w:r>
          </w:p>
          <w:p w14:paraId="53F5EF95">
            <w:pPr>
              <w:widowControl/>
              <w:spacing w:line="280" w:lineRule="exact"/>
              <w:jc w:val="center"/>
              <w:textAlignment w:val="center"/>
              <w:rPr>
                <w:rFonts w:hint="eastAsia" w:ascii="宋体" w:hAnsi="宋体" w:eastAsia="宋体" w:cs="宋体"/>
                <w:color w:val="000000" w:themeColor="text1"/>
                <w:spacing w:val="0"/>
                <w:position w:val="0"/>
                <w:sz w:val="21"/>
                <w:szCs w:val="21"/>
                <w:lang w:val="zh-TW" w:eastAsia="zh-TW"/>
                <w14:textFill>
                  <w14:solidFill>
                    <w14:schemeClr w14:val="tx1"/>
                  </w14:solidFill>
                </w14:textFill>
              </w:rPr>
            </w:pPr>
            <w:r>
              <w:rPr>
                <w:rFonts w:hint="eastAsia" w:ascii="宋体" w:hAnsi="宋体" w:eastAsia="宋体" w:cs="宋体"/>
                <w:color w:val="000000" w:themeColor="text1"/>
                <w:spacing w:val="0"/>
                <w:position w:val="0"/>
                <w:sz w:val="21"/>
                <w:szCs w:val="21"/>
                <w:lang w:val="zh-TW" w:eastAsia="zh-TW"/>
                <w14:textFill>
                  <w14:solidFill>
                    <w14:schemeClr w14:val="tx1"/>
                  </w14:solidFill>
                </w14:textFill>
              </w:rPr>
              <w:t>蔬菜</w:t>
            </w:r>
            <w:r>
              <w:rPr>
                <w:rFonts w:hint="eastAsia" w:ascii="宋体" w:hAnsi="宋体" w:eastAsia="宋体" w:cs="宋体"/>
                <w:color w:val="000000" w:themeColor="text1"/>
                <w:spacing w:val="0"/>
                <w:position w:val="0"/>
                <w:sz w:val="21"/>
                <w:szCs w:val="21"/>
                <w:lang w:val="zh-TW"/>
                <w14:textFill>
                  <w14:solidFill>
                    <w14:schemeClr w14:val="tx1"/>
                  </w14:solidFill>
                </w14:textFill>
              </w:rPr>
              <w:t>（</w:t>
            </w:r>
            <w:r>
              <w:rPr>
                <w:rFonts w:hint="eastAsia" w:ascii="宋体" w:hAnsi="宋体" w:eastAsia="宋体" w:cs="宋体"/>
                <w:color w:val="000000" w:themeColor="text1"/>
                <w:spacing w:val="0"/>
                <w:position w:val="0"/>
                <w:sz w:val="21"/>
                <w:szCs w:val="21"/>
                <w:lang w:val="zh-TW" w:eastAsia="zh-CN"/>
                <w14:textFill>
                  <w14:solidFill>
                    <w14:schemeClr w14:val="tx1"/>
                  </w14:solidFill>
                </w14:textFill>
              </w:rPr>
              <w:t>芋</w:t>
            </w:r>
            <w:r>
              <w:rPr>
                <w:rFonts w:hint="eastAsia" w:ascii="宋体" w:hAnsi="宋体" w:eastAsia="宋体" w:cs="宋体"/>
                <w:color w:val="000000" w:themeColor="text1"/>
                <w:spacing w:val="0"/>
                <w:position w:val="0"/>
                <w:sz w:val="21"/>
                <w:szCs w:val="21"/>
                <w:lang w:val="zh-TW"/>
                <w14:textFill>
                  <w14:solidFill>
                    <w14:schemeClr w14:val="tx1"/>
                  </w14:solidFill>
                </w14:textFill>
              </w:rPr>
              <w:t>）</w:t>
            </w:r>
          </w:p>
        </w:tc>
        <w:tc>
          <w:tcPr>
            <w:tcW w:w="892" w:type="dxa"/>
            <w:vAlign w:val="center"/>
          </w:tcPr>
          <w:p w14:paraId="176F92F7">
            <w:pPr>
              <w:widowControl/>
              <w:spacing w:line="280" w:lineRule="exact"/>
              <w:jc w:val="center"/>
              <w:textAlignment w:val="center"/>
              <w:rPr>
                <w:rFonts w:hint="eastAsia" w:ascii="宋体" w:hAnsi="宋体" w:eastAsia="宋体" w:cs="宋体"/>
                <w:color w:val="000000" w:themeColor="text1"/>
                <w:spacing w:val="0"/>
                <w:position w:val="0"/>
                <w:sz w:val="21"/>
                <w:szCs w:val="21"/>
                <w:lang w:eastAsia="zh-CN"/>
                <w14:textFill>
                  <w14:solidFill>
                    <w14:schemeClr w14:val="tx1"/>
                  </w14:solidFill>
                </w14:textFill>
              </w:rPr>
            </w:pPr>
            <w:r>
              <w:rPr>
                <w:rFonts w:hint="eastAsia" w:ascii="宋体" w:hAnsi="宋体" w:eastAsia="宋体" w:cs="宋体"/>
                <w:color w:val="000000" w:themeColor="text1"/>
                <w:spacing w:val="0"/>
                <w:position w:val="0"/>
                <w:sz w:val="21"/>
                <w:szCs w:val="21"/>
                <w:lang w:eastAsia="zh-CN"/>
                <w14:textFill>
                  <w14:solidFill>
                    <w14:schemeClr w14:val="tx1"/>
                  </w14:solidFill>
                </w14:textFill>
              </w:rPr>
              <w:t>较高</w:t>
            </w:r>
          </w:p>
        </w:tc>
        <w:tc>
          <w:tcPr>
            <w:tcW w:w="6199" w:type="dxa"/>
            <w:vAlign w:val="center"/>
          </w:tcPr>
          <w:p w14:paraId="6E7A9903">
            <w:pPr>
              <w:widowControl/>
              <w:spacing w:line="380" w:lineRule="exact"/>
              <w:jc w:val="both"/>
              <w:textAlignment w:val="center"/>
              <w:rPr>
                <w:rFonts w:hint="eastAsia" w:ascii="宋体" w:hAnsi="宋体" w:eastAsia="宋体" w:cs="宋体"/>
                <w:color w:val="000000" w:themeColor="text1"/>
                <w:spacing w:val="0"/>
                <w:position w:val="0"/>
                <w:sz w:val="21"/>
                <w:szCs w:val="21"/>
                <w:lang w:val="zh-TW" w:eastAsia="zh-CN"/>
                <w14:textFill>
                  <w14:solidFill>
                    <w14:schemeClr w14:val="tx1"/>
                  </w14:solidFill>
                </w14:textFill>
              </w:rPr>
            </w:pPr>
            <w:r>
              <w:rPr>
                <w:rFonts w:hint="eastAsia" w:ascii="宋体" w:hAnsi="宋体" w:eastAsia="宋体" w:cs="宋体"/>
                <w:spacing w:val="0"/>
                <w:position w:val="0"/>
                <w:sz w:val="21"/>
                <w:szCs w:val="21"/>
              </w:rPr>
              <w:t>铅</w:t>
            </w:r>
            <w:r>
              <w:rPr>
                <w:rFonts w:hint="eastAsia" w:ascii="宋体" w:hAnsi="宋体" w:eastAsia="宋体" w:cs="宋体"/>
                <w:spacing w:val="0"/>
                <w:w w:val="95"/>
                <w:position w:val="0"/>
                <w:sz w:val="21"/>
                <w:szCs w:val="21"/>
              </w:rPr>
              <w:t>（以Pb计）</w:t>
            </w:r>
            <w:r>
              <w:rPr>
                <w:rFonts w:hint="eastAsia" w:ascii="宋体" w:hAnsi="宋体" w:eastAsia="宋体" w:cs="宋体"/>
                <w:spacing w:val="0"/>
                <w:position w:val="0"/>
                <w:sz w:val="21"/>
                <w:szCs w:val="21"/>
              </w:rPr>
              <w:t>、</w:t>
            </w:r>
            <w:r>
              <w:rPr>
                <w:rFonts w:hint="eastAsia" w:ascii="宋体" w:hAnsi="宋体" w:eastAsia="宋体" w:cs="宋体"/>
                <w:color w:val="000000" w:themeColor="text1"/>
                <w:spacing w:val="0"/>
                <w:position w:val="0"/>
                <w:sz w:val="21"/>
                <w:szCs w:val="21"/>
                <w:lang w:val="zh-TW" w:eastAsia="zh-TW"/>
                <w14:textFill>
                  <w14:solidFill>
                    <w14:schemeClr w14:val="tx1"/>
                  </w14:solidFill>
                </w14:textFill>
              </w:rPr>
              <w:t>镉（以</w:t>
            </w:r>
            <w:r>
              <w:rPr>
                <w:rFonts w:hint="eastAsia" w:ascii="宋体" w:hAnsi="宋体" w:eastAsia="宋体" w:cs="宋体"/>
                <w:color w:val="000000" w:themeColor="text1"/>
                <w:spacing w:val="0"/>
                <w:position w:val="0"/>
                <w:sz w:val="21"/>
                <w:szCs w:val="21"/>
                <w:lang w:val="zh-TW" w:eastAsia="zh-CN"/>
                <w14:textFill>
                  <w14:solidFill>
                    <w14:schemeClr w14:val="tx1"/>
                  </w14:solidFill>
                </w14:textFill>
              </w:rPr>
              <w:t>Cd</w:t>
            </w:r>
            <w:r>
              <w:rPr>
                <w:rFonts w:hint="eastAsia" w:ascii="宋体" w:hAnsi="宋体" w:eastAsia="宋体" w:cs="宋体"/>
                <w:color w:val="000000" w:themeColor="text1"/>
                <w:spacing w:val="0"/>
                <w:position w:val="0"/>
                <w:sz w:val="21"/>
                <w:szCs w:val="21"/>
                <w:lang w:val="zh-TW" w:eastAsia="zh-TW"/>
                <w14:textFill>
                  <w14:solidFill>
                    <w14:schemeClr w14:val="tx1"/>
                  </w14:solidFill>
                </w14:textFill>
              </w:rPr>
              <w:t>计）</w:t>
            </w:r>
            <w:r>
              <w:rPr>
                <w:rFonts w:hint="eastAsia" w:ascii="宋体" w:hAnsi="宋体" w:eastAsia="宋体" w:cs="宋体"/>
                <w:color w:val="000000" w:themeColor="text1"/>
                <w:spacing w:val="0"/>
                <w:position w:val="0"/>
                <w:sz w:val="21"/>
                <w:szCs w:val="21"/>
                <w:lang w:val="zh-TW" w:eastAsia="zh-CN"/>
                <w14:textFill>
                  <w14:solidFill>
                    <w14:schemeClr w14:val="tx1"/>
                  </w14:solidFill>
                </w14:textFill>
              </w:rPr>
              <w:t>、</w:t>
            </w:r>
            <w:r>
              <w:rPr>
                <w:rFonts w:hint="eastAsia" w:ascii="宋体" w:hAnsi="宋体" w:eastAsia="宋体" w:cs="宋体"/>
                <w:spacing w:val="0"/>
                <w:position w:val="0"/>
                <w:sz w:val="21"/>
                <w:szCs w:val="21"/>
              </w:rPr>
              <w:t>氯氟氰菊酯和高效氯氟氰菊酯</w:t>
            </w:r>
          </w:p>
        </w:tc>
        <w:tc>
          <w:tcPr>
            <w:tcW w:w="1367" w:type="dxa"/>
            <w:vAlign w:val="center"/>
          </w:tcPr>
          <w:p w14:paraId="3DB95B1C">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3</w:t>
            </w:r>
          </w:p>
        </w:tc>
        <w:tc>
          <w:tcPr>
            <w:tcW w:w="1316" w:type="dxa"/>
            <w:vAlign w:val="center"/>
          </w:tcPr>
          <w:p w14:paraId="77397CD4">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2E86E3F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09" w:hRule="atLeast"/>
        </w:trPr>
        <w:tc>
          <w:tcPr>
            <w:tcW w:w="726" w:type="dxa"/>
            <w:vMerge w:val="continue"/>
            <w:vAlign w:val="center"/>
          </w:tcPr>
          <w:p w14:paraId="4535FFE2">
            <w:pPr>
              <w:widowControl/>
              <w:spacing w:line="280" w:lineRule="exact"/>
              <w:jc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14F669B2">
            <w:pPr>
              <w:widowControl/>
              <w:spacing w:line="280" w:lineRule="exact"/>
              <w:jc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66C3C6C3">
            <w:pPr>
              <w:widowControl/>
              <w:spacing w:line="280" w:lineRule="exact"/>
              <w:jc w:val="center"/>
              <w:textAlignment w:val="center"/>
              <w:rPr>
                <w:rFonts w:hint="eastAsia" w:ascii="宋体" w:hAnsi="宋体" w:eastAsia="宋体" w:cs="宋体"/>
                <w:color w:val="000000" w:themeColor="text1"/>
                <w:spacing w:val="0"/>
                <w:position w:val="0"/>
                <w:sz w:val="21"/>
                <w:szCs w:val="21"/>
                <w:lang w:val="zh-TW" w:eastAsia="zh-TW"/>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 xml:space="preserve">鳞茎类蔬菜（ </w:t>
            </w:r>
            <w:r>
              <w:rPr>
                <w:rFonts w:hint="eastAsia" w:ascii="宋体" w:hAnsi="宋体" w:eastAsia="宋体" w:cs="宋体"/>
                <w:color w:val="000000" w:themeColor="text1"/>
                <w:spacing w:val="0"/>
                <w:position w:val="0"/>
                <w:sz w:val="21"/>
                <w:szCs w:val="21"/>
                <w:lang w:eastAsia="zh-CN"/>
                <w14:textFill>
                  <w14:solidFill>
                    <w14:schemeClr w14:val="tx1"/>
                  </w14:solidFill>
                </w14:textFill>
              </w:rPr>
              <w:t>葱</w:t>
            </w:r>
            <w:r>
              <w:rPr>
                <w:rFonts w:hint="eastAsia" w:ascii="宋体" w:hAnsi="宋体" w:eastAsia="宋体" w:cs="宋体"/>
                <w:color w:val="000000" w:themeColor="text1"/>
                <w:spacing w:val="0"/>
                <w:position w:val="0"/>
                <w:sz w:val="21"/>
                <w:szCs w:val="21"/>
                <w14:textFill>
                  <w14:solidFill>
                    <w14:schemeClr w14:val="tx1"/>
                  </w14:solidFill>
                </w14:textFill>
              </w:rPr>
              <w:t>）</w:t>
            </w:r>
          </w:p>
        </w:tc>
        <w:tc>
          <w:tcPr>
            <w:tcW w:w="892" w:type="dxa"/>
            <w:vAlign w:val="center"/>
          </w:tcPr>
          <w:p w14:paraId="1475B87C">
            <w:pPr>
              <w:widowControl/>
              <w:spacing w:line="280" w:lineRule="exact"/>
              <w:jc w:val="center"/>
              <w:textAlignment w:val="center"/>
              <w:rPr>
                <w:rFonts w:hint="eastAsia" w:ascii="宋体" w:hAnsi="宋体" w:eastAsia="宋体" w:cs="宋体"/>
                <w:color w:val="000000" w:themeColor="text1"/>
                <w:spacing w:val="0"/>
                <w:position w:val="0"/>
                <w:sz w:val="21"/>
                <w:szCs w:val="21"/>
                <w:lang w:eastAsia="zh-CN"/>
                <w14:textFill>
                  <w14:solidFill>
                    <w14:schemeClr w14:val="tx1"/>
                  </w14:solidFill>
                </w14:textFill>
              </w:rPr>
            </w:pPr>
            <w:r>
              <w:rPr>
                <w:rFonts w:hint="eastAsia" w:ascii="宋体" w:hAnsi="宋体" w:eastAsia="宋体" w:cs="宋体"/>
                <w:color w:val="000000" w:themeColor="text1"/>
                <w:spacing w:val="0"/>
                <w:position w:val="0"/>
                <w:sz w:val="21"/>
                <w:szCs w:val="21"/>
                <w:lang w:eastAsia="zh-CN"/>
                <w14:textFill>
                  <w14:solidFill>
                    <w14:schemeClr w14:val="tx1"/>
                  </w14:solidFill>
                </w14:textFill>
              </w:rPr>
              <w:t>较高</w:t>
            </w:r>
          </w:p>
        </w:tc>
        <w:tc>
          <w:tcPr>
            <w:tcW w:w="6199" w:type="dxa"/>
            <w:vAlign w:val="center"/>
          </w:tcPr>
          <w:p w14:paraId="344E0BA9">
            <w:pPr>
              <w:pStyle w:val="34"/>
              <w:spacing w:before="44"/>
              <w:ind w:left="3" w:right="-15"/>
              <w:jc w:val="both"/>
              <w:rPr>
                <w:rFonts w:hint="eastAsia" w:ascii="宋体" w:hAnsi="宋体" w:eastAsia="宋体" w:cs="宋体"/>
                <w:color w:val="000000" w:themeColor="text1"/>
                <w:spacing w:val="0"/>
                <w:position w:val="0"/>
                <w:sz w:val="21"/>
                <w:szCs w:val="21"/>
                <w:lang w:val="zh-TW" w:eastAsia="zh-CN"/>
                <w14:textFill>
                  <w14:solidFill>
                    <w14:schemeClr w14:val="tx1"/>
                  </w14:solidFill>
                </w14:textFill>
              </w:rPr>
            </w:pPr>
            <w:r>
              <w:rPr>
                <w:rFonts w:hint="eastAsia" w:ascii="宋体" w:hAnsi="宋体" w:eastAsia="宋体" w:cs="宋体"/>
                <w:spacing w:val="0"/>
                <w:w w:val="95"/>
                <w:position w:val="0"/>
                <w:sz w:val="21"/>
                <w:szCs w:val="21"/>
              </w:rPr>
              <w:t>铅（以Pb计）、镉（以Cd计）、丙环唑、毒死蜱、甲拌磷、甲基异柳磷、克百威、氯</w:t>
            </w:r>
            <w:r>
              <w:rPr>
                <w:rFonts w:hint="eastAsia" w:ascii="宋体" w:hAnsi="宋体" w:eastAsia="宋体" w:cs="宋体"/>
                <w:spacing w:val="0"/>
                <w:w w:val="99"/>
                <w:position w:val="0"/>
                <w:sz w:val="21"/>
                <w:szCs w:val="21"/>
              </w:rPr>
              <w:t>氟氰菊酯和高效氯氟氰菊酯、噻虫嗪、三唑磷、水胺硫磷、戊唑醇、氧乐果、乙酰甲胺磷</w:t>
            </w:r>
          </w:p>
        </w:tc>
        <w:tc>
          <w:tcPr>
            <w:tcW w:w="1367" w:type="dxa"/>
            <w:vAlign w:val="center"/>
          </w:tcPr>
          <w:p w14:paraId="58602E8D">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18</w:t>
            </w:r>
          </w:p>
        </w:tc>
        <w:tc>
          <w:tcPr>
            <w:tcW w:w="1316" w:type="dxa"/>
            <w:vAlign w:val="center"/>
          </w:tcPr>
          <w:p w14:paraId="1E77AA02">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506459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09" w:hRule="atLeast"/>
        </w:trPr>
        <w:tc>
          <w:tcPr>
            <w:tcW w:w="726" w:type="dxa"/>
            <w:vMerge w:val="continue"/>
            <w:vAlign w:val="center"/>
          </w:tcPr>
          <w:p w14:paraId="1F75C5A5">
            <w:pPr>
              <w:widowControl/>
              <w:spacing w:line="280" w:lineRule="exact"/>
              <w:jc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63E2EAAB">
            <w:pPr>
              <w:widowControl/>
              <w:spacing w:line="280" w:lineRule="exact"/>
              <w:jc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37158857">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鳞茎类蔬菜（ 韭菜）</w:t>
            </w:r>
          </w:p>
        </w:tc>
        <w:tc>
          <w:tcPr>
            <w:tcW w:w="892" w:type="dxa"/>
            <w:vAlign w:val="center"/>
          </w:tcPr>
          <w:p w14:paraId="6FA42F5C">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较高</w:t>
            </w:r>
          </w:p>
        </w:tc>
        <w:tc>
          <w:tcPr>
            <w:tcW w:w="6199" w:type="dxa"/>
            <w:vAlign w:val="center"/>
          </w:tcPr>
          <w:p w14:paraId="119EF8EF">
            <w:pPr>
              <w:pStyle w:val="34"/>
              <w:spacing w:before="26" w:line="261" w:lineRule="auto"/>
              <w:ind w:left="3" w:right="-15"/>
              <w:jc w:val="both"/>
              <w:rPr>
                <w:rFonts w:hint="eastAsia" w:ascii="宋体" w:hAnsi="宋体" w:eastAsia="宋体" w:cs="宋体"/>
                <w:color w:val="000000" w:themeColor="text1"/>
                <w:spacing w:val="0"/>
                <w:position w:val="0"/>
                <w:sz w:val="21"/>
                <w:szCs w:val="21"/>
                <w:lang w:val="zh-TW" w:eastAsia="zh-CN"/>
                <w14:textFill>
                  <w14:solidFill>
                    <w14:schemeClr w14:val="tx1"/>
                  </w14:solidFill>
                </w14:textFill>
              </w:rPr>
            </w:pPr>
            <w:r>
              <w:rPr>
                <w:rFonts w:hint="eastAsia" w:ascii="宋体" w:hAnsi="宋体" w:eastAsia="宋体" w:cs="宋体"/>
                <w:spacing w:val="0"/>
                <w:w w:val="99"/>
                <w:position w:val="0"/>
                <w:sz w:val="21"/>
                <w:szCs w:val="21"/>
              </w:rPr>
              <w:t>铅</w:t>
            </w:r>
            <w:r>
              <w:rPr>
                <w:rFonts w:hint="eastAsia" w:ascii="宋体" w:hAnsi="宋体" w:eastAsia="宋体" w:cs="宋体"/>
                <w:spacing w:val="0"/>
                <w:w w:val="95"/>
                <w:position w:val="0"/>
                <w:sz w:val="21"/>
                <w:szCs w:val="21"/>
              </w:rPr>
              <w:t>（以Pb计）</w:t>
            </w:r>
            <w:r>
              <w:rPr>
                <w:rFonts w:hint="eastAsia" w:ascii="宋体" w:hAnsi="宋体" w:eastAsia="宋体" w:cs="宋体"/>
                <w:spacing w:val="0"/>
                <w:w w:val="99"/>
                <w:position w:val="0"/>
                <w:sz w:val="21"/>
                <w:szCs w:val="21"/>
              </w:rPr>
              <w:t>、镉（以</w:t>
            </w:r>
            <w:r>
              <w:rPr>
                <w:rFonts w:hint="eastAsia" w:ascii="宋体" w:hAnsi="宋体" w:eastAsia="宋体" w:cs="宋体"/>
                <w:spacing w:val="0"/>
                <w:w w:val="100"/>
                <w:position w:val="0"/>
                <w:sz w:val="21"/>
                <w:szCs w:val="21"/>
              </w:rPr>
              <w:t>C</w:t>
            </w:r>
            <w:r>
              <w:rPr>
                <w:rFonts w:hint="eastAsia" w:ascii="宋体" w:hAnsi="宋体" w:eastAsia="宋体" w:cs="宋体"/>
                <w:spacing w:val="0"/>
                <w:w w:val="105"/>
                <w:position w:val="0"/>
                <w:sz w:val="21"/>
                <w:szCs w:val="21"/>
              </w:rPr>
              <w:t>d</w:t>
            </w:r>
            <w:r>
              <w:rPr>
                <w:rFonts w:hint="eastAsia" w:ascii="宋体" w:hAnsi="宋体" w:eastAsia="宋体" w:cs="宋体"/>
                <w:spacing w:val="0"/>
                <w:w w:val="99"/>
                <w:position w:val="0"/>
                <w:sz w:val="21"/>
                <w:szCs w:val="21"/>
              </w:rPr>
              <w:t>计）、阿维菌素、敌敌畏、毒死蜱、多菌灵、二甲戊灵、氟虫腈、腐霉利、甲胺磷、甲拌磷、克百威、乐果、六六六、氯氟氰菊酯和高效氯氟氰菊酯、三氯杀螨醇、三唑磷、水胺硫磷、辛硫磷、氧乐果、乙</w:t>
            </w:r>
            <w:r>
              <w:rPr>
                <w:rFonts w:hint="eastAsia" w:ascii="宋体" w:hAnsi="宋体" w:eastAsia="宋体" w:cs="宋体"/>
                <w:spacing w:val="0"/>
                <w:w w:val="95"/>
                <w:position w:val="0"/>
                <w:sz w:val="21"/>
                <w:szCs w:val="21"/>
              </w:rPr>
              <w:t>酰甲胺磷</w:t>
            </w:r>
          </w:p>
        </w:tc>
        <w:tc>
          <w:tcPr>
            <w:tcW w:w="1367" w:type="dxa"/>
            <w:vAlign w:val="center"/>
          </w:tcPr>
          <w:p w14:paraId="243EDB6B">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23</w:t>
            </w:r>
          </w:p>
        </w:tc>
        <w:tc>
          <w:tcPr>
            <w:tcW w:w="1316" w:type="dxa"/>
            <w:vAlign w:val="center"/>
          </w:tcPr>
          <w:p w14:paraId="0CFCA9BD">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1A03FA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09" w:hRule="atLeast"/>
        </w:trPr>
        <w:tc>
          <w:tcPr>
            <w:tcW w:w="726" w:type="dxa"/>
            <w:vMerge w:val="continue"/>
            <w:vAlign w:val="center"/>
          </w:tcPr>
          <w:p w14:paraId="25A93DE6">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2CD1981F">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2CEC4ECA">
            <w:pPr>
              <w:widowControl/>
              <w:spacing w:line="280" w:lineRule="exact"/>
              <w:jc w:val="center"/>
              <w:textAlignment w:val="center"/>
              <w:rPr>
                <w:rFonts w:hint="eastAsia" w:ascii="宋体" w:hAnsi="宋体" w:eastAsia="宋体" w:cs="宋体"/>
                <w:color w:val="000000" w:themeColor="text1"/>
                <w:spacing w:val="0"/>
                <w:position w:val="0"/>
                <w:sz w:val="21"/>
                <w:szCs w:val="21"/>
                <w:lang w:val="zh-TW" w:eastAsia="zh-TW"/>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茄果类蔬菜（辣椒）</w:t>
            </w:r>
          </w:p>
        </w:tc>
        <w:tc>
          <w:tcPr>
            <w:tcW w:w="892" w:type="dxa"/>
            <w:vAlign w:val="center"/>
          </w:tcPr>
          <w:p w14:paraId="0BDF58FF">
            <w:pPr>
              <w:widowControl/>
              <w:spacing w:line="280" w:lineRule="exact"/>
              <w:jc w:val="center"/>
              <w:textAlignment w:val="center"/>
              <w:rPr>
                <w:rFonts w:hint="eastAsia" w:ascii="宋体" w:hAnsi="宋体" w:eastAsia="宋体" w:cs="宋体"/>
                <w:color w:val="000000" w:themeColor="text1"/>
                <w:spacing w:val="0"/>
                <w:position w:val="0"/>
                <w:sz w:val="21"/>
                <w:szCs w:val="21"/>
                <w:lang w:eastAsia="zh-CN"/>
                <w14:textFill>
                  <w14:solidFill>
                    <w14:schemeClr w14:val="tx1"/>
                  </w14:solidFill>
                </w14:textFill>
              </w:rPr>
            </w:pPr>
            <w:r>
              <w:rPr>
                <w:rFonts w:hint="eastAsia" w:ascii="宋体" w:hAnsi="宋体" w:eastAsia="宋体" w:cs="宋体"/>
                <w:color w:val="000000" w:themeColor="text1"/>
                <w:spacing w:val="0"/>
                <w:position w:val="0"/>
                <w:sz w:val="21"/>
                <w:szCs w:val="21"/>
                <w:lang w:eastAsia="zh-CN"/>
                <w14:textFill>
                  <w14:solidFill>
                    <w14:schemeClr w14:val="tx1"/>
                  </w14:solidFill>
                </w14:textFill>
              </w:rPr>
              <w:t>较高</w:t>
            </w:r>
          </w:p>
        </w:tc>
        <w:tc>
          <w:tcPr>
            <w:tcW w:w="6199" w:type="dxa"/>
            <w:vAlign w:val="center"/>
          </w:tcPr>
          <w:p w14:paraId="3812C441">
            <w:pPr>
              <w:widowControl/>
              <w:spacing w:line="380" w:lineRule="exact"/>
              <w:jc w:val="both"/>
              <w:textAlignment w:val="center"/>
              <w:rPr>
                <w:rFonts w:hint="eastAsia" w:ascii="宋体" w:hAnsi="宋体" w:eastAsia="宋体" w:cs="宋体"/>
                <w:color w:val="000000" w:themeColor="text1"/>
                <w:spacing w:val="0"/>
                <w:position w:val="0"/>
                <w:sz w:val="21"/>
                <w:szCs w:val="21"/>
                <w:lang w:val="zh-TW" w:eastAsia="zh-TW"/>
                <w14:textFill>
                  <w14:solidFill>
                    <w14:schemeClr w14:val="tx1"/>
                  </w14:solidFill>
                </w14:textFill>
              </w:rPr>
            </w:pPr>
            <w:r>
              <w:rPr>
                <w:rFonts w:hint="eastAsia" w:ascii="宋体" w:hAnsi="宋体" w:eastAsia="宋体" w:cs="宋体"/>
                <w:spacing w:val="0"/>
                <w:position w:val="0"/>
                <w:sz w:val="21"/>
                <w:szCs w:val="21"/>
              </w:rPr>
              <w:t>毒死蜱、镉（以Cd计）、噻虫胺、倍硫磷、啶虫脒</w:t>
            </w:r>
            <w:r>
              <w:rPr>
                <w:rFonts w:hint="eastAsia" w:ascii="宋体" w:hAnsi="宋体" w:eastAsia="宋体" w:cs="宋体"/>
                <w:spacing w:val="0"/>
                <w:position w:val="0"/>
                <w:sz w:val="21"/>
                <w:szCs w:val="21"/>
                <w:lang w:eastAsia="zh-CN"/>
              </w:rPr>
              <w:t>、</w:t>
            </w:r>
            <w:r>
              <w:rPr>
                <w:rFonts w:hint="eastAsia" w:ascii="宋体" w:hAnsi="宋体" w:eastAsia="宋体" w:cs="宋体"/>
                <w:spacing w:val="0"/>
                <w:position w:val="0"/>
                <w:sz w:val="21"/>
                <w:szCs w:val="21"/>
              </w:rPr>
              <w:t>氯氟氰菊酯和高效氯氟氰菊酯、氧乐果、克百威</w:t>
            </w:r>
          </w:p>
        </w:tc>
        <w:tc>
          <w:tcPr>
            <w:tcW w:w="1367" w:type="dxa"/>
            <w:vAlign w:val="center"/>
          </w:tcPr>
          <w:p w14:paraId="0B40F26E">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25</w:t>
            </w:r>
          </w:p>
        </w:tc>
        <w:tc>
          <w:tcPr>
            <w:tcW w:w="1316" w:type="dxa"/>
            <w:vAlign w:val="center"/>
          </w:tcPr>
          <w:p w14:paraId="6D466B2F">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692A32D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09" w:hRule="atLeast"/>
        </w:trPr>
        <w:tc>
          <w:tcPr>
            <w:tcW w:w="726" w:type="dxa"/>
            <w:vMerge w:val="continue"/>
            <w:vAlign w:val="center"/>
          </w:tcPr>
          <w:p w14:paraId="2957254B">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0E19BB2D">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5D7677C9">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茄果类蔬菜（</w:t>
            </w:r>
            <w:r>
              <w:rPr>
                <w:rFonts w:hint="eastAsia" w:ascii="宋体" w:hAnsi="宋体" w:eastAsia="宋体" w:cs="宋体"/>
                <w:color w:val="000000" w:themeColor="text1"/>
                <w:spacing w:val="0"/>
                <w:position w:val="0"/>
                <w:sz w:val="21"/>
                <w:szCs w:val="21"/>
                <w:lang w:eastAsia="zh-CN"/>
                <w14:textFill>
                  <w14:solidFill>
                    <w14:schemeClr w14:val="tx1"/>
                  </w14:solidFill>
                </w14:textFill>
              </w:rPr>
              <w:t>甜椒</w:t>
            </w:r>
            <w:r>
              <w:rPr>
                <w:rFonts w:hint="eastAsia" w:ascii="宋体" w:hAnsi="宋体" w:eastAsia="宋体" w:cs="宋体"/>
                <w:color w:val="000000" w:themeColor="text1"/>
                <w:spacing w:val="0"/>
                <w:position w:val="0"/>
                <w:sz w:val="21"/>
                <w:szCs w:val="21"/>
                <w14:textFill>
                  <w14:solidFill>
                    <w14:schemeClr w14:val="tx1"/>
                  </w14:solidFill>
                </w14:textFill>
              </w:rPr>
              <w:t>）</w:t>
            </w:r>
          </w:p>
        </w:tc>
        <w:tc>
          <w:tcPr>
            <w:tcW w:w="892" w:type="dxa"/>
            <w:vAlign w:val="center"/>
          </w:tcPr>
          <w:p w14:paraId="57DE276E">
            <w:pPr>
              <w:widowControl/>
              <w:spacing w:line="280" w:lineRule="exact"/>
              <w:jc w:val="center"/>
              <w:textAlignment w:val="center"/>
              <w:rPr>
                <w:rFonts w:hint="eastAsia" w:ascii="宋体" w:hAnsi="宋体" w:eastAsia="宋体" w:cs="宋体"/>
                <w:color w:val="000000" w:themeColor="text1"/>
                <w:spacing w:val="0"/>
                <w:position w:val="0"/>
                <w:sz w:val="21"/>
                <w:szCs w:val="21"/>
                <w:lang w:eastAsia="zh-CN"/>
                <w14:textFill>
                  <w14:solidFill>
                    <w14:schemeClr w14:val="tx1"/>
                  </w14:solidFill>
                </w14:textFill>
              </w:rPr>
            </w:pPr>
            <w:r>
              <w:rPr>
                <w:rFonts w:hint="eastAsia" w:ascii="宋体" w:hAnsi="宋体" w:eastAsia="宋体" w:cs="宋体"/>
                <w:color w:val="000000" w:themeColor="text1"/>
                <w:spacing w:val="0"/>
                <w:position w:val="0"/>
                <w:sz w:val="21"/>
                <w:szCs w:val="21"/>
                <w:lang w:eastAsia="zh-CN"/>
                <w14:textFill>
                  <w14:solidFill>
                    <w14:schemeClr w14:val="tx1"/>
                  </w14:solidFill>
                </w14:textFill>
              </w:rPr>
              <w:t>较高</w:t>
            </w:r>
          </w:p>
        </w:tc>
        <w:tc>
          <w:tcPr>
            <w:tcW w:w="6199" w:type="dxa"/>
            <w:vAlign w:val="center"/>
          </w:tcPr>
          <w:p w14:paraId="5A5A444E">
            <w:pPr>
              <w:widowControl/>
              <w:spacing w:line="380" w:lineRule="exact"/>
              <w:jc w:val="both"/>
              <w:textAlignment w:val="center"/>
              <w:rPr>
                <w:rFonts w:hint="eastAsia" w:ascii="宋体" w:hAnsi="宋体" w:eastAsia="宋体" w:cs="宋体"/>
                <w:color w:val="000000" w:themeColor="text1"/>
                <w:spacing w:val="0"/>
                <w:position w:val="0"/>
                <w:sz w:val="21"/>
                <w:szCs w:val="21"/>
                <w:lang w:val="zh-TW"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zh-TW" w:eastAsia="zh-TW"/>
                <w14:textFill>
                  <w14:solidFill>
                    <w14:schemeClr w14:val="tx1"/>
                  </w14:solidFill>
                </w14:textFill>
              </w:rPr>
              <w:t>噻虫胺</w:t>
            </w:r>
            <w:r>
              <w:rPr>
                <w:rFonts w:hint="eastAsia" w:ascii="宋体" w:hAnsi="宋体" w:eastAsia="宋体" w:cs="宋体"/>
                <w:color w:val="000000" w:themeColor="text1"/>
                <w:spacing w:val="0"/>
                <w:position w:val="0"/>
                <w:sz w:val="21"/>
                <w:szCs w:val="21"/>
                <w:lang w:val="zh-TW" w:eastAsia="zh-CN"/>
                <w14:textFill>
                  <w14:solidFill>
                    <w14:schemeClr w14:val="tx1"/>
                  </w14:solidFill>
                </w14:textFill>
              </w:rPr>
              <w:t>、</w:t>
            </w:r>
            <w:r>
              <w:rPr>
                <w:rFonts w:hint="eastAsia" w:ascii="宋体" w:hAnsi="宋体" w:eastAsia="宋体" w:cs="宋体"/>
                <w:spacing w:val="0"/>
                <w:position w:val="0"/>
                <w:sz w:val="21"/>
                <w:szCs w:val="21"/>
              </w:rPr>
              <w:t>阿维菌素、吡虫啉、倍硫磷、毒死蜱、噻虫嗪、镉（以Cd计）、吡唑醚菌酯、氧乐果、克百威</w:t>
            </w:r>
          </w:p>
        </w:tc>
        <w:tc>
          <w:tcPr>
            <w:tcW w:w="1367" w:type="dxa"/>
            <w:vAlign w:val="center"/>
          </w:tcPr>
          <w:p w14:paraId="1296B325">
            <w:pPr>
              <w:widowControl/>
              <w:spacing w:line="280" w:lineRule="exact"/>
              <w:jc w:val="center"/>
              <w:textAlignment w:val="center"/>
              <w:rPr>
                <w:rFonts w:hint="eastAsia" w:ascii="宋体" w:hAnsi="宋体" w:eastAsia="宋体" w:cs="宋体"/>
                <w:color w:val="000000" w:themeColor="text1"/>
                <w:spacing w:val="0"/>
                <w:position w:val="0"/>
                <w:sz w:val="21"/>
                <w:szCs w:val="21"/>
                <w:lang w:val="en-US"/>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20</w:t>
            </w:r>
          </w:p>
        </w:tc>
        <w:tc>
          <w:tcPr>
            <w:tcW w:w="1316" w:type="dxa"/>
            <w:vAlign w:val="center"/>
          </w:tcPr>
          <w:p w14:paraId="5A9BBACC">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2BCA076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09" w:hRule="atLeast"/>
        </w:trPr>
        <w:tc>
          <w:tcPr>
            <w:tcW w:w="726" w:type="dxa"/>
            <w:vMerge w:val="continue"/>
            <w:vAlign w:val="center"/>
          </w:tcPr>
          <w:p w14:paraId="79324752">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4277CF24">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41267825">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茄果类蔬菜（茄子）</w:t>
            </w:r>
          </w:p>
        </w:tc>
        <w:tc>
          <w:tcPr>
            <w:tcW w:w="892" w:type="dxa"/>
            <w:vAlign w:val="center"/>
          </w:tcPr>
          <w:p w14:paraId="595AB809">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较高</w:t>
            </w:r>
          </w:p>
        </w:tc>
        <w:tc>
          <w:tcPr>
            <w:tcW w:w="6199" w:type="dxa"/>
            <w:vAlign w:val="center"/>
          </w:tcPr>
          <w:p w14:paraId="6256F45C">
            <w:pPr>
              <w:pStyle w:val="34"/>
              <w:spacing w:before="44"/>
              <w:ind w:left="3" w:right="-116"/>
              <w:jc w:val="left"/>
              <w:rPr>
                <w:rFonts w:hint="eastAsia" w:ascii="宋体" w:hAnsi="宋体" w:eastAsia="宋体" w:cs="宋体"/>
                <w:spacing w:val="0"/>
                <w:w w:val="95"/>
                <w:position w:val="0"/>
                <w:sz w:val="21"/>
                <w:szCs w:val="21"/>
              </w:rPr>
            </w:pPr>
            <w:r>
              <w:rPr>
                <w:rFonts w:hint="eastAsia" w:ascii="宋体" w:hAnsi="宋体" w:eastAsia="宋体" w:cs="宋体"/>
                <w:spacing w:val="0"/>
                <w:w w:val="95"/>
                <w:position w:val="0"/>
                <w:sz w:val="21"/>
                <w:szCs w:val="21"/>
              </w:rPr>
              <w:t>铅（以Pb计）、镉（以Cd计）、吡唑醚菌酯、毒死蜱、氟虫腈、甲氨基</w:t>
            </w:r>
          </w:p>
          <w:p w14:paraId="6F6E9039">
            <w:pPr>
              <w:pStyle w:val="34"/>
              <w:spacing w:before="44"/>
              <w:ind w:left="3" w:right="-116"/>
              <w:jc w:val="left"/>
              <w:rPr>
                <w:rFonts w:hint="eastAsia" w:ascii="宋体" w:hAnsi="宋体" w:eastAsia="宋体" w:cs="宋体"/>
                <w:color w:val="000000" w:themeColor="text1"/>
                <w:spacing w:val="0"/>
                <w:position w:val="0"/>
                <w:sz w:val="21"/>
                <w:szCs w:val="21"/>
                <w:lang w:val="zh-TW" w:eastAsia="zh-CN"/>
                <w14:textFill>
                  <w14:solidFill>
                    <w14:schemeClr w14:val="tx1"/>
                  </w14:solidFill>
                </w14:textFill>
              </w:rPr>
            </w:pPr>
            <w:r>
              <w:rPr>
                <w:rFonts w:hint="eastAsia" w:ascii="宋体" w:hAnsi="宋体" w:eastAsia="宋体" w:cs="宋体"/>
                <w:spacing w:val="0"/>
                <w:w w:val="95"/>
                <w:position w:val="0"/>
                <w:sz w:val="21"/>
                <w:szCs w:val="21"/>
              </w:rPr>
              <w:t>阿维菌素苯甲</w:t>
            </w:r>
            <w:r>
              <w:rPr>
                <w:rFonts w:hint="eastAsia" w:ascii="宋体" w:hAnsi="宋体" w:eastAsia="宋体" w:cs="宋体"/>
                <w:spacing w:val="0"/>
                <w:w w:val="99"/>
                <w:position w:val="0"/>
                <w:sz w:val="21"/>
                <w:szCs w:val="21"/>
              </w:rPr>
              <w:t>酸盐、甲胺磷、甲拌磷、克百威、噻虫胺、噻虫嗪、霜霉威和霜霉威盐酸盐、水胺硫磷、氧乐果、乙酰甲胺磷</w:t>
            </w:r>
          </w:p>
        </w:tc>
        <w:tc>
          <w:tcPr>
            <w:tcW w:w="1367" w:type="dxa"/>
            <w:vAlign w:val="center"/>
          </w:tcPr>
          <w:p w14:paraId="1766F8E7">
            <w:pPr>
              <w:widowControl/>
              <w:spacing w:line="280" w:lineRule="exact"/>
              <w:jc w:val="center"/>
              <w:textAlignment w:val="center"/>
              <w:rPr>
                <w:rFonts w:hint="eastAsia" w:ascii="宋体" w:hAnsi="宋体" w:eastAsia="宋体" w:cs="宋体"/>
                <w:color w:val="000000" w:themeColor="text1"/>
                <w:spacing w:val="0"/>
                <w:position w:val="0"/>
                <w:sz w:val="21"/>
                <w:szCs w:val="21"/>
                <w:lang w:val="en-US"/>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25</w:t>
            </w:r>
          </w:p>
        </w:tc>
        <w:tc>
          <w:tcPr>
            <w:tcW w:w="1316" w:type="dxa"/>
            <w:vAlign w:val="center"/>
          </w:tcPr>
          <w:p w14:paraId="6CB5117B">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4377BA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02" w:hRule="atLeast"/>
        </w:trPr>
        <w:tc>
          <w:tcPr>
            <w:tcW w:w="726" w:type="dxa"/>
            <w:vMerge w:val="continue"/>
            <w:vAlign w:val="center"/>
          </w:tcPr>
          <w:p w14:paraId="70024F84">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6EDB3C3D">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401AE891">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叶菜类蔬菜（芹菜）</w:t>
            </w:r>
          </w:p>
        </w:tc>
        <w:tc>
          <w:tcPr>
            <w:tcW w:w="892" w:type="dxa"/>
            <w:vAlign w:val="center"/>
          </w:tcPr>
          <w:p w14:paraId="05EE801E">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较高</w:t>
            </w:r>
          </w:p>
        </w:tc>
        <w:tc>
          <w:tcPr>
            <w:tcW w:w="6199" w:type="dxa"/>
            <w:vAlign w:val="center"/>
          </w:tcPr>
          <w:p w14:paraId="42F9345E">
            <w:pPr>
              <w:pStyle w:val="34"/>
              <w:spacing w:before="44" w:line="261" w:lineRule="auto"/>
              <w:ind w:left="3" w:right="-72"/>
              <w:jc w:val="left"/>
              <w:rPr>
                <w:rFonts w:hint="eastAsia" w:ascii="宋体" w:hAnsi="宋体" w:eastAsia="宋体" w:cs="宋体"/>
                <w:color w:val="000000" w:themeColor="text1"/>
                <w:spacing w:val="0"/>
                <w:position w:val="0"/>
                <w:sz w:val="21"/>
                <w:szCs w:val="21"/>
                <w:lang w:val="zh-TW" w:eastAsia="zh-CN"/>
                <w14:textFill>
                  <w14:solidFill>
                    <w14:schemeClr w14:val="tx1"/>
                  </w14:solidFill>
                </w14:textFill>
              </w:rPr>
            </w:pPr>
            <w:r>
              <w:rPr>
                <w:rFonts w:hint="eastAsia" w:ascii="宋体" w:hAnsi="宋体" w:eastAsia="宋体" w:cs="宋体"/>
                <w:spacing w:val="0"/>
                <w:position w:val="0"/>
                <w:sz w:val="21"/>
                <w:szCs w:val="21"/>
              </w:rPr>
              <w:t>铅（以Pb计）、镉（以Cd计）、阿维菌素、百菌清、苯醚甲环唑、敌敌畏、啶虫脒、毒死蜱、二甲戊灵、氟虫腈、甲拌磷、甲基异柳磷、腈菌唑、克百威、乐果、氯氟氰菊酯和高效氯氟氰菊酯、氯氰菊酯和高效氯氰菊酯、噻虫胺、噻虫嗪、三氯杀螨醇、水胺</w:t>
            </w:r>
            <w:r>
              <w:rPr>
                <w:rFonts w:hint="eastAsia" w:ascii="宋体" w:hAnsi="宋体" w:eastAsia="宋体" w:cs="宋体"/>
                <w:spacing w:val="0"/>
                <w:w w:val="95"/>
                <w:position w:val="0"/>
                <w:sz w:val="21"/>
                <w:szCs w:val="21"/>
              </w:rPr>
              <w:t>硫磷、辛硫磷、氧乐果、乙酰甲胺磷</w:t>
            </w:r>
          </w:p>
        </w:tc>
        <w:tc>
          <w:tcPr>
            <w:tcW w:w="1367" w:type="dxa"/>
            <w:vAlign w:val="center"/>
          </w:tcPr>
          <w:p w14:paraId="6FABDC10">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31</w:t>
            </w:r>
          </w:p>
        </w:tc>
        <w:tc>
          <w:tcPr>
            <w:tcW w:w="1316" w:type="dxa"/>
            <w:vAlign w:val="center"/>
          </w:tcPr>
          <w:p w14:paraId="5F1D0676">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5AD9B2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02" w:hRule="atLeast"/>
        </w:trPr>
        <w:tc>
          <w:tcPr>
            <w:tcW w:w="726" w:type="dxa"/>
            <w:vMerge w:val="continue"/>
            <w:vAlign w:val="center"/>
          </w:tcPr>
          <w:p w14:paraId="32D60E27">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4D0D0B85">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6CDF1B75">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spacing w:val="0"/>
                <w:position w:val="0"/>
                <w:sz w:val="21"/>
                <w:szCs w:val="21"/>
                <w:lang w:eastAsia="zh-CN"/>
              </w:rPr>
              <w:t>水产品（</w:t>
            </w:r>
            <w:r>
              <w:rPr>
                <w:rFonts w:hint="eastAsia" w:ascii="宋体" w:hAnsi="宋体" w:eastAsia="宋体" w:cs="宋体"/>
                <w:spacing w:val="0"/>
                <w:position w:val="0"/>
                <w:sz w:val="21"/>
                <w:szCs w:val="21"/>
              </w:rPr>
              <w:t>淡水鱼</w:t>
            </w:r>
            <w:r>
              <w:rPr>
                <w:rFonts w:hint="eastAsia" w:ascii="宋体" w:hAnsi="宋体" w:eastAsia="宋体" w:cs="宋体"/>
                <w:spacing w:val="0"/>
                <w:position w:val="0"/>
                <w:sz w:val="21"/>
                <w:szCs w:val="21"/>
                <w:lang w:eastAsia="zh-CN"/>
              </w:rPr>
              <w:t>）</w:t>
            </w:r>
          </w:p>
        </w:tc>
        <w:tc>
          <w:tcPr>
            <w:tcW w:w="892" w:type="dxa"/>
            <w:vAlign w:val="center"/>
          </w:tcPr>
          <w:p w14:paraId="7B7FA732">
            <w:pPr>
              <w:widowControl/>
              <w:spacing w:line="280" w:lineRule="exact"/>
              <w:jc w:val="center"/>
              <w:textAlignment w:val="center"/>
              <w:rPr>
                <w:rFonts w:hint="eastAsia" w:ascii="宋体" w:hAnsi="宋体" w:eastAsia="宋体" w:cs="宋体"/>
                <w:color w:val="000000" w:themeColor="text1"/>
                <w:spacing w:val="0"/>
                <w:position w:val="0"/>
                <w:sz w:val="21"/>
                <w:szCs w:val="21"/>
                <w:lang w:eastAsia="zh-CN"/>
                <w14:textFill>
                  <w14:solidFill>
                    <w14:schemeClr w14:val="tx1"/>
                  </w14:solidFill>
                </w14:textFill>
              </w:rPr>
            </w:pPr>
            <w:r>
              <w:rPr>
                <w:rFonts w:hint="eastAsia" w:ascii="宋体" w:hAnsi="宋体" w:eastAsia="宋体" w:cs="宋体"/>
                <w:color w:val="000000" w:themeColor="text1"/>
                <w:spacing w:val="0"/>
                <w:position w:val="0"/>
                <w:sz w:val="21"/>
                <w:szCs w:val="21"/>
                <w:lang w:eastAsia="zh-CN"/>
                <w14:textFill>
                  <w14:solidFill>
                    <w14:schemeClr w14:val="tx1"/>
                  </w14:solidFill>
                </w14:textFill>
              </w:rPr>
              <w:t>高</w:t>
            </w:r>
          </w:p>
        </w:tc>
        <w:tc>
          <w:tcPr>
            <w:tcW w:w="6199" w:type="dxa"/>
            <w:vAlign w:val="center"/>
          </w:tcPr>
          <w:p w14:paraId="3808E71F">
            <w:pPr>
              <w:pStyle w:val="34"/>
              <w:spacing w:before="44" w:line="261" w:lineRule="auto"/>
              <w:ind w:left="3" w:right="-15"/>
              <w:jc w:val="both"/>
              <w:rPr>
                <w:rFonts w:hint="eastAsia" w:ascii="宋体" w:hAnsi="宋体" w:eastAsia="宋体" w:cs="宋体"/>
                <w:color w:val="000000" w:themeColor="text1"/>
                <w:spacing w:val="0"/>
                <w:position w:val="0"/>
                <w:sz w:val="21"/>
                <w:szCs w:val="21"/>
                <w:lang w:val="zh-TW" w:eastAsia="zh-CN"/>
                <w14:textFill>
                  <w14:solidFill>
                    <w14:schemeClr w14:val="tx1"/>
                  </w14:solidFill>
                </w14:textFill>
              </w:rPr>
            </w:pPr>
            <w:r>
              <w:rPr>
                <w:rFonts w:hint="eastAsia" w:ascii="宋体" w:hAnsi="宋体" w:eastAsia="宋体" w:cs="宋体"/>
                <w:spacing w:val="0"/>
                <w:position w:val="0"/>
                <w:sz w:val="21"/>
                <w:szCs w:val="21"/>
              </w:rPr>
              <w:t>挥发性盐基氮、镉（以Cd计）、孔雀石绿、氯霉素、呋喃唑酮代谢物、呋喃西林代谢</w:t>
            </w:r>
            <w:r>
              <w:rPr>
                <w:rFonts w:hint="eastAsia" w:ascii="宋体" w:hAnsi="宋体" w:eastAsia="宋体" w:cs="宋体"/>
                <w:spacing w:val="0"/>
                <w:w w:val="95"/>
                <w:position w:val="0"/>
                <w:sz w:val="21"/>
                <w:szCs w:val="21"/>
              </w:rPr>
              <w:t>物、呋喃妥因代谢物、五氯酚酸钠（以五氯酚计）、恩诺沙星、沙拉沙星、磺胺类（总量）、甲氧苄啶、氟苯尼考、甲硝唑、地西泮、氧氟沙星、诺氟沙星、培氟沙星</w:t>
            </w:r>
          </w:p>
        </w:tc>
        <w:tc>
          <w:tcPr>
            <w:tcW w:w="1367" w:type="dxa"/>
            <w:vAlign w:val="center"/>
          </w:tcPr>
          <w:p w14:paraId="49155062">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14</w:t>
            </w:r>
          </w:p>
        </w:tc>
        <w:tc>
          <w:tcPr>
            <w:tcW w:w="1316" w:type="dxa"/>
            <w:vAlign w:val="center"/>
          </w:tcPr>
          <w:p w14:paraId="7C671E04">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66F14E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52" w:hRule="atLeast"/>
        </w:trPr>
        <w:tc>
          <w:tcPr>
            <w:tcW w:w="726" w:type="dxa"/>
            <w:vMerge w:val="continue"/>
            <w:vAlign w:val="center"/>
          </w:tcPr>
          <w:p w14:paraId="268569DC">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67EFB662">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779625A9">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spacing w:val="0"/>
                <w:position w:val="0"/>
                <w:sz w:val="21"/>
                <w:szCs w:val="21"/>
                <w:lang w:eastAsia="zh-CN"/>
              </w:rPr>
              <w:t>水产品（海水虾）</w:t>
            </w:r>
          </w:p>
        </w:tc>
        <w:tc>
          <w:tcPr>
            <w:tcW w:w="892" w:type="dxa"/>
            <w:vAlign w:val="center"/>
          </w:tcPr>
          <w:p w14:paraId="6CB3093E">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高</w:t>
            </w:r>
          </w:p>
        </w:tc>
        <w:tc>
          <w:tcPr>
            <w:tcW w:w="6199" w:type="dxa"/>
            <w:vAlign w:val="center"/>
          </w:tcPr>
          <w:p w14:paraId="3C4C2C71">
            <w:pPr>
              <w:pStyle w:val="34"/>
              <w:spacing w:before="44" w:line="261" w:lineRule="auto"/>
              <w:ind w:left="3" w:right="-15"/>
              <w:jc w:val="both"/>
              <w:rPr>
                <w:rFonts w:hint="eastAsia" w:ascii="宋体" w:hAnsi="宋体" w:eastAsia="宋体" w:cs="宋体"/>
                <w:color w:val="000000" w:themeColor="text1"/>
                <w:spacing w:val="0"/>
                <w:position w:val="0"/>
                <w:sz w:val="21"/>
                <w:szCs w:val="21"/>
                <w:lang w:val="zh-TW" w:eastAsia="zh-CN"/>
                <w14:textFill>
                  <w14:solidFill>
                    <w14:schemeClr w14:val="tx1"/>
                  </w14:solidFill>
                </w14:textFill>
              </w:rPr>
            </w:pPr>
            <w:r>
              <w:rPr>
                <w:rFonts w:hint="eastAsia" w:ascii="宋体" w:hAnsi="宋体" w:eastAsia="宋体" w:cs="宋体"/>
                <w:spacing w:val="0"/>
                <w:position w:val="0"/>
                <w:sz w:val="21"/>
                <w:szCs w:val="21"/>
              </w:rPr>
              <w:t>挥发性盐基氮、镉（以Cd计）、二氧化硫残留量、孔雀石绿、氯霉素、呋喃唑酮代谢</w:t>
            </w:r>
            <w:r>
              <w:rPr>
                <w:rFonts w:hint="eastAsia" w:ascii="宋体" w:hAnsi="宋体" w:eastAsia="宋体" w:cs="宋体"/>
                <w:spacing w:val="0"/>
                <w:w w:val="95"/>
                <w:position w:val="0"/>
                <w:sz w:val="21"/>
                <w:szCs w:val="21"/>
              </w:rPr>
              <w:t>物、呋喃它酮代谢物、呋喃妥因代谢物、五氯酚酸钠（以五氯酚计）、恩诺沙星、土霉</w:t>
            </w:r>
            <w:r>
              <w:rPr>
                <w:rFonts w:hint="eastAsia" w:ascii="宋体" w:hAnsi="宋体" w:eastAsia="宋体" w:cs="宋体"/>
                <w:spacing w:val="0"/>
                <w:position w:val="0"/>
                <w:sz w:val="21"/>
                <w:szCs w:val="21"/>
              </w:rPr>
              <w:t>素/金霉素/四环素（组合量）、磺胺类（总量）、诺氟沙星</w:t>
            </w:r>
            <w:r>
              <w:rPr>
                <w:rFonts w:hint="eastAsia" w:ascii="宋体" w:hAnsi="宋体" w:eastAsia="宋体" w:cs="宋体"/>
                <w:spacing w:val="0"/>
                <w:position w:val="0"/>
                <w:sz w:val="21"/>
                <w:szCs w:val="21"/>
                <w:lang w:eastAsia="zh-CN"/>
              </w:rPr>
              <w:t>、磷酸及磷酸盐</w:t>
            </w:r>
          </w:p>
        </w:tc>
        <w:tc>
          <w:tcPr>
            <w:tcW w:w="1367" w:type="dxa"/>
            <w:vAlign w:val="center"/>
          </w:tcPr>
          <w:p w14:paraId="21435B20">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9</w:t>
            </w:r>
          </w:p>
        </w:tc>
        <w:tc>
          <w:tcPr>
            <w:tcW w:w="1316" w:type="dxa"/>
            <w:vAlign w:val="center"/>
          </w:tcPr>
          <w:p w14:paraId="206226B6">
            <w:pPr>
              <w:widowControl/>
              <w:spacing w:line="280" w:lineRule="exact"/>
              <w:jc w:val="left"/>
              <w:rPr>
                <w:rFonts w:hint="eastAsia" w:ascii="宋体" w:hAnsi="宋体" w:eastAsia="宋体" w:cs="宋体"/>
                <w:color w:val="000000" w:themeColor="text1"/>
                <w:spacing w:val="0"/>
                <w:position w:val="0"/>
                <w:sz w:val="21"/>
                <w:szCs w:val="21"/>
                <w:lang w:eastAsia="zh-CN"/>
                <w14:textFill>
                  <w14:solidFill>
                    <w14:schemeClr w14:val="tx1"/>
                  </w14:solidFill>
                </w14:textFill>
              </w:rPr>
            </w:pPr>
            <w:r>
              <w:rPr>
                <w:rFonts w:hint="eastAsia" w:ascii="宋体" w:hAnsi="宋体" w:eastAsia="宋体" w:cs="宋体"/>
                <w:color w:val="000000" w:themeColor="text1"/>
                <w:spacing w:val="0"/>
                <w:position w:val="0"/>
                <w:sz w:val="21"/>
                <w:szCs w:val="21"/>
                <w:lang w:eastAsia="zh-CN"/>
                <w14:textFill>
                  <w14:solidFill>
                    <w14:schemeClr w14:val="tx1"/>
                  </w14:solidFill>
                </w14:textFill>
              </w:rPr>
              <w:t>含冷冻虾仁</w:t>
            </w:r>
          </w:p>
        </w:tc>
      </w:tr>
      <w:tr w14:paraId="7E3D21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52" w:hRule="atLeast"/>
        </w:trPr>
        <w:tc>
          <w:tcPr>
            <w:tcW w:w="726" w:type="dxa"/>
            <w:vMerge w:val="continue"/>
            <w:vAlign w:val="center"/>
          </w:tcPr>
          <w:p w14:paraId="74D73C19">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795A8F1F">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77AB99E2">
            <w:pPr>
              <w:widowControl/>
              <w:spacing w:line="280" w:lineRule="exact"/>
              <w:jc w:val="center"/>
              <w:textAlignment w:val="cente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pPr>
            <w:r>
              <w:rPr>
                <w:rFonts w:hint="eastAsia" w:ascii="宋体" w:hAnsi="宋体" w:eastAsia="宋体" w:cs="宋体"/>
                <w:spacing w:val="0"/>
                <w:position w:val="0"/>
                <w:sz w:val="21"/>
                <w:szCs w:val="21"/>
                <w:lang w:eastAsia="zh-CN"/>
              </w:rPr>
              <w:t>水产品（海</w:t>
            </w:r>
            <w:r>
              <w:rPr>
                <w:rFonts w:hint="eastAsia" w:ascii="宋体" w:hAnsi="宋体" w:eastAsia="宋体" w:cs="宋体"/>
                <w:spacing w:val="0"/>
                <w:position w:val="0"/>
                <w:sz w:val="21"/>
                <w:szCs w:val="21"/>
              </w:rPr>
              <w:t>水鱼</w:t>
            </w:r>
            <w:r>
              <w:rPr>
                <w:rFonts w:hint="eastAsia" w:ascii="宋体" w:hAnsi="宋体" w:eastAsia="宋体" w:cs="宋体"/>
                <w:spacing w:val="0"/>
                <w:position w:val="0"/>
                <w:sz w:val="21"/>
                <w:szCs w:val="21"/>
                <w:lang w:eastAsia="zh-CN"/>
              </w:rPr>
              <w:t>）</w:t>
            </w:r>
          </w:p>
        </w:tc>
        <w:tc>
          <w:tcPr>
            <w:tcW w:w="892" w:type="dxa"/>
            <w:vAlign w:val="center"/>
          </w:tcPr>
          <w:p w14:paraId="18ABB8E9">
            <w:pPr>
              <w:widowControl/>
              <w:spacing w:line="280" w:lineRule="exact"/>
              <w:jc w:val="center"/>
              <w:textAlignment w:val="cente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高</w:t>
            </w:r>
          </w:p>
        </w:tc>
        <w:tc>
          <w:tcPr>
            <w:tcW w:w="6199" w:type="dxa"/>
            <w:vAlign w:val="center"/>
          </w:tcPr>
          <w:p w14:paraId="3E59DE3E">
            <w:pPr>
              <w:pStyle w:val="34"/>
              <w:spacing w:before="45" w:line="261" w:lineRule="auto"/>
              <w:ind w:left="3" w:right="-15"/>
              <w:jc w:val="both"/>
              <w:rPr>
                <w:rFonts w:hint="eastAsia" w:ascii="宋体" w:hAnsi="宋体" w:eastAsia="宋体" w:cs="宋体"/>
                <w:color w:val="000000" w:themeColor="text1"/>
                <w:spacing w:val="0"/>
                <w:position w:val="0"/>
                <w:sz w:val="21"/>
                <w:szCs w:val="21"/>
                <w:highlight w:val="none"/>
                <w:lang w:val="zh-TW" w:eastAsia="zh-TW"/>
                <w14:textFill>
                  <w14:solidFill>
                    <w14:schemeClr w14:val="tx1"/>
                  </w14:solidFill>
                </w14:textFill>
              </w:rPr>
            </w:pPr>
            <w:r>
              <w:rPr>
                <w:rFonts w:hint="eastAsia" w:ascii="宋体" w:hAnsi="宋体" w:eastAsia="宋体" w:cs="宋体"/>
                <w:spacing w:val="0"/>
                <w:position w:val="0"/>
                <w:sz w:val="21"/>
                <w:szCs w:val="21"/>
              </w:rPr>
              <w:t>挥发性盐基氮、组胺、镉（以Cd计）、孔雀石绿、氯霉素、呋喃唑酮代谢物、呋喃它酮代谢物、呋喃西林代谢物、五氯酚酸钠（以五氯酚计）、恩诺沙星、磺胺类（总量）土霉素</w:t>
            </w:r>
            <w:r>
              <w:rPr>
                <w:rFonts w:hint="eastAsia" w:ascii="宋体" w:hAnsi="宋体" w:eastAsia="宋体" w:cs="宋体"/>
                <w:spacing w:val="0"/>
                <w:w w:val="120"/>
                <w:position w:val="0"/>
                <w:sz w:val="21"/>
                <w:szCs w:val="21"/>
              </w:rPr>
              <w:t>/</w:t>
            </w:r>
            <w:r>
              <w:rPr>
                <w:rFonts w:hint="eastAsia" w:ascii="宋体" w:hAnsi="宋体" w:eastAsia="宋体" w:cs="宋体"/>
                <w:spacing w:val="0"/>
                <w:position w:val="0"/>
                <w:sz w:val="21"/>
                <w:szCs w:val="21"/>
              </w:rPr>
              <w:t>金霉素</w:t>
            </w:r>
            <w:r>
              <w:rPr>
                <w:rFonts w:hint="eastAsia" w:ascii="宋体" w:hAnsi="宋体" w:eastAsia="宋体" w:cs="宋体"/>
                <w:spacing w:val="0"/>
                <w:w w:val="120"/>
                <w:position w:val="0"/>
                <w:sz w:val="21"/>
                <w:szCs w:val="21"/>
              </w:rPr>
              <w:t>/</w:t>
            </w:r>
            <w:r>
              <w:rPr>
                <w:rFonts w:hint="eastAsia" w:ascii="宋体" w:hAnsi="宋体" w:eastAsia="宋体" w:cs="宋体"/>
                <w:spacing w:val="0"/>
                <w:position w:val="0"/>
                <w:sz w:val="21"/>
                <w:szCs w:val="21"/>
              </w:rPr>
              <w:t>四环素（组合含量）、甲氧苄啶、甲硝唑、氧氟沙星、培氟沙星、诺氟</w:t>
            </w:r>
            <w:r>
              <w:rPr>
                <w:rFonts w:hint="eastAsia" w:ascii="宋体" w:hAnsi="宋体" w:eastAsia="宋体" w:cs="宋体"/>
                <w:spacing w:val="0"/>
                <w:w w:val="95"/>
                <w:position w:val="0"/>
                <w:sz w:val="21"/>
                <w:szCs w:val="21"/>
              </w:rPr>
              <w:t>沙星</w:t>
            </w:r>
          </w:p>
        </w:tc>
        <w:tc>
          <w:tcPr>
            <w:tcW w:w="1367" w:type="dxa"/>
            <w:vAlign w:val="center"/>
          </w:tcPr>
          <w:p w14:paraId="0A25A632">
            <w:pPr>
              <w:widowControl/>
              <w:spacing w:line="280" w:lineRule="exact"/>
              <w:jc w:val="center"/>
              <w:textAlignment w:val="cente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6</w:t>
            </w:r>
          </w:p>
        </w:tc>
        <w:tc>
          <w:tcPr>
            <w:tcW w:w="1316" w:type="dxa"/>
            <w:vAlign w:val="center"/>
          </w:tcPr>
          <w:p w14:paraId="07603E7F">
            <w:pPr>
              <w:widowControl/>
              <w:spacing w:line="280" w:lineRule="exact"/>
              <w:jc w:val="left"/>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r>
      <w:tr w14:paraId="56162A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52" w:hRule="atLeast"/>
        </w:trPr>
        <w:tc>
          <w:tcPr>
            <w:tcW w:w="726" w:type="dxa"/>
            <w:vMerge w:val="continue"/>
            <w:vAlign w:val="center"/>
          </w:tcPr>
          <w:p w14:paraId="3EBA1407">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46195070">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2DB35115">
            <w:pPr>
              <w:pStyle w:val="34"/>
              <w:jc w:val="center"/>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其他水产品</w:t>
            </w:r>
          </w:p>
          <w:p w14:paraId="4A6A98E1">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spacing w:val="0"/>
                <w:position w:val="0"/>
                <w:sz w:val="21"/>
                <w:szCs w:val="21"/>
              </w:rPr>
              <w:t>（重点品种：牛蛙）</w:t>
            </w:r>
          </w:p>
        </w:tc>
        <w:tc>
          <w:tcPr>
            <w:tcW w:w="892" w:type="dxa"/>
            <w:vAlign w:val="center"/>
          </w:tcPr>
          <w:p w14:paraId="7D7165C5">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高</w:t>
            </w:r>
          </w:p>
        </w:tc>
        <w:tc>
          <w:tcPr>
            <w:tcW w:w="6199" w:type="dxa"/>
            <w:vAlign w:val="center"/>
          </w:tcPr>
          <w:p w14:paraId="493D627D">
            <w:pPr>
              <w:widowControl/>
              <w:spacing w:line="380" w:lineRule="exact"/>
              <w:jc w:val="both"/>
              <w:textAlignment w:val="center"/>
              <w:rPr>
                <w:rFonts w:hint="eastAsia" w:ascii="宋体" w:hAnsi="宋体" w:eastAsia="宋体" w:cs="宋体"/>
                <w:color w:val="000000" w:themeColor="text1"/>
                <w:spacing w:val="0"/>
                <w:position w:val="0"/>
                <w:sz w:val="21"/>
                <w:szCs w:val="21"/>
                <w:lang w:val="zh-TW" w:eastAsia="zh-CN"/>
                <w14:textFill>
                  <w14:solidFill>
                    <w14:schemeClr w14:val="tx1"/>
                  </w14:solidFill>
                </w14:textFill>
              </w:rPr>
            </w:pPr>
            <w:r>
              <w:rPr>
                <w:rFonts w:hint="eastAsia" w:ascii="宋体" w:hAnsi="宋体" w:eastAsia="宋体" w:cs="宋体"/>
                <w:spacing w:val="0"/>
                <w:position w:val="0"/>
                <w:sz w:val="21"/>
                <w:szCs w:val="21"/>
              </w:rPr>
              <w:t>恩诺沙星 a、呋喃西林代谢物</w:t>
            </w:r>
            <w:r>
              <w:rPr>
                <w:rFonts w:hint="eastAsia" w:ascii="宋体" w:hAnsi="宋体" w:eastAsia="宋体" w:cs="宋体"/>
                <w:spacing w:val="0"/>
                <w:position w:val="0"/>
                <w:sz w:val="21"/>
                <w:szCs w:val="21"/>
                <w:lang w:eastAsia="zh-CN"/>
              </w:rPr>
              <w:t>、</w:t>
            </w:r>
            <w:r>
              <w:rPr>
                <w:rFonts w:hint="eastAsia" w:ascii="宋体" w:hAnsi="宋体" w:eastAsia="宋体" w:cs="宋体"/>
                <w:spacing w:val="0"/>
                <w:position w:val="0"/>
                <w:sz w:val="21"/>
                <w:szCs w:val="21"/>
              </w:rPr>
              <w:t>镉（以Cd计）b、孔雀石绿、氯霉素、呋喃唑酮代谢物、呋喃妥因代谢物、五氯酚酸钠（以五氯酚计）、磺胺类（总量）a、氟苯尼考 a、甲硝唑 a、氧氟沙星 a、诺氟沙星 a</w:t>
            </w:r>
          </w:p>
        </w:tc>
        <w:tc>
          <w:tcPr>
            <w:tcW w:w="1367" w:type="dxa"/>
            <w:vAlign w:val="center"/>
          </w:tcPr>
          <w:p w14:paraId="520E7BFD">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4</w:t>
            </w:r>
          </w:p>
        </w:tc>
        <w:tc>
          <w:tcPr>
            <w:tcW w:w="1316" w:type="dxa"/>
            <w:vAlign w:val="center"/>
          </w:tcPr>
          <w:p w14:paraId="2D942CF1">
            <w:pPr>
              <w:pStyle w:val="34"/>
              <w:spacing w:before="44" w:line="266" w:lineRule="auto"/>
              <w:ind w:left="128" w:right="117"/>
              <w:jc w:val="both"/>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spacing w:val="0"/>
                <w:position w:val="0"/>
                <w:sz w:val="21"/>
                <w:szCs w:val="21"/>
              </w:rPr>
              <w:t>a.仅蛙科、鳖科食品动物检测b. 限头足类、腹足类棘皮类检测</w:t>
            </w:r>
          </w:p>
        </w:tc>
      </w:tr>
      <w:tr w14:paraId="274A9C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52" w:hRule="atLeast"/>
        </w:trPr>
        <w:tc>
          <w:tcPr>
            <w:tcW w:w="726" w:type="dxa"/>
            <w:vMerge w:val="continue"/>
            <w:vAlign w:val="center"/>
          </w:tcPr>
          <w:p w14:paraId="1A984279">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3988C497">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79C2DF62">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柑橘类水果（柑、橘）</w:t>
            </w:r>
          </w:p>
        </w:tc>
        <w:tc>
          <w:tcPr>
            <w:tcW w:w="892" w:type="dxa"/>
            <w:vAlign w:val="center"/>
          </w:tcPr>
          <w:p w14:paraId="752D260E">
            <w:pPr>
              <w:widowControl/>
              <w:spacing w:line="280" w:lineRule="exact"/>
              <w:jc w:val="center"/>
              <w:textAlignment w:val="center"/>
              <w:rPr>
                <w:rFonts w:hint="eastAsia" w:ascii="宋体" w:hAnsi="宋体" w:eastAsia="宋体" w:cs="宋体"/>
                <w:color w:val="000000" w:themeColor="text1"/>
                <w:spacing w:val="0"/>
                <w:position w:val="0"/>
                <w:sz w:val="21"/>
                <w:szCs w:val="21"/>
                <w:lang w:eastAsia="zh-CN"/>
                <w14:textFill>
                  <w14:solidFill>
                    <w14:schemeClr w14:val="tx1"/>
                  </w14:solidFill>
                </w14:textFill>
              </w:rPr>
            </w:pPr>
            <w:r>
              <w:rPr>
                <w:rFonts w:hint="eastAsia" w:ascii="宋体" w:hAnsi="宋体" w:eastAsia="宋体" w:cs="宋体"/>
                <w:color w:val="000000" w:themeColor="text1"/>
                <w:spacing w:val="0"/>
                <w:position w:val="0"/>
                <w:sz w:val="21"/>
                <w:szCs w:val="21"/>
                <w:lang w:eastAsia="zh-CN"/>
                <w14:textFill>
                  <w14:solidFill>
                    <w14:schemeClr w14:val="tx1"/>
                  </w14:solidFill>
                </w14:textFill>
              </w:rPr>
              <w:t>较高</w:t>
            </w:r>
          </w:p>
        </w:tc>
        <w:tc>
          <w:tcPr>
            <w:tcW w:w="6199" w:type="dxa"/>
            <w:vAlign w:val="center"/>
          </w:tcPr>
          <w:p w14:paraId="35259F37">
            <w:pPr>
              <w:widowControl/>
              <w:spacing w:line="380" w:lineRule="exact"/>
              <w:jc w:val="both"/>
              <w:textAlignment w:val="center"/>
              <w:rPr>
                <w:rFonts w:hint="eastAsia" w:ascii="宋体" w:hAnsi="宋体" w:eastAsia="宋体" w:cs="宋体"/>
                <w:color w:val="000000" w:themeColor="text1"/>
                <w:spacing w:val="0"/>
                <w:position w:val="0"/>
                <w:sz w:val="21"/>
                <w:szCs w:val="21"/>
                <w:lang w:val="zh-TW" w:eastAsia="zh-CN"/>
                <w14:textFill>
                  <w14:solidFill>
                    <w14:schemeClr w14:val="tx1"/>
                  </w14:solidFill>
                </w14:textFill>
              </w:rPr>
            </w:pPr>
            <w:r>
              <w:rPr>
                <w:rFonts w:hint="eastAsia" w:ascii="宋体" w:hAnsi="宋体" w:eastAsia="宋体" w:cs="宋体"/>
                <w:spacing w:val="0"/>
                <w:position w:val="0"/>
                <w:sz w:val="21"/>
                <w:szCs w:val="21"/>
              </w:rPr>
              <w:t>苯醚甲环唑、联苯菊酯</w:t>
            </w:r>
            <w:r>
              <w:rPr>
                <w:rFonts w:hint="eastAsia" w:ascii="宋体" w:hAnsi="宋体" w:eastAsia="宋体" w:cs="宋体"/>
                <w:spacing w:val="0"/>
                <w:position w:val="0"/>
                <w:sz w:val="21"/>
                <w:szCs w:val="21"/>
                <w:lang w:eastAsia="zh-CN"/>
              </w:rPr>
              <w:t>、</w:t>
            </w:r>
            <w:r>
              <w:rPr>
                <w:rFonts w:hint="eastAsia" w:ascii="宋体" w:hAnsi="宋体" w:eastAsia="宋体" w:cs="宋体"/>
                <w:spacing w:val="0"/>
                <w:position w:val="0"/>
                <w:sz w:val="21"/>
                <w:szCs w:val="21"/>
              </w:rPr>
              <w:t>丙溴磷、克百威、氯唑磷、三唑磷、水胺硫磷、氧乐果、氯氟氰菊酯和高效氯氟氰菊酯</w:t>
            </w:r>
            <w:r>
              <w:rPr>
                <w:rFonts w:hint="eastAsia" w:ascii="宋体" w:hAnsi="宋体" w:eastAsia="宋体" w:cs="宋体"/>
                <w:spacing w:val="0"/>
                <w:position w:val="0"/>
                <w:sz w:val="21"/>
                <w:szCs w:val="21"/>
                <w:lang w:eastAsia="zh-CN"/>
              </w:rPr>
              <w:t>、</w:t>
            </w:r>
            <w:r>
              <w:rPr>
                <w:rFonts w:hint="eastAsia" w:ascii="宋体" w:hAnsi="宋体" w:eastAsia="宋体" w:cs="宋体"/>
                <w:spacing w:val="0"/>
                <w:position w:val="0"/>
                <w:sz w:val="21"/>
                <w:szCs w:val="21"/>
              </w:rPr>
              <w:t>甲拌磷</w:t>
            </w:r>
            <w:r>
              <w:rPr>
                <w:rFonts w:hint="eastAsia" w:ascii="宋体" w:hAnsi="宋体" w:eastAsia="宋体" w:cs="宋体"/>
                <w:spacing w:val="0"/>
                <w:position w:val="0"/>
                <w:sz w:val="21"/>
                <w:szCs w:val="21"/>
                <w:lang w:eastAsia="zh-CN"/>
              </w:rPr>
              <w:t>、</w:t>
            </w:r>
            <w:r>
              <w:rPr>
                <w:rFonts w:hint="eastAsia" w:ascii="宋体" w:hAnsi="宋体" w:eastAsia="宋体" w:cs="宋体"/>
                <w:spacing w:val="0"/>
                <w:position w:val="0"/>
                <w:sz w:val="21"/>
                <w:szCs w:val="21"/>
              </w:rPr>
              <w:t>2, 4- 滴和2, 4－滴钠盐、狄氏剂、毒死蜱、杀扑磷、敌敌畏、联苯肼酯</w:t>
            </w:r>
          </w:p>
        </w:tc>
        <w:tc>
          <w:tcPr>
            <w:tcW w:w="1367" w:type="dxa"/>
            <w:vAlign w:val="center"/>
          </w:tcPr>
          <w:p w14:paraId="0F9EC1E7">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21</w:t>
            </w:r>
          </w:p>
        </w:tc>
        <w:tc>
          <w:tcPr>
            <w:tcW w:w="1316" w:type="dxa"/>
            <w:vAlign w:val="center"/>
          </w:tcPr>
          <w:p w14:paraId="364E7386">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4A160B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52" w:hRule="atLeast"/>
        </w:trPr>
        <w:tc>
          <w:tcPr>
            <w:tcW w:w="726" w:type="dxa"/>
            <w:vMerge w:val="continue"/>
            <w:vAlign w:val="center"/>
          </w:tcPr>
          <w:p w14:paraId="18E7A8D8">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4415C3FD">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4D299BD1">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柑橘类水果（</w:t>
            </w:r>
            <w:r>
              <w:rPr>
                <w:rFonts w:hint="eastAsia" w:ascii="宋体" w:hAnsi="宋体" w:eastAsia="宋体" w:cs="宋体"/>
                <w:color w:val="000000" w:themeColor="text1"/>
                <w:spacing w:val="0"/>
                <w:position w:val="0"/>
                <w:sz w:val="21"/>
                <w:szCs w:val="21"/>
                <w:lang w:eastAsia="zh-CN"/>
                <w14:textFill>
                  <w14:solidFill>
                    <w14:schemeClr w14:val="tx1"/>
                  </w14:solidFill>
                </w14:textFill>
              </w:rPr>
              <w:t>橙</w:t>
            </w:r>
            <w:r>
              <w:rPr>
                <w:rFonts w:hint="eastAsia" w:ascii="宋体" w:hAnsi="宋体" w:eastAsia="宋体" w:cs="宋体"/>
                <w:color w:val="000000" w:themeColor="text1"/>
                <w:spacing w:val="0"/>
                <w:position w:val="0"/>
                <w:sz w:val="21"/>
                <w:szCs w:val="21"/>
                <w14:textFill>
                  <w14:solidFill>
                    <w14:schemeClr w14:val="tx1"/>
                  </w14:solidFill>
                </w14:textFill>
              </w:rPr>
              <w:t>）</w:t>
            </w:r>
          </w:p>
        </w:tc>
        <w:tc>
          <w:tcPr>
            <w:tcW w:w="892" w:type="dxa"/>
            <w:vAlign w:val="center"/>
          </w:tcPr>
          <w:p w14:paraId="39E2FC44">
            <w:pPr>
              <w:widowControl/>
              <w:spacing w:line="280" w:lineRule="exact"/>
              <w:jc w:val="center"/>
              <w:textAlignment w:val="center"/>
              <w:rPr>
                <w:rFonts w:hint="eastAsia" w:ascii="宋体" w:hAnsi="宋体" w:eastAsia="宋体" w:cs="宋体"/>
                <w:color w:val="000000" w:themeColor="text1"/>
                <w:spacing w:val="0"/>
                <w:position w:val="0"/>
                <w:sz w:val="21"/>
                <w:szCs w:val="21"/>
                <w:lang w:eastAsia="zh-CN"/>
                <w14:textFill>
                  <w14:solidFill>
                    <w14:schemeClr w14:val="tx1"/>
                  </w14:solidFill>
                </w14:textFill>
              </w:rPr>
            </w:pPr>
            <w:r>
              <w:rPr>
                <w:rFonts w:hint="eastAsia" w:ascii="宋体" w:hAnsi="宋体" w:eastAsia="宋体" w:cs="宋体"/>
                <w:color w:val="000000" w:themeColor="text1"/>
                <w:spacing w:val="0"/>
                <w:position w:val="0"/>
                <w:sz w:val="21"/>
                <w:szCs w:val="21"/>
                <w:lang w:eastAsia="zh-CN"/>
                <w14:textFill>
                  <w14:solidFill>
                    <w14:schemeClr w14:val="tx1"/>
                  </w14:solidFill>
                </w14:textFill>
              </w:rPr>
              <w:t>较高</w:t>
            </w:r>
          </w:p>
        </w:tc>
        <w:tc>
          <w:tcPr>
            <w:tcW w:w="6199" w:type="dxa"/>
            <w:vAlign w:val="center"/>
          </w:tcPr>
          <w:p w14:paraId="59C3777B">
            <w:pPr>
              <w:widowControl/>
              <w:spacing w:line="380" w:lineRule="exact"/>
              <w:jc w:val="both"/>
              <w:textAlignment w:val="center"/>
              <w:rPr>
                <w:rFonts w:hint="eastAsia" w:ascii="宋体" w:hAnsi="宋体" w:eastAsia="宋体" w:cs="宋体"/>
                <w:color w:val="000000" w:themeColor="text1"/>
                <w:spacing w:val="0"/>
                <w:position w:val="0"/>
                <w:sz w:val="21"/>
                <w:szCs w:val="21"/>
                <w:lang w:val="zh-TW" w:eastAsia="zh-CN"/>
                <w14:textFill>
                  <w14:solidFill>
                    <w14:schemeClr w14:val="tx1"/>
                  </w14:solidFill>
                </w14:textFill>
              </w:rPr>
            </w:pPr>
            <w:r>
              <w:rPr>
                <w:rFonts w:hint="eastAsia" w:ascii="宋体" w:hAnsi="宋体" w:eastAsia="宋体" w:cs="宋体"/>
                <w:spacing w:val="0"/>
                <w:position w:val="0"/>
                <w:sz w:val="21"/>
                <w:szCs w:val="21"/>
              </w:rPr>
              <w:t>联苯菊酯、氯唑磷、丙溴磷、克百威、三唑磷、杀扑磷、水胺硫磷、氧乐果</w:t>
            </w:r>
            <w:r>
              <w:rPr>
                <w:rFonts w:hint="eastAsia" w:ascii="宋体" w:hAnsi="宋体" w:eastAsia="宋体" w:cs="宋体"/>
                <w:spacing w:val="0"/>
                <w:position w:val="0"/>
                <w:sz w:val="21"/>
                <w:szCs w:val="21"/>
                <w:lang w:eastAsia="zh-CN"/>
              </w:rPr>
              <w:t>、</w:t>
            </w:r>
            <w:r>
              <w:rPr>
                <w:rFonts w:hint="eastAsia" w:ascii="宋体" w:hAnsi="宋体" w:eastAsia="宋体" w:cs="宋体"/>
                <w:spacing w:val="0"/>
                <w:position w:val="0"/>
                <w:sz w:val="21"/>
                <w:szCs w:val="21"/>
              </w:rPr>
              <w:t>2, 4- 滴和2, 4- 滴钠盐、苯醚甲环唑、敌敌畏、氯氟氰菊酯和高效氯氟氰菊酯、乙酰甲胺磷</w:t>
            </w:r>
          </w:p>
        </w:tc>
        <w:tc>
          <w:tcPr>
            <w:tcW w:w="1367" w:type="dxa"/>
            <w:vAlign w:val="center"/>
          </w:tcPr>
          <w:p w14:paraId="2216994C">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5</w:t>
            </w:r>
          </w:p>
        </w:tc>
        <w:tc>
          <w:tcPr>
            <w:tcW w:w="1316" w:type="dxa"/>
            <w:vAlign w:val="center"/>
          </w:tcPr>
          <w:p w14:paraId="3FAFCDDD">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6BBD9C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52" w:hRule="atLeast"/>
        </w:trPr>
        <w:tc>
          <w:tcPr>
            <w:tcW w:w="726" w:type="dxa"/>
            <w:vMerge w:val="continue"/>
            <w:vAlign w:val="center"/>
          </w:tcPr>
          <w:p w14:paraId="4E8107E6">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7AF0ED78">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28F4BD70">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柑橘类水果（</w:t>
            </w:r>
            <w:r>
              <w:rPr>
                <w:rFonts w:hint="eastAsia" w:ascii="宋体" w:hAnsi="宋体" w:eastAsia="宋体" w:cs="宋体"/>
                <w:color w:val="000000" w:themeColor="text1"/>
                <w:spacing w:val="0"/>
                <w:position w:val="0"/>
                <w:sz w:val="21"/>
                <w:szCs w:val="21"/>
                <w:lang w:eastAsia="zh-CN"/>
                <w14:textFill>
                  <w14:solidFill>
                    <w14:schemeClr w14:val="tx1"/>
                  </w14:solidFill>
                </w14:textFill>
              </w:rPr>
              <w:t>柚</w:t>
            </w:r>
            <w:r>
              <w:rPr>
                <w:rFonts w:hint="eastAsia" w:ascii="宋体" w:hAnsi="宋体" w:eastAsia="宋体" w:cs="宋体"/>
                <w:color w:val="000000" w:themeColor="text1"/>
                <w:spacing w:val="0"/>
                <w:position w:val="0"/>
                <w:sz w:val="21"/>
                <w:szCs w:val="21"/>
                <w14:textFill>
                  <w14:solidFill>
                    <w14:schemeClr w14:val="tx1"/>
                  </w14:solidFill>
                </w14:textFill>
              </w:rPr>
              <w:t>）</w:t>
            </w:r>
          </w:p>
        </w:tc>
        <w:tc>
          <w:tcPr>
            <w:tcW w:w="892" w:type="dxa"/>
            <w:vAlign w:val="center"/>
          </w:tcPr>
          <w:p w14:paraId="6E1C2F63">
            <w:pPr>
              <w:widowControl/>
              <w:spacing w:line="280" w:lineRule="exact"/>
              <w:jc w:val="center"/>
              <w:textAlignment w:val="center"/>
              <w:rPr>
                <w:rFonts w:hint="eastAsia" w:ascii="宋体" w:hAnsi="宋体" w:eastAsia="宋体" w:cs="宋体"/>
                <w:color w:val="000000" w:themeColor="text1"/>
                <w:spacing w:val="0"/>
                <w:position w:val="0"/>
                <w:sz w:val="21"/>
                <w:szCs w:val="21"/>
                <w:lang w:eastAsia="zh-CN"/>
                <w14:textFill>
                  <w14:solidFill>
                    <w14:schemeClr w14:val="tx1"/>
                  </w14:solidFill>
                </w14:textFill>
              </w:rPr>
            </w:pPr>
            <w:r>
              <w:rPr>
                <w:rFonts w:hint="eastAsia" w:ascii="宋体" w:hAnsi="宋体" w:eastAsia="宋体" w:cs="宋体"/>
                <w:color w:val="000000" w:themeColor="text1"/>
                <w:spacing w:val="0"/>
                <w:position w:val="0"/>
                <w:sz w:val="21"/>
                <w:szCs w:val="21"/>
                <w:lang w:eastAsia="zh-CN"/>
                <w14:textFill>
                  <w14:solidFill>
                    <w14:schemeClr w14:val="tx1"/>
                  </w14:solidFill>
                </w14:textFill>
              </w:rPr>
              <w:t>较高</w:t>
            </w:r>
          </w:p>
        </w:tc>
        <w:tc>
          <w:tcPr>
            <w:tcW w:w="6199" w:type="dxa"/>
            <w:vAlign w:val="center"/>
          </w:tcPr>
          <w:p w14:paraId="60A965B6">
            <w:pPr>
              <w:widowControl/>
              <w:spacing w:line="380" w:lineRule="exact"/>
              <w:jc w:val="both"/>
              <w:textAlignment w:val="center"/>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氯唑磷、水胺硫磷、联苯菊酯、氯氟氰菊酯和高效氯氟氰菊酯、多菌灵、克百威</w:t>
            </w:r>
          </w:p>
        </w:tc>
        <w:tc>
          <w:tcPr>
            <w:tcW w:w="1367" w:type="dxa"/>
            <w:vAlign w:val="center"/>
          </w:tcPr>
          <w:p w14:paraId="10019EDD">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5</w:t>
            </w:r>
          </w:p>
        </w:tc>
        <w:tc>
          <w:tcPr>
            <w:tcW w:w="1316" w:type="dxa"/>
            <w:vAlign w:val="center"/>
          </w:tcPr>
          <w:p w14:paraId="41B5FDCC">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27F0B53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90" w:hRule="atLeast"/>
        </w:trPr>
        <w:tc>
          <w:tcPr>
            <w:tcW w:w="726" w:type="dxa"/>
            <w:vMerge w:val="continue"/>
            <w:vAlign w:val="center"/>
          </w:tcPr>
          <w:p w14:paraId="7D7C08C9">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65B5B491">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22BA2E54">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浆果和其他小型水果（猕猴桃）</w:t>
            </w:r>
          </w:p>
        </w:tc>
        <w:tc>
          <w:tcPr>
            <w:tcW w:w="892" w:type="dxa"/>
            <w:vAlign w:val="center"/>
          </w:tcPr>
          <w:p w14:paraId="41025149">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lang w:eastAsia="zh-CN"/>
                <w14:textFill>
                  <w14:solidFill>
                    <w14:schemeClr w14:val="tx1"/>
                  </w14:solidFill>
                </w14:textFill>
              </w:rPr>
              <w:t>较</w:t>
            </w:r>
            <w:r>
              <w:rPr>
                <w:rFonts w:hint="eastAsia" w:ascii="宋体" w:hAnsi="宋体" w:eastAsia="宋体" w:cs="宋体"/>
                <w:color w:val="000000" w:themeColor="text1"/>
                <w:spacing w:val="0"/>
                <w:position w:val="0"/>
                <w:sz w:val="21"/>
                <w:szCs w:val="21"/>
                <w14:textFill>
                  <w14:solidFill>
                    <w14:schemeClr w14:val="tx1"/>
                  </w14:solidFill>
                </w14:textFill>
              </w:rPr>
              <w:t>高</w:t>
            </w:r>
          </w:p>
        </w:tc>
        <w:tc>
          <w:tcPr>
            <w:tcW w:w="6199" w:type="dxa"/>
            <w:vAlign w:val="center"/>
          </w:tcPr>
          <w:p w14:paraId="551F0EC4">
            <w:pPr>
              <w:widowControl/>
              <w:spacing w:line="380" w:lineRule="exact"/>
              <w:jc w:val="both"/>
              <w:textAlignment w:val="center"/>
              <w:rPr>
                <w:rFonts w:hint="eastAsia" w:ascii="宋体" w:hAnsi="宋体" w:eastAsia="宋体" w:cs="宋体"/>
                <w:color w:val="000000" w:themeColor="text1"/>
                <w:spacing w:val="0"/>
                <w:position w:val="0"/>
                <w:sz w:val="21"/>
                <w:szCs w:val="21"/>
                <w:lang w:val="zh-TW" w:eastAsia="zh-CN"/>
                <w14:textFill>
                  <w14:solidFill>
                    <w14:schemeClr w14:val="tx1"/>
                  </w14:solidFill>
                </w14:textFill>
              </w:rPr>
            </w:pPr>
            <w:r>
              <w:rPr>
                <w:rFonts w:hint="eastAsia" w:ascii="宋体" w:hAnsi="宋体" w:eastAsia="宋体" w:cs="宋体"/>
                <w:spacing w:val="0"/>
                <w:position w:val="0"/>
                <w:sz w:val="21"/>
                <w:szCs w:val="21"/>
              </w:rPr>
              <w:t>氯吡脲</w:t>
            </w:r>
            <w:r>
              <w:rPr>
                <w:rFonts w:hint="eastAsia" w:ascii="宋体" w:hAnsi="宋体" w:eastAsia="宋体" w:cs="宋体"/>
                <w:spacing w:val="0"/>
                <w:position w:val="0"/>
                <w:sz w:val="21"/>
                <w:szCs w:val="21"/>
                <w:lang w:eastAsia="zh-CN"/>
              </w:rPr>
              <w:t>、</w:t>
            </w:r>
            <w:r>
              <w:rPr>
                <w:rFonts w:hint="eastAsia" w:ascii="宋体" w:hAnsi="宋体" w:eastAsia="宋体" w:cs="宋体"/>
                <w:spacing w:val="0"/>
                <w:position w:val="0"/>
                <w:sz w:val="21"/>
                <w:szCs w:val="21"/>
              </w:rPr>
              <w:t>敌敌畏、多菌灵、氧乐果</w:t>
            </w:r>
          </w:p>
        </w:tc>
        <w:tc>
          <w:tcPr>
            <w:tcW w:w="1367" w:type="dxa"/>
            <w:vAlign w:val="center"/>
          </w:tcPr>
          <w:p w14:paraId="149C4715">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16</w:t>
            </w:r>
          </w:p>
        </w:tc>
        <w:tc>
          <w:tcPr>
            <w:tcW w:w="1316" w:type="dxa"/>
            <w:vAlign w:val="center"/>
          </w:tcPr>
          <w:p w14:paraId="67FC2D1F">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07248B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8" w:hRule="atLeast"/>
        </w:trPr>
        <w:tc>
          <w:tcPr>
            <w:tcW w:w="726" w:type="dxa"/>
            <w:vMerge w:val="continue"/>
            <w:vAlign w:val="center"/>
          </w:tcPr>
          <w:p w14:paraId="2462BBCC">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44F9C60E">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3B4A411A">
            <w:pPr>
              <w:widowControl/>
              <w:spacing w:line="280" w:lineRule="exact"/>
              <w:jc w:val="center"/>
              <w:textAlignment w:val="center"/>
              <w:rPr>
                <w:rFonts w:hint="eastAsia" w:ascii="宋体" w:hAnsi="宋体" w:eastAsia="宋体" w:cs="宋体"/>
                <w:color w:val="000000" w:themeColor="text1"/>
                <w:spacing w:val="0"/>
                <w:kern w:val="2"/>
                <w:position w:val="0"/>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浆果和其他小型水果（</w:t>
            </w:r>
            <w:r>
              <w:rPr>
                <w:rFonts w:hint="eastAsia" w:ascii="宋体" w:hAnsi="宋体" w:eastAsia="宋体" w:cs="宋体"/>
                <w:spacing w:val="0"/>
                <w:position w:val="0"/>
                <w:sz w:val="21"/>
                <w:szCs w:val="21"/>
              </w:rPr>
              <w:t>桑葚</w:t>
            </w:r>
            <w:r>
              <w:rPr>
                <w:rFonts w:hint="eastAsia" w:ascii="宋体" w:hAnsi="宋体" w:eastAsia="宋体" w:cs="宋体"/>
                <w:color w:val="000000" w:themeColor="text1"/>
                <w:spacing w:val="0"/>
                <w:position w:val="0"/>
                <w:sz w:val="21"/>
                <w:szCs w:val="21"/>
                <w14:textFill>
                  <w14:solidFill>
                    <w14:schemeClr w14:val="tx1"/>
                  </w14:solidFill>
                </w14:textFill>
              </w:rPr>
              <w:t>）</w:t>
            </w:r>
          </w:p>
        </w:tc>
        <w:tc>
          <w:tcPr>
            <w:tcW w:w="892" w:type="dxa"/>
            <w:vAlign w:val="center"/>
          </w:tcPr>
          <w:p w14:paraId="1FB0A969">
            <w:pPr>
              <w:widowControl/>
              <w:spacing w:line="280" w:lineRule="exact"/>
              <w:jc w:val="center"/>
              <w:textAlignment w:val="center"/>
              <w:rPr>
                <w:rFonts w:hint="eastAsia" w:ascii="宋体" w:hAnsi="宋体" w:eastAsia="宋体" w:cs="宋体"/>
                <w:color w:val="000000" w:themeColor="text1"/>
                <w:spacing w:val="0"/>
                <w:kern w:val="2"/>
                <w:position w:val="0"/>
                <w:sz w:val="21"/>
                <w:szCs w:val="21"/>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1"/>
                <w:szCs w:val="21"/>
                <w:lang w:eastAsia="zh-CN"/>
                <w14:textFill>
                  <w14:solidFill>
                    <w14:schemeClr w14:val="tx1"/>
                  </w14:solidFill>
                </w14:textFill>
              </w:rPr>
              <w:t>较</w:t>
            </w:r>
            <w:r>
              <w:rPr>
                <w:rFonts w:hint="eastAsia" w:ascii="宋体" w:hAnsi="宋体" w:eastAsia="宋体" w:cs="宋体"/>
                <w:color w:val="000000" w:themeColor="text1"/>
                <w:spacing w:val="0"/>
                <w:position w:val="0"/>
                <w:sz w:val="21"/>
                <w:szCs w:val="21"/>
                <w14:textFill>
                  <w14:solidFill>
                    <w14:schemeClr w14:val="tx1"/>
                  </w14:solidFill>
                </w14:textFill>
              </w:rPr>
              <w:t>高</w:t>
            </w:r>
          </w:p>
        </w:tc>
        <w:tc>
          <w:tcPr>
            <w:tcW w:w="6199" w:type="dxa"/>
            <w:vAlign w:val="center"/>
          </w:tcPr>
          <w:p w14:paraId="2DB33DCE">
            <w:pPr>
              <w:widowControl/>
              <w:spacing w:line="380" w:lineRule="exact"/>
              <w:jc w:val="both"/>
              <w:textAlignment w:val="center"/>
              <w:rPr>
                <w:rFonts w:hint="eastAsia" w:ascii="宋体" w:hAnsi="宋体" w:eastAsia="宋体" w:cs="宋体"/>
                <w:color w:val="000000" w:themeColor="text1"/>
                <w:spacing w:val="0"/>
                <w:position w:val="0"/>
                <w:sz w:val="21"/>
                <w:szCs w:val="21"/>
                <w:lang w:val="zh-TW" w:eastAsia="zh-TW"/>
                <w14:textFill>
                  <w14:solidFill>
                    <w14:schemeClr w14:val="tx1"/>
                  </w14:solidFill>
                </w14:textFill>
              </w:rPr>
            </w:pPr>
            <w:r>
              <w:rPr>
                <w:rFonts w:hint="eastAsia" w:ascii="宋体" w:hAnsi="宋体" w:eastAsia="宋体" w:cs="宋体"/>
                <w:spacing w:val="0"/>
                <w:position w:val="0"/>
                <w:sz w:val="21"/>
                <w:szCs w:val="21"/>
              </w:rPr>
              <w:t>脱氢乙酸及其钠盐（以脱氢乙酸计）、糖精钠（以糖精计）、苯甲酸及其钠盐（以苯甲酸计）、山梨酸及其钾盐（以山梨酸计）、三氯蔗糖、甜蜜素（以环己基氨基磺酸计）、多菌灵</w:t>
            </w:r>
          </w:p>
        </w:tc>
        <w:tc>
          <w:tcPr>
            <w:tcW w:w="1367" w:type="dxa"/>
            <w:vAlign w:val="center"/>
          </w:tcPr>
          <w:p w14:paraId="191F17E0">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3</w:t>
            </w:r>
          </w:p>
        </w:tc>
        <w:tc>
          <w:tcPr>
            <w:tcW w:w="1316" w:type="dxa"/>
            <w:vAlign w:val="center"/>
          </w:tcPr>
          <w:p w14:paraId="722CF5C9">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60358AF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8" w:hRule="atLeast"/>
        </w:trPr>
        <w:tc>
          <w:tcPr>
            <w:tcW w:w="726" w:type="dxa"/>
            <w:vMerge w:val="continue"/>
            <w:vAlign w:val="center"/>
          </w:tcPr>
          <w:p w14:paraId="6052EB69">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263CC448">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29416106">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热带和亚热带水果（</w:t>
            </w:r>
            <w:r>
              <w:rPr>
                <w:rFonts w:hint="eastAsia" w:ascii="宋体" w:hAnsi="宋体" w:eastAsia="宋体" w:cs="宋体"/>
                <w:color w:val="000000" w:themeColor="text1"/>
                <w:spacing w:val="0"/>
                <w:position w:val="0"/>
                <w:sz w:val="21"/>
                <w:szCs w:val="21"/>
                <w:lang w:eastAsia="zh-CN"/>
                <w14:textFill>
                  <w14:solidFill>
                    <w14:schemeClr w14:val="tx1"/>
                  </w14:solidFill>
                </w14:textFill>
              </w:rPr>
              <w:t>荔枝</w:t>
            </w:r>
            <w:r>
              <w:rPr>
                <w:rFonts w:hint="eastAsia" w:ascii="宋体" w:hAnsi="宋体" w:eastAsia="宋体" w:cs="宋体"/>
                <w:color w:val="000000" w:themeColor="text1"/>
                <w:spacing w:val="0"/>
                <w:position w:val="0"/>
                <w:sz w:val="21"/>
                <w:szCs w:val="21"/>
                <w14:textFill>
                  <w14:solidFill>
                    <w14:schemeClr w14:val="tx1"/>
                  </w14:solidFill>
                </w14:textFill>
              </w:rPr>
              <w:t>）</w:t>
            </w:r>
          </w:p>
        </w:tc>
        <w:tc>
          <w:tcPr>
            <w:tcW w:w="892" w:type="dxa"/>
            <w:vAlign w:val="center"/>
          </w:tcPr>
          <w:p w14:paraId="75C1DF8C">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lang w:eastAsia="zh-CN"/>
                <w14:textFill>
                  <w14:solidFill>
                    <w14:schemeClr w14:val="tx1"/>
                  </w14:solidFill>
                </w14:textFill>
              </w:rPr>
              <w:t>较</w:t>
            </w:r>
            <w:r>
              <w:rPr>
                <w:rFonts w:hint="eastAsia" w:ascii="宋体" w:hAnsi="宋体" w:eastAsia="宋体" w:cs="宋体"/>
                <w:color w:val="000000" w:themeColor="text1"/>
                <w:spacing w:val="0"/>
                <w:position w:val="0"/>
                <w:sz w:val="21"/>
                <w:szCs w:val="21"/>
                <w14:textFill>
                  <w14:solidFill>
                    <w14:schemeClr w14:val="tx1"/>
                  </w14:solidFill>
                </w14:textFill>
              </w:rPr>
              <w:t>高</w:t>
            </w:r>
          </w:p>
        </w:tc>
        <w:tc>
          <w:tcPr>
            <w:tcW w:w="6199" w:type="dxa"/>
            <w:vAlign w:val="center"/>
          </w:tcPr>
          <w:p w14:paraId="342E3C75">
            <w:pPr>
              <w:widowControl/>
              <w:spacing w:line="380" w:lineRule="exact"/>
              <w:jc w:val="both"/>
              <w:textAlignment w:val="center"/>
              <w:rPr>
                <w:rFonts w:hint="eastAsia" w:ascii="宋体" w:hAnsi="宋体" w:eastAsia="宋体" w:cs="宋体"/>
                <w:color w:val="000000" w:themeColor="text1"/>
                <w:spacing w:val="0"/>
                <w:position w:val="0"/>
                <w:sz w:val="21"/>
                <w:szCs w:val="21"/>
                <w:lang w:val="zh-TW" w:eastAsia="zh-CN"/>
                <w14:textFill>
                  <w14:solidFill>
                    <w14:schemeClr w14:val="tx1"/>
                  </w14:solidFill>
                </w14:textFill>
              </w:rPr>
            </w:pPr>
            <w:r>
              <w:rPr>
                <w:rFonts w:hint="eastAsia" w:ascii="宋体" w:hAnsi="宋体" w:eastAsia="宋体" w:cs="宋体"/>
                <w:spacing w:val="0"/>
                <w:w w:val="99"/>
                <w:position w:val="0"/>
                <w:sz w:val="21"/>
                <w:szCs w:val="21"/>
              </w:rPr>
              <w:t>多菌灵、氧乐果、毒死蜱、苯醚甲环唑、氯氰菊酯和高效氯氰菊酯、氯氟氰菊酯和高效氯氟氰菊酯、吡唑醚菌酯、除虫脲、氰霜唑、氟吗啉、咪鲜胺和咪鲜胺锰盐、乐果</w:t>
            </w:r>
          </w:p>
        </w:tc>
        <w:tc>
          <w:tcPr>
            <w:tcW w:w="1367" w:type="dxa"/>
            <w:vAlign w:val="center"/>
          </w:tcPr>
          <w:p w14:paraId="2D5F4E33">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21</w:t>
            </w:r>
          </w:p>
        </w:tc>
        <w:tc>
          <w:tcPr>
            <w:tcW w:w="1316" w:type="dxa"/>
            <w:vAlign w:val="center"/>
          </w:tcPr>
          <w:p w14:paraId="29F6091C">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6A50CD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8" w:hRule="atLeast"/>
        </w:trPr>
        <w:tc>
          <w:tcPr>
            <w:tcW w:w="726" w:type="dxa"/>
            <w:vMerge w:val="continue"/>
            <w:vAlign w:val="center"/>
          </w:tcPr>
          <w:p w14:paraId="43BEDCEF">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7605916F">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4BB252E1">
            <w:pPr>
              <w:widowControl/>
              <w:spacing w:line="280" w:lineRule="exact"/>
              <w:jc w:val="center"/>
              <w:textAlignment w:val="center"/>
              <w:rPr>
                <w:rFonts w:hint="eastAsia" w:ascii="宋体" w:hAnsi="宋体" w:eastAsia="宋体" w:cs="宋体"/>
                <w:color w:val="FF0000"/>
                <w:spacing w:val="0"/>
                <w:position w:val="0"/>
                <w:sz w:val="21"/>
                <w:szCs w:val="21"/>
              </w:rPr>
            </w:pPr>
            <w:r>
              <w:rPr>
                <w:rFonts w:hint="eastAsia" w:ascii="宋体" w:hAnsi="宋体" w:eastAsia="宋体" w:cs="宋体"/>
                <w:color w:val="000000" w:themeColor="text1"/>
                <w:spacing w:val="0"/>
                <w:position w:val="0"/>
                <w:sz w:val="21"/>
                <w:szCs w:val="21"/>
                <w14:textFill>
                  <w14:solidFill>
                    <w14:schemeClr w14:val="tx1"/>
                  </w14:solidFill>
                </w14:textFill>
              </w:rPr>
              <w:t>热带和亚热带水果（</w:t>
            </w:r>
            <w:r>
              <w:rPr>
                <w:rFonts w:hint="eastAsia" w:ascii="宋体" w:hAnsi="宋体" w:eastAsia="宋体" w:cs="宋体"/>
                <w:color w:val="000000" w:themeColor="text1"/>
                <w:spacing w:val="0"/>
                <w:position w:val="0"/>
                <w:sz w:val="21"/>
                <w:szCs w:val="21"/>
                <w:lang w:eastAsia="zh-CN"/>
                <w14:textFill>
                  <w14:solidFill>
                    <w14:schemeClr w14:val="tx1"/>
                  </w14:solidFill>
                </w14:textFill>
              </w:rPr>
              <w:t>芒果</w:t>
            </w:r>
            <w:r>
              <w:rPr>
                <w:rFonts w:hint="eastAsia" w:ascii="宋体" w:hAnsi="宋体" w:eastAsia="宋体" w:cs="宋体"/>
                <w:color w:val="000000" w:themeColor="text1"/>
                <w:spacing w:val="0"/>
                <w:position w:val="0"/>
                <w:sz w:val="21"/>
                <w:szCs w:val="21"/>
                <w14:textFill>
                  <w14:solidFill>
                    <w14:schemeClr w14:val="tx1"/>
                  </w14:solidFill>
                </w14:textFill>
              </w:rPr>
              <w:t>）</w:t>
            </w:r>
          </w:p>
        </w:tc>
        <w:tc>
          <w:tcPr>
            <w:tcW w:w="892" w:type="dxa"/>
            <w:vAlign w:val="center"/>
          </w:tcPr>
          <w:p w14:paraId="207BF3DD">
            <w:pPr>
              <w:widowControl/>
              <w:spacing w:line="280" w:lineRule="exact"/>
              <w:jc w:val="center"/>
              <w:textAlignment w:val="center"/>
              <w:rPr>
                <w:rFonts w:hint="eastAsia" w:ascii="宋体" w:hAnsi="宋体" w:eastAsia="宋体" w:cs="宋体"/>
                <w:color w:val="FF0000"/>
                <w:spacing w:val="0"/>
                <w:position w:val="0"/>
                <w:sz w:val="21"/>
                <w:szCs w:val="21"/>
                <w:lang w:eastAsia="zh-CN"/>
              </w:rPr>
            </w:pPr>
            <w:r>
              <w:rPr>
                <w:rFonts w:hint="eastAsia" w:ascii="宋体" w:hAnsi="宋体" w:eastAsia="宋体" w:cs="宋体"/>
                <w:color w:val="000000" w:themeColor="text1"/>
                <w:spacing w:val="0"/>
                <w:position w:val="0"/>
                <w:sz w:val="21"/>
                <w:szCs w:val="21"/>
                <w:lang w:eastAsia="zh-CN"/>
                <w14:textFill>
                  <w14:solidFill>
                    <w14:schemeClr w14:val="tx1"/>
                  </w14:solidFill>
                </w14:textFill>
              </w:rPr>
              <w:t>较</w:t>
            </w:r>
            <w:r>
              <w:rPr>
                <w:rFonts w:hint="eastAsia" w:ascii="宋体" w:hAnsi="宋体" w:eastAsia="宋体" w:cs="宋体"/>
                <w:color w:val="000000" w:themeColor="text1"/>
                <w:spacing w:val="0"/>
                <w:position w:val="0"/>
                <w:sz w:val="21"/>
                <w:szCs w:val="21"/>
                <w14:textFill>
                  <w14:solidFill>
                    <w14:schemeClr w14:val="tx1"/>
                  </w14:solidFill>
                </w14:textFill>
              </w:rPr>
              <w:t>高</w:t>
            </w:r>
          </w:p>
        </w:tc>
        <w:tc>
          <w:tcPr>
            <w:tcW w:w="6199" w:type="dxa"/>
            <w:vAlign w:val="center"/>
          </w:tcPr>
          <w:p w14:paraId="5758249C">
            <w:pPr>
              <w:pStyle w:val="34"/>
              <w:spacing w:before="26"/>
              <w:ind w:left="15" w:right="-87"/>
              <w:jc w:val="left"/>
              <w:rPr>
                <w:rFonts w:hint="eastAsia" w:ascii="宋体" w:hAnsi="宋体" w:eastAsia="宋体" w:cs="宋体"/>
                <w:color w:val="FF0000"/>
                <w:spacing w:val="0"/>
                <w:position w:val="0"/>
                <w:sz w:val="21"/>
                <w:szCs w:val="21"/>
                <w:lang w:val="zh-TW" w:eastAsia="zh-TW"/>
              </w:rPr>
            </w:pPr>
            <w:r>
              <w:rPr>
                <w:rFonts w:hint="eastAsia" w:ascii="宋体" w:hAnsi="宋体" w:eastAsia="宋体" w:cs="宋体"/>
                <w:spacing w:val="0"/>
                <w:w w:val="95"/>
                <w:position w:val="0"/>
                <w:sz w:val="21"/>
                <w:szCs w:val="21"/>
              </w:rPr>
              <w:t>苯醚甲环唑、戊唑醇、氧乐果、吡唑醚菌酯、噻虫胺、乙酰甲胺磷、吡虫啉、噻虫嗪、噻嗪酮</w:t>
            </w:r>
          </w:p>
        </w:tc>
        <w:tc>
          <w:tcPr>
            <w:tcW w:w="1367" w:type="dxa"/>
            <w:vAlign w:val="center"/>
          </w:tcPr>
          <w:p w14:paraId="6B22F8E7">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21</w:t>
            </w:r>
          </w:p>
        </w:tc>
        <w:tc>
          <w:tcPr>
            <w:tcW w:w="1316" w:type="dxa"/>
            <w:vAlign w:val="center"/>
          </w:tcPr>
          <w:p w14:paraId="56315A09">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2F74A2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7" w:hRule="atLeast"/>
        </w:trPr>
        <w:tc>
          <w:tcPr>
            <w:tcW w:w="726" w:type="dxa"/>
            <w:vMerge w:val="continue"/>
            <w:vAlign w:val="center"/>
          </w:tcPr>
          <w:p w14:paraId="3A8077B3">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75511A1D">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2173F351">
            <w:pPr>
              <w:widowControl/>
              <w:spacing w:line="280" w:lineRule="exact"/>
              <w:jc w:val="center"/>
              <w:textAlignment w:val="center"/>
              <w:rPr>
                <w:rFonts w:hint="eastAsia" w:ascii="宋体" w:hAnsi="宋体" w:eastAsia="宋体" w:cs="宋体"/>
                <w:color w:val="000000" w:themeColor="text1"/>
                <w:spacing w:val="0"/>
                <w:position w:val="0"/>
                <w:sz w:val="21"/>
                <w:szCs w:val="21"/>
                <w:lang w:val="zh-TW" w:eastAsia="zh-TW"/>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热带和亚热带水果（</w:t>
            </w:r>
            <w:r>
              <w:rPr>
                <w:rFonts w:hint="eastAsia" w:ascii="宋体" w:hAnsi="宋体" w:eastAsia="宋体" w:cs="宋体"/>
                <w:color w:val="000000" w:themeColor="text1"/>
                <w:spacing w:val="0"/>
                <w:position w:val="0"/>
                <w:sz w:val="21"/>
                <w:szCs w:val="21"/>
                <w:lang w:eastAsia="zh-CN"/>
                <w14:textFill>
                  <w14:solidFill>
                    <w14:schemeClr w14:val="tx1"/>
                  </w14:solidFill>
                </w14:textFill>
              </w:rPr>
              <w:t>香蕉</w:t>
            </w:r>
            <w:r>
              <w:rPr>
                <w:rFonts w:hint="eastAsia" w:ascii="宋体" w:hAnsi="宋体" w:eastAsia="宋体" w:cs="宋体"/>
                <w:color w:val="000000" w:themeColor="text1"/>
                <w:spacing w:val="0"/>
                <w:position w:val="0"/>
                <w:sz w:val="21"/>
                <w:szCs w:val="21"/>
                <w14:textFill>
                  <w14:solidFill>
                    <w14:schemeClr w14:val="tx1"/>
                  </w14:solidFill>
                </w14:textFill>
              </w:rPr>
              <w:t>）</w:t>
            </w:r>
          </w:p>
        </w:tc>
        <w:tc>
          <w:tcPr>
            <w:tcW w:w="892" w:type="dxa"/>
            <w:vAlign w:val="center"/>
          </w:tcPr>
          <w:p w14:paraId="5CD2568A">
            <w:pPr>
              <w:widowControl/>
              <w:spacing w:line="280" w:lineRule="exact"/>
              <w:jc w:val="center"/>
              <w:textAlignment w:val="center"/>
              <w:rPr>
                <w:rFonts w:hint="eastAsia" w:ascii="宋体" w:hAnsi="宋体" w:eastAsia="宋体" w:cs="宋体"/>
                <w:color w:val="000000" w:themeColor="text1"/>
                <w:spacing w:val="0"/>
                <w:position w:val="0"/>
                <w:sz w:val="21"/>
                <w:szCs w:val="21"/>
                <w:lang w:eastAsia="zh-CN"/>
                <w14:textFill>
                  <w14:solidFill>
                    <w14:schemeClr w14:val="tx1"/>
                  </w14:solidFill>
                </w14:textFill>
              </w:rPr>
            </w:pPr>
            <w:r>
              <w:rPr>
                <w:rFonts w:hint="eastAsia" w:ascii="宋体" w:hAnsi="宋体" w:eastAsia="宋体" w:cs="宋体"/>
                <w:color w:val="000000" w:themeColor="text1"/>
                <w:spacing w:val="0"/>
                <w:position w:val="0"/>
                <w:sz w:val="21"/>
                <w:szCs w:val="21"/>
                <w:lang w:eastAsia="zh-CN"/>
                <w14:textFill>
                  <w14:solidFill>
                    <w14:schemeClr w14:val="tx1"/>
                  </w14:solidFill>
                </w14:textFill>
              </w:rPr>
              <w:t>较高</w:t>
            </w:r>
          </w:p>
        </w:tc>
        <w:tc>
          <w:tcPr>
            <w:tcW w:w="6199" w:type="dxa"/>
            <w:vAlign w:val="center"/>
          </w:tcPr>
          <w:p w14:paraId="7D4B167D">
            <w:pPr>
              <w:widowControl/>
              <w:spacing w:line="380" w:lineRule="exact"/>
              <w:jc w:val="both"/>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spacing w:val="0"/>
                <w:w w:val="99"/>
                <w:position w:val="0"/>
                <w:sz w:val="21"/>
                <w:szCs w:val="21"/>
              </w:rPr>
              <w:t>苯醚甲环唑、吡唑醚菌酯、多菌灵、氟虫腈、甲拌磷、腈苯唑、吡虫啉、噻虫胺、噻虫嗪、联苯菊酯、烯唑醇、百菌清、噻唑膦、氟唑菌酰胺</w:t>
            </w:r>
          </w:p>
        </w:tc>
        <w:tc>
          <w:tcPr>
            <w:tcW w:w="1367" w:type="dxa"/>
            <w:vAlign w:val="center"/>
          </w:tcPr>
          <w:p w14:paraId="5AED9A2B">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21</w:t>
            </w:r>
          </w:p>
        </w:tc>
        <w:tc>
          <w:tcPr>
            <w:tcW w:w="1316" w:type="dxa"/>
            <w:vAlign w:val="center"/>
          </w:tcPr>
          <w:p w14:paraId="06776314">
            <w:pPr>
              <w:widowControl/>
              <w:spacing w:line="280" w:lineRule="exact"/>
              <w:jc w:val="left"/>
              <w:rPr>
                <w:rFonts w:hint="eastAsia" w:ascii="宋体" w:hAnsi="宋体" w:eastAsia="宋体" w:cs="宋体"/>
                <w:color w:val="000000" w:themeColor="text1"/>
                <w:spacing w:val="0"/>
                <w:position w:val="0"/>
                <w:sz w:val="21"/>
                <w:szCs w:val="21"/>
                <w:lang w:val="zh-TW" w:eastAsia="zh-TW"/>
                <w14:textFill>
                  <w14:solidFill>
                    <w14:schemeClr w14:val="tx1"/>
                  </w14:solidFill>
                </w14:textFill>
              </w:rPr>
            </w:pPr>
          </w:p>
        </w:tc>
      </w:tr>
      <w:tr w14:paraId="50E78E9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7" w:hRule="atLeast"/>
        </w:trPr>
        <w:tc>
          <w:tcPr>
            <w:tcW w:w="726" w:type="dxa"/>
            <w:vMerge w:val="continue"/>
            <w:vAlign w:val="center"/>
          </w:tcPr>
          <w:p w14:paraId="45A00443">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2F721799">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7A019994">
            <w:pPr>
              <w:widowControl/>
              <w:spacing w:line="280" w:lineRule="exact"/>
              <w:jc w:val="center"/>
              <w:textAlignment w:val="center"/>
              <w:rPr>
                <w:rFonts w:hint="eastAsia" w:ascii="宋体" w:hAnsi="宋体" w:eastAsia="宋体" w:cs="宋体"/>
                <w:color w:val="000000" w:themeColor="text1"/>
                <w:spacing w:val="0"/>
                <w:position w:val="0"/>
                <w:sz w:val="21"/>
                <w:szCs w:val="21"/>
                <w:lang w:val="zh-TW" w:eastAsia="zh-TW"/>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热带和亚热带水果（</w:t>
            </w:r>
            <w:r>
              <w:rPr>
                <w:rFonts w:hint="eastAsia" w:ascii="宋体" w:hAnsi="宋体" w:eastAsia="宋体" w:cs="宋体"/>
                <w:color w:val="000000" w:themeColor="text1"/>
                <w:spacing w:val="0"/>
                <w:position w:val="0"/>
                <w:sz w:val="21"/>
                <w:szCs w:val="21"/>
                <w:lang w:eastAsia="zh-CN"/>
                <w14:textFill>
                  <w14:solidFill>
                    <w14:schemeClr w14:val="tx1"/>
                  </w14:solidFill>
                </w14:textFill>
              </w:rPr>
              <w:t>杨梅</w:t>
            </w:r>
            <w:r>
              <w:rPr>
                <w:rFonts w:hint="eastAsia" w:ascii="宋体" w:hAnsi="宋体" w:eastAsia="宋体" w:cs="宋体"/>
                <w:color w:val="000000" w:themeColor="text1"/>
                <w:spacing w:val="0"/>
                <w:position w:val="0"/>
                <w:sz w:val="21"/>
                <w:szCs w:val="21"/>
                <w14:textFill>
                  <w14:solidFill>
                    <w14:schemeClr w14:val="tx1"/>
                  </w14:solidFill>
                </w14:textFill>
              </w:rPr>
              <w:t>）</w:t>
            </w:r>
          </w:p>
        </w:tc>
        <w:tc>
          <w:tcPr>
            <w:tcW w:w="892" w:type="dxa"/>
            <w:vAlign w:val="center"/>
          </w:tcPr>
          <w:p w14:paraId="2297E360">
            <w:pPr>
              <w:widowControl/>
              <w:spacing w:line="280" w:lineRule="exact"/>
              <w:jc w:val="center"/>
              <w:textAlignment w:val="center"/>
              <w:rPr>
                <w:rFonts w:hint="eastAsia" w:ascii="宋体" w:hAnsi="宋体" w:eastAsia="宋体" w:cs="宋体"/>
                <w:color w:val="000000" w:themeColor="text1"/>
                <w:spacing w:val="0"/>
                <w:position w:val="0"/>
                <w:sz w:val="21"/>
                <w:szCs w:val="21"/>
                <w:lang w:eastAsia="zh-CN"/>
                <w14:textFill>
                  <w14:solidFill>
                    <w14:schemeClr w14:val="tx1"/>
                  </w14:solidFill>
                </w14:textFill>
              </w:rPr>
            </w:pPr>
            <w:r>
              <w:rPr>
                <w:rFonts w:hint="eastAsia" w:ascii="宋体" w:hAnsi="宋体" w:eastAsia="宋体" w:cs="宋体"/>
                <w:color w:val="000000" w:themeColor="text1"/>
                <w:spacing w:val="0"/>
                <w:position w:val="0"/>
                <w:sz w:val="21"/>
                <w:szCs w:val="21"/>
                <w:lang w:eastAsia="zh-CN"/>
                <w14:textFill>
                  <w14:solidFill>
                    <w14:schemeClr w14:val="tx1"/>
                  </w14:solidFill>
                </w14:textFill>
              </w:rPr>
              <w:t>较高</w:t>
            </w:r>
          </w:p>
        </w:tc>
        <w:tc>
          <w:tcPr>
            <w:tcW w:w="6199" w:type="dxa"/>
            <w:vAlign w:val="center"/>
          </w:tcPr>
          <w:p w14:paraId="1F8A075D">
            <w:pPr>
              <w:pStyle w:val="34"/>
              <w:spacing w:before="44"/>
              <w:ind w:left="3" w:right="-15"/>
              <w:jc w:val="both"/>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spacing w:val="0"/>
                <w:w w:val="95"/>
                <w:position w:val="0"/>
                <w:sz w:val="21"/>
                <w:szCs w:val="21"/>
              </w:rPr>
              <w:t>脱氢乙酸及其钠盐（以脱氢乙酸计）、苯甲酸及其钠盐（以苯甲酸计）、山梨酸及其钾</w:t>
            </w:r>
            <w:r>
              <w:rPr>
                <w:rFonts w:hint="eastAsia" w:ascii="宋体" w:hAnsi="宋体" w:eastAsia="宋体" w:cs="宋体"/>
                <w:spacing w:val="0"/>
                <w:w w:val="99"/>
                <w:position w:val="0"/>
                <w:sz w:val="21"/>
                <w:szCs w:val="21"/>
              </w:rPr>
              <w:t>盐（以山梨酸计）、糖精钠（以糖精计）、三氯蔗糖、甜蜜素（以环己基氨基磺酸计）敌敌畏、氧乐果、啶虫脒</w:t>
            </w:r>
          </w:p>
        </w:tc>
        <w:tc>
          <w:tcPr>
            <w:tcW w:w="1367" w:type="dxa"/>
            <w:vAlign w:val="center"/>
          </w:tcPr>
          <w:p w14:paraId="6D0AA29B">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9</w:t>
            </w:r>
          </w:p>
        </w:tc>
        <w:tc>
          <w:tcPr>
            <w:tcW w:w="1316" w:type="dxa"/>
            <w:vAlign w:val="center"/>
          </w:tcPr>
          <w:p w14:paraId="223D1749">
            <w:pPr>
              <w:widowControl/>
              <w:spacing w:line="280" w:lineRule="exact"/>
              <w:jc w:val="left"/>
              <w:rPr>
                <w:rFonts w:hint="eastAsia" w:ascii="宋体" w:hAnsi="宋体" w:eastAsia="宋体" w:cs="宋体"/>
                <w:color w:val="000000" w:themeColor="text1"/>
                <w:spacing w:val="0"/>
                <w:position w:val="0"/>
                <w:sz w:val="21"/>
                <w:szCs w:val="21"/>
                <w:lang w:val="zh-TW" w:eastAsia="zh-TW"/>
                <w14:textFill>
                  <w14:solidFill>
                    <w14:schemeClr w14:val="tx1"/>
                  </w14:solidFill>
                </w14:textFill>
              </w:rPr>
            </w:pPr>
          </w:p>
        </w:tc>
      </w:tr>
      <w:tr w14:paraId="75CAEC7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7" w:hRule="atLeast"/>
        </w:trPr>
        <w:tc>
          <w:tcPr>
            <w:tcW w:w="726" w:type="dxa"/>
            <w:vMerge w:val="continue"/>
            <w:vAlign w:val="center"/>
          </w:tcPr>
          <w:p w14:paraId="75792C70">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6023CCB1">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17E6A1A7">
            <w:pPr>
              <w:widowControl/>
              <w:spacing w:line="280" w:lineRule="exact"/>
              <w:jc w:val="center"/>
              <w:textAlignment w:val="center"/>
              <w:rPr>
                <w:rFonts w:hint="eastAsia" w:ascii="宋体" w:hAnsi="宋体" w:eastAsia="宋体" w:cs="宋体"/>
                <w:color w:val="000000" w:themeColor="text1"/>
                <w:spacing w:val="0"/>
                <w:position w:val="0"/>
                <w:sz w:val="21"/>
                <w:szCs w:val="21"/>
                <w:lang w:val="zh-TW" w:eastAsia="zh-TW"/>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热带和亚热带水果（</w:t>
            </w:r>
            <w:r>
              <w:rPr>
                <w:rFonts w:hint="eastAsia" w:ascii="宋体" w:hAnsi="宋体" w:eastAsia="宋体" w:cs="宋体"/>
                <w:color w:val="000000" w:themeColor="text1"/>
                <w:spacing w:val="0"/>
                <w:position w:val="0"/>
                <w:sz w:val="21"/>
                <w:szCs w:val="21"/>
                <w:lang w:eastAsia="zh-CN"/>
                <w14:textFill>
                  <w14:solidFill>
                    <w14:schemeClr w14:val="tx1"/>
                  </w14:solidFill>
                </w14:textFill>
              </w:rPr>
              <w:t>龙眼</w:t>
            </w:r>
            <w:r>
              <w:rPr>
                <w:rFonts w:hint="eastAsia" w:ascii="宋体" w:hAnsi="宋体" w:eastAsia="宋体" w:cs="宋体"/>
                <w:color w:val="000000" w:themeColor="text1"/>
                <w:spacing w:val="0"/>
                <w:position w:val="0"/>
                <w:sz w:val="21"/>
                <w:szCs w:val="21"/>
                <w14:textFill>
                  <w14:solidFill>
                    <w14:schemeClr w14:val="tx1"/>
                  </w14:solidFill>
                </w14:textFill>
              </w:rPr>
              <w:t>）</w:t>
            </w:r>
          </w:p>
        </w:tc>
        <w:tc>
          <w:tcPr>
            <w:tcW w:w="892" w:type="dxa"/>
            <w:vAlign w:val="center"/>
          </w:tcPr>
          <w:p w14:paraId="4DF8E400">
            <w:pPr>
              <w:widowControl/>
              <w:spacing w:line="280" w:lineRule="exact"/>
              <w:jc w:val="center"/>
              <w:textAlignment w:val="center"/>
              <w:rPr>
                <w:rFonts w:hint="eastAsia" w:ascii="宋体" w:hAnsi="宋体" w:eastAsia="宋体" w:cs="宋体"/>
                <w:color w:val="000000" w:themeColor="text1"/>
                <w:spacing w:val="0"/>
                <w:position w:val="0"/>
                <w:sz w:val="21"/>
                <w:szCs w:val="21"/>
                <w:lang w:eastAsia="zh-CN"/>
                <w14:textFill>
                  <w14:solidFill>
                    <w14:schemeClr w14:val="tx1"/>
                  </w14:solidFill>
                </w14:textFill>
              </w:rPr>
            </w:pPr>
            <w:r>
              <w:rPr>
                <w:rFonts w:hint="eastAsia" w:ascii="宋体" w:hAnsi="宋体" w:eastAsia="宋体" w:cs="宋体"/>
                <w:color w:val="000000" w:themeColor="text1"/>
                <w:spacing w:val="0"/>
                <w:position w:val="0"/>
                <w:sz w:val="21"/>
                <w:szCs w:val="21"/>
                <w:lang w:eastAsia="zh-CN"/>
                <w14:textFill>
                  <w14:solidFill>
                    <w14:schemeClr w14:val="tx1"/>
                  </w14:solidFill>
                </w14:textFill>
              </w:rPr>
              <w:t>较高</w:t>
            </w:r>
          </w:p>
        </w:tc>
        <w:tc>
          <w:tcPr>
            <w:tcW w:w="6199" w:type="dxa"/>
            <w:vAlign w:val="center"/>
          </w:tcPr>
          <w:p w14:paraId="7349EAC1">
            <w:pPr>
              <w:widowControl/>
              <w:spacing w:line="380" w:lineRule="exact"/>
              <w:jc w:val="both"/>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spacing w:val="0"/>
                <w:w w:val="95"/>
                <w:position w:val="0"/>
                <w:sz w:val="21"/>
                <w:szCs w:val="21"/>
              </w:rPr>
              <w:t>二氧化硫残留量、克百威、氯氰菊酯和高效氯氰菊酯、氧乐果</w:t>
            </w:r>
          </w:p>
        </w:tc>
        <w:tc>
          <w:tcPr>
            <w:tcW w:w="1367" w:type="dxa"/>
            <w:vAlign w:val="center"/>
          </w:tcPr>
          <w:p w14:paraId="77CE9979">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2</w:t>
            </w:r>
          </w:p>
        </w:tc>
        <w:tc>
          <w:tcPr>
            <w:tcW w:w="1316" w:type="dxa"/>
            <w:vAlign w:val="center"/>
          </w:tcPr>
          <w:p w14:paraId="3B2DB5D2">
            <w:pPr>
              <w:widowControl/>
              <w:spacing w:line="280" w:lineRule="exact"/>
              <w:jc w:val="left"/>
              <w:rPr>
                <w:rFonts w:hint="eastAsia" w:ascii="宋体" w:hAnsi="宋体" w:eastAsia="宋体" w:cs="宋体"/>
                <w:color w:val="000000" w:themeColor="text1"/>
                <w:spacing w:val="0"/>
                <w:position w:val="0"/>
                <w:sz w:val="21"/>
                <w:szCs w:val="21"/>
                <w:lang w:val="zh-TW" w:eastAsia="zh-TW"/>
                <w14:textFill>
                  <w14:solidFill>
                    <w14:schemeClr w14:val="tx1"/>
                  </w14:solidFill>
                </w14:textFill>
              </w:rPr>
            </w:pPr>
          </w:p>
        </w:tc>
      </w:tr>
      <w:tr w14:paraId="2DCE31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7" w:hRule="atLeast"/>
        </w:trPr>
        <w:tc>
          <w:tcPr>
            <w:tcW w:w="726" w:type="dxa"/>
            <w:vMerge w:val="continue"/>
            <w:vAlign w:val="center"/>
          </w:tcPr>
          <w:p w14:paraId="039118F0">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396093CF">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2524A503">
            <w:pPr>
              <w:widowControl/>
              <w:spacing w:line="280" w:lineRule="exact"/>
              <w:jc w:val="center"/>
              <w:textAlignment w:val="center"/>
              <w:rPr>
                <w:rFonts w:hint="eastAsia" w:ascii="宋体" w:hAnsi="宋体" w:eastAsia="宋体" w:cs="宋体"/>
                <w:color w:val="000000" w:themeColor="text1"/>
                <w:spacing w:val="0"/>
                <w:position w:val="0"/>
                <w:sz w:val="21"/>
                <w:szCs w:val="21"/>
                <w:lang w:val="zh-TW" w:eastAsia="zh-TW"/>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热带和亚热带水果（</w:t>
            </w:r>
            <w:r>
              <w:rPr>
                <w:rFonts w:hint="eastAsia" w:ascii="宋体" w:hAnsi="宋体" w:eastAsia="宋体" w:cs="宋体"/>
                <w:color w:val="000000" w:themeColor="text1"/>
                <w:spacing w:val="0"/>
                <w:position w:val="0"/>
                <w:sz w:val="21"/>
                <w:szCs w:val="21"/>
                <w:lang w:eastAsia="zh-CN"/>
                <w14:textFill>
                  <w14:solidFill>
                    <w14:schemeClr w14:val="tx1"/>
                  </w14:solidFill>
                </w14:textFill>
              </w:rPr>
              <w:t>番木瓜</w:t>
            </w:r>
            <w:r>
              <w:rPr>
                <w:rFonts w:hint="eastAsia" w:ascii="宋体" w:hAnsi="宋体" w:eastAsia="宋体" w:cs="宋体"/>
                <w:color w:val="000000" w:themeColor="text1"/>
                <w:spacing w:val="0"/>
                <w:position w:val="0"/>
                <w:sz w:val="21"/>
                <w:szCs w:val="21"/>
                <w14:textFill>
                  <w14:solidFill>
                    <w14:schemeClr w14:val="tx1"/>
                  </w14:solidFill>
                </w14:textFill>
              </w:rPr>
              <w:t>）</w:t>
            </w:r>
          </w:p>
        </w:tc>
        <w:tc>
          <w:tcPr>
            <w:tcW w:w="892" w:type="dxa"/>
            <w:vAlign w:val="center"/>
          </w:tcPr>
          <w:p w14:paraId="6F02C295">
            <w:pPr>
              <w:widowControl/>
              <w:spacing w:line="280" w:lineRule="exact"/>
              <w:jc w:val="center"/>
              <w:textAlignment w:val="center"/>
              <w:rPr>
                <w:rFonts w:hint="eastAsia" w:ascii="宋体" w:hAnsi="宋体" w:eastAsia="宋体" w:cs="宋体"/>
                <w:color w:val="000000" w:themeColor="text1"/>
                <w:spacing w:val="0"/>
                <w:position w:val="0"/>
                <w:sz w:val="21"/>
                <w:szCs w:val="21"/>
                <w:lang w:eastAsia="zh-CN"/>
                <w14:textFill>
                  <w14:solidFill>
                    <w14:schemeClr w14:val="tx1"/>
                  </w14:solidFill>
                </w14:textFill>
              </w:rPr>
            </w:pPr>
            <w:r>
              <w:rPr>
                <w:rFonts w:hint="eastAsia" w:ascii="宋体" w:hAnsi="宋体" w:eastAsia="宋体" w:cs="宋体"/>
                <w:color w:val="000000" w:themeColor="text1"/>
                <w:spacing w:val="0"/>
                <w:position w:val="0"/>
                <w:sz w:val="21"/>
                <w:szCs w:val="21"/>
                <w:lang w:eastAsia="zh-CN"/>
                <w14:textFill>
                  <w14:solidFill>
                    <w14:schemeClr w14:val="tx1"/>
                  </w14:solidFill>
                </w14:textFill>
              </w:rPr>
              <w:t>较高</w:t>
            </w:r>
          </w:p>
        </w:tc>
        <w:tc>
          <w:tcPr>
            <w:tcW w:w="6199" w:type="dxa"/>
            <w:vAlign w:val="center"/>
          </w:tcPr>
          <w:p w14:paraId="7D6B42BA">
            <w:pPr>
              <w:widowControl/>
              <w:spacing w:line="380" w:lineRule="exact"/>
              <w:jc w:val="both"/>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spacing w:val="0"/>
                <w:w w:val="95"/>
                <w:position w:val="0"/>
                <w:sz w:val="21"/>
                <w:szCs w:val="21"/>
              </w:rPr>
              <w:t>噻虫胺、噻虫嗪、乙酰甲胺磷</w:t>
            </w:r>
          </w:p>
        </w:tc>
        <w:tc>
          <w:tcPr>
            <w:tcW w:w="1367" w:type="dxa"/>
            <w:vAlign w:val="center"/>
          </w:tcPr>
          <w:p w14:paraId="75105A39">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2</w:t>
            </w:r>
          </w:p>
        </w:tc>
        <w:tc>
          <w:tcPr>
            <w:tcW w:w="1316" w:type="dxa"/>
            <w:vAlign w:val="center"/>
          </w:tcPr>
          <w:p w14:paraId="6521CA62">
            <w:pPr>
              <w:widowControl/>
              <w:spacing w:line="280" w:lineRule="exact"/>
              <w:jc w:val="left"/>
              <w:rPr>
                <w:rFonts w:hint="eastAsia" w:ascii="宋体" w:hAnsi="宋体" w:eastAsia="宋体" w:cs="宋体"/>
                <w:color w:val="000000" w:themeColor="text1"/>
                <w:spacing w:val="0"/>
                <w:position w:val="0"/>
                <w:sz w:val="21"/>
                <w:szCs w:val="21"/>
                <w:lang w:val="zh-TW" w:eastAsia="zh-TW"/>
                <w14:textFill>
                  <w14:solidFill>
                    <w14:schemeClr w14:val="tx1"/>
                  </w14:solidFill>
                </w14:textFill>
              </w:rPr>
            </w:pPr>
          </w:p>
        </w:tc>
      </w:tr>
      <w:tr w14:paraId="2C038AE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7" w:hRule="atLeast"/>
        </w:trPr>
        <w:tc>
          <w:tcPr>
            <w:tcW w:w="726" w:type="dxa"/>
            <w:vMerge w:val="continue"/>
            <w:vAlign w:val="center"/>
          </w:tcPr>
          <w:p w14:paraId="7A65ED99">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29BC4832">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141D70DF">
            <w:pPr>
              <w:widowControl/>
              <w:spacing w:line="280" w:lineRule="exact"/>
              <w:jc w:val="center"/>
              <w:textAlignment w:val="center"/>
              <w:rPr>
                <w:rFonts w:hint="eastAsia" w:ascii="宋体" w:hAnsi="宋体" w:eastAsia="宋体" w:cs="宋体"/>
                <w:color w:val="000000" w:themeColor="text1"/>
                <w:spacing w:val="0"/>
                <w:position w:val="0"/>
                <w:sz w:val="21"/>
                <w:szCs w:val="21"/>
                <w:lang w:val="zh-TW"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zh-TW" w:eastAsia="zh-CN"/>
                <w14:textFill>
                  <w14:solidFill>
                    <w14:schemeClr w14:val="tx1"/>
                  </w14:solidFill>
                </w14:textFill>
              </w:rPr>
              <w:t>鲜蛋（鸡蛋）</w:t>
            </w:r>
          </w:p>
        </w:tc>
        <w:tc>
          <w:tcPr>
            <w:tcW w:w="892" w:type="dxa"/>
            <w:vAlign w:val="center"/>
          </w:tcPr>
          <w:p w14:paraId="6502B831">
            <w:pPr>
              <w:widowControl/>
              <w:spacing w:line="280" w:lineRule="exact"/>
              <w:jc w:val="center"/>
              <w:textAlignment w:val="center"/>
              <w:rPr>
                <w:rFonts w:hint="eastAsia" w:ascii="宋体" w:hAnsi="宋体" w:eastAsia="宋体" w:cs="宋体"/>
                <w:color w:val="000000" w:themeColor="text1"/>
                <w:spacing w:val="0"/>
                <w:position w:val="0"/>
                <w:sz w:val="21"/>
                <w:szCs w:val="21"/>
                <w:lang w:eastAsia="zh-CN"/>
                <w14:textFill>
                  <w14:solidFill>
                    <w14:schemeClr w14:val="tx1"/>
                  </w14:solidFill>
                </w14:textFill>
              </w:rPr>
            </w:pPr>
            <w:r>
              <w:rPr>
                <w:rFonts w:hint="eastAsia" w:ascii="宋体" w:hAnsi="宋体" w:eastAsia="宋体" w:cs="宋体"/>
                <w:color w:val="000000" w:themeColor="text1"/>
                <w:spacing w:val="0"/>
                <w:position w:val="0"/>
                <w:sz w:val="21"/>
                <w:szCs w:val="21"/>
                <w:lang w:eastAsia="zh-CN"/>
                <w14:textFill>
                  <w14:solidFill>
                    <w14:schemeClr w14:val="tx1"/>
                  </w14:solidFill>
                </w14:textFill>
              </w:rPr>
              <w:t>高</w:t>
            </w:r>
          </w:p>
        </w:tc>
        <w:tc>
          <w:tcPr>
            <w:tcW w:w="6199" w:type="dxa"/>
            <w:vAlign w:val="center"/>
          </w:tcPr>
          <w:p w14:paraId="3398CC38">
            <w:pPr>
              <w:pStyle w:val="34"/>
              <w:spacing w:before="44"/>
              <w:ind w:left="3" w:right="-15"/>
              <w:jc w:val="both"/>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spacing w:val="0"/>
                <w:w w:val="95"/>
                <w:position w:val="0"/>
                <w:sz w:val="21"/>
                <w:szCs w:val="21"/>
              </w:rPr>
              <w:t>甲硝唑、地美硝唑、呋喃唑酮代谢物、氟虫腈、氯霉素、氟苯尼考、甲砜霉素、恩诺沙</w:t>
            </w:r>
            <w:r>
              <w:rPr>
                <w:rFonts w:hint="eastAsia" w:ascii="宋体" w:hAnsi="宋体" w:eastAsia="宋体" w:cs="宋体"/>
                <w:spacing w:val="0"/>
                <w:w w:val="99"/>
                <w:position w:val="0"/>
                <w:sz w:val="21"/>
                <w:szCs w:val="21"/>
              </w:rPr>
              <w:t>星、氧氟沙星、沙拉沙星、甲氧苄啶、磺胺类（总量）、多西环素、地克珠利、托曲珠利</w:t>
            </w:r>
          </w:p>
        </w:tc>
        <w:tc>
          <w:tcPr>
            <w:tcW w:w="1367" w:type="dxa"/>
            <w:vAlign w:val="center"/>
          </w:tcPr>
          <w:p w14:paraId="671B3BEE">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20</w:t>
            </w:r>
          </w:p>
        </w:tc>
        <w:tc>
          <w:tcPr>
            <w:tcW w:w="1316" w:type="dxa"/>
            <w:vAlign w:val="center"/>
          </w:tcPr>
          <w:p w14:paraId="1C2EEC9E">
            <w:pPr>
              <w:widowControl/>
              <w:spacing w:line="280" w:lineRule="exact"/>
              <w:jc w:val="left"/>
              <w:rPr>
                <w:rFonts w:hint="eastAsia" w:ascii="宋体" w:hAnsi="宋体" w:eastAsia="宋体" w:cs="宋体"/>
                <w:color w:val="000000" w:themeColor="text1"/>
                <w:spacing w:val="0"/>
                <w:position w:val="0"/>
                <w:sz w:val="21"/>
                <w:szCs w:val="21"/>
                <w:lang w:val="zh-TW" w:eastAsia="zh-TW"/>
                <w14:textFill>
                  <w14:solidFill>
                    <w14:schemeClr w14:val="tx1"/>
                  </w14:solidFill>
                </w14:textFill>
              </w:rPr>
            </w:pPr>
          </w:p>
        </w:tc>
      </w:tr>
      <w:tr w14:paraId="708E34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7" w:hRule="atLeast"/>
        </w:trPr>
        <w:tc>
          <w:tcPr>
            <w:tcW w:w="726" w:type="dxa"/>
            <w:vMerge w:val="continue"/>
            <w:vAlign w:val="center"/>
          </w:tcPr>
          <w:p w14:paraId="421C8BDD">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7CC8CD33">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01A0B098">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lang w:val="zh-TW" w:eastAsia="zh-TW"/>
                <w14:textFill>
                  <w14:solidFill>
                    <w14:schemeClr w14:val="tx1"/>
                  </w14:solidFill>
                </w14:textFill>
              </w:rPr>
              <w:t>生干</w:t>
            </w:r>
            <w:r>
              <w:rPr>
                <w:rFonts w:hint="eastAsia" w:ascii="宋体" w:hAnsi="宋体" w:eastAsia="宋体" w:cs="宋体"/>
                <w:color w:val="000000" w:themeColor="text1"/>
                <w:spacing w:val="0"/>
                <w:position w:val="0"/>
                <w:sz w:val="21"/>
                <w:szCs w:val="21"/>
                <w:lang w:val="zh-TW" w:eastAsia="zh-CN"/>
                <w14:textFill>
                  <w14:solidFill>
                    <w14:schemeClr w14:val="tx1"/>
                  </w14:solidFill>
                </w14:textFill>
              </w:rPr>
              <w:t>坚果与</w:t>
            </w:r>
            <w:r>
              <w:rPr>
                <w:rFonts w:hint="eastAsia" w:ascii="宋体" w:hAnsi="宋体" w:eastAsia="宋体" w:cs="宋体"/>
                <w:color w:val="000000" w:themeColor="text1"/>
                <w:spacing w:val="0"/>
                <w:position w:val="0"/>
                <w:sz w:val="21"/>
                <w:szCs w:val="21"/>
                <w:lang w:val="zh-TW" w:eastAsia="zh-TW"/>
                <w14:textFill>
                  <w14:solidFill>
                    <w14:schemeClr w14:val="tx1"/>
                  </w14:solidFill>
                </w14:textFill>
              </w:rPr>
              <w:t>籽类（重点品种：芝麻、花生）</w:t>
            </w:r>
          </w:p>
        </w:tc>
        <w:tc>
          <w:tcPr>
            <w:tcW w:w="892" w:type="dxa"/>
            <w:vAlign w:val="center"/>
          </w:tcPr>
          <w:p w14:paraId="0B68F14F">
            <w:pPr>
              <w:widowControl/>
              <w:spacing w:line="280" w:lineRule="exact"/>
              <w:jc w:val="center"/>
              <w:textAlignment w:val="center"/>
              <w:rPr>
                <w:rFonts w:hint="eastAsia" w:ascii="宋体" w:hAnsi="宋体" w:eastAsia="宋体" w:cs="宋体"/>
                <w:color w:val="000000" w:themeColor="text1"/>
                <w:spacing w:val="0"/>
                <w:position w:val="0"/>
                <w:sz w:val="21"/>
                <w:szCs w:val="21"/>
                <w:lang w:eastAsia="zh-CN"/>
                <w14:textFill>
                  <w14:solidFill>
                    <w14:schemeClr w14:val="tx1"/>
                  </w14:solidFill>
                </w14:textFill>
              </w:rPr>
            </w:pPr>
            <w:r>
              <w:rPr>
                <w:rFonts w:hint="eastAsia" w:ascii="宋体" w:hAnsi="宋体" w:eastAsia="宋体" w:cs="宋体"/>
                <w:color w:val="000000" w:themeColor="text1"/>
                <w:spacing w:val="0"/>
                <w:position w:val="0"/>
                <w:sz w:val="21"/>
                <w:szCs w:val="21"/>
                <w:lang w:eastAsia="zh-CN"/>
                <w14:textFill>
                  <w14:solidFill>
                    <w14:schemeClr w14:val="tx1"/>
                  </w14:solidFill>
                </w14:textFill>
              </w:rPr>
              <w:t>一般</w:t>
            </w:r>
          </w:p>
        </w:tc>
        <w:tc>
          <w:tcPr>
            <w:tcW w:w="6199" w:type="dxa"/>
            <w:vAlign w:val="center"/>
          </w:tcPr>
          <w:p w14:paraId="029DF6FE">
            <w:pPr>
              <w:widowControl/>
              <w:spacing w:line="380" w:lineRule="exact"/>
              <w:jc w:val="both"/>
              <w:textAlignment w:val="center"/>
              <w:rPr>
                <w:rFonts w:hint="eastAsia" w:ascii="宋体" w:hAnsi="宋体" w:eastAsia="宋体" w:cs="宋体"/>
                <w:color w:val="000000" w:themeColor="text1"/>
                <w:spacing w:val="0"/>
                <w:position w:val="0"/>
                <w:sz w:val="21"/>
                <w:szCs w:val="21"/>
                <w:lang w:val="zh-TW" w:eastAsia="zh-CN"/>
                <w14:textFill>
                  <w14:solidFill>
                    <w14:schemeClr w14:val="tx1"/>
                  </w14:solidFill>
                </w14:textFill>
              </w:rPr>
            </w:pPr>
            <w:r>
              <w:rPr>
                <w:rFonts w:hint="eastAsia" w:ascii="宋体" w:hAnsi="宋体" w:eastAsia="宋体" w:cs="宋体"/>
                <w:spacing w:val="0"/>
                <w:position w:val="0"/>
                <w:sz w:val="21"/>
                <w:szCs w:val="21"/>
              </w:rPr>
              <w:t>酸价（以脂肪计）(KOH) 、过氧化值（以脂肪计）、铅（以Pb计）、镉（以Cd计）黄曲霉毒素B1、噻虫嗪、噻虫胺</w:t>
            </w:r>
          </w:p>
        </w:tc>
        <w:tc>
          <w:tcPr>
            <w:tcW w:w="1367" w:type="dxa"/>
            <w:vAlign w:val="center"/>
          </w:tcPr>
          <w:p w14:paraId="2CCCD32B">
            <w:pPr>
              <w:widowControl/>
              <w:spacing w:line="280" w:lineRule="exact"/>
              <w:jc w:val="center"/>
              <w:textAlignment w:val="center"/>
              <w:rPr>
                <w:rFonts w:hint="eastAsia" w:ascii="宋体" w:hAnsi="宋体" w:eastAsia="宋体" w:cs="宋体"/>
                <w:color w:val="000000" w:themeColor="text1"/>
                <w:spacing w:val="0"/>
                <w:position w:val="0"/>
                <w:sz w:val="21"/>
                <w:szCs w:val="21"/>
                <w:lang w:val="en-US"/>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20</w:t>
            </w:r>
          </w:p>
        </w:tc>
        <w:tc>
          <w:tcPr>
            <w:tcW w:w="1316" w:type="dxa"/>
            <w:vAlign w:val="center"/>
          </w:tcPr>
          <w:p w14:paraId="698B79DC">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lang w:val="zh-TW" w:eastAsia="zh-TW"/>
                <w14:textFill>
                  <w14:solidFill>
                    <w14:schemeClr w14:val="tx1"/>
                  </w14:solidFill>
                </w14:textFill>
              </w:rPr>
              <w:t>仅花生检测黄曲霉毒素</w:t>
            </w:r>
            <w:r>
              <w:rPr>
                <w:rFonts w:hint="eastAsia" w:ascii="宋体" w:hAnsi="宋体" w:eastAsia="宋体" w:cs="宋体"/>
                <w:color w:val="000000" w:themeColor="text1"/>
                <w:spacing w:val="0"/>
                <w:position w:val="0"/>
                <w:sz w:val="21"/>
                <w:szCs w:val="21"/>
                <w14:textFill>
                  <w14:solidFill>
                    <w14:schemeClr w14:val="tx1"/>
                  </w14:solidFill>
                </w14:textFill>
              </w:rPr>
              <w:t>B</w:t>
            </w:r>
            <w:r>
              <w:rPr>
                <w:rFonts w:hint="eastAsia" w:ascii="宋体" w:hAnsi="宋体" w:eastAsia="宋体" w:cs="宋体"/>
                <w:color w:val="000000" w:themeColor="text1"/>
                <w:spacing w:val="0"/>
                <w:position w:val="0"/>
                <w:sz w:val="21"/>
                <w:szCs w:val="21"/>
                <w:vertAlign w:val="subscript"/>
                <w14:textFill>
                  <w14:solidFill>
                    <w14:schemeClr w14:val="tx1"/>
                  </w14:solidFill>
                </w14:textFill>
              </w:rPr>
              <w:t>1</w:t>
            </w:r>
          </w:p>
        </w:tc>
      </w:tr>
      <w:tr w14:paraId="048405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7" w:hRule="atLeast"/>
        </w:trPr>
        <w:tc>
          <w:tcPr>
            <w:tcW w:w="726" w:type="dxa"/>
            <w:vMerge w:val="continue"/>
            <w:vAlign w:val="center"/>
          </w:tcPr>
          <w:p w14:paraId="321E3273">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vAlign w:val="center"/>
          </w:tcPr>
          <w:p w14:paraId="110EF04E">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vAlign w:val="center"/>
          </w:tcPr>
          <w:p w14:paraId="2286F7C3">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其他类</w:t>
            </w:r>
          </w:p>
        </w:tc>
        <w:tc>
          <w:tcPr>
            <w:tcW w:w="892" w:type="dxa"/>
            <w:vAlign w:val="center"/>
          </w:tcPr>
          <w:p w14:paraId="7891FE2E">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w:t>
            </w:r>
          </w:p>
        </w:tc>
        <w:tc>
          <w:tcPr>
            <w:tcW w:w="6199" w:type="dxa"/>
            <w:vAlign w:val="center"/>
          </w:tcPr>
          <w:p w14:paraId="529ACC04">
            <w:pPr>
              <w:widowControl/>
              <w:spacing w:line="380" w:lineRule="exact"/>
              <w:jc w:val="both"/>
              <w:textAlignment w:val="center"/>
              <w:rPr>
                <w:rFonts w:hint="eastAsia" w:ascii="宋体" w:hAnsi="宋体" w:eastAsia="宋体" w:cs="宋体"/>
                <w:color w:val="000000" w:themeColor="text1"/>
                <w:spacing w:val="0"/>
                <w:position w:val="0"/>
                <w:sz w:val="21"/>
                <w:szCs w:val="21"/>
                <w:lang w:val="zh-TW"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zh-TW" w:eastAsia="zh-CN"/>
                <w14:textFill>
                  <w14:solidFill>
                    <w14:schemeClr w14:val="tx1"/>
                  </w14:solidFill>
                </w14:textFill>
              </w:rPr>
              <w:t>根据监管需要依情况抽取相应的类别，按相应食品类别检验项目检验。</w:t>
            </w:r>
          </w:p>
        </w:tc>
        <w:tc>
          <w:tcPr>
            <w:tcW w:w="1367" w:type="dxa"/>
            <w:vAlign w:val="center"/>
          </w:tcPr>
          <w:p w14:paraId="2287749E">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50</w:t>
            </w:r>
          </w:p>
        </w:tc>
        <w:tc>
          <w:tcPr>
            <w:tcW w:w="1316" w:type="dxa"/>
            <w:vAlign w:val="center"/>
          </w:tcPr>
          <w:p w14:paraId="5FCACD1B">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lang w:val="zh-TW" w:eastAsia="zh-CN"/>
                <w14:textFill>
                  <w14:solidFill>
                    <w14:schemeClr w14:val="tx1"/>
                  </w14:solidFill>
                </w14:textFill>
              </w:rPr>
              <w:t>适当加大本地产苹果、大枣、葡萄、西瓜、草莓、鲜食用菌等的抽检</w:t>
            </w:r>
          </w:p>
        </w:tc>
      </w:tr>
      <w:tr w14:paraId="039A5EE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50" w:hRule="atLeast"/>
        </w:trPr>
        <w:tc>
          <w:tcPr>
            <w:tcW w:w="726" w:type="dxa"/>
            <w:vMerge w:val="restart"/>
            <w:shd w:val="clear" w:color="auto" w:fill="auto"/>
            <w:vAlign w:val="center"/>
          </w:tcPr>
          <w:p w14:paraId="5319133E">
            <w:pPr>
              <w:widowControl/>
              <w:spacing w:line="280" w:lineRule="exact"/>
              <w:jc w:val="center"/>
              <w:textAlignment w:val="center"/>
              <w:rPr>
                <w:rFonts w:hint="eastAsia" w:ascii="宋体" w:hAnsi="宋体" w:eastAsia="宋体" w:cs="宋体"/>
                <w:color w:val="000000" w:themeColor="text1"/>
                <w:spacing w:val="0"/>
                <w:position w:val="0"/>
                <w:sz w:val="21"/>
                <w:szCs w:val="21"/>
                <w:lang w:eastAsia="zh-CN"/>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1</w:t>
            </w: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6</w:t>
            </w:r>
          </w:p>
        </w:tc>
        <w:tc>
          <w:tcPr>
            <w:tcW w:w="1418" w:type="dxa"/>
            <w:vMerge w:val="restart"/>
            <w:shd w:val="clear" w:color="auto" w:fill="auto"/>
            <w:vAlign w:val="center"/>
          </w:tcPr>
          <w:p w14:paraId="73C7C4CC">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p w14:paraId="4A6AEA52">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餐饮食品</w:t>
            </w:r>
          </w:p>
          <w:p w14:paraId="780D09B6">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shd w:val="clear" w:color="auto" w:fill="auto"/>
            <w:vAlign w:val="center"/>
          </w:tcPr>
          <w:p w14:paraId="3108A524">
            <w:pPr>
              <w:pStyle w:val="34"/>
              <w:spacing w:before="68" w:line="286" w:lineRule="exact"/>
              <w:ind w:left="280"/>
              <w:jc w:val="center"/>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spacing w:val="0"/>
                <w:w w:val="95"/>
                <w:position w:val="0"/>
                <w:sz w:val="21"/>
                <w:szCs w:val="21"/>
              </w:rPr>
              <w:t>馒头花卷（自制）</w:t>
            </w:r>
          </w:p>
        </w:tc>
        <w:tc>
          <w:tcPr>
            <w:tcW w:w="892" w:type="dxa"/>
            <w:shd w:val="clear" w:color="auto" w:fill="FFFFFF"/>
            <w:vAlign w:val="center"/>
          </w:tcPr>
          <w:p w14:paraId="24CEACDE">
            <w:pPr>
              <w:widowControl/>
              <w:spacing w:line="280" w:lineRule="exact"/>
              <w:jc w:val="center"/>
              <w:textAlignment w:val="cente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一般</w:t>
            </w:r>
          </w:p>
        </w:tc>
        <w:tc>
          <w:tcPr>
            <w:tcW w:w="6199" w:type="dxa"/>
            <w:vAlign w:val="center"/>
          </w:tcPr>
          <w:p w14:paraId="029C969A">
            <w:pPr>
              <w:widowControl/>
              <w:spacing w:line="380" w:lineRule="exact"/>
              <w:jc w:val="both"/>
              <w:textAlignment w:val="cente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pPr>
            <w:r>
              <w:rPr>
                <w:rFonts w:hint="eastAsia" w:ascii="宋体" w:hAnsi="宋体" w:eastAsia="宋体" w:cs="宋体"/>
                <w:spacing w:val="0"/>
                <w:w w:val="99"/>
                <w:position w:val="0"/>
                <w:sz w:val="21"/>
                <w:szCs w:val="21"/>
              </w:rPr>
              <w:t>苯甲酸及其钠盐（以苯甲酸计）、山梨酸及其钾盐（以山梨酸计）、糖精钠（以糖精计）、脱氢乙酸及其钠盐（以脱氢乙酸计）、甜蜜素（以环己基氨基磺酸计</w:t>
            </w:r>
            <w:r>
              <w:rPr>
                <w:rFonts w:hint="eastAsia" w:ascii="宋体" w:hAnsi="宋体" w:eastAsia="宋体" w:cs="宋体"/>
                <w:spacing w:val="0"/>
                <w:w w:val="99"/>
                <w:position w:val="0"/>
                <w:sz w:val="21"/>
                <w:szCs w:val="21"/>
                <w:lang w:eastAsia="zh-CN"/>
              </w:rPr>
              <w:t>）</w:t>
            </w:r>
          </w:p>
        </w:tc>
        <w:tc>
          <w:tcPr>
            <w:tcW w:w="1367" w:type="dxa"/>
            <w:vAlign w:val="center"/>
          </w:tcPr>
          <w:p w14:paraId="15D994F3">
            <w:pPr>
              <w:widowControl/>
              <w:spacing w:line="280" w:lineRule="exact"/>
              <w:jc w:val="center"/>
              <w:textAlignment w:val="cente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15</w:t>
            </w:r>
          </w:p>
        </w:tc>
        <w:tc>
          <w:tcPr>
            <w:tcW w:w="1316" w:type="dxa"/>
            <w:vAlign w:val="center"/>
          </w:tcPr>
          <w:p w14:paraId="098358C7">
            <w:pPr>
              <w:widowControl/>
              <w:spacing w:line="280" w:lineRule="exact"/>
              <w:jc w:val="left"/>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r>
      <w:tr w14:paraId="60EFA7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1077" w:hRule="atLeast"/>
        </w:trPr>
        <w:tc>
          <w:tcPr>
            <w:tcW w:w="726" w:type="dxa"/>
            <w:vMerge w:val="continue"/>
            <w:shd w:val="clear" w:color="auto" w:fill="auto"/>
            <w:vAlign w:val="center"/>
          </w:tcPr>
          <w:p w14:paraId="62354CE5">
            <w:pPr>
              <w:widowControl/>
              <w:spacing w:line="280" w:lineRule="exact"/>
              <w:jc w:val="left"/>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shd w:val="clear" w:color="auto" w:fill="auto"/>
            <w:vAlign w:val="center"/>
          </w:tcPr>
          <w:p w14:paraId="2A02B68C">
            <w:pPr>
              <w:widowControl/>
              <w:spacing w:line="280" w:lineRule="exact"/>
              <w:jc w:val="left"/>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shd w:val="clear" w:color="auto" w:fill="auto"/>
            <w:vAlign w:val="center"/>
          </w:tcPr>
          <w:p w14:paraId="35A73DA0">
            <w:pPr>
              <w:widowControl/>
              <w:spacing w:line="280" w:lineRule="exact"/>
              <w:jc w:val="center"/>
              <w:textAlignment w:val="cente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pPr>
            <w:r>
              <w:rPr>
                <w:rFonts w:hint="eastAsia" w:ascii="宋体" w:hAnsi="宋体" w:eastAsia="宋体" w:cs="宋体"/>
                <w:spacing w:val="0"/>
                <w:w w:val="95"/>
                <w:position w:val="0"/>
                <w:sz w:val="21"/>
                <w:szCs w:val="21"/>
              </w:rPr>
              <w:t>包子（自制）</w:t>
            </w:r>
          </w:p>
        </w:tc>
        <w:tc>
          <w:tcPr>
            <w:tcW w:w="892" w:type="dxa"/>
            <w:shd w:val="clear" w:color="auto" w:fill="FFFFFF"/>
            <w:vAlign w:val="center"/>
          </w:tcPr>
          <w:p w14:paraId="4AA6DF98">
            <w:pPr>
              <w:widowControl/>
              <w:spacing w:line="280" w:lineRule="exact"/>
              <w:jc w:val="center"/>
              <w:textAlignment w:val="cente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一般</w:t>
            </w:r>
          </w:p>
        </w:tc>
        <w:tc>
          <w:tcPr>
            <w:tcW w:w="6199" w:type="dxa"/>
            <w:vAlign w:val="center"/>
          </w:tcPr>
          <w:p w14:paraId="1BAD7536">
            <w:pPr>
              <w:widowControl/>
              <w:spacing w:line="380" w:lineRule="exact"/>
              <w:jc w:val="both"/>
              <w:textAlignment w:val="cente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pPr>
            <w:r>
              <w:rPr>
                <w:rFonts w:hint="eastAsia" w:ascii="宋体" w:hAnsi="宋体" w:eastAsia="宋体" w:cs="宋体"/>
                <w:spacing w:val="0"/>
                <w:w w:val="99"/>
                <w:position w:val="0"/>
                <w:sz w:val="21"/>
                <w:szCs w:val="21"/>
              </w:rPr>
              <w:t>苯甲酸及其钠盐（以苯甲酸计）、山梨酸及其钾盐（以山梨酸计）、糖精钠（以糖精计）、脱氢乙酸及其钠盐（以脱氢乙酸计）、甜蜜素（以环己基氨基磺酸计</w:t>
            </w:r>
            <w:r>
              <w:rPr>
                <w:rFonts w:hint="eastAsia" w:ascii="宋体" w:hAnsi="宋体" w:eastAsia="宋体" w:cs="宋体"/>
                <w:spacing w:val="0"/>
                <w:w w:val="99"/>
                <w:position w:val="0"/>
                <w:sz w:val="21"/>
                <w:szCs w:val="21"/>
                <w:lang w:eastAsia="zh-CN"/>
              </w:rPr>
              <w:t>）</w:t>
            </w:r>
          </w:p>
        </w:tc>
        <w:tc>
          <w:tcPr>
            <w:tcW w:w="1367" w:type="dxa"/>
            <w:vAlign w:val="center"/>
          </w:tcPr>
          <w:p w14:paraId="23FD1EE0">
            <w:pPr>
              <w:widowControl/>
              <w:spacing w:line="280" w:lineRule="exact"/>
              <w:jc w:val="center"/>
              <w:textAlignment w:val="cente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15</w:t>
            </w:r>
          </w:p>
        </w:tc>
        <w:tc>
          <w:tcPr>
            <w:tcW w:w="1316" w:type="dxa"/>
            <w:vAlign w:val="center"/>
          </w:tcPr>
          <w:p w14:paraId="7491B885">
            <w:pPr>
              <w:widowControl/>
              <w:spacing w:line="280" w:lineRule="exact"/>
              <w:jc w:val="left"/>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pPr>
          </w:p>
        </w:tc>
      </w:tr>
      <w:tr w14:paraId="66AB502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82" w:hRule="atLeast"/>
        </w:trPr>
        <w:tc>
          <w:tcPr>
            <w:tcW w:w="726" w:type="dxa"/>
            <w:vMerge w:val="continue"/>
            <w:shd w:val="clear" w:color="auto" w:fill="auto"/>
            <w:vAlign w:val="center"/>
          </w:tcPr>
          <w:p w14:paraId="6A288006">
            <w:pPr>
              <w:widowControl/>
              <w:spacing w:line="280" w:lineRule="exact"/>
              <w:jc w:val="left"/>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shd w:val="clear" w:color="auto" w:fill="auto"/>
            <w:vAlign w:val="center"/>
          </w:tcPr>
          <w:p w14:paraId="3A95C090">
            <w:pPr>
              <w:widowControl/>
              <w:spacing w:line="280" w:lineRule="exact"/>
              <w:jc w:val="left"/>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shd w:val="clear" w:color="auto" w:fill="auto"/>
            <w:vAlign w:val="center"/>
          </w:tcPr>
          <w:p w14:paraId="54E3F56C">
            <w:pPr>
              <w:pStyle w:val="34"/>
              <w:spacing w:before="13" w:line="287" w:lineRule="exact"/>
              <w:ind w:left="280"/>
              <w:jc w:val="center"/>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spacing w:val="0"/>
                <w:w w:val="95"/>
                <w:position w:val="0"/>
                <w:sz w:val="21"/>
                <w:szCs w:val="21"/>
              </w:rPr>
              <w:t>油饼油条（自制）</w:t>
            </w:r>
          </w:p>
        </w:tc>
        <w:tc>
          <w:tcPr>
            <w:tcW w:w="892" w:type="dxa"/>
            <w:shd w:val="clear" w:color="auto" w:fill="FFFFFF"/>
            <w:vAlign w:val="center"/>
          </w:tcPr>
          <w:p w14:paraId="4971842F">
            <w:pPr>
              <w:widowControl/>
              <w:spacing w:line="280" w:lineRule="exact"/>
              <w:jc w:val="center"/>
              <w:textAlignment w:val="center"/>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较高</w:t>
            </w:r>
          </w:p>
        </w:tc>
        <w:tc>
          <w:tcPr>
            <w:tcW w:w="6199" w:type="dxa"/>
            <w:vAlign w:val="center"/>
          </w:tcPr>
          <w:p w14:paraId="3C340BC7">
            <w:pPr>
              <w:widowControl/>
              <w:spacing w:line="380" w:lineRule="exact"/>
              <w:jc w:val="both"/>
              <w:textAlignment w:val="top"/>
              <w:rPr>
                <w:rFonts w:hint="eastAsia" w:ascii="宋体" w:hAnsi="宋体" w:eastAsia="宋体" w:cs="宋体"/>
                <w:color w:val="000000" w:themeColor="text1"/>
                <w:spacing w:val="0"/>
                <w:position w:val="0"/>
                <w:sz w:val="21"/>
                <w:szCs w:val="21"/>
                <w:highlight w:val="none"/>
                <w:lang w:val="zh-TW"/>
                <w14:textFill>
                  <w14:solidFill>
                    <w14:schemeClr w14:val="tx1"/>
                  </w14:solidFill>
                </w14:textFill>
              </w:rPr>
            </w:pPr>
            <w:r>
              <w:rPr>
                <w:rFonts w:hint="eastAsia" w:ascii="宋体" w:hAnsi="宋体" w:eastAsia="宋体" w:cs="宋体"/>
                <w:spacing w:val="0"/>
                <w:position w:val="0"/>
                <w:sz w:val="21"/>
                <w:szCs w:val="21"/>
              </w:rPr>
              <w:t>铝的残留量（干样品，以Al计）</w:t>
            </w:r>
          </w:p>
        </w:tc>
        <w:tc>
          <w:tcPr>
            <w:tcW w:w="1367" w:type="dxa"/>
            <w:vAlign w:val="center"/>
          </w:tcPr>
          <w:p w14:paraId="527DD77A">
            <w:pPr>
              <w:widowControl/>
              <w:spacing w:line="280" w:lineRule="exact"/>
              <w:jc w:val="center"/>
              <w:textAlignment w:val="cente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15</w:t>
            </w:r>
          </w:p>
        </w:tc>
        <w:tc>
          <w:tcPr>
            <w:tcW w:w="1316" w:type="dxa"/>
            <w:vAlign w:val="center"/>
          </w:tcPr>
          <w:p w14:paraId="44B7A4A7">
            <w:pPr>
              <w:widowControl/>
              <w:spacing w:line="280" w:lineRule="exact"/>
              <w:jc w:val="left"/>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pPr>
          </w:p>
        </w:tc>
      </w:tr>
      <w:tr w14:paraId="0BA88E2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82" w:hRule="atLeast"/>
        </w:trPr>
        <w:tc>
          <w:tcPr>
            <w:tcW w:w="726" w:type="dxa"/>
            <w:vMerge w:val="continue"/>
            <w:shd w:val="clear" w:color="auto" w:fill="auto"/>
            <w:vAlign w:val="center"/>
          </w:tcPr>
          <w:p w14:paraId="60D15B00">
            <w:pPr>
              <w:widowControl/>
              <w:spacing w:line="280" w:lineRule="exact"/>
              <w:jc w:val="left"/>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shd w:val="clear" w:color="auto" w:fill="auto"/>
            <w:vAlign w:val="center"/>
          </w:tcPr>
          <w:p w14:paraId="3D4249B5">
            <w:pPr>
              <w:widowControl/>
              <w:spacing w:line="280" w:lineRule="exact"/>
              <w:jc w:val="left"/>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shd w:val="clear" w:color="auto" w:fill="auto"/>
            <w:vAlign w:val="top"/>
          </w:tcPr>
          <w:p w14:paraId="3C721D60">
            <w:pPr>
              <w:pStyle w:val="34"/>
              <w:keepNext w:val="0"/>
              <w:keepLines w:val="0"/>
              <w:pageBreakBefore w:val="0"/>
              <w:widowControl w:val="0"/>
              <w:kinsoku/>
              <w:wordWrap/>
              <w:overflowPunct/>
              <w:topLinePunct w:val="0"/>
              <w:autoSpaceDE w:val="0"/>
              <w:autoSpaceDN w:val="0"/>
              <w:bidi w:val="0"/>
              <w:adjustRightInd/>
              <w:snapToGrid/>
              <w:spacing w:before="0" w:line="240" w:lineRule="auto"/>
              <w:ind w:left="0"/>
              <w:jc w:val="center"/>
              <w:textAlignment w:val="auto"/>
              <w:rPr>
                <w:rFonts w:hint="eastAsia" w:ascii="宋体" w:hAnsi="宋体" w:eastAsia="宋体" w:cs="宋体"/>
                <w:spacing w:val="0"/>
                <w:w w:val="95"/>
                <w:position w:val="0"/>
                <w:sz w:val="21"/>
                <w:szCs w:val="21"/>
                <w:lang w:val="en-US" w:eastAsia="en-US"/>
              </w:rPr>
            </w:pPr>
          </w:p>
          <w:p w14:paraId="27A1FEB6">
            <w:pPr>
              <w:pStyle w:val="34"/>
              <w:spacing w:before="13" w:line="287" w:lineRule="exact"/>
              <w:ind w:left="280"/>
              <w:jc w:val="center"/>
              <w:rPr>
                <w:rFonts w:hint="eastAsia" w:ascii="宋体" w:hAnsi="宋体" w:eastAsia="宋体" w:cs="宋体"/>
                <w:spacing w:val="0"/>
                <w:kern w:val="2"/>
                <w:position w:val="0"/>
                <w:sz w:val="21"/>
                <w:szCs w:val="21"/>
                <w:lang w:val="en-US" w:eastAsia="en-US" w:bidi="ar-SA"/>
              </w:rPr>
            </w:pPr>
            <w:r>
              <w:rPr>
                <w:rFonts w:hint="eastAsia" w:ascii="宋体" w:hAnsi="宋体" w:eastAsia="宋体" w:cs="宋体"/>
                <w:spacing w:val="0"/>
                <w:w w:val="95"/>
                <w:position w:val="0"/>
                <w:sz w:val="21"/>
                <w:szCs w:val="21"/>
                <w:lang w:val="en-US" w:eastAsia="en-US"/>
              </w:rPr>
              <w:t>凉皮（自制）</w:t>
            </w:r>
          </w:p>
        </w:tc>
        <w:tc>
          <w:tcPr>
            <w:tcW w:w="892" w:type="dxa"/>
            <w:shd w:val="clear" w:color="auto" w:fill="FFFFFF"/>
            <w:vAlign w:val="top"/>
          </w:tcPr>
          <w:p w14:paraId="3386000D">
            <w:pPr>
              <w:pStyle w:val="50"/>
              <w:spacing w:before="203" w:line="207" w:lineRule="auto"/>
              <w:jc w:val="center"/>
              <w:rPr>
                <w:rFonts w:hint="eastAsia" w:ascii="宋体" w:hAnsi="宋体" w:eastAsia="宋体" w:cs="宋体"/>
                <w:spacing w:val="0"/>
                <w:kern w:val="2"/>
                <w:position w:val="0"/>
                <w:sz w:val="21"/>
                <w:szCs w:val="21"/>
                <w:lang w:val="en-US" w:eastAsia="en-US" w:bidi="ar-SA"/>
              </w:rPr>
            </w:pPr>
            <w:r>
              <w:rPr>
                <w:rFonts w:hint="eastAsia" w:ascii="宋体" w:hAnsi="宋体" w:eastAsia="宋体" w:cs="宋体"/>
                <w:spacing w:val="0"/>
                <w:position w:val="0"/>
                <w:sz w:val="21"/>
                <w:szCs w:val="21"/>
              </w:rPr>
              <w:t>较高</w:t>
            </w:r>
          </w:p>
        </w:tc>
        <w:tc>
          <w:tcPr>
            <w:tcW w:w="6199" w:type="dxa"/>
            <w:vAlign w:val="center"/>
          </w:tcPr>
          <w:p w14:paraId="5CD9FE1B">
            <w:pPr>
              <w:pStyle w:val="50"/>
              <w:spacing w:before="161" w:line="312" w:lineRule="exact"/>
              <w:jc w:val="both"/>
              <w:rPr>
                <w:rFonts w:hint="eastAsia" w:ascii="宋体" w:hAnsi="宋体" w:eastAsia="宋体" w:cs="宋体"/>
                <w:spacing w:val="0"/>
                <w:kern w:val="2"/>
                <w:position w:val="0"/>
                <w:sz w:val="21"/>
                <w:szCs w:val="21"/>
                <w:lang w:val="en-US" w:eastAsia="zh-CN" w:bidi="ar-SA"/>
              </w:rPr>
            </w:pPr>
            <w:r>
              <w:rPr>
                <w:rFonts w:hint="eastAsia" w:ascii="宋体" w:hAnsi="宋体" w:eastAsia="宋体" w:cs="宋体"/>
                <w:spacing w:val="0"/>
                <w:w w:val="95"/>
                <w:position w:val="0"/>
                <w:sz w:val="21"/>
                <w:szCs w:val="21"/>
              </w:rPr>
              <w:t>脱氢乙酸及其钠盐（以脱氢乙酸计</w:t>
            </w:r>
            <w:r>
              <w:rPr>
                <w:rFonts w:hint="eastAsia" w:ascii="宋体" w:hAnsi="宋体" w:eastAsia="宋体" w:cs="宋体"/>
                <w:spacing w:val="0"/>
                <w:w w:val="95"/>
                <w:position w:val="0"/>
                <w:sz w:val="21"/>
                <w:szCs w:val="21"/>
                <w:lang w:eastAsia="zh-CN"/>
              </w:rPr>
              <w:t>）</w:t>
            </w:r>
          </w:p>
        </w:tc>
        <w:tc>
          <w:tcPr>
            <w:tcW w:w="1367" w:type="dxa"/>
            <w:vAlign w:val="center"/>
          </w:tcPr>
          <w:p w14:paraId="7222A018">
            <w:pPr>
              <w:widowControl/>
              <w:spacing w:line="280" w:lineRule="exact"/>
              <w:jc w:val="center"/>
              <w:textAlignment w:val="cente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15</w:t>
            </w:r>
          </w:p>
        </w:tc>
        <w:tc>
          <w:tcPr>
            <w:tcW w:w="1316" w:type="dxa"/>
            <w:vAlign w:val="center"/>
          </w:tcPr>
          <w:p w14:paraId="0633FFA2">
            <w:pPr>
              <w:widowControl/>
              <w:spacing w:line="280" w:lineRule="exact"/>
              <w:jc w:val="left"/>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r>
      <w:tr w14:paraId="1BA6139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0" w:hRule="atLeast"/>
        </w:trPr>
        <w:tc>
          <w:tcPr>
            <w:tcW w:w="726" w:type="dxa"/>
            <w:vMerge w:val="continue"/>
            <w:shd w:val="clear" w:color="auto" w:fill="auto"/>
            <w:vAlign w:val="center"/>
          </w:tcPr>
          <w:p w14:paraId="406ED501">
            <w:pPr>
              <w:widowControl/>
              <w:spacing w:line="280" w:lineRule="exact"/>
              <w:jc w:val="left"/>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shd w:val="clear" w:color="auto" w:fill="auto"/>
            <w:vAlign w:val="center"/>
          </w:tcPr>
          <w:p w14:paraId="30D12511">
            <w:pPr>
              <w:widowControl/>
              <w:spacing w:line="280" w:lineRule="exact"/>
              <w:jc w:val="left"/>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shd w:val="clear" w:color="auto" w:fill="auto"/>
            <w:vAlign w:val="center"/>
          </w:tcPr>
          <w:p w14:paraId="5B8E77CE">
            <w:pPr>
              <w:widowControl/>
              <w:spacing w:line="280" w:lineRule="exact"/>
              <w:jc w:val="center"/>
              <w:textAlignment w:val="center"/>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肉冻皮冻（自制）</w:t>
            </w:r>
          </w:p>
        </w:tc>
        <w:tc>
          <w:tcPr>
            <w:tcW w:w="892" w:type="dxa"/>
            <w:shd w:val="clear" w:color="auto" w:fill="FFFFFF"/>
            <w:vAlign w:val="center"/>
          </w:tcPr>
          <w:p w14:paraId="3520C289">
            <w:pPr>
              <w:widowControl/>
              <w:spacing w:line="280" w:lineRule="exact"/>
              <w:jc w:val="center"/>
              <w:textAlignment w:val="center"/>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高</w:t>
            </w:r>
          </w:p>
        </w:tc>
        <w:tc>
          <w:tcPr>
            <w:tcW w:w="6199" w:type="dxa"/>
            <w:vAlign w:val="center"/>
          </w:tcPr>
          <w:p w14:paraId="73EF0D67">
            <w:pPr>
              <w:widowControl/>
              <w:spacing w:line="380" w:lineRule="exact"/>
              <w:jc w:val="both"/>
              <w:textAlignment w:val="top"/>
              <w:rPr>
                <w:rFonts w:hint="eastAsia" w:ascii="宋体" w:hAnsi="宋体" w:eastAsia="宋体" w:cs="宋体"/>
                <w:color w:val="000000" w:themeColor="text1"/>
                <w:spacing w:val="0"/>
                <w:position w:val="0"/>
                <w:sz w:val="21"/>
                <w:szCs w:val="21"/>
                <w:highlight w:val="none"/>
                <w:lang w:val="zh-TW" w:eastAsia="zh-TW"/>
                <w14:textFill>
                  <w14:solidFill>
                    <w14:schemeClr w14:val="tx1"/>
                  </w14:solidFill>
                </w14:textFill>
              </w:rPr>
            </w:pPr>
            <w:r>
              <w:rPr>
                <w:rFonts w:hint="eastAsia" w:ascii="宋体" w:hAnsi="宋体" w:eastAsia="宋体" w:cs="宋体"/>
                <w:color w:val="000000" w:themeColor="text1"/>
                <w:spacing w:val="0"/>
                <w:position w:val="0"/>
                <w:sz w:val="21"/>
                <w:szCs w:val="21"/>
                <w:highlight w:val="none"/>
                <w:lang w:val="zh-TW" w:eastAsia="zh-TW"/>
                <w14:textFill>
                  <w14:solidFill>
                    <w14:schemeClr w14:val="tx1"/>
                  </w14:solidFill>
                </w14:textFill>
              </w:rPr>
              <w:t>铬（以Cr计）</w:t>
            </w:r>
          </w:p>
        </w:tc>
        <w:tc>
          <w:tcPr>
            <w:tcW w:w="1367" w:type="dxa"/>
            <w:vAlign w:val="center"/>
          </w:tcPr>
          <w:p w14:paraId="3C346B8F">
            <w:pPr>
              <w:widowControl/>
              <w:spacing w:line="280" w:lineRule="exact"/>
              <w:jc w:val="center"/>
              <w:textAlignment w:val="cente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15</w:t>
            </w:r>
          </w:p>
        </w:tc>
        <w:tc>
          <w:tcPr>
            <w:tcW w:w="1316" w:type="dxa"/>
            <w:vAlign w:val="center"/>
          </w:tcPr>
          <w:p w14:paraId="5F883A04">
            <w:pPr>
              <w:widowControl/>
              <w:spacing w:line="280" w:lineRule="exact"/>
              <w:jc w:val="left"/>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r>
      <w:tr w14:paraId="0E050C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93" w:hRule="atLeast"/>
        </w:trPr>
        <w:tc>
          <w:tcPr>
            <w:tcW w:w="726" w:type="dxa"/>
            <w:vMerge w:val="continue"/>
            <w:shd w:val="clear" w:color="auto" w:fill="auto"/>
            <w:vAlign w:val="center"/>
          </w:tcPr>
          <w:p w14:paraId="5E70603D">
            <w:pPr>
              <w:widowControl/>
              <w:spacing w:line="280" w:lineRule="exact"/>
              <w:jc w:val="left"/>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shd w:val="clear" w:color="auto" w:fill="auto"/>
            <w:vAlign w:val="center"/>
          </w:tcPr>
          <w:p w14:paraId="480D5E28">
            <w:pPr>
              <w:widowControl/>
              <w:spacing w:line="280" w:lineRule="exact"/>
              <w:jc w:val="left"/>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shd w:val="clear" w:color="auto" w:fill="auto"/>
            <w:vAlign w:val="center"/>
          </w:tcPr>
          <w:p w14:paraId="39F5FD1D">
            <w:pPr>
              <w:pStyle w:val="34"/>
              <w:spacing w:before="13" w:line="286" w:lineRule="exact"/>
              <w:ind w:left="177"/>
              <w:jc w:val="center"/>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spacing w:val="0"/>
                <w:w w:val="95"/>
                <w:position w:val="0"/>
                <w:sz w:val="21"/>
                <w:szCs w:val="21"/>
              </w:rPr>
              <w:t>熏烧烤肉类（自制）</w:t>
            </w:r>
          </w:p>
        </w:tc>
        <w:tc>
          <w:tcPr>
            <w:tcW w:w="892" w:type="dxa"/>
            <w:shd w:val="clear" w:color="auto" w:fill="FFFFFF"/>
            <w:vAlign w:val="center"/>
          </w:tcPr>
          <w:p w14:paraId="54072ADC">
            <w:pPr>
              <w:widowControl/>
              <w:spacing w:line="280" w:lineRule="exact"/>
              <w:jc w:val="center"/>
              <w:textAlignment w:val="center"/>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较高</w:t>
            </w:r>
          </w:p>
        </w:tc>
        <w:tc>
          <w:tcPr>
            <w:tcW w:w="6199" w:type="dxa"/>
            <w:vAlign w:val="center"/>
          </w:tcPr>
          <w:p w14:paraId="509BDB4E">
            <w:pPr>
              <w:widowControl/>
              <w:spacing w:line="380" w:lineRule="exact"/>
              <w:jc w:val="both"/>
              <w:textAlignment w:val="top"/>
              <w:rPr>
                <w:rFonts w:hint="eastAsia" w:ascii="宋体" w:hAnsi="宋体" w:eastAsia="宋体" w:cs="宋体"/>
                <w:color w:val="000000" w:themeColor="text1"/>
                <w:spacing w:val="0"/>
                <w:position w:val="0"/>
                <w:sz w:val="21"/>
                <w:szCs w:val="21"/>
                <w:highlight w:val="none"/>
                <w:lang w:val="zh-TW" w:eastAsia="zh-TW"/>
                <w14:textFill>
                  <w14:solidFill>
                    <w14:schemeClr w14:val="tx1"/>
                  </w14:solidFill>
                </w14:textFill>
              </w:rPr>
            </w:pPr>
            <w:r>
              <w:rPr>
                <w:rFonts w:hint="eastAsia" w:ascii="宋体" w:hAnsi="宋体" w:eastAsia="宋体" w:cs="宋体"/>
                <w:spacing w:val="0"/>
                <w:w w:val="95"/>
                <w:position w:val="0"/>
                <w:sz w:val="21"/>
                <w:szCs w:val="21"/>
              </w:rPr>
              <w:t>N－二甲基亚硝胺、苯并[</w:t>
            </w:r>
            <w:r>
              <w:rPr>
                <w:rFonts w:hint="eastAsia" w:ascii="宋体" w:hAnsi="宋体" w:eastAsia="宋体" w:cs="宋体"/>
                <w:spacing w:val="0"/>
                <w:w w:val="80"/>
                <w:position w:val="0"/>
                <w:sz w:val="21"/>
                <w:szCs w:val="21"/>
              </w:rPr>
              <w:t>α</w:t>
            </w:r>
            <w:r>
              <w:rPr>
                <w:rFonts w:hint="eastAsia" w:ascii="宋体" w:hAnsi="宋体" w:eastAsia="宋体" w:cs="宋体"/>
                <w:spacing w:val="0"/>
                <w:w w:val="95"/>
                <w:position w:val="0"/>
                <w:sz w:val="21"/>
                <w:szCs w:val="21"/>
              </w:rPr>
              <w:t>]</w:t>
            </w:r>
            <w:r>
              <w:rPr>
                <w:rFonts w:hint="eastAsia" w:ascii="宋体" w:hAnsi="宋体" w:eastAsia="宋体" w:cs="宋体"/>
                <w:spacing w:val="0"/>
                <w:position w:val="0"/>
                <w:sz w:val="21"/>
                <w:szCs w:val="21"/>
              </w:rPr>
              <w:t xml:space="preserve"> </w:t>
            </w:r>
            <w:r>
              <w:rPr>
                <w:rFonts w:hint="eastAsia" w:ascii="宋体" w:hAnsi="宋体" w:eastAsia="宋体" w:cs="宋体"/>
                <w:spacing w:val="0"/>
                <w:w w:val="95"/>
                <w:position w:val="0"/>
                <w:sz w:val="21"/>
                <w:szCs w:val="21"/>
              </w:rPr>
              <w:t>芘、铅（以Pb计）</w:t>
            </w:r>
          </w:p>
        </w:tc>
        <w:tc>
          <w:tcPr>
            <w:tcW w:w="1367" w:type="dxa"/>
            <w:vAlign w:val="center"/>
          </w:tcPr>
          <w:p w14:paraId="2EEC7274">
            <w:pPr>
              <w:widowControl/>
              <w:spacing w:line="280" w:lineRule="exact"/>
              <w:jc w:val="center"/>
              <w:textAlignment w:val="cente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10</w:t>
            </w:r>
          </w:p>
        </w:tc>
        <w:tc>
          <w:tcPr>
            <w:tcW w:w="1316" w:type="dxa"/>
            <w:vAlign w:val="center"/>
          </w:tcPr>
          <w:p w14:paraId="0C3FE311">
            <w:pPr>
              <w:widowControl/>
              <w:spacing w:line="280" w:lineRule="exact"/>
              <w:jc w:val="left"/>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r>
      <w:tr w14:paraId="162E6EE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720" w:hRule="atLeast"/>
        </w:trPr>
        <w:tc>
          <w:tcPr>
            <w:tcW w:w="726" w:type="dxa"/>
            <w:vMerge w:val="continue"/>
            <w:shd w:val="clear" w:color="auto" w:fill="auto"/>
            <w:vAlign w:val="center"/>
          </w:tcPr>
          <w:p w14:paraId="61B67A27">
            <w:pPr>
              <w:widowControl/>
              <w:spacing w:line="280" w:lineRule="exact"/>
              <w:jc w:val="left"/>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shd w:val="clear" w:color="auto" w:fill="auto"/>
            <w:vAlign w:val="center"/>
          </w:tcPr>
          <w:p w14:paraId="4C020397">
            <w:pPr>
              <w:widowControl/>
              <w:spacing w:line="280" w:lineRule="exact"/>
              <w:jc w:val="left"/>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shd w:val="clear" w:color="auto" w:fill="auto"/>
            <w:vAlign w:val="center"/>
          </w:tcPr>
          <w:p w14:paraId="1A3CE397">
            <w:pPr>
              <w:pStyle w:val="34"/>
              <w:spacing w:before="12" w:line="287" w:lineRule="exact"/>
              <w:ind w:left="72"/>
              <w:jc w:val="center"/>
              <w:rPr>
                <w:rFonts w:hint="eastAsia" w:ascii="宋体" w:hAnsi="宋体" w:eastAsia="宋体" w:cs="宋体"/>
                <w:spacing w:val="0"/>
                <w:w w:val="95"/>
                <w:position w:val="0"/>
                <w:sz w:val="21"/>
                <w:szCs w:val="21"/>
              </w:rPr>
            </w:pPr>
            <w:r>
              <w:rPr>
                <w:rFonts w:hint="eastAsia" w:ascii="宋体" w:hAnsi="宋体" w:eastAsia="宋体" w:cs="宋体"/>
                <w:spacing w:val="0"/>
                <w:w w:val="95"/>
                <w:position w:val="0"/>
                <w:sz w:val="21"/>
                <w:szCs w:val="21"/>
              </w:rPr>
              <w:t>火锅麻辣烫底料</w:t>
            </w:r>
          </w:p>
          <w:p w14:paraId="7E365430">
            <w:pPr>
              <w:pStyle w:val="34"/>
              <w:spacing w:before="12" w:line="287" w:lineRule="exact"/>
              <w:ind w:left="72"/>
              <w:jc w:val="cente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pPr>
            <w:r>
              <w:rPr>
                <w:rFonts w:hint="eastAsia" w:ascii="宋体" w:hAnsi="宋体" w:eastAsia="宋体" w:cs="宋体"/>
                <w:spacing w:val="0"/>
                <w:w w:val="95"/>
                <w:position w:val="0"/>
                <w:sz w:val="21"/>
                <w:szCs w:val="21"/>
              </w:rPr>
              <w:t>（自制）</w:t>
            </w:r>
          </w:p>
        </w:tc>
        <w:tc>
          <w:tcPr>
            <w:tcW w:w="892" w:type="dxa"/>
            <w:shd w:val="clear" w:color="auto" w:fill="FFFFFF"/>
            <w:vAlign w:val="center"/>
          </w:tcPr>
          <w:p w14:paraId="078B6667">
            <w:pPr>
              <w:widowControl/>
              <w:spacing w:line="280" w:lineRule="exact"/>
              <w:jc w:val="center"/>
              <w:textAlignment w:val="center"/>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较高</w:t>
            </w:r>
          </w:p>
        </w:tc>
        <w:tc>
          <w:tcPr>
            <w:tcW w:w="6199" w:type="dxa"/>
            <w:vAlign w:val="center"/>
          </w:tcPr>
          <w:p w14:paraId="6EA02218">
            <w:pPr>
              <w:widowControl/>
              <w:spacing w:line="380" w:lineRule="exact"/>
              <w:jc w:val="both"/>
              <w:textAlignment w:val="top"/>
              <w:rPr>
                <w:rFonts w:hint="eastAsia" w:ascii="宋体" w:hAnsi="宋体" w:eastAsia="宋体" w:cs="宋体"/>
                <w:color w:val="000000" w:themeColor="text1"/>
                <w:spacing w:val="0"/>
                <w:position w:val="0"/>
                <w:sz w:val="21"/>
                <w:szCs w:val="21"/>
                <w:highlight w:val="none"/>
                <w:lang w:val="zh-TW" w:eastAsia="zh-TW"/>
                <w14:textFill>
                  <w14:solidFill>
                    <w14:schemeClr w14:val="tx1"/>
                  </w14:solidFill>
                </w14:textFill>
              </w:rPr>
            </w:pPr>
            <w:r>
              <w:rPr>
                <w:rFonts w:hint="eastAsia" w:ascii="宋体" w:hAnsi="宋体" w:eastAsia="宋体" w:cs="宋体"/>
                <w:spacing w:val="0"/>
                <w:w w:val="95"/>
                <w:position w:val="0"/>
                <w:sz w:val="21"/>
                <w:szCs w:val="21"/>
              </w:rPr>
              <w:t>罂粟碱、吗啡、可待因、那可丁</w:t>
            </w:r>
          </w:p>
        </w:tc>
        <w:tc>
          <w:tcPr>
            <w:tcW w:w="1367" w:type="dxa"/>
            <w:vAlign w:val="center"/>
          </w:tcPr>
          <w:p w14:paraId="0B8CA1CD">
            <w:pPr>
              <w:widowControl/>
              <w:spacing w:line="280" w:lineRule="exact"/>
              <w:jc w:val="center"/>
              <w:textAlignment w:val="cente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10</w:t>
            </w:r>
          </w:p>
        </w:tc>
        <w:tc>
          <w:tcPr>
            <w:tcW w:w="1316" w:type="dxa"/>
            <w:vAlign w:val="center"/>
          </w:tcPr>
          <w:p w14:paraId="7C2A33F2">
            <w:pPr>
              <w:widowControl/>
              <w:spacing w:line="280" w:lineRule="exact"/>
              <w:jc w:val="left"/>
              <w:rPr>
                <w:rFonts w:hint="eastAsia" w:ascii="宋体" w:hAnsi="宋体" w:eastAsia="宋体" w:cs="宋体"/>
                <w:color w:val="000000" w:themeColor="text1"/>
                <w:spacing w:val="0"/>
                <w:position w:val="0"/>
                <w:sz w:val="21"/>
                <w:szCs w:val="21"/>
                <w:highlight w:val="none"/>
                <w14:textFill>
                  <w14:solidFill>
                    <w14:schemeClr w14:val="tx1"/>
                  </w14:solidFill>
                </w14:textFill>
              </w:rPr>
            </w:pPr>
          </w:p>
        </w:tc>
      </w:tr>
      <w:tr w14:paraId="46CDEE7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828" w:hRule="atLeast"/>
        </w:trPr>
        <w:tc>
          <w:tcPr>
            <w:tcW w:w="726" w:type="dxa"/>
            <w:vMerge w:val="continue"/>
            <w:shd w:val="clear" w:color="auto" w:fill="auto"/>
            <w:vAlign w:val="center"/>
          </w:tcPr>
          <w:p w14:paraId="1ABC8C9D">
            <w:pPr>
              <w:widowControl/>
              <w:spacing w:line="280" w:lineRule="exact"/>
              <w:jc w:val="left"/>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shd w:val="clear" w:color="auto" w:fill="auto"/>
            <w:vAlign w:val="center"/>
          </w:tcPr>
          <w:p w14:paraId="50C4E65A">
            <w:pPr>
              <w:widowControl/>
              <w:spacing w:line="280" w:lineRule="exact"/>
              <w:jc w:val="left"/>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shd w:val="clear" w:color="auto" w:fill="auto"/>
            <w:vAlign w:val="center"/>
          </w:tcPr>
          <w:p w14:paraId="51DABF07">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spacing w:val="0"/>
                <w:position w:val="0"/>
                <w:sz w:val="21"/>
                <w:szCs w:val="21"/>
              </w:rPr>
              <w:t>生食动物性水</w:t>
            </w:r>
            <w:r>
              <w:rPr>
                <w:rFonts w:hint="eastAsia" w:ascii="宋体" w:hAnsi="宋体" w:eastAsia="宋体" w:cs="宋体"/>
                <w:spacing w:val="0"/>
                <w:w w:val="95"/>
                <w:position w:val="0"/>
                <w:sz w:val="21"/>
                <w:szCs w:val="21"/>
              </w:rPr>
              <w:t>产品（自制）</w:t>
            </w:r>
          </w:p>
        </w:tc>
        <w:tc>
          <w:tcPr>
            <w:tcW w:w="892" w:type="dxa"/>
            <w:shd w:val="clear" w:color="auto" w:fill="FFFFFF"/>
            <w:vAlign w:val="center"/>
          </w:tcPr>
          <w:p w14:paraId="01406B0E">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较高</w:t>
            </w:r>
          </w:p>
        </w:tc>
        <w:tc>
          <w:tcPr>
            <w:tcW w:w="6199" w:type="dxa"/>
            <w:vAlign w:val="center"/>
          </w:tcPr>
          <w:p w14:paraId="6B111298">
            <w:pPr>
              <w:widowControl/>
              <w:spacing w:line="380" w:lineRule="exact"/>
              <w:jc w:val="both"/>
              <w:textAlignment w:val="top"/>
              <w:rPr>
                <w:rFonts w:hint="eastAsia" w:ascii="宋体" w:hAnsi="宋体" w:eastAsia="宋体" w:cs="宋体"/>
                <w:color w:val="000000" w:themeColor="text1"/>
                <w:spacing w:val="0"/>
                <w:position w:val="0"/>
                <w:sz w:val="21"/>
                <w:szCs w:val="21"/>
                <w:lang w:val="zh-TW"/>
                <w14:textFill>
                  <w14:solidFill>
                    <w14:schemeClr w14:val="tx1"/>
                  </w14:solidFill>
                </w14:textFill>
              </w:rPr>
            </w:pPr>
            <w:r>
              <w:rPr>
                <w:rFonts w:hint="eastAsia" w:ascii="宋体" w:hAnsi="宋体" w:eastAsia="宋体" w:cs="宋体"/>
                <w:spacing w:val="0"/>
                <w:position w:val="0"/>
                <w:sz w:val="21"/>
                <w:szCs w:val="21"/>
              </w:rPr>
              <w:t>铝的残留量（以即食海蜇中Al计）</w:t>
            </w:r>
          </w:p>
        </w:tc>
        <w:tc>
          <w:tcPr>
            <w:tcW w:w="1367" w:type="dxa"/>
            <w:vAlign w:val="center"/>
          </w:tcPr>
          <w:p w14:paraId="1A65B995">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5</w:t>
            </w:r>
          </w:p>
        </w:tc>
        <w:tc>
          <w:tcPr>
            <w:tcW w:w="1316" w:type="dxa"/>
            <w:vAlign w:val="center"/>
          </w:tcPr>
          <w:p w14:paraId="28C55402">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71D0E9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828" w:hRule="atLeast"/>
        </w:trPr>
        <w:tc>
          <w:tcPr>
            <w:tcW w:w="726" w:type="dxa"/>
            <w:vMerge w:val="continue"/>
            <w:shd w:val="clear" w:color="auto" w:fill="auto"/>
            <w:vAlign w:val="center"/>
          </w:tcPr>
          <w:p w14:paraId="649E9AFA">
            <w:pPr>
              <w:widowControl/>
              <w:spacing w:line="280" w:lineRule="exact"/>
              <w:jc w:val="left"/>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shd w:val="clear" w:color="auto" w:fill="auto"/>
            <w:vAlign w:val="center"/>
          </w:tcPr>
          <w:p w14:paraId="26808AEF">
            <w:pPr>
              <w:widowControl/>
              <w:spacing w:line="280" w:lineRule="exact"/>
              <w:jc w:val="left"/>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shd w:val="clear" w:color="auto" w:fill="auto"/>
            <w:vAlign w:val="center"/>
          </w:tcPr>
          <w:p w14:paraId="745B6CD6">
            <w:pPr>
              <w:pStyle w:val="34"/>
              <w:spacing w:before="38" w:line="286" w:lineRule="exact"/>
              <w:ind w:left="280"/>
              <w:jc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spacing w:val="0"/>
                <w:w w:val="95"/>
                <w:position w:val="0"/>
                <w:sz w:val="21"/>
                <w:szCs w:val="21"/>
              </w:rPr>
              <w:t>花生制品（自制）</w:t>
            </w:r>
          </w:p>
        </w:tc>
        <w:tc>
          <w:tcPr>
            <w:tcW w:w="892" w:type="dxa"/>
            <w:shd w:val="clear" w:color="auto" w:fill="FFFFFF"/>
            <w:vAlign w:val="center"/>
          </w:tcPr>
          <w:p w14:paraId="7483362E">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高</w:t>
            </w:r>
          </w:p>
        </w:tc>
        <w:tc>
          <w:tcPr>
            <w:tcW w:w="6199" w:type="dxa"/>
            <w:vAlign w:val="center"/>
          </w:tcPr>
          <w:p w14:paraId="18C820F4">
            <w:pPr>
              <w:widowControl/>
              <w:spacing w:line="380" w:lineRule="exact"/>
              <w:jc w:val="both"/>
              <w:textAlignment w:val="top"/>
              <w:rPr>
                <w:rFonts w:hint="eastAsia" w:ascii="宋体" w:hAnsi="宋体" w:eastAsia="宋体" w:cs="宋体"/>
                <w:color w:val="000000" w:themeColor="text1"/>
                <w:spacing w:val="0"/>
                <w:position w:val="0"/>
                <w:sz w:val="21"/>
                <w:szCs w:val="21"/>
                <w:lang w:val="zh-TW" w:eastAsia="zh-CN"/>
                <w14:textFill>
                  <w14:solidFill>
                    <w14:schemeClr w14:val="tx1"/>
                  </w14:solidFill>
                </w14:textFill>
              </w:rPr>
            </w:pPr>
            <w:r>
              <w:rPr>
                <w:rFonts w:hint="eastAsia" w:ascii="宋体" w:hAnsi="宋体" w:eastAsia="宋体" w:cs="宋体"/>
                <w:spacing w:val="0"/>
                <w:w w:val="99"/>
                <w:position w:val="0"/>
                <w:sz w:val="21"/>
                <w:szCs w:val="21"/>
              </w:rPr>
              <w:t>黄曲霉毒素</w:t>
            </w:r>
            <w:r>
              <w:rPr>
                <w:rFonts w:hint="eastAsia" w:ascii="宋体" w:hAnsi="宋体" w:eastAsia="宋体" w:cs="宋体"/>
                <w:spacing w:val="0"/>
                <w:w w:val="97"/>
                <w:position w:val="0"/>
                <w:sz w:val="21"/>
                <w:szCs w:val="21"/>
              </w:rPr>
              <w:t>B</w:t>
            </w:r>
            <w:r>
              <w:rPr>
                <w:rFonts w:hint="eastAsia" w:ascii="宋体" w:hAnsi="宋体" w:eastAsia="宋体" w:cs="宋体"/>
                <w:spacing w:val="0"/>
                <w:w w:val="105"/>
                <w:position w:val="0"/>
                <w:sz w:val="21"/>
                <w:szCs w:val="21"/>
              </w:rPr>
              <w:t>1</w:t>
            </w:r>
            <w:r>
              <w:rPr>
                <w:rFonts w:hint="eastAsia" w:ascii="宋体" w:hAnsi="宋体" w:eastAsia="宋体" w:cs="宋体"/>
                <w:spacing w:val="0"/>
                <w:w w:val="99"/>
                <w:position w:val="0"/>
                <w:sz w:val="21"/>
                <w:szCs w:val="21"/>
              </w:rPr>
              <w:t>、苯甲酸及其钠盐（以苯甲酸计）、山梨酸及其钾盐（以山梨酸计）、脱氢乙酸及其钠盐（以脱氢乙酸计</w:t>
            </w:r>
            <w:r>
              <w:rPr>
                <w:rFonts w:hint="eastAsia" w:ascii="宋体" w:hAnsi="宋体" w:eastAsia="宋体" w:cs="宋体"/>
                <w:spacing w:val="0"/>
                <w:w w:val="99"/>
                <w:position w:val="0"/>
                <w:sz w:val="21"/>
                <w:szCs w:val="21"/>
                <w:lang w:eastAsia="zh-CN"/>
              </w:rPr>
              <w:t>）</w:t>
            </w:r>
          </w:p>
        </w:tc>
        <w:tc>
          <w:tcPr>
            <w:tcW w:w="1367" w:type="dxa"/>
            <w:vAlign w:val="center"/>
          </w:tcPr>
          <w:p w14:paraId="387FB27B">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10</w:t>
            </w:r>
          </w:p>
        </w:tc>
        <w:tc>
          <w:tcPr>
            <w:tcW w:w="1316" w:type="dxa"/>
            <w:vAlign w:val="center"/>
          </w:tcPr>
          <w:p w14:paraId="249B4B3D">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43841CB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828" w:hRule="atLeast"/>
        </w:trPr>
        <w:tc>
          <w:tcPr>
            <w:tcW w:w="726" w:type="dxa"/>
            <w:vMerge w:val="continue"/>
            <w:shd w:val="clear" w:color="auto" w:fill="auto"/>
            <w:vAlign w:val="center"/>
          </w:tcPr>
          <w:p w14:paraId="74E596ED">
            <w:pPr>
              <w:widowControl/>
              <w:spacing w:line="280" w:lineRule="exact"/>
              <w:jc w:val="left"/>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shd w:val="clear" w:color="auto" w:fill="auto"/>
            <w:vAlign w:val="center"/>
          </w:tcPr>
          <w:p w14:paraId="4383DF99">
            <w:pPr>
              <w:widowControl/>
              <w:spacing w:line="280" w:lineRule="exact"/>
              <w:jc w:val="left"/>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shd w:val="clear" w:color="auto" w:fill="auto"/>
            <w:vAlign w:val="center"/>
          </w:tcPr>
          <w:p w14:paraId="5E1FC7B9">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spacing w:val="0"/>
                <w:position w:val="0"/>
                <w:sz w:val="21"/>
                <w:szCs w:val="21"/>
              </w:rPr>
              <w:t>复用餐饮具（餐馆自行消毒）</w:t>
            </w:r>
          </w:p>
        </w:tc>
        <w:tc>
          <w:tcPr>
            <w:tcW w:w="892" w:type="dxa"/>
            <w:shd w:val="clear" w:color="auto" w:fill="FFFFFF"/>
            <w:vAlign w:val="center"/>
          </w:tcPr>
          <w:p w14:paraId="006F5AA5">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高</w:t>
            </w:r>
          </w:p>
        </w:tc>
        <w:tc>
          <w:tcPr>
            <w:tcW w:w="6199" w:type="dxa"/>
            <w:vAlign w:val="center"/>
          </w:tcPr>
          <w:p w14:paraId="462027D7">
            <w:pPr>
              <w:widowControl/>
              <w:spacing w:line="380" w:lineRule="exact"/>
              <w:jc w:val="both"/>
              <w:textAlignment w:val="top"/>
              <w:rPr>
                <w:rFonts w:hint="eastAsia" w:ascii="宋体" w:hAnsi="宋体" w:eastAsia="宋体" w:cs="宋体"/>
                <w:color w:val="000000" w:themeColor="text1"/>
                <w:spacing w:val="0"/>
                <w:position w:val="0"/>
                <w:sz w:val="21"/>
                <w:szCs w:val="21"/>
                <w:lang w:val="zh-TW"/>
                <w14:textFill>
                  <w14:solidFill>
                    <w14:schemeClr w14:val="tx1"/>
                  </w14:solidFill>
                </w14:textFill>
              </w:rPr>
            </w:pPr>
            <w:r>
              <w:rPr>
                <w:rFonts w:hint="eastAsia" w:ascii="宋体" w:hAnsi="宋体" w:eastAsia="宋体" w:cs="宋体"/>
                <w:spacing w:val="0"/>
                <w:w w:val="95"/>
                <w:position w:val="0"/>
                <w:sz w:val="21"/>
                <w:szCs w:val="21"/>
              </w:rPr>
              <w:t>阴离子合成洗涤剂（以十二烷基苯磺酸钠计）、大肠菌群</w:t>
            </w:r>
          </w:p>
        </w:tc>
        <w:tc>
          <w:tcPr>
            <w:tcW w:w="1367" w:type="dxa"/>
            <w:vAlign w:val="center"/>
          </w:tcPr>
          <w:p w14:paraId="2F812378">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20</w:t>
            </w:r>
          </w:p>
        </w:tc>
        <w:tc>
          <w:tcPr>
            <w:tcW w:w="1316" w:type="dxa"/>
            <w:vAlign w:val="center"/>
          </w:tcPr>
          <w:p w14:paraId="5A2918A7">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10A1A9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828" w:hRule="atLeast"/>
        </w:trPr>
        <w:tc>
          <w:tcPr>
            <w:tcW w:w="726" w:type="dxa"/>
            <w:vMerge w:val="continue"/>
            <w:shd w:val="clear" w:color="auto" w:fill="auto"/>
            <w:vAlign w:val="center"/>
          </w:tcPr>
          <w:p w14:paraId="012CAE38">
            <w:pPr>
              <w:widowControl/>
              <w:spacing w:line="280" w:lineRule="exact"/>
              <w:jc w:val="left"/>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shd w:val="clear" w:color="auto" w:fill="auto"/>
            <w:vAlign w:val="center"/>
          </w:tcPr>
          <w:p w14:paraId="0183AFE0">
            <w:pPr>
              <w:widowControl/>
              <w:spacing w:line="280" w:lineRule="exact"/>
              <w:jc w:val="left"/>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shd w:val="clear" w:color="auto" w:fill="auto"/>
            <w:vAlign w:val="center"/>
          </w:tcPr>
          <w:p w14:paraId="424A230D">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spacing w:val="0"/>
                <w:w w:val="95"/>
                <w:position w:val="0"/>
                <w:sz w:val="21"/>
                <w:szCs w:val="21"/>
              </w:rPr>
              <w:t>糕点（自制）</w:t>
            </w:r>
          </w:p>
        </w:tc>
        <w:tc>
          <w:tcPr>
            <w:tcW w:w="892" w:type="dxa"/>
            <w:shd w:val="clear" w:color="auto" w:fill="FFFFFF"/>
            <w:vAlign w:val="center"/>
          </w:tcPr>
          <w:p w14:paraId="1597F202">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一般</w:t>
            </w:r>
          </w:p>
        </w:tc>
        <w:tc>
          <w:tcPr>
            <w:tcW w:w="6199" w:type="dxa"/>
            <w:vAlign w:val="center"/>
          </w:tcPr>
          <w:p w14:paraId="4B97ED44">
            <w:pPr>
              <w:pStyle w:val="34"/>
              <w:spacing w:before="49" w:line="228" w:lineRule="auto"/>
              <w:ind w:left="3" w:right="-15"/>
              <w:jc w:val="both"/>
              <w:rPr>
                <w:rFonts w:hint="eastAsia" w:ascii="宋体" w:hAnsi="宋体" w:eastAsia="宋体" w:cs="宋体"/>
                <w:color w:val="000000" w:themeColor="text1"/>
                <w:spacing w:val="0"/>
                <w:position w:val="0"/>
                <w:sz w:val="21"/>
                <w:szCs w:val="21"/>
                <w:lang w:val="zh-TW"/>
                <w14:textFill>
                  <w14:solidFill>
                    <w14:schemeClr w14:val="tx1"/>
                  </w14:solidFill>
                </w14:textFill>
              </w:rPr>
            </w:pPr>
            <w:r>
              <w:rPr>
                <w:rFonts w:hint="eastAsia" w:ascii="宋体" w:hAnsi="宋体" w:eastAsia="宋体" w:cs="宋体"/>
                <w:spacing w:val="0"/>
                <w:position w:val="0"/>
                <w:sz w:val="21"/>
                <w:szCs w:val="21"/>
              </w:rPr>
              <w:t xml:space="preserve">酸价（以脂肪计）(KOH) 、过氧化值（以脂肪计）、山梨酸及其钾盐（以山梨酸计） </w:t>
            </w:r>
            <w:r>
              <w:rPr>
                <w:rFonts w:hint="eastAsia" w:ascii="宋体" w:hAnsi="宋体" w:eastAsia="宋体" w:cs="宋体"/>
                <w:spacing w:val="0"/>
                <w:w w:val="95"/>
                <w:position w:val="0"/>
                <w:sz w:val="21"/>
                <w:szCs w:val="21"/>
              </w:rPr>
              <w:t>脱氢乙酸及其钠盐（以脱氢乙酸计）、防腐剂混合使用时各自用量占其最大使用量的比</w:t>
            </w:r>
            <w:r>
              <w:rPr>
                <w:rFonts w:hint="eastAsia" w:ascii="宋体" w:hAnsi="宋体" w:eastAsia="宋体" w:cs="宋体"/>
                <w:spacing w:val="0"/>
                <w:position w:val="0"/>
                <w:sz w:val="21"/>
                <w:szCs w:val="21"/>
              </w:rPr>
              <w:t>例之和、铝的残留量（干样品，以Al计）</w:t>
            </w:r>
          </w:p>
        </w:tc>
        <w:tc>
          <w:tcPr>
            <w:tcW w:w="1367" w:type="dxa"/>
            <w:vAlign w:val="center"/>
          </w:tcPr>
          <w:p w14:paraId="61318C4C">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15</w:t>
            </w:r>
          </w:p>
        </w:tc>
        <w:tc>
          <w:tcPr>
            <w:tcW w:w="1316" w:type="dxa"/>
            <w:vAlign w:val="center"/>
          </w:tcPr>
          <w:p w14:paraId="6283FCF4">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29FA49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828" w:hRule="atLeast"/>
        </w:trPr>
        <w:tc>
          <w:tcPr>
            <w:tcW w:w="726" w:type="dxa"/>
            <w:vMerge w:val="continue"/>
            <w:shd w:val="clear" w:color="auto" w:fill="auto"/>
            <w:vAlign w:val="center"/>
          </w:tcPr>
          <w:p w14:paraId="22F13C06">
            <w:pPr>
              <w:widowControl/>
              <w:spacing w:line="280" w:lineRule="exact"/>
              <w:jc w:val="left"/>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shd w:val="clear" w:color="auto" w:fill="auto"/>
            <w:vAlign w:val="center"/>
          </w:tcPr>
          <w:p w14:paraId="44503227">
            <w:pPr>
              <w:widowControl/>
              <w:spacing w:line="280" w:lineRule="exact"/>
              <w:jc w:val="left"/>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shd w:val="clear" w:color="auto" w:fill="auto"/>
            <w:vAlign w:val="center"/>
          </w:tcPr>
          <w:p w14:paraId="43F5D87C">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spacing w:val="0"/>
                <w:w w:val="95"/>
                <w:position w:val="0"/>
                <w:sz w:val="21"/>
                <w:szCs w:val="21"/>
              </w:rPr>
              <w:t>煎炸过程用油</w:t>
            </w:r>
          </w:p>
        </w:tc>
        <w:tc>
          <w:tcPr>
            <w:tcW w:w="892" w:type="dxa"/>
            <w:shd w:val="clear" w:color="auto" w:fill="FFFFFF"/>
            <w:vAlign w:val="center"/>
          </w:tcPr>
          <w:p w14:paraId="62EA484C">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较高</w:t>
            </w:r>
          </w:p>
        </w:tc>
        <w:tc>
          <w:tcPr>
            <w:tcW w:w="6199" w:type="dxa"/>
            <w:vAlign w:val="center"/>
          </w:tcPr>
          <w:p w14:paraId="665F8C13">
            <w:pPr>
              <w:widowControl/>
              <w:spacing w:line="380" w:lineRule="exact"/>
              <w:jc w:val="both"/>
              <w:textAlignment w:val="top"/>
              <w:rPr>
                <w:rFonts w:hint="eastAsia" w:ascii="宋体" w:hAnsi="宋体" w:eastAsia="宋体" w:cs="宋体"/>
                <w:color w:val="000000" w:themeColor="text1"/>
                <w:spacing w:val="0"/>
                <w:position w:val="0"/>
                <w:sz w:val="21"/>
                <w:szCs w:val="21"/>
                <w:lang w:val="zh-TW"/>
                <w14:textFill>
                  <w14:solidFill>
                    <w14:schemeClr w14:val="tx1"/>
                  </w14:solidFill>
                </w14:textFill>
              </w:rPr>
            </w:pPr>
            <w:r>
              <w:rPr>
                <w:rFonts w:hint="eastAsia" w:ascii="宋体" w:hAnsi="宋体" w:eastAsia="宋体" w:cs="宋体"/>
                <w:spacing w:val="0"/>
                <w:w w:val="95"/>
                <w:position w:val="0"/>
                <w:sz w:val="21"/>
                <w:szCs w:val="21"/>
              </w:rPr>
              <w:t>极性组分、酸价（KOH）</w:t>
            </w:r>
          </w:p>
        </w:tc>
        <w:tc>
          <w:tcPr>
            <w:tcW w:w="1367" w:type="dxa"/>
            <w:vAlign w:val="center"/>
          </w:tcPr>
          <w:p w14:paraId="206FDFDB">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10</w:t>
            </w:r>
          </w:p>
        </w:tc>
        <w:tc>
          <w:tcPr>
            <w:tcW w:w="1316" w:type="dxa"/>
            <w:vAlign w:val="center"/>
          </w:tcPr>
          <w:p w14:paraId="439F1F9B">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1ACA9B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828" w:hRule="atLeast"/>
        </w:trPr>
        <w:tc>
          <w:tcPr>
            <w:tcW w:w="726" w:type="dxa"/>
            <w:vMerge w:val="continue"/>
            <w:shd w:val="clear" w:color="auto" w:fill="auto"/>
            <w:vAlign w:val="center"/>
          </w:tcPr>
          <w:p w14:paraId="794DD14E">
            <w:pPr>
              <w:widowControl/>
              <w:spacing w:line="280" w:lineRule="exact"/>
              <w:jc w:val="left"/>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shd w:val="clear" w:color="auto" w:fill="auto"/>
            <w:vAlign w:val="center"/>
          </w:tcPr>
          <w:p w14:paraId="7A43E6C2">
            <w:pPr>
              <w:widowControl/>
              <w:spacing w:line="280" w:lineRule="exact"/>
              <w:jc w:val="left"/>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shd w:val="clear" w:color="auto" w:fill="auto"/>
            <w:vAlign w:val="center"/>
          </w:tcPr>
          <w:p w14:paraId="29B8E13C">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spacing w:val="0"/>
                <w:w w:val="95"/>
                <w:position w:val="0"/>
                <w:sz w:val="21"/>
                <w:szCs w:val="21"/>
              </w:rPr>
              <w:t>奶茶（自制）</w:t>
            </w:r>
          </w:p>
        </w:tc>
        <w:tc>
          <w:tcPr>
            <w:tcW w:w="892" w:type="dxa"/>
            <w:shd w:val="clear" w:color="auto" w:fill="FFFFFF"/>
            <w:vAlign w:val="center"/>
          </w:tcPr>
          <w:p w14:paraId="2685A248">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较高</w:t>
            </w:r>
          </w:p>
        </w:tc>
        <w:tc>
          <w:tcPr>
            <w:tcW w:w="6199" w:type="dxa"/>
            <w:vAlign w:val="center"/>
          </w:tcPr>
          <w:p w14:paraId="24CF2CC7">
            <w:pPr>
              <w:widowControl/>
              <w:spacing w:line="380" w:lineRule="exact"/>
              <w:jc w:val="both"/>
              <w:textAlignment w:val="top"/>
              <w:rPr>
                <w:rFonts w:hint="eastAsia" w:ascii="宋体" w:hAnsi="宋体" w:eastAsia="宋体" w:cs="宋体"/>
                <w:color w:val="000000" w:themeColor="text1"/>
                <w:spacing w:val="0"/>
                <w:position w:val="0"/>
                <w:sz w:val="21"/>
                <w:szCs w:val="21"/>
                <w:lang w:val="zh-TW" w:eastAsia="zh-CN"/>
                <w14:textFill>
                  <w14:solidFill>
                    <w14:schemeClr w14:val="tx1"/>
                  </w14:solidFill>
                </w14:textFill>
              </w:rPr>
            </w:pPr>
            <w:r>
              <w:rPr>
                <w:rFonts w:hint="eastAsia" w:ascii="宋体" w:hAnsi="宋体" w:eastAsia="宋体" w:cs="宋体"/>
                <w:spacing w:val="0"/>
                <w:w w:val="95"/>
                <w:position w:val="0"/>
                <w:sz w:val="21"/>
                <w:szCs w:val="21"/>
              </w:rPr>
              <w:t>脱氢乙酸及其钠盐（以脱氢乙酸计</w:t>
            </w:r>
            <w:r>
              <w:rPr>
                <w:rFonts w:hint="eastAsia" w:ascii="宋体" w:hAnsi="宋体" w:eastAsia="宋体" w:cs="宋体"/>
                <w:spacing w:val="0"/>
                <w:w w:val="95"/>
                <w:position w:val="0"/>
                <w:sz w:val="21"/>
                <w:szCs w:val="21"/>
                <w:lang w:eastAsia="zh-CN"/>
              </w:rPr>
              <w:t>）</w:t>
            </w:r>
          </w:p>
        </w:tc>
        <w:tc>
          <w:tcPr>
            <w:tcW w:w="1367" w:type="dxa"/>
            <w:vAlign w:val="center"/>
          </w:tcPr>
          <w:p w14:paraId="33F07607">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10</w:t>
            </w:r>
          </w:p>
        </w:tc>
        <w:tc>
          <w:tcPr>
            <w:tcW w:w="1316" w:type="dxa"/>
            <w:vAlign w:val="center"/>
          </w:tcPr>
          <w:p w14:paraId="4CD0CD3A">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28AD643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828" w:hRule="atLeast"/>
        </w:trPr>
        <w:tc>
          <w:tcPr>
            <w:tcW w:w="726" w:type="dxa"/>
            <w:vMerge w:val="continue"/>
            <w:shd w:val="clear" w:color="auto" w:fill="auto"/>
            <w:vAlign w:val="center"/>
          </w:tcPr>
          <w:p w14:paraId="27110F08">
            <w:pPr>
              <w:widowControl/>
              <w:spacing w:line="280" w:lineRule="exact"/>
              <w:jc w:val="left"/>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1418" w:type="dxa"/>
            <w:vMerge w:val="continue"/>
            <w:shd w:val="clear" w:color="auto" w:fill="auto"/>
            <w:vAlign w:val="center"/>
          </w:tcPr>
          <w:p w14:paraId="18A305CF">
            <w:pPr>
              <w:widowControl/>
              <w:spacing w:line="280" w:lineRule="exact"/>
              <w:jc w:val="left"/>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2268" w:type="dxa"/>
            <w:shd w:val="clear" w:color="auto" w:fill="auto"/>
            <w:vAlign w:val="center"/>
          </w:tcPr>
          <w:p w14:paraId="165DF144">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其他餐饮食品</w:t>
            </w:r>
          </w:p>
        </w:tc>
        <w:tc>
          <w:tcPr>
            <w:tcW w:w="892" w:type="dxa"/>
            <w:shd w:val="clear" w:color="auto" w:fill="FFFFFF"/>
            <w:vAlign w:val="center"/>
          </w:tcPr>
          <w:p w14:paraId="6CB17755">
            <w:pPr>
              <w:widowControl/>
              <w:spacing w:line="280" w:lineRule="exact"/>
              <w:jc w:val="center"/>
              <w:textAlignment w:val="center"/>
              <w:rPr>
                <w:rFonts w:hint="eastAsia" w:ascii="宋体" w:hAnsi="宋体" w:eastAsia="宋体" w:cs="宋体"/>
                <w:color w:val="000000" w:themeColor="text1"/>
                <w:spacing w:val="0"/>
                <w:position w:val="0"/>
                <w:sz w:val="21"/>
                <w:szCs w:val="21"/>
                <w:lang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w:t>
            </w:r>
          </w:p>
        </w:tc>
        <w:tc>
          <w:tcPr>
            <w:tcW w:w="6199" w:type="dxa"/>
            <w:vAlign w:val="center"/>
          </w:tcPr>
          <w:p w14:paraId="5DE02347">
            <w:pPr>
              <w:widowControl/>
              <w:spacing w:line="380" w:lineRule="exact"/>
              <w:jc w:val="both"/>
              <w:textAlignment w:val="top"/>
              <w:rPr>
                <w:rFonts w:hint="eastAsia" w:ascii="宋体" w:hAnsi="宋体" w:eastAsia="宋体" w:cs="宋体"/>
                <w:color w:val="000000" w:themeColor="text1"/>
                <w:spacing w:val="0"/>
                <w:position w:val="0"/>
                <w:sz w:val="21"/>
                <w:szCs w:val="21"/>
                <w:lang w:val="zh-TW" w:eastAsia="zh-TW"/>
                <w14:textFill>
                  <w14:solidFill>
                    <w14:schemeClr w14:val="tx1"/>
                  </w14:solidFill>
                </w14:textFill>
              </w:rPr>
            </w:pPr>
            <w:r>
              <w:rPr>
                <w:rFonts w:hint="eastAsia" w:ascii="宋体" w:hAnsi="宋体" w:eastAsia="宋体" w:cs="宋体"/>
                <w:color w:val="000000" w:themeColor="text1"/>
                <w:spacing w:val="0"/>
                <w:position w:val="0"/>
                <w:sz w:val="21"/>
                <w:szCs w:val="21"/>
                <w:lang w:val="zh-TW"/>
                <w14:textFill>
                  <w14:solidFill>
                    <w14:schemeClr w14:val="tx1"/>
                  </w14:solidFill>
                </w14:textFill>
              </w:rPr>
              <w:t>抽检</w:t>
            </w:r>
            <w:r>
              <w:rPr>
                <w:rFonts w:hint="eastAsia" w:ascii="宋体" w:hAnsi="宋体" w:eastAsia="宋体" w:cs="宋体"/>
                <w:color w:val="000000" w:themeColor="text1"/>
                <w:spacing w:val="0"/>
                <w:position w:val="0"/>
                <w:sz w:val="21"/>
                <w:szCs w:val="21"/>
                <w:lang w:val="zh-TW" w:eastAsia="zh-TW"/>
                <w14:textFill>
                  <w14:solidFill>
                    <w14:schemeClr w14:val="tx1"/>
                  </w14:solidFill>
                </w14:textFill>
              </w:rPr>
              <w:t>学校</w:t>
            </w:r>
            <w:r>
              <w:rPr>
                <w:rFonts w:hint="eastAsia" w:ascii="宋体" w:hAnsi="宋体" w:eastAsia="宋体" w:cs="宋体"/>
                <w:color w:val="000000" w:themeColor="text1"/>
                <w:spacing w:val="0"/>
                <w:position w:val="0"/>
                <w:sz w:val="21"/>
                <w:szCs w:val="21"/>
                <w:lang w:val="zh-TW"/>
                <w14:textFill>
                  <w14:solidFill>
                    <w14:schemeClr w14:val="tx1"/>
                  </w14:solidFill>
                </w14:textFill>
              </w:rPr>
              <w:t>（托幼机构）</w:t>
            </w:r>
            <w:r>
              <w:rPr>
                <w:rFonts w:hint="eastAsia" w:ascii="宋体" w:hAnsi="宋体" w:eastAsia="宋体" w:cs="宋体"/>
                <w:color w:val="000000" w:themeColor="text1"/>
                <w:spacing w:val="0"/>
                <w:position w:val="0"/>
                <w:sz w:val="21"/>
                <w:szCs w:val="21"/>
                <w:lang w:val="zh-TW" w:eastAsia="zh-TW"/>
                <w14:textFill>
                  <w14:solidFill>
                    <w14:schemeClr w14:val="tx1"/>
                  </w14:solidFill>
                </w14:textFill>
              </w:rPr>
              <w:t>食堂</w:t>
            </w:r>
            <w:r>
              <w:rPr>
                <w:rFonts w:hint="eastAsia" w:ascii="宋体" w:hAnsi="宋体" w:eastAsia="宋体" w:cs="宋体"/>
                <w:color w:val="000000" w:themeColor="text1"/>
                <w:spacing w:val="0"/>
                <w:position w:val="0"/>
                <w:sz w:val="21"/>
                <w:szCs w:val="21"/>
                <w:lang w:val="zh-TW"/>
                <w14:textFill>
                  <w14:solidFill>
                    <w14:schemeClr w14:val="tx1"/>
                  </w14:solidFill>
                </w14:textFill>
              </w:rPr>
              <w:t>、</w:t>
            </w:r>
            <w:r>
              <w:rPr>
                <w:rFonts w:hint="eastAsia" w:ascii="宋体" w:hAnsi="宋体" w:eastAsia="宋体" w:cs="宋体"/>
                <w:color w:val="000000" w:themeColor="text1"/>
                <w:spacing w:val="0"/>
                <w:position w:val="0"/>
                <w:sz w:val="21"/>
                <w:szCs w:val="21"/>
                <w:lang w:val="zh-TW" w:eastAsia="zh-TW"/>
                <w14:textFill>
                  <w14:solidFill>
                    <w14:schemeClr w14:val="tx1"/>
                  </w14:solidFill>
                </w14:textFill>
              </w:rPr>
              <w:t>配餐</w:t>
            </w:r>
            <w:r>
              <w:rPr>
                <w:rFonts w:hint="eastAsia" w:ascii="宋体" w:hAnsi="宋体" w:eastAsia="宋体" w:cs="宋体"/>
                <w:color w:val="000000" w:themeColor="text1"/>
                <w:spacing w:val="0"/>
                <w:position w:val="0"/>
                <w:sz w:val="21"/>
                <w:szCs w:val="21"/>
                <w:lang w:val="zh-TW"/>
                <w14:textFill>
                  <w14:solidFill>
                    <w14:schemeClr w14:val="tx1"/>
                  </w14:solidFill>
                </w14:textFill>
              </w:rPr>
              <w:t>企业及养老机构食堂</w:t>
            </w:r>
            <w:r>
              <w:rPr>
                <w:rFonts w:hint="eastAsia" w:ascii="宋体" w:hAnsi="宋体" w:eastAsia="宋体" w:cs="宋体"/>
                <w:color w:val="000000" w:themeColor="text1"/>
                <w:spacing w:val="0"/>
                <w:position w:val="0"/>
                <w:sz w:val="21"/>
                <w:szCs w:val="21"/>
                <w:lang w:val="zh-TW" w:eastAsia="zh-TW"/>
                <w14:textFill>
                  <w14:solidFill>
                    <w14:schemeClr w14:val="tx1"/>
                  </w14:solidFill>
                </w14:textFill>
              </w:rPr>
              <w:t>购买的食用油、米、面、蔬菜、调味料</w:t>
            </w:r>
            <w:r>
              <w:rPr>
                <w:rFonts w:hint="eastAsia" w:ascii="宋体" w:hAnsi="宋体" w:eastAsia="宋体" w:cs="宋体"/>
                <w:color w:val="000000" w:themeColor="text1"/>
                <w:spacing w:val="0"/>
                <w:position w:val="0"/>
                <w:sz w:val="21"/>
                <w:szCs w:val="21"/>
                <w:lang w:val="zh-TW"/>
                <w14:textFill>
                  <w14:solidFill>
                    <w14:schemeClr w14:val="tx1"/>
                  </w14:solidFill>
                </w14:textFill>
              </w:rPr>
              <w:t>、自制饮料、动物血制品</w:t>
            </w:r>
            <w:r>
              <w:rPr>
                <w:rFonts w:hint="eastAsia" w:ascii="宋体" w:hAnsi="宋体" w:eastAsia="宋体" w:cs="宋体"/>
                <w:color w:val="000000" w:themeColor="text1"/>
                <w:spacing w:val="0"/>
                <w:position w:val="0"/>
                <w:sz w:val="21"/>
                <w:szCs w:val="21"/>
                <w:lang w:val="zh-TW" w:eastAsia="zh-TW"/>
                <w14:textFill>
                  <w14:solidFill>
                    <w14:schemeClr w14:val="tx1"/>
                  </w14:solidFill>
                </w14:textFill>
              </w:rPr>
              <w:t>等，按相应食品类别检验项目</w:t>
            </w:r>
            <w:r>
              <w:rPr>
                <w:rFonts w:hint="eastAsia" w:ascii="宋体" w:hAnsi="宋体" w:eastAsia="宋体" w:cs="宋体"/>
                <w:color w:val="000000" w:themeColor="text1"/>
                <w:spacing w:val="0"/>
                <w:position w:val="0"/>
                <w:sz w:val="21"/>
                <w:szCs w:val="21"/>
                <w:lang w:val="zh-TW"/>
                <w14:textFill>
                  <w14:solidFill>
                    <w14:schemeClr w14:val="tx1"/>
                  </w14:solidFill>
                </w14:textFill>
              </w:rPr>
              <w:t>。</w:t>
            </w:r>
          </w:p>
        </w:tc>
        <w:tc>
          <w:tcPr>
            <w:tcW w:w="1367" w:type="dxa"/>
            <w:vAlign w:val="center"/>
          </w:tcPr>
          <w:p w14:paraId="2614CF73">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50</w:t>
            </w:r>
          </w:p>
        </w:tc>
        <w:tc>
          <w:tcPr>
            <w:tcW w:w="1316" w:type="dxa"/>
            <w:vAlign w:val="center"/>
          </w:tcPr>
          <w:p w14:paraId="65148E7C">
            <w:pPr>
              <w:widowControl/>
              <w:spacing w:line="280" w:lineRule="exact"/>
              <w:jc w:val="left"/>
              <w:rPr>
                <w:rFonts w:hint="eastAsia" w:ascii="宋体" w:hAnsi="宋体" w:eastAsia="宋体" w:cs="宋体"/>
                <w:color w:val="000000" w:themeColor="text1"/>
                <w:spacing w:val="0"/>
                <w:position w:val="0"/>
                <w:sz w:val="21"/>
                <w:szCs w:val="21"/>
                <w14:textFill>
                  <w14:solidFill>
                    <w14:schemeClr w14:val="tx1"/>
                  </w14:solidFill>
                </w14:textFill>
              </w:rPr>
            </w:pPr>
          </w:p>
        </w:tc>
      </w:tr>
      <w:tr w14:paraId="52AB780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89" w:hRule="atLeast"/>
        </w:trPr>
        <w:tc>
          <w:tcPr>
            <w:tcW w:w="4412" w:type="dxa"/>
            <w:gridSpan w:val="3"/>
            <w:vAlign w:val="center"/>
          </w:tcPr>
          <w:p w14:paraId="4B65AE65">
            <w:pPr>
              <w:widowControl/>
              <w:spacing w:line="280" w:lineRule="exact"/>
              <w:jc w:val="center"/>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r>
              <w:rPr>
                <w:rFonts w:hint="eastAsia" w:ascii="宋体" w:hAnsi="宋体" w:eastAsia="宋体" w:cs="宋体"/>
                <w:color w:val="000000" w:themeColor="text1"/>
                <w:spacing w:val="0"/>
                <w:position w:val="0"/>
                <w:sz w:val="21"/>
                <w:szCs w:val="21"/>
                <w14:textFill>
                  <w14:solidFill>
                    <w14:schemeClr w14:val="tx1"/>
                  </w14:solidFill>
                </w14:textFill>
              </w:rPr>
              <w:t>合        计</w:t>
            </w:r>
          </w:p>
        </w:tc>
        <w:tc>
          <w:tcPr>
            <w:tcW w:w="892" w:type="dxa"/>
            <w:vAlign w:val="center"/>
          </w:tcPr>
          <w:p w14:paraId="4D9D8C51">
            <w:pPr>
              <w:widowControl/>
              <w:spacing w:line="280" w:lineRule="exact"/>
              <w:jc w:val="left"/>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6199" w:type="dxa"/>
            <w:vAlign w:val="center"/>
          </w:tcPr>
          <w:p w14:paraId="1017AB2E">
            <w:pPr>
              <w:widowControl/>
              <w:spacing w:line="380" w:lineRule="exact"/>
              <w:jc w:val="both"/>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c>
          <w:tcPr>
            <w:tcW w:w="1367" w:type="dxa"/>
            <w:vAlign w:val="center"/>
          </w:tcPr>
          <w:p w14:paraId="345E2584">
            <w:pPr>
              <w:widowControl/>
              <w:spacing w:line="280" w:lineRule="exact"/>
              <w:jc w:val="center"/>
              <w:textAlignment w:val="center"/>
              <w:rPr>
                <w:rFonts w:hint="eastAsia" w:ascii="宋体" w:hAnsi="宋体" w:eastAsia="宋体" w:cs="宋体"/>
                <w:color w:val="000000" w:themeColor="text1"/>
                <w:spacing w:val="0"/>
                <w:position w:val="0"/>
                <w:sz w:val="21"/>
                <w:szCs w:val="21"/>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lang w:val="en-US" w:eastAsia="zh-CN"/>
                <w14:textFill>
                  <w14:solidFill>
                    <w14:schemeClr w14:val="tx1"/>
                  </w14:solidFill>
                </w14:textFill>
              </w:rPr>
              <w:t>880</w:t>
            </w:r>
          </w:p>
        </w:tc>
        <w:tc>
          <w:tcPr>
            <w:tcW w:w="1316" w:type="dxa"/>
            <w:vAlign w:val="center"/>
          </w:tcPr>
          <w:p w14:paraId="6EBDBF99">
            <w:pPr>
              <w:widowControl/>
              <w:spacing w:line="280" w:lineRule="exact"/>
              <w:jc w:val="left"/>
              <w:textAlignment w:val="center"/>
              <w:rPr>
                <w:rFonts w:hint="eastAsia" w:ascii="宋体" w:hAnsi="宋体" w:eastAsia="宋体" w:cs="宋体"/>
                <w:color w:val="000000" w:themeColor="text1"/>
                <w:spacing w:val="0"/>
                <w:position w:val="0"/>
                <w:sz w:val="21"/>
                <w:szCs w:val="21"/>
                <w14:textFill>
                  <w14:solidFill>
                    <w14:schemeClr w14:val="tx1"/>
                  </w14:solidFill>
                </w14:textFill>
              </w:rPr>
            </w:pPr>
          </w:p>
        </w:tc>
      </w:tr>
    </w:tbl>
    <w:p w14:paraId="5CB38F1B">
      <w:pPr>
        <w:spacing w:after="0"/>
        <w:rPr>
          <w:spacing w:val="0"/>
          <w:position w:val="0"/>
          <w:sz w:val="17"/>
        </w:rPr>
        <w:sectPr>
          <w:pgSz w:w="16840" w:h="11910" w:orient="landscape"/>
          <w:pgMar w:top="1340" w:right="820" w:bottom="280" w:left="200" w:header="720" w:footer="720" w:gutter="0"/>
          <w:pgNumType w:fmt="decimal"/>
          <w:cols w:space="720" w:num="1"/>
        </w:sectPr>
      </w:pPr>
    </w:p>
    <w:p w14:paraId="0F2A4222">
      <w:pPr>
        <w:spacing w:before="0" w:line="560" w:lineRule="exact"/>
        <w:ind w:right="0" w:firstLine="420" w:firstLineChars="200"/>
        <w:jc w:val="left"/>
        <w:rPr>
          <w:rFonts w:ascii="思源黑体 CN"/>
          <w:spacing w:val="0"/>
          <w:position w:val="0"/>
          <w:sz w:val="48"/>
        </w:rPr>
      </w:pPr>
      <w:bookmarkStart w:id="211" w:name="2025年食用农产品必检品种、项目表"/>
      <w:bookmarkEnd w:id="211"/>
      <w:r>
        <w:rPr>
          <w:spacing w:val="0"/>
          <w:position w:val="0"/>
        </w:rPr>
        <w:br w:type="column"/>
      </w:r>
    </w:p>
    <w:tbl>
      <w:tblPr>
        <w:tblStyle w:val="17"/>
        <w:tblpPr w:leftFromText="180" w:rightFromText="180" w:vertAnchor="text" w:horzAnchor="page" w:tblpX="1156" w:tblpY="-65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7"/>
        <w:gridCol w:w="1170"/>
        <w:gridCol w:w="1245"/>
        <w:gridCol w:w="2610"/>
        <w:gridCol w:w="7305"/>
        <w:gridCol w:w="1338"/>
      </w:tblGrid>
      <w:tr w14:paraId="2DA4E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57" w:type="dxa"/>
          </w:tcPr>
          <w:p w14:paraId="05BFEDBB">
            <w:pPr>
              <w:pStyle w:val="34"/>
              <w:spacing w:before="76"/>
              <w:ind w:left="166"/>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食品亚类</w:t>
            </w:r>
          </w:p>
          <w:p w14:paraId="55FE4143">
            <w:pPr>
              <w:pStyle w:val="34"/>
              <w:spacing w:before="88" w:line="225" w:lineRule="exact"/>
              <w:ind w:left="166"/>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（二级</w:t>
            </w:r>
          </w:p>
        </w:tc>
        <w:tc>
          <w:tcPr>
            <w:tcW w:w="1170" w:type="dxa"/>
          </w:tcPr>
          <w:p w14:paraId="64840BD8">
            <w:pPr>
              <w:pStyle w:val="34"/>
              <w:spacing w:before="76"/>
              <w:ind w:left="225"/>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食品品种</w:t>
            </w:r>
          </w:p>
          <w:p w14:paraId="7CA0B3E9">
            <w:pPr>
              <w:pStyle w:val="34"/>
              <w:spacing w:before="88" w:line="225" w:lineRule="exact"/>
              <w:ind w:left="225"/>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（三级</w:t>
            </w:r>
          </w:p>
        </w:tc>
        <w:tc>
          <w:tcPr>
            <w:tcW w:w="1245" w:type="dxa"/>
          </w:tcPr>
          <w:p w14:paraId="42116A59">
            <w:pPr>
              <w:pStyle w:val="34"/>
              <w:spacing w:before="76"/>
              <w:ind w:left="260"/>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食品细类</w:t>
            </w:r>
          </w:p>
          <w:p w14:paraId="5E31F304">
            <w:pPr>
              <w:pStyle w:val="34"/>
              <w:spacing w:before="88" w:line="225" w:lineRule="exact"/>
              <w:ind w:left="260"/>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（四级</w:t>
            </w:r>
          </w:p>
        </w:tc>
        <w:tc>
          <w:tcPr>
            <w:tcW w:w="2610" w:type="dxa"/>
          </w:tcPr>
          <w:p w14:paraId="6E5B1CC0">
            <w:pPr>
              <w:pStyle w:val="34"/>
              <w:spacing w:before="6"/>
              <w:rPr>
                <w:rFonts w:hint="eastAsia" w:asciiTheme="minorEastAsia" w:hAnsiTheme="minorEastAsia" w:eastAsiaTheme="minorEastAsia" w:cstheme="minorEastAsia"/>
                <w:spacing w:val="0"/>
                <w:position w:val="0"/>
                <w:sz w:val="21"/>
                <w:szCs w:val="21"/>
              </w:rPr>
            </w:pPr>
          </w:p>
          <w:p w14:paraId="6BD43493">
            <w:pPr>
              <w:pStyle w:val="34"/>
              <w:ind w:left="168" w:right="158"/>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必检项目</w:t>
            </w:r>
          </w:p>
        </w:tc>
        <w:tc>
          <w:tcPr>
            <w:tcW w:w="7305" w:type="dxa"/>
          </w:tcPr>
          <w:p w14:paraId="32F8DA21">
            <w:pPr>
              <w:pStyle w:val="34"/>
              <w:spacing w:before="6"/>
              <w:rPr>
                <w:rFonts w:hint="eastAsia" w:asciiTheme="minorEastAsia" w:hAnsiTheme="minorEastAsia" w:eastAsiaTheme="minorEastAsia" w:cstheme="minorEastAsia"/>
                <w:spacing w:val="0"/>
                <w:position w:val="0"/>
                <w:sz w:val="21"/>
                <w:szCs w:val="21"/>
              </w:rPr>
            </w:pPr>
          </w:p>
          <w:p w14:paraId="4AB81C06">
            <w:pPr>
              <w:pStyle w:val="34"/>
              <w:ind w:right="3270"/>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可选项目</w:t>
            </w:r>
          </w:p>
        </w:tc>
        <w:tc>
          <w:tcPr>
            <w:tcW w:w="1338" w:type="dxa"/>
          </w:tcPr>
          <w:p w14:paraId="333F9B74">
            <w:pPr>
              <w:pStyle w:val="34"/>
              <w:spacing w:before="6"/>
              <w:rPr>
                <w:rFonts w:hint="eastAsia" w:asciiTheme="minorEastAsia" w:hAnsiTheme="minorEastAsia" w:eastAsiaTheme="minorEastAsia" w:cstheme="minorEastAsia"/>
                <w:spacing w:val="0"/>
                <w:position w:val="0"/>
                <w:sz w:val="21"/>
                <w:szCs w:val="21"/>
              </w:rPr>
            </w:pPr>
          </w:p>
          <w:p w14:paraId="1182BDEF">
            <w:pPr>
              <w:pStyle w:val="34"/>
              <w:ind w:right="465"/>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备注</w:t>
            </w:r>
          </w:p>
        </w:tc>
      </w:tr>
      <w:tr w14:paraId="6E127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057" w:type="dxa"/>
            <w:vMerge w:val="restart"/>
          </w:tcPr>
          <w:p w14:paraId="4C76DD69">
            <w:pPr>
              <w:pStyle w:val="34"/>
              <w:rPr>
                <w:rFonts w:hint="eastAsia" w:asciiTheme="minorEastAsia" w:hAnsiTheme="minorEastAsia" w:eastAsiaTheme="minorEastAsia" w:cstheme="minorEastAsia"/>
                <w:spacing w:val="0"/>
                <w:position w:val="0"/>
                <w:sz w:val="21"/>
                <w:szCs w:val="21"/>
              </w:rPr>
            </w:pPr>
          </w:p>
          <w:p w14:paraId="578CC3B8">
            <w:pPr>
              <w:pStyle w:val="34"/>
              <w:rPr>
                <w:rFonts w:hint="eastAsia" w:asciiTheme="minorEastAsia" w:hAnsiTheme="minorEastAsia" w:eastAsiaTheme="minorEastAsia" w:cstheme="minorEastAsia"/>
                <w:spacing w:val="0"/>
                <w:position w:val="0"/>
                <w:sz w:val="21"/>
                <w:szCs w:val="21"/>
              </w:rPr>
            </w:pPr>
          </w:p>
          <w:p w14:paraId="05A81958">
            <w:pPr>
              <w:pStyle w:val="34"/>
              <w:rPr>
                <w:rFonts w:hint="eastAsia" w:asciiTheme="minorEastAsia" w:hAnsiTheme="minorEastAsia" w:eastAsiaTheme="minorEastAsia" w:cstheme="minorEastAsia"/>
                <w:spacing w:val="0"/>
                <w:position w:val="0"/>
                <w:sz w:val="21"/>
                <w:szCs w:val="21"/>
              </w:rPr>
            </w:pPr>
          </w:p>
          <w:p w14:paraId="7008F6F0">
            <w:pPr>
              <w:pStyle w:val="34"/>
              <w:spacing w:before="8"/>
              <w:rPr>
                <w:rFonts w:hint="eastAsia" w:asciiTheme="minorEastAsia" w:hAnsiTheme="minorEastAsia" w:eastAsiaTheme="minorEastAsia" w:cstheme="minorEastAsia"/>
                <w:spacing w:val="0"/>
                <w:position w:val="0"/>
                <w:sz w:val="21"/>
                <w:szCs w:val="21"/>
              </w:rPr>
            </w:pPr>
          </w:p>
          <w:p w14:paraId="020E8B48">
            <w:pPr>
              <w:pStyle w:val="34"/>
              <w:spacing w:before="1" w:line="304" w:lineRule="auto"/>
              <w:ind w:left="257" w:right="158" w:hanging="92"/>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畜禽肉及副产品</w:t>
            </w:r>
          </w:p>
        </w:tc>
        <w:tc>
          <w:tcPr>
            <w:tcW w:w="1170" w:type="dxa"/>
            <w:vMerge w:val="restart"/>
          </w:tcPr>
          <w:p w14:paraId="4EC0CFC6">
            <w:pPr>
              <w:pStyle w:val="34"/>
              <w:rPr>
                <w:rFonts w:hint="eastAsia" w:asciiTheme="minorEastAsia" w:hAnsiTheme="minorEastAsia" w:eastAsiaTheme="minorEastAsia" w:cstheme="minorEastAsia"/>
                <w:spacing w:val="0"/>
                <w:position w:val="0"/>
                <w:sz w:val="21"/>
                <w:szCs w:val="21"/>
              </w:rPr>
            </w:pPr>
          </w:p>
          <w:p w14:paraId="2F170FBA">
            <w:pPr>
              <w:pStyle w:val="34"/>
              <w:rPr>
                <w:rFonts w:hint="eastAsia" w:asciiTheme="minorEastAsia" w:hAnsiTheme="minorEastAsia" w:eastAsiaTheme="minorEastAsia" w:cstheme="minorEastAsia"/>
                <w:spacing w:val="0"/>
                <w:position w:val="0"/>
                <w:sz w:val="21"/>
                <w:szCs w:val="21"/>
              </w:rPr>
            </w:pPr>
          </w:p>
          <w:p w14:paraId="68871939">
            <w:pPr>
              <w:pStyle w:val="34"/>
              <w:spacing w:before="3"/>
              <w:rPr>
                <w:rFonts w:hint="eastAsia" w:asciiTheme="minorEastAsia" w:hAnsiTheme="minorEastAsia" w:eastAsiaTheme="minorEastAsia" w:cstheme="minorEastAsia"/>
                <w:spacing w:val="0"/>
                <w:position w:val="0"/>
                <w:sz w:val="21"/>
                <w:szCs w:val="21"/>
              </w:rPr>
            </w:pPr>
          </w:p>
          <w:p w14:paraId="170B51D1">
            <w:pPr>
              <w:pStyle w:val="34"/>
              <w:ind w:left="390" w:right="379"/>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畜肉</w:t>
            </w:r>
          </w:p>
        </w:tc>
        <w:tc>
          <w:tcPr>
            <w:tcW w:w="1245" w:type="dxa"/>
          </w:tcPr>
          <w:p w14:paraId="68040498">
            <w:pPr>
              <w:pStyle w:val="34"/>
              <w:spacing w:before="6"/>
              <w:rPr>
                <w:rFonts w:hint="eastAsia" w:asciiTheme="minorEastAsia" w:hAnsiTheme="minorEastAsia" w:eastAsiaTheme="minorEastAsia" w:cstheme="minorEastAsia"/>
                <w:spacing w:val="0"/>
                <w:position w:val="0"/>
                <w:sz w:val="21"/>
                <w:szCs w:val="21"/>
              </w:rPr>
            </w:pPr>
          </w:p>
          <w:p w14:paraId="4DC26840">
            <w:pPr>
              <w:pStyle w:val="34"/>
              <w:ind w:left="246" w:right="240"/>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猪肉</w:t>
            </w:r>
          </w:p>
        </w:tc>
        <w:tc>
          <w:tcPr>
            <w:tcW w:w="2610" w:type="dxa"/>
          </w:tcPr>
          <w:p w14:paraId="06AD78C6">
            <w:pPr>
              <w:pStyle w:val="34"/>
              <w:spacing w:before="7"/>
              <w:rPr>
                <w:rFonts w:hint="eastAsia" w:asciiTheme="minorEastAsia" w:hAnsiTheme="minorEastAsia" w:eastAsiaTheme="minorEastAsia" w:cstheme="minorEastAsia"/>
                <w:spacing w:val="0"/>
                <w:position w:val="0"/>
                <w:sz w:val="21"/>
                <w:szCs w:val="21"/>
              </w:rPr>
            </w:pPr>
          </w:p>
          <w:p w14:paraId="29AB4CE0">
            <w:pPr>
              <w:pStyle w:val="34"/>
              <w:spacing w:line="304" w:lineRule="auto"/>
              <w:ind w:left="945" w:right="304" w:hanging="812"/>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恩诺沙星、磺胺类（总量）甲氧苄啶</w:t>
            </w:r>
          </w:p>
        </w:tc>
        <w:tc>
          <w:tcPr>
            <w:tcW w:w="7305" w:type="dxa"/>
          </w:tcPr>
          <w:p w14:paraId="0D1E7F33">
            <w:pPr>
              <w:pStyle w:val="34"/>
              <w:spacing w:before="76" w:line="304" w:lineRule="auto"/>
              <w:ind w:left="108" w:right="91"/>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挥发性盐基氮、呋喃唑酮代谢物、呋喃西林代谢物、氯霉素、克伦特罗、莱克多巴胺、沙丁胺醇、喹乙醇、替米考星、氟苯尼考、多西环素、地塞米松、甲硝唑、氯丙嗪、土霉素</w:t>
            </w:r>
            <w:r>
              <w:rPr>
                <w:rFonts w:hint="eastAsia" w:asciiTheme="minorEastAsia" w:hAnsiTheme="minorEastAsia" w:eastAsiaTheme="minorEastAsia" w:cstheme="minorEastAsia"/>
                <w:spacing w:val="0"/>
                <w:w w:val="170"/>
                <w:position w:val="0"/>
                <w:sz w:val="21"/>
                <w:szCs w:val="21"/>
              </w:rPr>
              <w:t>/</w:t>
            </w:r>
          </w:p>
          <w:p w14:paraId="2E23CE20">
            <w:pPr>
              <w:pStyle w:val="34"/>
              <w:spacing w:before="2" w:line="223" w:lineRule="exact"/>
              <w:ind w:left="108"/>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金霉素/四环素（组合含量）、林可霉素</w:t>
            </w:r>
          </w:p>
        </w:tc>
        <w:tc>
          <w:tcPr>
            <w:tcW w:w="1338" w:type="dxa"/>
          </w:tcPr>
          <w:p w14:paraId="16B6FE0A">
            <w:pPr>
              <w:pStyle w:val="34"/>
              <w:rPr>
                <w:rFonts w:hint="eastAsia" w:asciiTheme="minorEastAsia" w:hAnsiTheme="minorEastAsia" w:eastAsiaTheme="minorEastAsia" w:cstheme="minorEastAsia"/>
                <w:spacing w:val="0"/>
                <w:position w:val="0"/>
                <w:sz w:val="21"/>
                <w:szCs w:val="21"/>
              </w:rPr>
            </w:pPr>
          </w:p>
        </w:tc>
      </w:tr>
      <w:tr w14:paraId="6AEAC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057" w:type="dxa"/>
            <w:vMerge w:val="continue"/>
            <w:tcBorders>
              <w:top w:val="nil"/>
            </w:tcBorders>
          </w:tcPr>
          <w:p w14:paraId="732A8CE4">
            <w:pPr>
              <w:rPr>
                <w:rFonts w:hint="eastAsia" w:asciiTheme="minorEastAsia" w:hAnsiTheme="minorEastAsia" w:eastAsiaTheme="minorEastAsia" w:cstheme="minorEastAsia"/>
                <w:spacing w:val="0"/>
                <w:position w:val="0"/>
                <w:sz w:val="21"/>
                <w:szCs w:val="21"/>
              </w:rPr>
            </w:pPr>
          </w:p>
        </w:tc>
        <w:tc>
          <w:tcPr>
            <w:tcW w:w="1170" w:type="dxa"/>
            <w:vMerge w:val="continue"/>
            <w:tcBorders>
              <w:top w:val="nil"/>
            </w:tcBorders>
          </w:tcPr>
          <w:p w14:paraId="79F02024">
            <w:pPr>
              <w:rPr>
                <w:rFonts w:hint="eastAsia" w:asciiTheme="minorEastAsia" w:hAnsiTheme="minorEastAsia" w:eastAsiaTheme="minorEastAsia" w:cstheme="minorEastAsia"/>
                <w:spacing w:val="0"/>
                <w:position w:val="0"/>
                <w:sz w:val="21"/>
                <w:szCs w:val="21"/>
              </w:rPr>
            </w:pPr>
          </w:p>
        </w:tc>
        <w:tc>
          <w:tcPr>
            <w:tcW w:w="1245" w:type="dxa"/>
          </w:tcPr>
          <w:p w14:paraId="44939320">
            <w:pPr>
              <w:pStyle w:val="34"/>
              <w:spacing w:before="5"/>
              <w:rPr>
                <w:rFonts w:hint="eastAsia" w:asciiTheme="minorEastAsia" w:hAnsiTheme="minorEastAsia" w:eastAsiaTheme="minorEastAsia" w:cstheme="minorEastAsia"/>
                <w:spacing w:val="0"/>
                <w:position w:val="0"/>
                <w:sz w:val="21"/>
                <w:szCs w:val="21"/>
              </w:rPr>
            </w:pPr>
          </w:p>
          <w:p w14:paraId="013C81B3">
            <w:pPr>
              <w:pStyle w:val="34"/>
              <w:spacing w:before="1"/>
              <w:ind w:left="246" w:right="240"/>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牛肉</w:t>
            </w:r>
          </w:p>
        </w:tc>
        <w:tc>
          <w:tcPr>
            <w:tcW w:w="2610" w:type="dxa"/>
          </w:tcPr>
          <w:p w14:paraId="3AEED957">
            <w:pPr>
              <w:pStyle w:val="34"/>
              <w:spacing w:before="5"/>
              <w:rPr>
                <w:rFonts w:hint="eastAsia" w:asciiTheme="minorEastAsia" w:hAnsiTheme="minorEastAsia" w:eastAsiaTheme="minorEastAsia" w:cstheme="minorEastAsia"/>
                <w:spacing w:val="0"/>
                <w:position w:val="0"/>
                <w:sz w:val="21"/>
                <w:szCs w:val="21"/>
              </w:rPr>
            </w:pPr>
          </w:p>
          <w:p w14:paraId="39BEB03E">
            <w:pPr>
              <w:pStyle w:val="34"/>
              <w:spacing w:before="1"/>
              <w:ind w:left="168" w:right="158"/>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克伦特罗、磺胺类（总量）</w:t>
            </w:r>
          </w:p>
        </w:tc>
        <w:tc>
          <w:tcPr>
            <w:tcW w:w="7305" w:type="dxa"/>
          </w:tcPr>
          <w:p w14:paraId="205E3314">
            <w:pPr>
              <w:pStyle w:val="34"/>
              <w:spacing w:before="76" w:line="304" w:lineRule="auto"/>
              <w:ind w:left="108" w:right="91"/>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挥发性盐基氮、水分、呋喃唑酮代谢物、呋喃西林代谢物、氯霉素、莱克多巴胺、沙丁胺醇、恩诺沙星、甲氧苄啶、氟苯尼考、多西环素、地塞米松、林可霉素、倍他米松、土霉</w:t>
            </w:r>
          </w:p>
          <w:p w14:paraId="5FDE9DAA">
            <w:pPr>
              <w:pStyle w:val="34"/>
              <w:spacing w:before="1" w:line="223" w:lineRule="exact"/>
              <w:ind w:left="108"/>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素/金霉素/四环素（组合含量）</w:t>
            </w:r>
          </w:p>
        </w:tc>
        <w:tc>
          <w:tcPr>
            <w:tcW w:w="1338" w:type="dxa"/>
          </w:tcPr>
          <w:p w14:paraId="2BCAE437">
            <w:pPr>
              <w:pStyle w:val="34"/>
              <w:rPr>
                <w:rFonts w:hint="eastAsia" w:asciiTheme="minorEastAsia" w:hAnsiTheme="minorEastAsia" w:eastAsiaTheme="minorEastAsia" w:cstheme="minorEastAsia"/>
                <w:spacing w:val="0"/>
                <w:position w:val="0"/>
                <w:sz w:val="21"/>
                <w:szCs w:val="21"/>
              </w:rPr>
            </w:pPr>
          </w:p>
        </w:tc>
      </w:tr>
      <w:tr w14:paraId="4C9A9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57" w:type="dxa"/>
            <w:vMerge w:val="continue"/>
            <w:tcBorders>
              <w:top w:val="nil"/>
            </w:tcBorders>
          </w:tcPr>
          <w:p w14:paraId="199810FE">
            <w:pPr>
              <w:rPr>
                <w:rFonts w:hint="eastAsia" w:asciiTheme="minorEastAsia" w:hAnsiTheme="minorEastAsia" w:eastAsiaTheme="minorEastAsia" w:cstheme="minorEastAsia"/>
                <w:spacing w:val="0"/>
                <w:position w:val="0"/>
                <w:sz w:val="21"/>
                <w:szCs w:val="21"/>
              </w:rPr>
            </w:pPr>
          </w:p>
        </w:tc>
        <w:tc>
          <w:tcPr>
            <w:tcW w:w="1170" w:type="dxa"/>
            <w:vMerge w:val="continue"/>
            <w:tcBorders>
              <w:top w:val="nil"/>
            </w:tcBorders>
          </w:tcPr>
          <w:p w14:paraId="28D0143F">
            <w:pPr>
              <w:rPr>
                <w:rFonts w:hint="eastAsia" w:asciiTheme="minorEastAsia" w:hAnsiTheme="minorEastAsia" w:eastAsiaTheme="minorEastAsia" w:cstheme="minorEastAsia"/>
                <w:spacing w:val="0"/>
                <w:position w:val="0"/>
                <w:sz w:val="21"/>
                <w:szCs w:val="21"/>
              </w:rPr>
            </w:pPr>
          </w:p>
        </w:tc>
        <w:tc>
          <w:tcPr>
            <w:tcW w:w="1245" w:type="dxa"/>
          </w:tcPr>
          <w:p w14:paraId="40ED286A">
            <w:pPr>
              <w:pStyle w:val="34"/>
              <w:spacing w:before="6"/>
              <w:rPr>
                <w:rFonts w:hint="eastAsia" w:asciiTheme="minorEastAsia" w:hAnsiTheme="minorEastAsia" w:eastAsiaTheme="minorEastAsia" w:cstheme="minorEastAsia"/>
                <w:spacing w:val="0"/>
                <w:position w:val="0"/>
                <w:sz w:val="21"/>
                <w:szCs w:val="21"/>
              </w:rPr>
            </w:pPr>
          </w:p>
          <w:p w14:paraId="33DA34A5">
            <w:pPr>
              <w:pStyle w:val="34"/>
              <w:ind w:left="246" w:right="240"/>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羊肉</w:t>
            </w:r>
          </w:p>
        </w:tc>
        <w:tc>
          <w:tcPr>
            <w:tcW w:w="2610" w:type="dxa"/>
          </w:tcPr>
          <w:p w14:paraId="50D06F54">
            <w:pPr>
              <w:pStyle w:val="34"/>
              <w:spacing w:before="6"/>
              <w:rPr>
                <w:rFonts w:hint="eastAsia" w:asciiTheme="minorEastAsia" w:hAnsiTheme="minorEastAsia" w:eastAsiaTheme="minorEastAsia" w:cstheme="minorEastAsia"/>
                <w:spacing w:val="0"/>
                <w:position w:val="0"/>
                <w:sz w:val="21"/>
                <w:szCs w:val="21"/>
              </w:rPr>
            </w:pPr>
          </w:p>
          <w:p w14:paraId="205C3550">
            <w:pPr>
              <w:pStyle w:val="34"/>
              <w:ind w:left="165" w:right="158"/>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氯霉素</w:t>
            </w:r>
          </w:p>
        </w:tc>
        <w:tc>
          <w:tcPr>
            <w:tcW w:w="7305" w:type="dxa"/>
          </w:tcPr>
          <w:p w14:paraId="4F3AB803">
            <w:pPr>
              <w:pStyle w:val="34"/>
              <w:spacing w:line="320" w:lineRule="atLeast"/>
              <w:ind w:left="108" w:right="91"/>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呋喃唑酮代谢物、呋喃西林代谢物、克伦特罗、莱克多巴胺、沙丁胺醇、恩诺沙星、磺胺类（总量）、氟苯尼考、林可霉素、环丙氨嗪、土霉素</w:t>
            </w:r>
            <w:r>
              <w:rPr>
                <w:rFonts w:hint="eastAsia" w:asciiTheme="minorEastAsia" w:hAnsiTheme="minorEastAsia" w:eastAsiaTheme="minorEastAsia" w:cstheme="minorEastAsia"/>
                <w:spacing w:val="0"/>
                <w:w w:val="170"/>
                <w:position w:val="0"/>
                <w:sz w:val="21"/>
                <w:szCs w:val="21"/>
              </w:rPr>
              <w:t>/</w:t>
            </w:r>
            <w:r>
              <w:rPr>
                <w:rFonts w:hint="eastAsia" w:asciiTheme="minorEastAsia" w:hAnsiTheme="minorEastAsia" w:eastAsiaTheme="minorEastAsia" w:cstheme="minorEastAsia"/>
                <w:spacing w:val="0"/>
                <w:position w:val="0"/>
                <w:sz w:val="21"/>
                <w:szCs w:val="21"/>
              </w:rPr>
              <w:t>金霉素</w:t>
            </w:r>
            <w:r>
              <w:rPr>
                <w:rFonts w:hint="eastAsia" w:asciiTheme="minorEastAsia" w:hAnsiTheme="minorEastAsia" w:eastAsiaTheme="minorEastAsia" w:cstheme="minorEastAsia"/>
                <w:spacing w:val="0"/>
                <w:w w:val="170"/>
                <w:position w:val="0"/>
                <w:sz w:val="21"/>
                <w:szCs w:val="21"/>
              </w:rPr>
              <w:t>/</w:t>
            </w:r>
            <w:r>
              <w:rPr>
                <w:rFonts w:hint="eastAsia" w:asciiTheme="minorEastAsia" w:hAnsiTheme="minorEastAsia" w:eastAsiaTheme="minorEastAsia" w:cstheme="minorEastAsia"/>
                <w:spacing w:val="0"/>
                <w:position w:val="0"/>
                <w:sz w:val="21"/>
                <w:szCs w:val="21"/>
              </w:rPr>
              <w:t>四环素（组合含量）</w:t>
            </w:r>
          </w:p>
        </w:tc>
        <w:tc>
          <w:tcPr>
            <w:tcW w:w="1338" w:type="dxa"/>
          </w:tcPr>
          <w:p w14:paraId="6ECF8213">
            <w:pPr>
              <w:pStyle w:val="34"/>
              <w:rPr>
                <w:rFonts w:hint="eastAsia" w:asciiTheme="minorEastAsia" w:hAnsiTheme="minorEastAsia" w:eastAsiaTheme="minorEastAsia" w:cstheme="minorEastAsia"/>
                <w:spacing w:val="0"/>
                <w:position w:val="0"/>
                <w:sz w:val="21"/>
                <w:szCs w:val="21"/>
              </w:rPr>
            </w:pPr>
          </w:p>
        </w:tc>
      </w:tr>
      <w:tr w14:paraId="68BA4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057" w:type="dxa"/>
            <w:vMerge w:val="continue"/>
            <w:tcBorders>
              <w:top w:val="nil"/>
            </w:tcBorders>
          </w:tcPr>
          <w:p w14:paraId="7149172D">
            <w:pPr>
              <w:rPr>
                <w:rFonts w:hint="eastAsia" w:asciiTheme="minorEastAsia" w:hAnsiTheme="minorEastAsia" w:eastAsiaTheme="minorEastAsia" w:cstheme="minorEastAsia"/>
                <w:spacing w:val="0"/>
                <w:position w:val="0"/>
                <w:sz w:val="21"/>
                <w:szCs w:val="21"/>
              </w:rPr>
            </w:pPr>
          </w:p>
        </w:tc>
        <w:tc>
          <w:tcPr>
            <w:tcW w:w="1170" w:type="dxa"/>
          </w:tcPr>
          <w:p w14:paraId="668FCC0D">
            <w:pPr>
              <w:pStyle w:val="34"/>
              <w:spacing w:before="5"/>
              <w:rPr>
                <w:rFonts w:hint="eastAsia" w:asciiTheme="minorEastAsia" w:hAnsiTheme="minorEastAsia" w:eastAsiaTheme="minorEastAsia" w:cstheme="minorEastAsia"/>
                <w:spacing w:val="0"/>
                <w:position w:val="0"/>
                <w:sz w:val="21"/>
                <w:szCs w:val="21"/>
              </w:rPr>
            </w:pPr>
          </w:p>
          <w:p w14:paraId="4B1A2DA2">
            <w:pPr>
              <w:pStyle w:val="34"/>
              <w:spacing w:before="1"/>
              <w:ind w:left="119" w:right="108"/>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禽肉</w:t>
            </w:r>
          </w:p>
        </w:tc>
        <w:tc>
          <w:tcPr>
            <w:tcW w:w="1245" w:type="dxa"/>
          </w:tcPr>
          <w:p w14:paraId="1B0480FA">
            <w:pPr>
              <w:pStyle w:val="34"/>
              <w:spacing w:before="5"/>
              <w:rPr>
                <w:rFonts w:hint="eastAsia" w:asciiTheme="minorEastAsia" w:hAnsiTheme="minorEastAsia" w:eastAsiaTheme="minorEastAsia" w:cstheme="minorEastAsia"/>
                <w:spacing w:val="0"/>
                <w:position w:val="0"/>
                <w:sz w:val="21"/>
                <w:szCs w:val="21"/>
              </w:rPr>
            </w:pPr>
          </w:p>
          <w:p w14:paraId="7E904829">
            <w:pPr>
              <w:pStyle w:val="34"/>
              <w:spacing w:before="1"/>
              <w:ind w:left="246" w:right="240"/>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鸡肉</w:t>
            </w:r>
          </w:p>
        </w:tc>
        <w:tc>
          <w:tcPr>
            <w:tcW w:w="2610" w:type="dxa"/>
          </w:tcPr>
          <w:p w14:paraId="7668DE48">
            <w:pPr>
              <w:pStyle w:val="34"/>
              <w:spacing w:before="6"/>
              <w:rPr>
                <w:rFonts w:hint="eastAsia" w:asciiTheme="minorEastAsia" w:hAnsiTheme="minorEastAsia" w:eastAsiaTheme="minorEastAsia" w:cstheme="minorEastAsia"/>
                <w:spacing w:val="0"/>
                <w:position w:val="0"/>
                <w:sz w:val="21"/>
                <w:szCs w:val="21"/>
              </w:rPr>
            </w:pPr>
          </w:p>
          <w:p w14:paraId="0D415869">
            <w:pPr>
              <w:pStyle w:val="34"/>
              <w:spacing w:line="304" w:lineRule="auto"/>
              <w:ind w:left="1213" w:right="124" w:hanging="1080"/>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氟苯尼考、多西环素、尼卡巴嗪</w:t>
            </w:r>
          </w:p>
        </w:tc>
        <w:tc>
          <w:tcPr>
            <w:tcW w:w="7305" w:type="dxa"/>
          </w:tcPr>
          <w:p w14:paraId="2BB6C0DF">
            <w:pPr>
              <w:pStyle w:val="34"/>
              <w:spacing w:before="76" w:line="304" w:lineRule="auto"/>
              <w:ind w:left="108" w:right="3"/>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挥发性盐基氮、呋喃唑酮代谢物、呋喃西林代谢物、呋喃它酮代谢物、氯霉素、氧氟沙星、培氟沙星、诺氟沙星、恩诺沙星、沙拉沙星、替米考星、磺胺类（总量）、甲氧苄啶、甲</w:t>
            </w:r>
          </w:p>
          <w:p w14:paraId="48AEC13F">
            <w:pPr>
              <w:pStyle w:val="34"/>
              <w:spacing w:before="1" w:line="223" w:lineRule="exact"/>
              <w:ind w:left="108"/>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硝唑、环丙氨嗪、土霉素/金霉素/四环素（组合含量）</w:t>
            </w:r>
          </w:p>
        </w:tc>
        <w:tc>
          <w:tcPr>
            <w:tcW w:w="1338" w:type="dxa"/>
          </w:tcPr>
          <w:p w14:paraId="627B7B8A">
            <w:pPr>
              <w:pStyle w:val="34"/>
              <w:rPr>
                <w:rFonts w:hint="eastAsia" w:asciiTheme="minorEastAsia" w:hAnsiTheme="minorEastAsia" w:eastAsiaTheme="minorEastAsia" w:cstheme="minorEastAsia"/>
                <w:spacing w:val="0"/>
                <w:position w:val="0"/>
                <w:sz w:val="21"/>
                <w:szCs w:val="21"/>
              </w:rPr>
            </w:pPr>
          </w:p>
        </w:tc>
      </w:tr>
      <w:tr w14:paraId="7BA48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57" w:type="dxa"/>
            <w:vMerge w:val="restart"/>
          </w:tcPr>
          <w:p w14:paraId="31D073E9">
            <w:pPr>
              <w:pStyle w:val="34"/>
              <w:rPr>
                <w:rFonts w:hint="eastAsia" w:asciiTheme="minorEastAsia" w:hAnsiTheme="minorEastAsia" w:eastAsiaTheme="minorEastAsia" w:cstheme="minorEastAsia"/>
                <w:spacing w:val="0"/>
                <w:position w:val="0"/>
                <w:sz w:val="21"/>
                <w:szCs w:val="21"/>
              </w:rPr>
            </w:pPr>
          </w:p>
          <w:p w14:paraId="1A949617">
            <w:pPr>
              <w:pStyle w:val="34"/>
              <w:rPr>
                <w:rFonts w:hint="eastAsia" w:asciiTheme="minorEastAsia" w:hAnsiTheme="minorEastAsia" w:eastAsiaTheme="minorEastAsia" w:cstheme="minorEastAsia"/>
                <w:spacing w:val="0"/>
                <w:position w:val="0"/>
                <w:sz w:val="21"/>
                <w:szCs w:val="21"/>
              </w:rPr>
            </w:pPr>
          </w:p>
          <w:p w14:paraId="087C46D7">
            <w:pPr>
              <w:pStyle w:val="34"/>
              <w:spacing w:before="1"/>
              <w:rPr>
                <w:rFonts w:hint="eastAsia" w:asciiTheme="minorEastAsia" w:hAnsiTheme="minorEastAsia" w:eastAsiaTheme="minorEastAsia" w:cstheme="minorEastAsia"/>
                <w:spacing w:val="0"/>
                <w:position w:val="0"/>
                <w:sz w:val="21"/>
                <w:szCs w:val="21"/>
              </w:rPr>
            </w:pPr>
          </w:p>
          <w:p w14:paraId="1942AA5F">
            <w:pPr>
              <w:pStyle w:val="34"/>
              <w:ind w:left="346"/>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蔬菜</w:t>
            </w:r>
          </w:p>
        </w:tc>
        <w:tc>
          <w:tcPr>
            <w:tcW w:w="1170" w:type="dxa"/>
            <w:vMerge w:val="restart"/>
          </w:tcPr>
          <w:p w14:paraId="013CDD8D">
            <w:pPr>
              <w:pStyle w:val="34"/>
              <w:rPr>
                <w:rFonts w:hint="eastAsia" w:asciiTheme="minorEastAsia" w:hAnsiTheme="minorEastAsia" w:eastAsiaTheme="minorEastAsia" w:cstheme="minorEastAsia"/>
                <w:spacing w:val="0"/>
                <w:position w:val="0"/>
                <w:sz w:val="21"/>
                <w:szCs w:val="21"/>
              </w:rPr>
            </w:pPr>
          </w:p>
          <w:p w14:paraId="1C99C60A">
            <w:pPr>
              <w:pStyle w:val="34"/>
              <w:rPr>
                <w:rFonts w:hint="eastAsia" w:asciiTheme="minorEastAsia" w:hAnsiTheme="minorEastAsia" w:eastAsiaTheme="minorEastAsia" w:cstheme="minorEastAsia"/>
                <w:spacing w:val="0"/>
                <w:position w:val="0"/>
                <w:sz w:val="21"/>
                <w:szCs w:val="21"/>
              </w:rPr>
            </w:pPr>
          </w:p>
          <w:p w14:paraId="3EF4F158">
            <w:pPr>
              <w:pStyle w:val="34"/>
              <w:spacing w:before="1"/>
              <w:rPr>
                <w:rFonts w:hint="eastAsia" w:asciiTheme="minorEastAsia" w:hAnsiTheme="minorEastAsia" w:eastAsiaTheme="minorEastAsia" w:cstheme="minorEastAsia"/>
                <w:spacing w:val="0"/>
                <w:position w:val="0"/>
                <w:sz w:val="21"/>
                <w:szCs w:val="21"/>
              </w:rPr>
            </w:pPr>
          </w:p>
          <w:p w14:paraId="48095073">
            <w:pPr>
              <w:pStyle w:val="34"/>
              <w:ind w:left="225"/>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豆类蔬菜</w:t>
            </w:r>
          </w:p>
        </w:tc>
        <w:tc>
          <w:tcPr>
            <w:tcW w:w="1245" w:type="dxa"/>
          </w:tcPr>
          <w:p w14:paraId="492CABAF">
            <w:pPr>
              <w:pStyle w:val="34"/>
              <w:spacing w:before="6"/>
              <w:rPr>
                <w:rFonts w:hint="eastAsia" w:asciiTheme="minorEastAsia" w:hAnsiTheme="minorEastAsia" w:eastAsiaTheme="minorEastAsia" w:cstheme="minorEastAsia"/>
                <w:spacing w:val="0"/>
                <w:position w:val="0"/>
                <w:sz w:val="21"/>
                <w:szCs w:val="21"/>
              </w:rPr>
            </w:pPr>
          </w:p>
          <w:p w14:paraId="7D8EFA93">
            <w:pPr>
              <w:pStyle w:val="34"/>
              <w:ind w:left="246" w:right="240"/>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菜豆</w:t>
            </w:r>
          </w:p>
        </w:tc>
        <w:tc>
          <w:tcPr>
            <w:tcW w:w="2610" w:type="dxa"/>
          </w:tcPr>
          <w:p w14:paraId="6FECB797">
            <w:pPr>
              <w:pStyle w:val="34"/>
              <w:spacing w:before="6"/>
              <w:rPr>
                <w:rFonts w:hint="eastAsia" w:asciiTheme="minorEastAsia" w:hAnsiTheme="minorEastAsia" w:eastAsiaTheme="minorEastAsia" w:cstheme="minorEastAsia"/>
                <w:spacing w:val="0"/>
                <w:position w:val="0"/>
                <w:sz w:val="21"/>
                <w:szCs w:val="21"/>
              </w:rPr>
            </w:pPr>
          </w:p>
          <w:p w14:paraId="5FBE30AF">
            <w:pPr>
              <w:pStyle w:val="34"/>
              <w:ind w:left="165" w:right="158"/>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噻虫胺</w:t>
            </w:r>
          </w:p>
        </w:tc>
        <w:tc>
          <w:tcPr>
            <w:tcW w:w="7305" w:type="dxa"/>
          </w:tcPr>
          <w:p w14:paraId="32D01A3A">
            <w:pPr>
              <w:pStyle w:val="34"/>
              <w:spacing w:line="320" w:lineRule="atLeast"/>
              <w:ind w:left="108" w:right="91"/>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倍硫磷、氧乐果、灭蝇胺、甲氨基阿维菌素苯甲酸盐、乙酰甲胺磷、甲胺磷、吡虫啉、氯氟氰菊酯和高效氯氟氰菊酯、毒死蜱、多菌灵、克百威、水胺硫磷</w:t>
            </w:r>
          </w:p>
        </w:tc>
        <w:tc>
          <w:tcPr>
            <w:tcW w:w="1338" w:type="dxa"/>
          </w:tcPr>
          <w:p w14:paraId="14154C13">
            <w:pPr>
              <w:pStyle w:val="34"/>
              <w:rPr>
                <w:rFonts w:hint="eastAsia" w:asciiTheme="minorEastAsia" w:hAnsiTheme="minorEastAsia" w:eastAsiaTheme="minorEastAsia" w:cstheme="minorEastAsia"/>
                <w:spacing w:val="0"/>
                <w:position w:val="0"/>
                <w:sz w:val="21"/>
                <w:szCs w:val="21"/>
              </w:rPr>
            </w:pPr>
          </w:p>
        </w:tc>
      </w:tr>
      <w:tr w14:paraId="06FA3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057" w:type="dxa"/>
            <w:vMerge w:val="continue"/>
            <w:tcBorders>
              <w:top w:val="nil"/>
            </w:tcBorders>
          </w:tcPr>
          <w:p w14:paraId="29799E02">
            <w:pPr>
              <w:rPr>
                <w:rFonts w:hint="eastAsia" w:asciiTheme="minorEastAsia" w:hAnsiTheme="minorEastAsia" w:eastAsiaTheme="minorEastAsia" w:cstheme="minorEastAsia"/>
                <w:spacing w:val="0"/>
                <w:position w:val="0"/>
                <w:sz w:val="21"/>
                <w:szCs w:val="21"/>
              </w:rPr>
            </w:pPr>
          </w:p>
        </w:tc>
        <w:tc>
          <w:tcPr>
            <w:tcW w:w="1170" w:type="dxa"/>
            <w:vMerge w:val="continue"/>
            <w:tcBorders>
              <w:top w:val="nil"/>
            </w:tcBorders>
          </w:tcPr>
          <w:p w14:paraId="2353AFD3">
            <w:pPr>
              <w:rPr>
                <w:rFonts w:hint="eastAsia" w:asciiTheme="minorEastAsia" w:hAnsiTheme="minorEastAsia" w:eastAsiaTheme="minorEastAsia" w:cstheme="minorEastAsia"/>
                <w:spacing w:val="0"/>
                <w:position w:val="0"/>
                <w:sz w:val="21"/>
                <w:szCs w:val="21"/>
              </w:rPr>
            </w:pPr>
          </w:p>
        </w:tc>
        <w:tc>
          <w:tcPr>
            <w:tcW w:w="1245" w:type="dxa"/>
          </w:tcPr>
          <w:p w14:paraId="1F0DD105">
            <w:pPr>
              <w:pStyle w:val="34"/>
              <w:spacing w:before="5"/>
              <w:rPr>
                <w:rFonts w:hint="eastAsia" w:asciiTheme="minorEastAsia" w:hAnsiTheme="minorEastAsia" w:eastAsiaTheme="minorEastAsia" w:cstheme="minorEastAsia"/>
                <w:spacing w:val="0"/>
                <w:position w:val="0"/>
                <w:sz w:val="21"/>
                <w:szCs w:val="21"/>
              </w:rPr>
            </w:pPr>
          </w:p>
          <w:p w14:paraId="0BD372B6">
            <w:pPr>
              <w:pStyle w:val="34"/>
              <w:spacing w:before="1"/>
              <w:ind w:left="246" w:right="240"/>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豇豆</w:t>
            </w:r>
          </w:p>
        </w:tc>
        <w:tc>
          <w:tcPr>
            <w:tcW w:w="2610" w:type="dxa"/>
          </w:tcPr>
          <w:p w14:paraId="4D3B30CB">
            <w:pPr>
              <w:pStyle w:val="34"/>
              <w:spacing w:before="5"/>
              <w:rPr>
                <w:rFonts w:hint="eastAsia" w:asciiTheme="minorEastAsia" w:hAnsiTheme="minorEastAsia" w:eastAsiaTheme="minorEastAsia" w:cstheme="minorEastAsia"/>
                <w:spacing w:val="0"/>
                <w:position w:val="0"/>
                <w:sz w:val="21"/>
                <w:szCs w:val="21"/>
              </w:rPr>
            </w:pPr>
          </w:p>
          <w:p w14:paraId="5EDB5ED6">
            <w:pPr>
              <w:pStyle w:val="34"/>
              <w:spacing w:before="1"/>
              <w:ind w:left="165" w:right="158"/>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倍硫磷、噻虫胺、噻虫嗪</w:t>
            </w:r>
          </w:p>
        </w:tc>
        <w:tc>
          <w:tcPr>
            <w:tcW w:w="7305" w:type="dxa"/>
          </w:tcPr>
          <w:p w14:paraId="164B0FA1">
            <w:pPr>
              <w:pStyle w:val="34"/>
              <w:spacing w:before="76" w:line="304" w:lineRule="auto"/>
              <w:ind w:left="108" w:right="91"/>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灭蝇胺、啶虫脒、毒死蜱、氯氟氰菊酯和高效氯氟氰菊酯、水胺硫磷、氟虫腈、氧乐果</w:t>
            </w:r>
            <w:r>
              <w:rPr>
                <w:rFonts w:hint="eastAsia" w:asciiTheme="minorEastAsia" w:hAnsiTheme="minorEastAsia" w:eastAsiaTheme="minorEastAsia" w:cstheme="minorEastAsia"/>
                <w:spacing w:val="0"/>
                <w:position w:val="0"/>
                <w:sz w:val="21"/>
                <w:szCs w:val="21"/>
                <w:lang w:eastAsia="zh-CN"/>
              </w:rPr>
              <w:t>、</w:t>
            </w:r>
            <w:r>
              <w:rPr>
                <w:rFonts w:hint="eastAsia" w:asciiTheme="minorEastAsia" w:hAnsiTheme="minorEastAsia" w:eastAsiaTheme="minorEastAsia" w:cstheme="minorEastAsia"/>
                <w:spacing w:val="0"/>
                <w:position w:val="0"/>
                <w:sz w:val="21"/>
                <w:szCs w:val="21"/>
              </w:rPr>
              <w:t>乐果、阿维菌素、甲基异柳磷、克百威、甲氨基阿维菌素苯甲酸盐、甲胺磷、甲拌磷、乙</w:t>
            </w:r>
          </w:p>
          <w:p w14:paraId="14ED1638">
            <w:pPr>
              <w:pStyle w:val="34"/>
              <w:spacing w:before="1" w:line="223" w:lineRule="exact"/>
              <w:ind w:left="108"/>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酰甲胺磷、三唑磷、氯氰菊酯和高效氯氰菊酯</w:t>
            </w:r>
          </w:p>
        </w:tc>
        <w:tc>
          <w:tcPr>
            <w:tcW w:w="1338" w:type="dxa"/>
          </w:tcPr>
          <w:p w14:paraId="187264D2">
            <w:pPr>
              <w:pStyle w:val="34"/>
              <w:rPr>
                <w:rFonts w:hint="eastAsia" w:asciiTheme="minorEastAsia" w:hAnsiTheme="minorEastAsia" w:eastAsiaTheme="minorEastAsia" w:cstheme="minorEastAsia"/>
                <w:spacing w:val="0"/>
                <w:position w:val="0"/>
                <w:sz w:val="21"/>
                <w:szCs w:val="21"/>
              </w:rPr>
            </w:pPr>
          </w:p>
        </w:tc>
      </w:tr>
      <w:tr w14:paraId="1F461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57" w:type="dxa"/>
            <w:vMerge w:val="continue"/>
            <w:tcBorders>
              <w:top w:val="nil"/>
            </w:tcBorders>
          </w:tcPr>
          <w:p w14:paraId="61739201">
            <w:pPr>
              <w:rPr>
                <w:rFonts w:hint="eastAsia" w:asciiTheme="minorEastAsia" w:hAnsiTheme="minorEastAsia" w:eastAsiaTheme="minorEastAsia" w:cstheme="minorEastAsia"/>
                <w:spacing w:val="0"/>
                <w:position w:val="0"/>
                <w:sz w:val="21"/>
                <w:szCs w:val="21"/>
              </w:rPr>
            </w:pPr>
          </w:p>
        </w:tc>
        <w:tc>
          <w:tcPr>
            <w:tcW w:w="1170" w:type="dxa"/>
            <w:vMerge w:val="continue"/>
            <w:tcBorders>
              <w:top w:val="nil"/>
            </w:tcBorders>
          </w:tcPr>
          <w:p w14:paraId="6D9D9A1E">
            <w:pPr>
              <w:rPr>
                <w:rFonts w:hint="eastAsia" w:asciiTheme="minorEastAsia" w:hAnsiTheme="minorEastAsia" w:eastAsiaTheme="minorEastAsia" w:cstheme="minorEastAsia"/>
                <w:spacing w:val="0"/>
                <w:position w:val="0"/>
                <w:sz w:val="21"/>
                <w:szCs w:val="21"/>
              </w:rPr>
            </w:pPr>
          </w:p>
        </w:tc>
        <w:tc>
          <w:tcPr>
            <w:tcW w:w="1245" w:type="dxa"/>
          </w:tcPr>
          <w:p w14:paraId="64B5CF40">
            <w:pPr>
              <w:pStyle w:val="34"/>
              <w:spacing w:before="6"/>
              <w:rPr>
                <w:rFonts w:hint="eastAsia" w:asciiTheme="minorEastAsia" w:hAnsiTheme="minorEastAsia" w:eastAsiaTheme="minorEastAsia" w:cstheme="minorEastAsia"/>
                <w:spacing w:val="0"/>
                <w:position w:val="0"/>
                <w:sz w:val="21"/>
                <w:szCs w:val="21"/>
              </w:rPr>
            </w:pPr>
          </w:p>
          <w:p w14:paraId="7797FDFB">
            <w:pPr>
              <w:pStyle w:val="34"/>
              <w:ind w:left="246" w:right="240"/>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食荚豌豆</w:t>
            </w:r>
          </w:p>
        </w:tc>
        <w:tc>
          <w:tcPr>
            <w:tcW w:w="2610" w:type="dxa"/>
          </w:tcPr>
          <w:p w14:paraId="04AEDC2D">
            <w:pPr>
              <w:pStyle w:val="34"/>
              <w:spacing w:before="6"/>
              <w:rPr>
                <w:rFonts w:hint="eastAsia" w:asciiTheme="minorEastAsia" w:hAnsiTheme="minorEastAsia" w:eastAsiaTheme="minorEastAsia" w:cstheme="minorEastAsia"/>
                <w:spacing w:val="0"/>
                <w:position w:val="0"/>
                <w:sz w:val="21"/>
                <w:szCs w:val="21"/>
              </w:rPr>
            </w:pPr>
          </w:p>
          <w:p w14:paraId="37D7BE88">
            <w:pPr>
              <w:pStyle w:val="34"/>
              <w:ind w:left="165" w:right="158"/>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噻虫胺、多菌灵</w:t>
            </w:r>
          </w:p>
        </w:tc>
        <w:tc>
          <w:tcPr>
            <w:tcW w:w="7305" w:type="dxa"/>
          </w:tcPr>
          <w:p w14:paraId="547DCAC4">
            <w:pPr>
              <w:pStyle w:val="34"/>
              <w:spacing w:line="320" w:lineRule="atLeast"/>
              <w:ind w:left="108" w:right="3"/>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阿维菌素、氧乐果、毒死蜱、灭蝇胺、烯酰吗啉、吡唑醚菌酯、甲氨基阿维菌素苯甲酸盐、乙酰甲胺磷</w:t>
            </w:r>
          </w:p>
        </w:tc>
        <w:tc>
          <w:tcPr>
            <w:tcW w:w="1338" w:type="dxa"/>
          </w:tcPr>
          <w:p w14:paraId="3E675135">
            <w:pPr>
              <w:pStyle w:val="34"/>
              <w:rPr>
                <w:rFonts w:hint="eastAsia" w:asciiTheme="minorEastAsia" w:hAnsiTheme="minorEastAsia" w:eastAsiaTheme="minorEastAsia" w:cstheme="minorEastAsia"/>
                <w:spacing w:val="0"/>
                <w:position w:val="0"/>
                <w:sz w:val="21"/>
                <w:szCs w:val="21"/>
              </w:rPr>
            </w:pPr>
          </w:p>
        </w:tc>
      </w:tr>
    </w:tbl>
    <w:p w14:paraId="616831C4">
      <w:pPr>
        <w:pStyle w:val="6"/>
        <w:spacing w:before="13"/>
        <w:rPr>
          <w:rFonts w:ascii="Arial Unicode MS"/>
          <w:spacing w:val="0"/>
          <w:position w:val="0"/>
          <w:sz w:val="23"/>
        </w:rPr>
      </w:pPr>
    </w:p>
    <w:p w14:paraId="67475399">
      <w:pPr>
        <w:spacing w:after="0"/>
        <w:rPr>
          <w:rFonts w:hint="eastAsia" w:ascii="仿宋_GB2312" w:hAnsi="仿宋_GB2312" w:eastAsia="仿宋_GB2312" w:cs="仿宋_GB2312"/>
          <w:spacing w:val="0"/>
          <w:position w:val="0"/>
          <w:sz w:val="18"/>
        </w:rPr>
        <w:sectPr>
          <w:type w:val="continuous"/>
          <w:pgSz w:w="16840" w:h="11910" w:orient="landscape"/>
          <w:pgMar w:top="1920" w:right="820" w:bottom="280" w:left="200" w:header="720" w:footer="720" w:gutter="0"/>
          <w:pgNumType w:fmt="decimal"/>
          <w:cols w:space="720" w:num="1"/>
        </w:sectPr>
      </w:pPr>
    </w:p>
    <w:p w14:paraId="641513FE">
      <w:pPr>
        <w:pStyle w:val="6"/>
        <w:spacing w:before="8"/>
        <w:rPr>
          <w:rFonts w:hint="eastAsia" w:ascii="仿宋_GB2312" w:hAnsi="仿宋_GB2312" w:eastAsia="仿宋_GB2312" w:cs="仿宋_GB2312"/>
          <w:spacing w:val="0"/>
          <w:position w:val="0"/>
          <w:sz w:val="10"/>
        </w:rPr>
      </w:pPr>
    </w:p>
    <w:tbl>
      <w:tblPr>
        <w:tblStyle w:val="17"/>
        <w:tblW w:w="0" w:type="auto"/>
        <w:tblInd w:w="8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7"/>
        <w:gridCol w:w="1170"/>
        <w:gridCol w:w="1245"/>
        <w:gridCol w:w="2610"/>
        <w:gridCol w:w="7305"/>
        <w:gridCol w:w="1338"/>
      </w:tblGrid>
      <w:tr w14:paraId="31AB5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57" w:type="dxa"/>
          </w:tcPr>
          <w:p w14:paraId="753E679C">
            <w:pPr>
              <w:pStyle w:val="34"/>
              <w:spacing w:before="76"/>
              <w:ind w:left="166"/>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食品亚类</w:t>
            </w:r>
          </w:p>
          <w:p w14:paraId="1AE1492F">
            <w:pPr>
              <w:pStyle w:val="34"/>
              <w:spacing w:before="89" w:line="224" w:lineRule="exact"/>
              <w:ind w:left="166"/>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（二级</w:t>
            </w:r>
          </w:p>
        </w:tc>
        <w:tc>
          <w:tcPr>
            <w:tcW w:w="1170" w:type="dxa"/>
          </w:tcPr>
          <w:p w14:paraId="77253BF4">
            <w:pPr>
              <w:pStyle w:val="34"/>
              <w:spacing w:before="76"/>
              <w:ind w:left="225"/>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食品品种</w:t>
            </w:r>
          </w:p>
          <w:p w14:paraId="676C0B76">
            <w:pPr>
              <w:pStyle w:val="34"/>
              <w:spacing w:before="89" w:line="224" w:lineRule="exact"/>
              <w:ind w:left="225"/>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（三级</w:t>
            </w:r>
          </w:p>
        </w:tc>
        <w:tc>
          <w:tcPr>
            <w:tcW w:w="1245" w:type="dxa"/>
          </w:tcPr>
          <w:p w14:paraId="6090EDA5">
            <w:pPr>
              <w:pStyle w:val="34"/>
              <w:spacing w:before="76"/>
              <w:ind w:left="260"/>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食品细类</w:t>
            </w:r>
          </w:p>
          <w:p w14:paraId="09C65752">
            <w:pPr>
              <w:pStyle w:val="34"/>
              <w:spacing w:before="89" w:line="224" w:lineRule="exact"/>
              <w:ind w:left="260"/>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（四级</w:t>
            </w:r>
          </w:p>
        </w:tc>
        <w:tc>
          <w:tcPr>
            <w:tcW w:w="2610" w:type="dxa"/>
          </w:tcPr>
          <w:p w14:paraId="6F43AC37">
            <w:pPr>
              <w:pStyle w:val="34"/>
              <w:spacing w:before="5"/>
              <w:rPr>
                <w:rFonts w:hint="eastAsia" w:asciiTheme="minorEastAsia" w:hAnsiTheme="minorEastAsia" w:eastAsiaTheme="minorEastAsia" w:cstheme="minorEastAsia"/>
                <w:spacing w:val="0"/>
                <w:position w:val="0"/>
                <w:sz w:val="21"/>
                <w:szCs w:val="21"/>
              </w:rPr>
            </w:pPr>
          </w:p>
          <w:p w14:paraId="5D9F4436">
            <w:pPr>
              <w:pStyle w:val="34"/>
              <w:ind w:left="168" w:right="158"/>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必检项目</w:t>
            </w:r>
          </w:p>
        </w:tc>
        <w:tc>
          <w:tcPr>
            <w:tcW w:w="7305" w:type="dxa"/>
          </w:tcPr>
          <w:p w14:paraId="1662664D">
            <w:pPr>
              <w:pStyle w:val="34"/>
              <w:spacing w:before="5"/>
              <w:rPr>
                <w:rFonts w:hint="eastAsia" w:asciiTheme="minorEastAsia" w:hAnsiTheme="minorEastAsia" w:eastAsiaTheme="minorEastAsia" w:cstheme="minorEastAsia"/>
                <w:spacing w:val="0"/>
                <w:position w:val="0"/>
                <w:sz w:val="21"/>
                <w:szCs w:val="21"/>
              </w:rPr>
            </w:pPr>
          </w:p>
          <w:p w14:paraId="427A4359">
            <w:pPr>
              <w:pStyle w:val="34"/>
              <w:ind w:left="3277" w:right="3270"/>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可选项目</w:t>
            </w:r>
          </w:p>
        </w:tc>
        <w:tc>
          <w:tcPr>
            <w:tcW w:w="1338" w:type="dxa"/>
          </w:tcPr>
          <w:p w14:paraId="42373E17">
            <w:pPr>
              <w:pStyle w:val="34"/>
              <w:spacing w:before="5"/>
              <w:rPr>
                <w:rFonts w:hint="eastAsia" w:asciiTheme="minorEastAsia" w:hAnsiTheme="minorEastAsia" w:eastAsiaTheme="minorEastAsia" w:cstheme="minorEastAsia"/>
                <w:spacing w:val="0"/>
                <w:position w:val="0"/>
                <w:sz w:val="21"/>
                <w:szCs w:val="21"/>
              </w:rPr>
            </w:pPr>
          </w:p>
          <w:p w14:paraId="01F2EA6C">
            <w:pPr>
              <w:pStyle w:val="34"/>
              <w:ind w:left="473" w:right="465"/>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备注</w:t>
            </w:r>
          </w:p>
        </w:tc>
      </w:tr>
      <w:tr w14:paraId="549A9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057" w:type="dxa"/>
            <w:vMerge w:val="restart"/>
          </w:tcPr>
          <w:p w14:paraId="702311ED">
            <w:pPr>
              <w:pStyle w:val="34"/>
              <w:rPr>
                <w:rFonts w:hint="eastAsia" w:asciiTheme="minorEastAsia" w:hAnsiTheme="minorEastAsia" w:eastAsiaTheme="minorEastAsia" w:cstheme="minorEastAsia"/>
                <w:spacing w:val="0"/>
                <w:position w:val="0"/>
                <w:sz w:val="21"/>
                <w:szCs w:val="21"/>
              </w:rPr>
            </w:pPr>
          </w:p>
          <w:p w14:paraId="7F2BAFD9">
            <w:pPr>
              <w:pStyle w:val="34"/>
              <w:rPr>
                <w:rFonts w:hint="eastAsia" w:asciiTheme="minorEastAsia" w:hAnsiTheme="minorEastAsia" w:eastAsiaTheme="minorEastAsia" w:cstheme="minorEastAsia"/>
                <w:spacing w:val="0"/>
                <w:position w:val="0"/>
                <w:sz w:val="21"/>
                <w:szCs w:val="21"/>
              </w:rPr>
            </w:pPr>
          </w:p>
          <w:p w14:paraId="7BB63E31">
            <w:pPr>
              <w:pStyle w:val="34"/>
              <w:rPr>
                <w:rFonts w:hint="eastAsia" w:asciiTheme="minorEastAsia" w:hAnsiTheme="minorEastAsia" w:eastAsiaTheme="minorEastAsia" w:cstheme="minorEastAsia"/>
                <w:spacing w:val="0"/>
                <w:position w:val="0"/>
                <w:sz w:val="21"/>
                <w:szCs w:val="21"/>
              </w:rPr>
            </w:pPr>
          </w:p>
          <w:p w14:paraId="1F9CAC3C">
            <w:pPr>
              <w:pStyle w:val="34"/>
              <w:rPr>
                <w:rFonts w:hint="eastAsia" w:asciiTheme="minorEastAsia" w:hAnsiTheme="minorEastAsia" w:eastAsiaTheme="minorEastAsia" w:cstheme="minorEastAsia"/>
                <w:spacing w:val="0"/>
                <w:position w:val="0"/>
                <w:sz w:val="21"/>
                <w:szCs w:val="21"/>
              </w:rPr>
            </w:pPr>
          </w:p>
          <w:p w14:paraId="11B7A4D3">
            <w:pPr>
              <w:pStyle w:val="34"/>
              <w:rPr>
                <w:rFonts w:hint="eastAsia" w:asciiTheme="minorEastAsia" w:hAnsiTheme="minorEastAsia" w:eastAsiaTheme="minorEastAsia" w:cstheme="minorEastAsia"/>
                <w:spacing w:val="0"/>
                <w:position w:val="0"/>
                <w:sz w:val="21"/>
                <w:szCs w:val="21"/>
              </w:rPr>
            </w:pPr>
          </w:p>
          <w:p w14:paraId="348727FC">
            <w:pPr>
              <w:pStyle w:val="34"/>
              <w:rPr>
                <w:rFonts w:hint="eastAsia" w:asciiTheme="minorEastAsia" w:hAnsiTheme="minorEastAsia" w:eastAsiaTheme="minorEastAsia" w:cstheme="minorEastAsia"/>
                <w:spacing w:val="0"/>
                <w:position w:val="0"/>
                <w:sz w:val="21"/>
                <w:szCs w:val="21"/>
              </w:rPr>
            </w:pPr>
          </w:p>
          <w:p w14:paraId="4EC30ABE">
            <w:pPr>
              <w:pStyle w:val="34"/>
              <w:rPr>
                <w:rFonts w:hint="eastAsia" w:asciiTheme="minorEastAsia" w:hAnsiTheme="minorEastAsia" w:eastAsiaTheme="minorEastAsia" w:cstheme="minorEastAsia"/>
                <w:spacing w:val="0"/>
                <w:position w:val="0"/>
                <w:sz w:val="21"/>
                <w:szCs w:val="21"/>
              </w:rPr>
            </w:pPr>
          </w:p>
          <w:p w14:paraId="07AD02D9">
            <w:pPr>
              <w:pStyle w:val="34"/>
              <w:spacing w:before="2"/>
              <w:rPr>
                <w:rFonts w:hint="eastAsia" w:asciiTheme="minorEastAsia" w:hAnsiTheme="minorEastAsia" w:eastAsiaTheme="minorEastAsia" w:cstheme="minorEastAsia"/>
                <w:spacing w:val="0"/>
                <w:position w:val="0"/>
                <w:sz w:val="21"/>
                <w:szCs w:val="21"/>
              </w:rPr>
            </w:pPr>
          </w:p>
          <w:p w14:paraId="5F70BAC0">
            <w:pPr>
              <w:pStyle w:val="34"/>
              <w:ind w:left="346"/>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蔬菜</w:t>
            </w:r>
          </w:p>
        </w:tc>
        <w:tc>
          <w:tcPr>
            <w:tcW w:w="1170" w:type="dxa"/>
          </w:tcPr>
          <w:p w14:paraId="12C1A68D">
            <w:pPr>
              <w:pStyle w:val="34"/>
              <w:spacing w:before="9"/>
              <w:rPr>
                <w:rFonts w:hint="eastAsia" w:asciiTheme="minorEastAsia" w:hAnsiTheme="minorEastAsia" w:eastAsiaTheme="minorEastAsia" w:cstheme="minorEastAsia"/>
                <w:spacing w:val="0"/>
                <w:position w:val="0"/>
                <w:sz w:val="21"/>
                <w:szCs w:val="21"/>
              </w:rPr>
            </w:pPr>
          </w:p>
          <w:p w14:paraId="130932C6">
            <w:pPr>
              <w:pStyle w:val="34"/>
              <w:ind w:left="119" w:right="108"/>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豆芽</w:t>
            </w:r>
          </w:p>
        </w:tc>
        <w:tc>
          <w:tcPr>
            <w:tcW w:w="1245" w:type="dxa"/>
          </w:tcPr>
          <w:p w14:paraId="0AD3E963">
            <w:pPr>
              <w:pStyle w:val="34"/>
              <w:spacing w:before="9"/>
              <w:rPr>
                <w:rFonts w:hint="eastAsia" w:asciiTheme="minorEastAsia" w:hAnsiTheme="minorEastAsia" w:eastAsiaTheme="minorEastAsia" w:cstheme="minorEastAsia"/>
                <w:spacing w:val="0"/>
                <w:position w:val="0"/>
                <w:sz w:val="21"/>
                <w:szCs w:val="21"/>
              </w:rPr>
            </w:pPr>
          </w:p>
          <w:p w14:paraId="6A27980B">
            <w:pPr>
              <w:pStyle w:val="34"/>
              <w:ind w:left="246" w:right="240"/>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豆芽</w:t>
            </w:r>
          </w:p>
        </w:tc>
        <w:tc>
          <w:tcPr>
            <w:tcW w:w="2610" w:type="dxa"/>
          </w:tcPr>
          <w:p w14:paraId="7FCE6171">
            <w:pPr>
              <w:pStyle w:val="34"/>
              <w:spacing w:line="340" w:lineRule="atLeast"/>
              <w:ind w:left="107" w:right="6" w:firstLine="4"/>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4- 氯苯氧乙酸钠（以 4- 氯苯氧</w:t>
            </w:r>
            <w:r>
              <w:rPr>
                <w:rFonts w:hint="eastAsia" w:asciiTheme="minorEastAsia" w:hAnsiTheme="minorEastAsia" w:eastAsiaTheme="minorEastAsia" w:cstheme="minorEastAsia"/>
                <w:spacing w:val="0"/>
                <w:w w:val="95"/>
                <w:position w:val="0"/>
                <w:sz w:val="21"/>
                <w:szCs w:val="21"/>
              </w:rPr>
              <w:t>乙酸计）、6-</w:t>
            </w:r>
            <w:r>
              <w:rPr>
                <w:rFonts w:hint="eastAsia" w:asciiTheme="minorEastAsia" w:hAnsiTheme="minorEastAsia" w:eastAsiaTheme="minorEastAsia" w:cstheme="minorEastAsia"/>
                <w:spacing w:val="0"/>
                <w:position w:val="0"/>
                <w:sz w:val="21"/>
                <w:szCs w:val="21"/>
              </w:rPr>
              <w:t xml:space="preserve"> </w:t>
            </w:r>
            <w:r>
              <w:rPr>
                <w:rFonts w:hint="eastAsia" w:asciiTheme="minorEastAsia" w:hAnsiTheme="minorEastAsia" w:eastAsiaTheme="minorEastAsia" w:cstheme="minorEastAsia"/>
                <w:spacing w:val="0"/>
                <w:w w:val="95"/>
                <w:position w:val="0"/>
                <w:sz w:val="21"/>
                <w:szCs w:val="21"/>
              </w:rPr>
              <w:t>苄基腺嘌呤（6-</w:t>
            </w:r>
            <w:r>
              <w:rPr>
                <w:rFonts w:hint="eastAsia" w:asciiTheme="minorEastAsia" w:hAnsiTheme="minorEastAsia" w:eastAsiaTheme="minorEastAsia" w:cstheme="minorEastAsia"/>
                <w:spacing w:val="0"/>
                <w:position w:val="0"/>
                <w:sz w:val="21"/>
                <w:szCs w:val="21"/>
              </w:rPr>
              <w:t xml:space="preserve"> </w:t>
            </w:r>
            <w:r>
              <w:rPr>
                <w:rFonts w:hint="eastAsia" w:asciiTheme="minorEastAsia" w:hAnsiTheme="minorEastAsia" w:eastAsiaTheme="minorEastAsia" w:cstheme="minorEastAsia"/>
                <w:spacing w:val="0"/>
                <w:w w:val="95"/>
                <w:position w:val="0"/>
                <w:sz w:val="21"/>
                <w:szCs w:val="21"/>
              </w:rPr>
              <w:t>BA）</w:t>
            </w:r>
          </w:p>
        </w:tc>
        <w:tc>
          <w:tcPr>
            <w:tcW w:w="7305" w:type="dxa"/>
          </w:tcPr>
          <w:p w14:paraId="463EBE67">
            <w:pPr>
              <w:pStyle w:val="34"/>
              <w:spacing w:before="14"/>
              <w:rPr>
                <w:rFonts w:hint="eastAsia" w:asciiTheme="minorEastAsia" w:hAnsiTheme="minorEastAsia" w:eastAsiaTheme="minorEastAsia" w:cstheme="minorEastAsia"/>
                <w:spacing w:val="0"/>
                <w:position w:val="0"/>
                <w:sz w:val="21"/>
                <w:szCs w:val="21"/>
              </w:rPr>
            </w:pPr>
          </w:p>
          <w:p w14:paraId="5FDFF303">
            <w:pPr>
              <w:pStyle w:val="34"/>
              <w:ind w:left="108"/>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亚硫酸盐（以SO₂计）、铅（以 Pb 计）、总汞（以 Hg 计）</w:t>
            </w:r>
          </w:p>
        </w:tc>
        <w:tc>
          <w:tcPr>
            <w:tcW w:w="1338" w:type="dxa"/>
          </w:tcPr>
          <w:p w14:paraId="564DD4BB">
            <w:pPr>
              <w:pStyle w:val="34"/>
              <w:rPr>
                <w:rFonts w:hint="eastAsia" w:asciiTheme="minorEastAsia" w:hAnsiTheme="minorEastAsia" w:eastAsiaTheme="minorEastAsia" w:cstheme="minorEastAsia"/>
                <w:spacing w:val="0"/>
                <w:position w:val="0"/>
                <w:sz w:val="21"/>
                <w:szCs w:val="21"/>
              </w:rPr>
            </w:pPr>
          </w:p>
        </w:tc>
      </w:tr>
      <w:tr w14:paraId="38BC4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057" w:type="dxa"/>
            <w:vMerge w:val="continue"/>
            <w:tcBorders>
              <w:top w:val="nil"/>
            </w:tcBorders>
          </w:tcPr>
          <w:p w14:paraId="7A18F16A">
            <w:pPr>
              <w:rPr>
                <w:rFonts w:hint="eastAsia" w:asciiTheme="minorEastAsia" w:hAnsiTheme="minorEastAsia" w:eastAsiaTheme="minorEastAsia" w:cstheme="minorEastAsia"/>
                <w:spacing w:val="0"/>
                <w:position w:val="0"/>
                <w:sz w:val="21"/>
                <w:szCs w:val="21"/>
              </w:rPr>
            </w:pPr>
          </w:p>
        </w:tc>
        <w:tc>
          <w:tcPr>
            <w:tcW w:w="1170" w:type="dxa"/>
            <w:vMerge w:val="restart"/>
          </w:tcPr>
          <w:p w14:paraId="64E8DC36">
            <w:pPr>
              <w:pStyle w:val="34"/>
              <w:rPr>
                <w:rFonts w:hint="eastAsia" w:asciiTheme="minorEastAsia" w:hAnsiTheme="minorEastAsia" w:eastAsiaTheme="minorEastAsia" w:cstheme="minorEastAsia"/>
                <w:spacing w:val="0"/>
                <w:position w:val="0"/>
                <w:sz w:val="21"/>
                <w:szCs w:val="21"/>
              </w:rPr>
            </w:pPr>
          </w:p>
          <w:p w14:paraId="6E201E05">
            <w:pPr>
              <w:pStyle w:val="34"/>
              <w:spacing w:before="8"/>
              <w:rPr>
                <w:rFonts w:hint="eastAsia" w:asciiTheme="minorEastAsia" w:hAnsiTheme="minorEastAsia" w:eastAsiaTheme="minorEastAsia" w:cstheme="minorEastAsia"/>
                <w:spacing w:val="0"/>
                <w:position w:val="0"/>
                <w:sz w:val="21"/>
                <w:szCs w:val="21"/>
              </w:rPr>
            </w:pPr>
          </w:p>
          <w:p w14:paraId="50FFCD7A">
            <w:pPr>
              <w:pStyle w:val="34"/>
              <w:spacing w:line="304" w:lineRule="auto"/>
              <w:ind w:left="225" w:right="123" w:hanging="92"/>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根茎类和薯芋类蔬菜</w:t>
            </w:r>
          </w:p>
        </w:tc>
        <w:tc>
          <w:tcPr>
            <w:tcW w:w="1245" w:type="dxa"/>
          </w:tcPr>
          <w:p w14:paraId="6E122E44">
            <w:pPr>
              <w:pStyle w:val="34"/>
              <w:spacing w:before="1"/>
              <w:rPr>
                <w:rFonts w:hint="eastAsia" w:asciiTheme="minorEastAsia" w:hAnsiTheme="minorEastAsia" w:eastAsiaTheme="minorEastAsia" w:cstheme="minorEastAsia"/>
                <w:spacing w:val="0"/>
                <w:position w:val="0"/>
                <w:sz w:val="21"/>
                <w:szCs w:val="21"/>
              </w:rPr>
            </w:pPr>
          </w:p>
          <w:p w14:paraId="66AF1270">
            <w:pPr>
              <w:pStyle w:val="34"/>
              <w:ind w:left="8"/>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姜</w:t>
            </w:r>
          </w:p>
        </w:tc>
        <w:tc>
          <w:tcPr>
            <w:tcW w:w="2610" w:type="dxa"/>
          </w:tcPr>
          <w:p w14:paraId="6C09FA0F">
            <w:pPr>
              <w:pStyle w:val="34"/>
              <w:spacing w:before="15"/>
              <w:rPr>
                <w:rFonts w:hint="eastAsia" w:asciiTheme="minorEastAsia" w:hAnsiTheme="minorEastAsia" w:eastAsiaTheme="minorEastAsia" w:cstheme="minorEastAsia"/>
                <w:spacing w:val="0"/>
                <w:position w:val="0"/>
                <w:sz w:val="21"/>
                <w:szCs w:val="21"/>
              </w:rPr>
            </w:pPr>
          </w:p>
          <w:p w14:paraId="3D1E4CC9">
            <w:pPr>
              <w:pStyle w:val="34"/>
              <w:spacing w:line="321" w:lineRule="auto"/>
              <w:ind w:left="493" w:right="95" w:hanging="387"/>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噻虫胺、铅（以Pb 计）、毒死蜱、噻虫嗪、吡虫啉</w:t>
            </w:r>
          </w:p>
        </w:tc>
        <w:tc>
          <w:tcPr>
            <w:tcW w:w="7305" w:type="dxa"/>
          </w:tcPr>
          <w:p w14:paraId="23A03288">
            <w:pPr>
              <w:pStyle w:val="34"/>
              <w:spacing w:before="92" w:line="321" w:lineRule="auto"/>
              <w:ind w:left="108" w:right="91"/>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吡唑醚菌酯、甲胺磷、咪鲜胺和咪鲜胺锰盐、镉（以 Cd 计）、二氧化硫残留量、氯氟氰菊酯和高效氯氟氰菊酯、氯氰菊酯和高效氯氰菊酯、甲拌磷、氯唑磷、敌敌畏、克百威、六六六</w:t>
            </w:r>
          </w:p>
        </w:tc>
        <w:tc>
          <w:tcPr>
            <w:tcW w:w="1338" w:type="dxa"/>
          </w:tcPr>
          <w:p w14:paraId="0F550B31">
            <w:pPr>
              <w:pStyle w:val="34"/>
              <w:rPr>
                <w:rFonts w:hint="eastAsia" w:asciiTheme="minorEastAsia" w:hAnsiTheme="minorEastAsia" w:eastAsiaTheme="minorEastAsia" w:cstheme="minorEastAsia"/>
                <w:spacing w:val="0"/>
                <w:position w:val="0"/>
                <w:sz w:val="21"/>
                <w:szCs w:val="21"/>
              </w:rPr>
            </w:pPr>
          </w:p>
        </w:tc>
      </w:tr>
      <w:tr w14:paraId="42F80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057" w:type="dxa"/>
            <w:vMerge w:val="continue"/>
            <w:tcBorders>
              <w:top w:val="nil"/>
            </w:tcBorders>
          </w:tcPr>
          <w:p w14:paraId="0773BFF9">
            <w:pPr>
              <w:rPr>
                <w:rFonts w:hint="eastAsia" w:asciiTheme="minorEastAsia" w:hAnsiTheme="minorEastAsia" w:eastAsiaTheme="minorEastAsia" w:cstheme="minorEastAsia"/>
                <w:spacing w:val="0"/>
                <w:position w:val="0"/>
                <w:sz w:val="21"/>
                <w:szCs w:val="21"/>
              </w:rPr>
            </w:pPr>
          </w:p>
        </w:tc>
        <w:tc>
          <w:tcPr>
            <w:tcW w:w="1170" w:type="dxa"/>
            <w:vMerge w:val="continue"/>
            <w:tcBorders>
              <w:top w:val="nil"/>
            </w:tcBorders>
          </w:tcPr>
          <w:p w14:paraId="2B077E3E">
            <w:pPr>
              <w:rPr>
                <w:rFonts w:hint="eastAsia" w:asciiTheme="minorEastAsia" w:hAnsiTheme="minorEastAsia" w:eastAsiaTheme="minorEastAsia" w:cstheme="minorEastAsia"/>
                <w:spacing w:val="0"/>
                <w:position w:val="0"/>
                <w:sz w:val="21"/>
                <w:szCs w:val="21"/>
              </w:rPr>
            </w:pPr>
          </w:p>
        </w:tc>
        <w:tc>
          <w:tcPr>
            <w:tcW w:w="1245" w:type="dxa"/>
          </w:tcPr>
          <w:p w14:paraId="0601F9BE">
            <w:pPr>
              <w:pStyle w:val="34"/>
              <w:spacing w:before="133"/>
              <w:ind w:left="246" w:right="240"/>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山药</w:t>
            </w:r>
          </w:p>
        </w:tc>
        <w:tc>
          <w:tcPr>
            <w:tcW w:w="2610" w:type="dxa"/>
          </w:tcPr>
          <w:p w14:paraId="6D2FD5A5">
            <w:pPr>
              <w:pStyle w:val="34"/>
              <w:spacing w:before="138"/>
              <w:ind w:left="493"/>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咪鲜胺和咪鲜胺锰盐</w:t>
            </w:r>
          </w:p>
        </w:tc>
        <w:tc>
          <w:tcPr>
            <w:tcW w:w="7305" w:type="dxa"/>
          </w:tcPr>
          <w:p w14:paraId="5EEC85F8">
            <w:pPr>
              <w:pStyle w:val="34"/>
              <w:spacing w:before="138"/>
              <w:ind w:left="108"/>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毒死蜱、氯氟氰菊酯和高效氯氟氰菊酯、铅（以Pb 计）、涕灭威</w:t>
            </w:r>
          </w:p>
        </w:tc>
        <w:tc>
          <w:tcPr>
            <w:tcW w:w="1338" w:type="dxa"/>
          </w:tcPr>
          <w:p w14:paraId="5EC964E8">
            <w:pPr>
              <w:pStyle w:val="34"/>
              <w:rPr>
                <w:rFonts w:hint="eastAsia" w:asciiTheme="minorEastAsia" w:hAnsiTheme="minorEastAsia" w:eastAsiaTheme="minorEastAsia" w:cstheme="minorEastAsia"/>
                <w:spacing w:val="0"/>
                <w:position w:val="0"/>
                <w:sz w:val="21"/>
                <w:szCs w:val="21"/>
              </w:rPr>
            </w:pPr>
          </w:p>
        </w:tc>
      </w:tr>
      <w:tr w14:paraId="30065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57" w:type="dxa"/>
            <w:vMerge w:val="continue"/>
            <w:tcBorders>
              <w:top w:val="nil"/>
            </w:tcBorders>
          </w:tcPr>
          <w:p w14:paraId="6A439C49">
            <w:pPr>
              <w:rPr>
                <w:rFonts w:hint="eastAsia" w:asciiTheme="minorEastAsia" w:hAnsiTheme="minorEastAsia" w:eastAsiaTheme="minorEastAsia" w:cstheme="minorEastAsia"/>
                <w:spacing w:val="0"/>
                <w:position w:val="0"/>
                <w:sz w:val="21"/>
                <w:szCs w:val="21"/>
              </w:rPr>
            </w:pPr>
          </w:p>
        </w:tc>
        <w:tc>
          <w:tcPr>
            <w:tcW w:w="1170" w:type="dxa"/>
            <w:vMerge w:val="continue"/>
            <w:tcBorders>
              <w:top w:val="nil"/>
            </w:tcBorders>
          </w:tcPr>
          <w:p w14:paraId="20EDD5AD">
            <w:pPr>
              <w:rPr>
                <w:rFonts w:hint="eastAsia" w:asciiTheme="minorEastAsia" w:hAnsiTheme="minorEastAsia" w:eastAsiaTheme="minorEastAsia" w:cstheme="minorEastAsia"/>
                <w:spacing w:val="0"/>
                <w:position w:val="0"/>
                <w:sz w:val="21"/>
                <w:szCs w:val="21"/>
              </w:rPr>
            </w:pPr>
          </w:p>
        </w:tc>
        <w:tc>
          <w:tcPr>
            <w:tcW w:w="1245" w:type="dxa"/>
          </w:tcPr>
          <w:p w14:paraId="7707ADE5">
            <w:pPr>
              <w:pStyle w:val="34"/>
              <w:spacing w:before="156"/>
              <w:ind w:left="8"/>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芋</w:t>
            </w:r>
          </w:p>
        </w:tc>
        <w:tc>
          <w:tcPr>
            <w:tcW w:w="2610" w:type="dxa"/>
          </w:tcPr>
          <w:p w14:paraId="14BFD189">
            <w:pPr>
              <w:pStyle w:val="34"/>
              <w:spacing w:before="161"/>
              <w:ind w:left="107"/>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铅（以 Pb 计）、镉（以 Cd 计）</w:t>
            </w:r>
          </w:p>
        </w:tc>
        <w:tc>
          <w:tcPr>
            <w:tcW w:w="7305" w:type="dxa"/>
          </w:tcPr>
          <w:p w14:paraId="47ED914F">
            <w:pPr>
              <w:pStyle w:val="34"/>
              <w:spacing w:before="161"/>
              <w:ind w:left="108"/>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氯氰菊酯和高效氯氰菊酯</w:t>
            </w:r>
          </w:p>
        </w:tc>
        <w:tc>
          <w:tcPr>
            <w:tcW w:w="1338" w:type="dxa"/>
          </w:tcPr>
          <w:p w14:paraId="1E4DF464">
            <w:pPr>
              <w:pStyle w:val="34"/>
              <w:rPr>
                <w:rFonts w:hint="eastAsia" w:asciiTheme="minorEastAsia" w:hAnsiTheme="minorEastAsia" w:eastAsiaTheme="minorEastAsia" w:cstheme="minorEastAsia"/>
                <w:spacing w:val="0"/>
                <w:position w:val="0"/>
                <w:sz w:val="21"/>
                <w:szCs w:val="21"/>
              </w:rPr>
            </w:pPr>
          </w:p>
        </w:tc>
      </w:tr>
      <w:tr w14:paraId="32E59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057" w:type="dxa"/>
            <w:vMerge w:val="continue"/>
            <w:tcBorders>
              <w:top w:val="nil"/>
            </w:tcBorders>
          </w:tcPr>
          <w:p w14:paraId="5B6140F6">
            <w:pPr>
              <w:rPr>
                <w:rFonts w:hint="eastAsia" w:asciiTheme="minorEastAsia" w:hAnsiTheme="minorEastAsia" w:eastAsiaTheme="minorEastAsia" w:cstheme="minorEastAsia"/>
                <w:spacing w:val="0"/>
                <w:position w:val="0"/>
                <w:sz w:val="21"/>
                <w:szCs w:val="21"/>
              </w:rPr>
            </w:pPr>
          </w:p>
        </w:tc>
        <w:tc>
          <w:tcPr>
            <w:tcW w:w="1170" w:type="dxa"/>
            <w:vMerge w:val="restart"/>
          </w:tcPr>
          <w:p w14:paraId="51692BF0">
            <w:pPr>
              <w:pStyle w:val="34"/>
              <w:rPr>
                <w:rFonts w:hint="eastAsia" w:asciiTheme="minorEastAsia" w:hAnsiTheme="minorEastAsia" w:eastAsiaTheme="minorEastAsia" w:cstheme="minorEastAsia"/>
                <w:spacing w:val="0"/>
                <w:position w:val="0"/>
                <w:sz w:val="21"/>
                <w:szCs w:val="21"/>
              </w:rPr>
            </w:pPr>
          </w:p>
          <w:p w14:paraId="4A5105E6">
            <w:pPr>
              <w:pStyle w:val="34"/>
              <w:spacing w:before="7"/>
              <w:rPr>
                <w:rFonts w:hint="eastAsia" w:asciiTheme="minorEastAsia" w:hAnsiTheme="minorEastAsia" w:eastAsiaTheme="minorEastAsia" w:cstheme="minorEastAsia"/>
                <w:spacing w:val="0"/>
                <w:position w:val="0"/>
                <w:sz w:val="21"/>
                <w:szCs w:val="21"/>
              </w:rPr>
            </w:pPr>
          </w:p>
          <w:p w14:paraId="0953D331">
            <w:pPr>
              <w:pStyle w:val="34"/>
              <w:ind w:left="134"/>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鳞茎类蔬菜</w:t>
            </w:r>
          </w:p>
        </w:tc>
        <w:tc>
          <w:tcPr>
            <w:tcW w:w="1245" w:type="dxa"/>
          </w:tcPr>
          <w:p w14:paraId="4807CB87">
            <w:pPr>
              <w:pStyle w:val="34"/>
              <w:spacing w:before="8"/>
              <w:rPr>
                <w:rFonts w:hint="eastAsia" w:asciiTheme="minorEastAsia" w:hAnsiTheme="minorEastAsia" w:eastAsiaTheme="minorEastAsia" w:cstheme="minorEastAsia"/>
                <w:spacing w:val="0"/>
                <w:position w:val="0"/>
                <w:sz w:val="21"/>
                <w:szCs w:val="21"/>
              </w:rPr>
            </w:pPr>
          </w:p>
          <w:p w14:paraId="15245449">
            <w:pPr>
              <w:pStyle w:val="34"/>
              <w:spacing w:before="1"/>
              <w:ind w:left="8"/>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葱</w:t>
            </w:r>
          </w:p>
        </w:tc>
        <w:tc>
          <w:tcPr>
            <w:tcW w:w="2610" w:type="dxa"/>
          </w:tcPr>
          <w:p w14:paraId="4BC8E467">
            <w:pPr>
              <w:pStyle w:val="34"/>
              <w:spacing w:before="13"/>
              <w:rPr>
                <w:rFonts w:hint="eastAsia" w:asciiTheme="minorEastAsia" w:hAnsiTheme="minorEastAsia" w:eastAsiaTheme="minorEastAsia" w:cstheme="minorEastAsia"/>
                <w:spacing w:val="0"/>
                <w:position w:val="0"/>
                <w:sz w:val="21"/>
                <w:szCs w:val="21"/>
              </w:rPr>
            </w:pPr>
          </w:p>
          <w:p w14:paraId="23BABAFD">
            <w:pPr>
              <w:pStyle w:val="34"/>
              <w:ind w:left="165" w:right="158"/>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噻虫嗪</w:t>
            </w:r>
          </w:p>
        </w:tc>
        <w:tc>
          <w:tcPr>
            <w:tcW w:w="7305" w:type="dxa"/>
          </w:tcPr>
          <w:p w14:paraId="41EFC87A">
            <w:pPr>
              <w:pStyle w:val="34"/>
              <w:spacing w:line="340" w:lineRule="atLeast"/>
              <w:ind w:left="108" w:right="91"/>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乙酰甲胺磷、毒死蜱、氯氟氰菊酯和高效氯氟氰菊酯、丙环唑、水胺硫磷、戊唑醇、甲基异柳磷、氧乐果、镉（以 Cd 计）、甲拌磷、克百威、铅（以 Pb 计）、三唑磷</w:t>
            </w:r>
          </w:p>
        </w:tc>
        <w:tc>
          <w:tcPr>
            <w:tcW w:w="1338" w:type="dxa"/>
          </w:tcPr>
          <w:p w14:paraId="54206E33">
            <w:pPr>
              <w:pStyle w:val="34"/>
              <w:rPr>
                <w:rFonts w:hint="eastAsia" w:asciiTheme="minorEastAsia" w:hAnsiTheme="minorEastAsia" w:eastAsiaTheme="minorEastAsia" w:cstheme="minorEastAsia"/>
                <w:spacing w:val="0"/>
                <w:position w:val="0"/>
                <w:sz w:val="21"/>
                <w:szCs w:val="21"/>
              </w:rPr>
            </w:pPr>
          </w:p>
        </w:tc>
      </w:tr>
      <w:tr w14:paraId="567D8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1057" w:type="dxa"/>
            <w:vMerge w:val="continue"/>
            <w:tcBorders>
              <w:top w:val="nil"/>
            </w:tcBorders>
          </w:tcPr>
          <w:p w14:paraId="2DF4536D">
            <w:pPr>
              <w:rPr>
                <w:rFonts w:hint="eastAsia" w:asciiTheme="minorEastAsia" w:hAnsiTheme="minorEastAsia" w:eastAsiaTheme="minorEastAsia" w:cstheme="minorEastAsia"/>
                <w:spacing w:val="0"/>
                <w:position w:val="0"/>
                <w:sz w:val="21"/>
                <w:szCs w:val="21"/>
              </w:rPr>
            </w:pPr>
          </w:p>
        </w:tc>
        <w:tc>
          <w:tcPr>
            <w:tcW w:w="1170" w:type="dxa"/>
            <w:vMerge w:val="continue"/>
            <w:tcBorders>
              <w:top w:val="nil"/>
            </w:tcBorders>
          </w:tcPr>
          <w:p w14:paraId="300F06CE">
            <w:pPr>
              <w:rPr>
                <w:rFonts w:hint="eastAsia" w:asciiTheme="minorEastAsia" w:hAnsiTheme="minorEastAsia" w:eastAsiaTheme="minorEastAsia" w:cstheme="minorEastAsia"/>
                <w:spacing w:val="0"/>
                <w:position w:val="0"/>
                <w:sz w:val="21"/>
                <w:szCs w:val="21"/>
              </w:rPr>
            </w:pPr>
          </w:p>
        </w:tc>
        <w:tc>
          <w:tcPr>
            <w:tcW w:w="1245" w:type="dxa"/>
          </w:tcPr>
          <w:p w14:paraId="7EBE960F">
            <w:pPr>
              <w:pStyle w:val="34"/>
              <w:spacing w:before="16"/>
              <w:rPr>
                <w:rFonts w:hint="eastAsia" w:asciiTheme="minorEastAsia" w:hAnsiTheme="minorEastAsia" w:eastAsiaTheme="minorEastAsia" w:cstheme="minorEastAsia"/>
                <w:spacing w:val="0"/>
                <w:position w:val="0"/>
                <w:sz w:val="21"/>
                <w:szCs w:val="21"/>
              </w:rPr>
            </w:pPr>
          </w:p>
          <w:p w14:paraId="7CB96575">
            <w:pPr>
              <w:pStyle w:val="34"/>
              <w:ind w:left="246" w:right="240"/>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韭菜</w:t>
            </w:r>
          </w:p>
        </w:tc>
        <w:tc>
          <w:tcPr>
            <w:tcW w:w="2610" w:type="dxa"/>
          </w:tcPr>
          <w:p w14:paraId="79ACE28B">
            <w:pPr>
              <w:pStyle w:val="34"/>
              <w:spacing w:before="3"/>
              <w:rPr>
                <w:rFonts w:hint="eastAsia" w:asciiTheme="minorEastAsia" w:hAnsiTheme="minorEastAsia" w:eastAsiaTheme="minorEastAsia" w:cstheme="minorEastAsia"/>
                <w:spacing w:val="0"/>
                <w:position w:val="0"/>
                <w:sz w:val="21"/>
                <w:szCs w:val="21"/>
              </w:rPr>
            </w:pPr>
          </w:p>
          <w:p w14:paraId="48A3C244">
            <w:pPr>
              <w:pStyle w:val="34"/>
              <w:spacing w:before="1"/>
              <w:ind w:left="133"/>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氯氟氰菊酯和高效氯氟氰菊酯</w:t>
            </w:r>
          </w:p>
        </w:tc>
        <w:tc>
          <w:tcPr>
            <w:tcW w:w="7305" w:type="dxa"/>
          </w:tcPr>
          <w:p w14:paraId="34829613">
            <w:pPr>
              <w:pStyle w:val="34"/>
              <w:spacing w:before="88" w:line="340" w:lineRule="atLeast"/>
              <w:ind w:left="108" w:right="91"/>
              <w:jc w:val="both"/>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三氯杀螨醇、镉（以 Cd 计）、毒死蜱、六六六、克百威、铅（以Pb 计）、甲拌磷、多菌灵、氧乐果、阿维菌素、氯氰菊酯和高效氯氰菊酯、辛硫磷、乙酰甲胺磷、敌敌畏、甲胺磷、腐霉利、三唑磷、水胺硫磷、二甲戊灵、乐果、氟虫腈</w:t>
            </w:r>
          </w:p>
        </w:tc>
        <w:tc>
          <w:tcPr>
            <w:tcW w:w="1338" w:type="dxa"/>
          </w:tcPr>
          <w:p w14:paraId="19C3E563">
            <w:pPr>
              <w:pStyle w:val="34"/>
              <w:rPr>
                <w:rFonts w:hint="eastAsia" w:asciiTheme="minorEastAsia" w:hAnsiTheme="minorEastAsia" w:eastAsiaTheme="minorEastAsia" w:cstheme="minorEastAsia"/>
                <w:spacing w:val="0"/>
                <w:position w:val="0"/>
                <w:sz w:val="21"/>
                <w:szCs w:val="21"/>
              </w:rPr>
            </w:pPr>
          </w:p>
        </w:tc>
      </w:tr>
      <w:tr w14:paraId="32B1C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057" w:type="dxa"/>
            <w:vMerge w:val="continue"/>
            <w:tcBorders>
              <w:top w:val="nil"/>
            </w:tcBorders>
          </w:tcPr>
          <w:p w14:paraId="1CD78C0E">
            <w:pPr>
              <w:rPr>
                <w:rFonts w:hint="eastAsia" w:asciiTheme="minorEastAsia" w:hAnsiTheme="minorEastAsia" w:eastAsiaTheme="minorEastAsia" w:cstheme="minorEastAsia"/>
                <w:spacing w:val="0"/>
                <w:position w:val="0"/>
                <w:sz w:val="21"/>
                <w:szCs w:val="21"/>
              </w:rPr>
            </w:pPr>
          </w:p>
        </w:tc>
        <w:tc>
          <w:tcPr>
            <w:tcW w:w="1170" w:type="dxa"/>
            <w:vMerge w:val="restart"/>
          </w:tcPr>
          <w:p w14:paraId="4721881E">
            <w:pPr>
              <w:pStyle w:val="34"/>
              <w:rPr>
                <w:rFonts w:hint="eastAsia" w:asciiTheme="minorEastAsia" w:hAnsiTheme="minorEastAsia" w:eastAsiaTheme="minorEastAsia" w:cstheme="minorEastAsia"/>
                <w:spacing w:val="0"/>
                <w:position w:val="0"/>
                <w:sz w:val="21"/>
                <w:szCs w:val="21"/>
              </w:rPr>
            </w:pPr>
          </w:p>
          <w:p w14:paraId="17FE1B03">
            <w:pPr>
              <w:pStyle w:val="34"/>
              <w:rPr>
                <w:rFonts w:hint="eastAsia" w:asciiTheme="minorEastAsia" w:hAnsiTheme="minorEastAsia" w:eastAsiaTheme="minorEastAsia" w:cstheme="minorEastAsia"/>
                <w:spacing w:val="0"/>
                <w:position w:val="0"/>
                <w:sz w:val="21"/>
                <w:szCs w:val="21"/>
              </w:rPr>
            </w:pPr>
          </w:p>
          <w:p w14:paraId="74D55336">
            <w:pPr>
              <w:pStyle w:val="34"/>
              <w:spacing w:before="5"/>
              <w:rPr>
                <w:rFonts w:hint="eastAsia" w:asciiTheme="minorEastAsia" w:hAnsiTheme="minorEastAsia" w:eastAsiaTheme="minorEastAsia" w:cstheme="minorEastAsia"/>
                <w:spacing w:val="0"/>
                <w:position w:val="0"/>
                <w:sz w:val="21"/>
                <w:szCs w:val="21"/>
              </w:rPr>
            </w:pPr>
          </w:p>
          <w:p w14:paraId="5685C73C">
            <w:pPr>
              <w:pStyle w:val="34"/>
              <w:ind w:left="134"/>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茄果类蔬菜</w:t>
            </w:r>
          </w:p>
        </w:tc>
        <w:tc>
          <w:tcPr>
            <w:tcW w:w="1245" w:type="dxa"/>
          </w:tcPr>
          <w:p w14:paraId="7D206D9D">
            <w:pPr>
              <w:pStyle w:val="34"/>
              <w:spacing w:before="1"/>
              <w:rPr>
                <w:rFonts w:hint="eastAsia" w:asciiTheme="minorEastAsia" w:hAnsiTheme="minorEastAsia" w:eastAsiaTheme="minorEastAsia" w:cstheme="minorEastAsia"/>
                <w:spacing w:val="0"/>
                <w:position w:val="0"/>
                <w:sz w:val="21"/>
                <w:szCs w:val="21"/>
              </w:rPr>
            </w:pPr>
          </w:p>
          <w:p w14:paraId="7B1FC57F">
            <w:pPr>
              <w:pStyle w:val="34"/>
              <w:ind w:left="246" w:right="240"/>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辣椒</w:t>
            </w:r>
          </w:p>
        </w:tc>
        <w:tc>
          <w:tcPr>
            <w:tcW w:w="2610" w:type="dxa"/>
          </w:tcPr>
          <w:p w14:paraId="56A8C7F4">
            <w:pPr>
              <w:pStyle w:val="34"/>
              <w:spacing w:before="14"/>
              <w:rPr>
                <w:rFonts w:hint="eastAsia" w:asciiTheme="minorEastAsia" w:hAnsiTheme="minorEastAsia" w:eastAsiaTheme="minorEastAsia" w:cstheme="minorEastAsia"/>
                <w:spacing w:val="0"/>
                <w:position w:val="0"/>
                <w:sz w:val="21"/>
                <w:szCs w:val="21"/>
              </w:rPr>
            </w:pPr>
          </w:p>
          <w:p w14:paraId="784B95BD">
            <w:pPr>
              <w:pStyle w:val="34"/>
              <w:spacing w:before="1" w:line="321" w:lineRule="auto"/>
              <w:ind w:left="493" w:right="95" w:hanging="387"/>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毒死蜱、镉（以 Cd 计）、噻虫胺、倍硫磷、啶虫脒</w:t>
            </w:r>
          </w:p>
        </w:tc>
        <w:tc>
          <w:tcPr>
            <w:tcW w:w="7305" w:type="dxa"/>
          </w:tcPr>
          <w:p w14:paraId="5787D851">
            <w:pPr>
              <w:pStyle w:val="34"/>
              <w:spacing w:before="92"/>
              <w:ind w:left="108"/>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氟吡菌胺、苯醚甲环唑、呋虫胺、氯氟氰菊酯和高效氯氟氰菊酯、氧乐果、克百威、联苯</w:t>
            </w:r>
          </w:p>
          <w:p w14:paraId="644D8C5B">
            <w:pPr>
              <w:pStyle w:val="34"/>
              <w:spacing w:line="340" w:lineRule="atLeast"/>
              <w:ind w:left="108" w:right="255"/>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菊酯、甲氨基阿维菌素苯甲酸盐、乐果、甲拌磷、氟虫腈、三唑磷、噻虫嗪、水胺硫磷吡虫啉、吡唑醚菌酯、敌敌畏、甲胺磷、铅（以Pb 计）、杀扑磷、乙酰甲胺磷、丙溴磷</w:t>
            </w:r>
          </w:p>
        </w:tc>
        <w:tc>
          <w:tcPr>
            <w:tcW w:w="1338" w:type="dxa"/>
          </w:tcPr>
          <w:p w14:paraId="7A9E0EF0">
            <w:pPr>
              <w:pStyle w:val="34"/>
              <w:rPr>
                <w:rFonts w:hint="eastAsia" w:asciiTheme="minorEastAsia" w:hAnsiTheme="minorEastAsia" w:eastAsiaTheme="minorEastAsia" w:cstheme="minorEastAsia"/>
                <w:spacing w:val="0"/>
                <w:position w:val="0"/>
                <w:sz w:val="21"/>
                <w:szCs w:val="21"/>
              </w:rPr>
            </w:pPr>
          </w:p>
        </w:tc>
      </w:tr>
      <w:tr w14:paraId="0B574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057" w:type="dxa"/>
            <w:vMerge w:val="continue"/>
            <w:tcBorders>
              <w:top w:val="nil"/>
            </w:tcBorders>
          </w:tcPr>
          <w:p w14:paraId="2C890884">
            <w:pPr>
              <w:rPr>
                <w:rFonts w:hint="eastAsia" w:asciiTheme="minorEastAsia" w:hAnsiTheme="minorEastAsia" w:eastAsiaTheme="minorEastAsia" w:cstheme="minorEastAsia"/>
                <w:spacing w:val="0"/>
                <w:position w:val="0"/>
                <w:sz w:val="21"/>
                <w:szCs w:val="21"/>
              </w:rPr>
            </w:pPr>
          </w:p>
        </w:tc>
        <w:tc>
          <w:tcPr>
            <w:tcW w:w="1170" w:type="dxa"/>
            <w:vMerge w:val="continue"/>
            <w:tcBorders>
              <w:top w:val="nil"/>
            </w:tcBorders>
          </w:tcPr>
          <w:p w14:paraId="6B3656DA">
            <w:pPr>
              <w:rPr>
                <w:rFonts w:hint="eastAsia" w:asciiTheme="minorEastAsia" w:hAnsiTheme="minorEastAsia" w:eastAsiaTheme="minorEastAsia" w:cstheme="minorEastAsia"/>
                <w:spacing w:val="0"/>
                <w:position w:val="0"/>
                <w:sz w:val="21"/>
                <w:szCs w:val="21"/>
              </w:rPr>
            </w:pPr>
          </w:p>
        </w:tc>
        <w:tc>
          <w:tcPr>
            <w:tcW w:w="1245" w:type="dxa"/>
          </w:tcPr>
          <w:p w14:paraId="0CAA56D2">
            <w:pPr>
              <w:pStyle w:val="34"/>
              <w:spacing w:before="8"/>
              <w:rPr>
                <w:rFonts w:hint="eastAsia" w:asciiTheme="minorEastAsia" w:hAnsiTheme="minorEastAsia" w:eastAsiaTheme="minorEastAsia" w:cstheme="minorEastAsia"/>
                <w:spacing w:val="0"/>
                <w:position w:val="0"/>
                <w:sz w:val="21"/>
                <w:szCs w:val="21"/>
              </w:rPr>
            </w:pPr>
          </w:p>
          <w:p w14:paraId="10ADA38F">
            <w:pPr>
              <w:pStyle w:val="34"/>
              <w:spacing w:before="1"/>
              <w:ind w:left="246" w:right="240"/>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茄子</w:t>
            </w:r>
          </w:p>
        </w:tc>
        <w:tc>
          <w:tcPr>
            <w:tcW w:w="2610" w:type="dxa"/>
          </w:tcPr>
          <w:p w14:paraId="5299B19C">
            <w:pPr>
              <w:pStyle w:val="34"/>
              <w:spacing w:before="16"/>
              <w:rPr>
                <w:rFonts w:hint="eastAsia" w:asciiTheme="minorEastAsia" w:hAnsiTheme="minorEastAsia" w:eastAsiaTheme="minorEastAsia" w:cstheme="minorEastAsia"/>
                <w:spacing w:val="0"/>
                <w:position w:val="0"/>
                <w:sz w:val="21"/>
                <w:szCs w:val="21"/>
              </w:rPr>
            </w:pPr>
          </w:p>
          <w:p w14:paraId="32EE022C">
            <w:pPr>
              <w:pStyle w:val="34"/>
              <w:ind w:left="359"/>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镉（以 Cd 计）、噻虫胺</w:t>
            </w:r>
          </w:p>
        </w:tc>
        <w:tc>
          <w:tcPr>
            <w:tcW w:w="7305" w:type="dxa"/>
          </w:tcPr>
          <w:p w14:paraId="77CFD159">
            <w:pPr>
              <w:pStyle w:val="34"/>
              <w:spacing w:before="40" w:line="340" w:lineRule="atLeast"/>
              <w:ind w:left="108" w:right="94"/>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铅（以 Pb 计）、吡唑醚菌酯、毒死蜱、氟虫腈、甲氨基阿维菌素苯甲酸盐、甲胺磷、甲拌磷、克百威、噻虫嗪、霜霉威和霜霉威盐酸盐、水胺硫磷、氧乐果、乙酰甲胺磷</w:t>
            </w:r>
          </w:p>
        </w:tc>
        <w:tc>
          <w:tcPr>
            <w:tcW w:w="1338" w:type="dxa"/>
          </w:tcPr>
          <w:p w14:paraId="283B37C6">
            <w:pPr>
              <w:pStyle w:val="34"/>
              <w:rPr>
                <w:rFonts w:hint="eastAsia" w:asciiTheme="minorEastAsia" w:hAnsiTheme="minorEastAsia" w:eastAsiaTheme="minorEastAsia" w:cstheme="minorEastAsia"/>
                <w:spacing w:val="0"/>
                <w:position w:val="0"/>
                <w:sz w:val="21"/>
                <w:szCs w:val="21"/>
              </w:rPr>
            </w:pPr>
          </w:p>
        </w:tc>
      </w:tr>
      <w:tr w14:paraId="733AC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057" w:type="dxa"/>
            <w:vMerge w:val="continue"/>
            <w:tcBorders>
              <w:top w:val="nil"/>
            </w:tcBorders>
          </w:tcPr>
          <w:p w14:paraId="1A4C93FC">
            <w:pPr>
              <w:rPr>
                <w:rFonts w:hint="eastAsia" w:asciiTheme="minorEastAsia" w:hAnsiTheme="minorEastAsia" w:eastAsiaTheme="minorEastAsia" w:cstheme="minorEastAsia"/>
                <w:spacing w:val="0"/>
                <w:position w:val="0"/>
                <w:sz w:val="21"/>
                <w:szCs w:val="21"/>
              </w:rPr>
            </w:pPr>
          </w:p>
        </w:tc>
        <w:tc>
          <w:tcPr>
            <w:tcW w:w="1170" w:type="dxa"/>
            <w:vMerge w:val="continue"/>
            <w:tcBorders>
              <w:top w:val="nil"/>
            </w:tcBorders>
          </w:tcPr>
          <w:p w14:paraId="34258375">
            <w:pPr>
              <w:rPr>
                <w:rFonts w:hint="eastAsia" w:asciiTheme="minorEastAsia" w:hAnsiTheme="minorEastAsia" w:eastAsiaTheme="minorEastAsia" w:cstheme="minorEastAsia"/>
                <w:spacing w:val="0"/>
                <w:position w:val="0"/>
                <w:sz w:val="21"/>
                <w:szCs w:val="21"/>
              </w:rPr>
            </w:pPr>
          </w:p>
        </w:tc>
        <w:tc>
          <w:tcPr>
            <w:tcW w:w="1245" w:type="dxa"/>
          </w:tcPr>
          <w:p w14:paraId="2E4BC61A">
            <w:pPr>
              <w:pStyle w:val="34"/>
              <w:spacing w:before="7"/>
              <w:rPr>
                <w:rFonts w:hint="eastAsia" w:asciiTheme="minorEastAsia" w:hAnsiTheme="minorEastAsia" w:eastAsiaTheme="minorEastAsia" w:cstheme="minorEastAsia"/>
                <w:spacing w:val="0"/>
                <w:position w:val="0"/>
                <w:sz w:val="21"/>
                <w:szCs w:val="21"/>
              </w:rPr>
            </w:pPr>
          </w:p>
          <w:p w14:paraId="7799386B">
            <w:pPr>
              <w:pStyle w:val="34"/>
              <w:ind w:left="246" w:right="240"/>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甜椒</w:t>
            </w:r>
          </w:p>
        </w:tc>
        <w:tc>
          <w:tcPr>
            <w:tcW w:w="2610" w:type="dxa"/>
          </w:tcPr>
          <w:p w14:paraId="059CE733">
            <w:pPr>
              <w:pStyle w:val="34"/>
              <w:spacing w:before="14"/>
              <w:rPr>
                <w:rFonts w:hint="eastAsia" w:asciiTheme="minorEastAsia" w:hAnsiTheme="minorEastAsia" w:eastAsiaTheme="minorEastAsia" w:cstheme="minorEastAsia"/>
                <w:spacing w:val="0"/>
                <w:position w:val="0"/>
                <w:sz w:val="21"/>
                <w:szCs w:val="21"/>
              </w:rPr>
            </w:pPr>
          </w:p>
          <w:p w14:paraId="6D8A51BB">
            <w:pPr>
              <w:pStyle w:val="34"/>
              <w:spacing w:before="1"/>
              <w:ind w:left="165" w:right="158"/>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噻虫胺</w:t>
            </w:r>
          </w:p>
        </w:tc>
        <w:tc>
          <w:tcPr>
            <w:tcW w:w="7305" w:type="dxa"/>
          </w:tcPr>
          <w:p w14:paraId="7D079E55">
            <w:pPr>
              <w:pStyle w:val="34"/>
              <w:spacing w:line="340" w:lineRule="atLeast"/>
              <w:ind w:left="108" w:right="87"/>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阿维菌素、吡虫啉、倍硫磷、毒死蜱、噻虫嗪、镉（以 Cd 计）、吡唑醚菌酯、氧乐果、克百威</w:t>
            </w:r>
          </w:p>
        </w:tc>
        <w:tc>
          <w:tcPr>
            <w:tcW w:w="1338" w:type="dxa"/>
          </w:tcPr>
          <w:p w14:paraId="1EBB14C9">
            <w:pPr>
              <w:pStyle w:val="34"/>
              <w:rPr>
                <w:rFonts w:hint="eastAsia" w:asciiTheme="minorEastAsia" w:hAnsiTheme="minorEastAsia" w:eastAsiaTheme="minorEastAsia" w:cstheme="minorEastAsia"/>
                <w:spacing w:val="0"/>
                <w:position w:val="0"/>
                <w:sz w:val="21"/>
                <w:szCs w:val="21"/>
              </w:rPr>
            </w:pPr>
          </w:p>
        </w:tc>
      </w:tr>
      <w:tr w14:paraId="159A4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057" w:type="dxa"/>
            <w:vMerge w:val="continue"/>
            <w:tcBorders>
              <w:top w:val="nil"/>
            </w:tcBorders>
          </w:tcPr>
          <w:p w14:paraId="5DB83B04">
            <w:pPr>
              <w:rPr>
                <w:rFonts w:hint="eastAsia" w:asciiTheme="minorEastAsia" w:hAnsiTheme="minorEastAsia" w:eastAsiaTheme="minorEastAsia" w:cstheme="minorEastAsia"/>
                <w:spacing w:val="0"/>
                <w:position w:val="0"/>
                <w:sz w:val="21"/>
                <w:szCs w:val="21"/>
              </w:rPr>
            </w:pPr>
          </w:p>
        </w:tc>
        <w:tc>
          <w:tcPr>
            <w:tcW w:w="1170" w:type="dxa"/>
          </w:tcPr>
          <w:p w14:paraId="4536E7F9">
            <w:pPr>
              <w:pStyle w:val="34"/>
              <w:spacing w:before="2"/>
              <w:rPr>
                <w:rFonts w:hint="eastAsia" w:asciiTheme="minorEastAsia" w:hAnsiTheme="minorEastAsia" w:eastAsiaTheme="minorEastAsia" w:cstheme="minorEastAsia"/>
                <w:spacing w:val="0"/>
                <w:position w:val="0"/>
                <w:sz w:val="21"/>
                <w:szCs w:val="21"/>
              </w:rPr>
            </w:pPr>
          </w:p>
          <w:p w14:paraId="5A4550F1">
            <w:pPr>
              <w:pStyle w:val="34"/>
              <w:ind w:left="134"/>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叶菜类蔬菜</w:t>
            </w:r>
          </w:p>
        </w:tc>
        <w:tc>
          <w:tcPr>
            <w:tcW w:w="1245" w:type="dxa"/>
          </w:tcPr>
          <w:p w14:paraId="1D42CAA4">
            <w:pPr>
              <w:pStyle w:val="34"/>
              <w:spacing w:before="2"/>
              <w:rPr>
                <w:rFonts w:hint="eastAsia" w:asciiTheme="minorEastAsia" w:hAnsiTheme="minorEastAsia" w:eastAsiaTheme="minorEastAsia" w:cstheme="minorEastAsia"/>
                <w:spacing w:val="0"/>
                <w:position w:val="0"/>
                <w:sz w:val="21"/>
                <w:szCs w:val="21"/>
              </w:rPr>
            </w:pPr>
          </w:p>
          <w:p w14:paraId="091D818F">
            <w:pPr>
              <w:pStyle w:val="34"/>
              <w:ind w:left="246" w:right="240"/>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芹菜</w:t>
            </w:r>
          </w:p>
        </w:tc>
        <w:tc>
          <w:tcPr>
            <w:tcW w:w="2610" w:type="dxa"/>
          </w:tcPr>
          <w:p w14:paraId="52DF9740">
            <w:pPr>
              <w:pStyle w:val="34"/>
              <w:spacing w:before="7"/>
              <w:rPr>
                <w:rFonts w:hint="eastAsia" w:asciiTheme="minorEastAsia" w:hAnsiTheme="minorEastAsia" w:eastAsiaTheme="minorEastAsia" w:cstheme="minorEastAsia"/>
                <w:spacing w:val="0"/>
                <w:position w:val="0"/>
                <w:sz w:val="21"/>
                <w:szCs w:val="21"/>
              </w:rPr>
            </w:pPr>
          </w:p>
          <w:p w14:paraId="41A22E60">
            <w:pPr>
              <w:pStyle w:val="34"/>
              <w:ind w:left="313"/>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毒死蜱、噻虫胺、甲拌磷</w:t>
            </w:r>
          </w:p>
        </w:tc>
        <w:tc>
          <w:tcPr>
            <w:tcW w:w="7305" w:type="dxa"/>
          </w:tcPr>
          <w:p w14:paraId="09975B9E">
            <w:pPr>
              <w:pStyle w:val="34"/>
              <w:spacing w:line="340" w:lineRule="atLeast"/>
              <w:ind w:left="108" w:right="97"/>
              <w:jc w:val="both"/>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氧乐果、氯氟氰菊酯和高效氯氟氰菊酯、噻虫嗪、阿维菌素、苯醚甲环唑、辛硫磷、铅（以 Pb 计）、镉（以 Cd 计）、水胺硫磷、克百威、氟虫腈、腈菌唑、敌敌畏、甲基异柳磷、啶虫脒、百菌清、乐果、乙酰甲胺磷、二甲戊灵、三氯杀螨醇、氯氰菊酯和高效氯氰菊酯</w:t>
            </w:r>
          </w:p>
        </w:tc>
        <w:tc>
          <w:tcPr>
            <w:tcW w:w="1338" w:type="dxa"/>
          </w:tcPr>
          <w:p w14:paraId="0C2CD8B6">
            <w:pPr>
              <w:pStyle w:val="34"/>
              <w:rPr>
                <w:rFonts w:hint="eastAsia" w:asciiTheme="minorEastAsia" w:hAnsiTheme="minorEastAsia" w:eastAsiaTheme="minorEastAsia" w:cstheme="minorEastAsia"/>
                <w:spacing w:val="0"/>
                <w:position w:val="0"/>
                <w:sz w:val="21"/>
                <w:szCs w:val="21"/>
              </w:rPr>
            </w:pPr>
          </w:p>
        </w:tc>
      </w:tr>
    </w:tbl>
    <w:p w14:paraId="6742CAAF">
      <w:pPr>
        <w:pStyle w:val="6"/>
        <w:spacing w:before="8"/>
        <w:rPr>
          <w:rFonts w:ascii="Arial Unicode MS"/>
          <w:spacing w:val="0"/>
          <w:position w:val="0"/>
          <w:sz w:val="10"/>
        </w:rPr>
      </w:pPr>
    </w:p>
    <w:p w14:paraId="490684AD"/>
    <w:tbl>
      <w:tblPr>
        <w:tblStyle w:val="17"/>
        <w:tblW w:w="0" w:type="auto"/>
        <w:tblInd w:w="8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7"/>
        <w:gridCol w:w="1170"/>
        <w:gridCol w:w="1245"/>
        <w:gridCol w:w="2245"/>
        <w:gridCol w:w="7670"/>
        <w:gridCol w:w="1338"/>
      </w:tblGrid>
      <w:tr w14:paraId="2B5BF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57" w:type="dxa"/>
          </w:tcPr>
          <w:p w14:paraId="73C60F5E">
            <w:pPr>
              <w:pStyle w:val="34"/>
              <w:spacing w:before="76"/>
              <w:ind w:left="166"/>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食品亚类</w:t>
            </w:r>
          </w:p>
          <w:p w14:paraId="3F33F1D3">
            <w:pPr>
              <w:pStyle w:val="34"/>
              <w:spacing w:before="89" w:line="224" w:lineRule="exact"/>
              <w:ind w:left="166"/>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（二级</w:t>
            </w:r>
          </w:p>
        </w:tc>
        <w:tc>
          <w:tcPr>
            <w:tcW w:w="1170" w:type="dxa"/>
          </w:tcPr>
          <w:p w14:paraId="6881519B">
            <w:pPr>
              <w:pStyle w:val="34"/>
              <w:spacing w:before="76"/>
              <w:ind w:left="225"/>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食品品种</w:t>
            </w:r>
          </w:p>
          <w:p w14:paraId="21983635">
            <w:pPr>
              <w:pStyle w:val="34"/>
              <w:spacing w:before="89" w:line="224" w:lineRule="exact"/>
              <w:ind w:left="225"/>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（三级</w:t>
            </w:r>
          </w:p>
        </w:tc>
        <w:tc>
          <w:tcPr>
            <w:tcW w:w="1245" w:type="dxa"/>
          </w:tcPr>
          <w:p w14:paraId="095FD524">
            <w:pPr>
              <w:pStyle w:val="34"/>
              <w:spacing w:before="76"/>
              <w:ind w:left="260"/>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食品细类</w:t>
            </w:r>
          </w:p>
          <w:p w14:paraId="27F97563">
            <w:pPr>
              <w:pStyle w:val="34"/>
              <w:spacing w:before="89" w:line="224" w:lineRule="exact"/>
              <w:ind w:left="260"/>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（四级</w:t>
            </w:r>
          </w:p>
        </w:tc>
        <w:tc>
          <w:tcPr>
            <w:tcW w:w="2245" w:type="dxa"/>
          </w:tcPr>
          <w:p w14:paraId="2BE2A005">
            <w:pPr>
              <w:pStyle w:val="34"/>
              <w:spacing w:before="5"/>
              <w:rPr>
                <w:rFonts w:hint="eastAsia" w:asciiTheme="minorEastAsia" w:hAnsiTheme="minorEastAsia" w:eastAsiaTheme="minorEastAsia" w:cstheme="minorEastAsia"/>
                <w:spacing w:val="0"/>
                <w:position w:val="0"/>
                <w:sz w:val="21"/>
                <w:szCs w:val="21"/>
              </w:rPr>
            </w:pPr>
          </w:p>
          <w:p w14:paraId="640DFC7A">
            <w:pPr>
              <w:pStyle w:val="34"/>
              <w:ind w:left="168" w:right="158"/>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必检项目</w:t>
            </w:r>
          </w:p>
        </w:tc>
        <w:tc>
          <w:tcPr>
            <w:tcW w:w="7670" w:type="dxa"/>
          </w:tcPr>
          <w:p w14:paraId="5BE31DAB">
            <w:pPr>
              <w:pStyle w:val="34"/>
              <w:spacing w:before="5"/>
              <w:rPr>
                <w:rFonts w:hint="eastAsia" w:asciiTheme="minorEastAsia" w:hAnsiTheme="minorEastAsia" w:eastAsiaTheme="minorEastAsia" w:cstheme="minorEastAsia"/>
                <w:spacing w:val="0"/>
                <w:position w:val="0"/>
                <w:sz w:val="21"/>
                <w:szCs w:val="21"/>
              </w:rPr>
            </w:pPr>
          </w:p>
          <w:p w14:paraId="38DA6FDD">
            <w:pPr>
              <w:pStyle w:val="34"/>
              <w:ind w:right="3270"/>
              <w:jc w:val="center"/>
              <w:rPr>
                <w:rFonts w:hint="eastAsia" w:asciiTheme="minorEastAsia" w:hAnsiTheme="minorEastAsia" w:eastAsiaTheme="minorEastAsia" w:cstheme="minorEastAsia"/>
                <w:spacing w:val="0"/>
                <w:position w:val="0"/>
                <w:sz w:val="21"/>
                <w:szCs w:val="21"/>
                <w:lang w:eastAsia="zh-CN"/>
              </w:rPr>
            </w:pPr>
            <w:r>
              <w:rPr>
                <w:rFonts w:hint="eastAsia" w:asciiTheme="minorEastAsia" w:hAnsiTheme="minorEastAsia" w:eastAsiaTheme="minorEastAsia" w:cstheme="minorEastAsia"/>
                <w:spacing w:val="0"/>
                <w:position w:val="0"/>
                <w:sz w:val="21"/>
                <w:szCs w:val="21"/>
              </w:rPr>
              <w:t>可选</w:t>
            </w:r>
            <w:r>
              <w:rPr>
                <w:rFonts w:hint="eastAsia" w:asciiTheme="minorEastAsia" w:hAnsiTheme="minorEastAsia" w:eastAsiaTheme="minorEastAsia" w:cstheme="minorEastAsia"/>
                <w:spacing w:val="0"/>
                <w:position w:val="0"/>
                <w:sz w:val="21"/>
                <w:szCs w:val="21"/>
                <w:lang w:val="en-US" w:eastAsia="zh-CN"/>
              </w:rPr>
              <w:t>项目</w:t>
            </w:r>
          </w:p>
        </w:tc>
        <w:tc>
          <w:tcPr>
            <w:tcW w:w="1338" w:type="dxa"/>
          </w:tcPr>
          <w:p w14:paraId="5CD47AF8">
            <w:pPr>
              <w:pStyle w:val="34"/>
              <w:spacing w:before="5"/>
              <w:rPr>
                <w:rFonts w:hint="eastAsia" w:asciiTheme="minorEastAsia" w:hAnsiTheme="minorEastAsia" w:eastAsiaTheme="minorEastAsia" w:cstheme="minorEastAsia"/>
                <w:spacing w:val="0"/>
                <w:position w:val="0"/>
                <w:sz w:val="21"/>
                <w:szCs w:val="21"/>
              </w:rPr>
            </w:pPr>
          </w:p>
          <w:p w14:paraId="4201C854">
            <w:pPr>
              <w:pStyle w:val="34"/>
              <w:ind w:right="465"/>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备注</w:t>
            </w:r>
          </w:p>
        </w:tc>
      </w:tr>
      <w:tr w14:paraId="40ED0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057" w:type="dxa"/>
            <w:vMerge w:val="restart"/>
          </w:tcPr>
          <w:p w14:paraId="55F77323">
            <w:pPr>
              <w:pStyle w:val="34"/>
              <w:rPr>
                <w:rFonts w:hint="eastAsia" w:asciiTheme="minorEastAsia" w:hAnsiTheme="minorEastAsia" w:eastAsiaTheme="minorEastAsia" w:cstheme="minorEastAsia"/>
                <w:spacing w:val="0"/>
                <w:position w:val="0"/>
                <w:sz w:val="21"/>
                <w:szCs w:val="21"/>
              </w:rPr>
            </w:pPr>
          </w:p>
          <w:p w14:paraId="3FA4B739">
            <w:pPr>
              <w:pStyle w:val="34"/>
              <w:rPr>
                <w:rFonts w:hint="eastAsia" w:asciiTheme="minorEastAsia" w:hAnsiTheme="minorEastAsia" w:eastAsiaTheme="minorEastAsia" w:cstheme="minorEastAsia"/>
                <w:spacing w:val="0"/>
                <w:position w:val="0"/>
                <w:sz w:val="21"/>
                <w:szCs w:val="21"/>
              </w:rPr>
            </w:pPr>
          </w:p>
          <w:p w14:paraId="22330386">
            <w:pPr>
              <w:pStyle w:val="34"/>
              <w:rPr>
                <w:rFonts w:hint="eastAsia" w:asciiTheme="minorEastAsia" w:hAnsiTheme="minorEastAsia" w:eastAsiaTheme="minorEastAsia" w:cstheme="minorEastAsia"/>
                <w:spacing w:val="0"/>
                <w:position w:val="0"/>
                <w:sz w:val="21"/>
                <w:szCs w:val="21"/>
              </w:rPr>
            </w:pPr>
          </w:p>
          <w:p w14:paraId="5B007CBE">
            <w:pPr>
              <w:pStyle w:val="34"/>
              <w:rPr>
                <w:rFonts w:hint="eastAsia" w:asciiTheme="minorEastAsia" w:hAnsiTheme="minorEastAsia" w:eastAsiaTheme="minorEastAsia" w:cstheme="minorEastAsia"/>
                <w:spacing w:val="0"/>
                <w:position w:val="0"/>
                <w:sz w:val="21"/>
                <w:szCs w:val="21"/>
              </w:rPr>
            </w:pPr>
          </w:p>
          <w:p w14:paraId="375D47A9">
            <w:pPr>
              <w:pStyle w:val="34"/>
              <w:spacing w:before="15"/>
              <w:rPr>
                <w:rFonts w:hint="eastAsia" w:asciiTheme="minorEastAsia" w:hAnsiTheme="minorEastAsia" w:eastAsiaTheme="minorEastAsia" w:cstheme="minorEastAsia"/>
                <w:spacing w:val="0"/>
                <w:position w:val="0"/>
                <w:sz w:val="21"/>
                <w:szCs w:val="21"/>
              </w:rPr>
            </w:pPr>
          </w:p>
          <w:p w14:paraId="0EDEFAB0">
            <w:pPr>
              <w:pStyle w:val="34"/>
              <w:ind w:left="257"/>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水产品</w:t>
            </w:r>
          </w:p>
        </w:tc>
        <w:tc>
          <w:tcPr>
            <w:tcW w:w="1170" w:type="dxa"/>
          </w:tcPr>
          <w:p w14:paraId="14D55A0D">
            <w:pPr>
              <w:pStyle w:val="34"/>
              <w:rPr>
                <w:rFonts w:hint="eastAsia" w:asciiTheme="minorEastAsia" w:hAnsiTheme="minorEastAsia" w:eastAsiaTheme="minorEastAsia" w:cstheme="minorEastAsia"/>
                <w:spacing w:val="0"/>
                <w:position w:val="0"/>
                <w:sz w:val="21"/>
                <w:szCs w:val="21"/>
              </w:rPr>
            </w:pPr>
          </w:p>
          <w:p w14:paraId="6FCD784B">
            <w:pPr>
              <w:pStyle w:val="34"/>
              <w:ind w:left="119" w:right="108"/>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淡水产品</w:t>
            </w:r>
          </w:p>
        </w:tc>
        <w:tc>
          <w:tcPr>
            <w:tcW w:w="1245" w:type="dxa"/>
          </w:tcPr>
          <w:p w14:paraId="42423711">
            <w:pPr>
              <w:pStyle w:val="34"/>
              <w:rPr>
                <w:rFonts w:hint="eastAsia" w:asciiTheme="minorEastAsia" w:hAnsiTheme="minorEastAsia" w:eastAsiaTheme="minorEastAsia" w:cstheme="minorEastAsia"/>
                <w:spacing w:val="0"/>
                <w:position w:val="0"/>
                <w:sz w:val="21"/>
                <w:szCs w:val="21"/>
              </w:rPr>
            </w:pPr>
          </w:p>
          <w:p w14:paraId="58B606C9">
            <w:pPr>
              <w:pStyle w:val="34"/>
              <w:ind w:left="246" w:right="238"/>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淡水鱼</w:t>
            </w:r>
          </w:p>
        </w:tc>
        <w:tc>
          <w:tcPr>
            <w:tcW w:w="2245" w:type="dxa"/>
          </w:tcPr>
          <w:p w14:paraId="1EA279DB">
            <w:pPr>
              <w:pStyle w:val="34"/>
              <w:spacing w:before="43" w:line="268" w:lineRule="auto"/>
              <w:ind w:left="133" w:right="6" w:hanging="27"/>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恩诺沙星、孔雀石绿、地西泮、五氯酚酸钠（以五氯酚计）</w:t>
            </w:r>
          </w:p>
          <w:p w14:paraId="47A16723">
            <w:pPr>
              <w:pStyle w:val="34"/>
              <w:spacing w:line="213" w:lineRule="exact"/>
              <w:ind w:left="225"/>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磺胺类（总量）、氧氟沙星</w:t>
            </w:r>
          </w:p>
        </w:tc>
        <w:tc>
          <w:tcPr>
            <w:tcW w:w="7670" w:type="dxa"/>
          </w:tcPr>
          <w:p w14:paraId="62E78D0A">
            <w:pPr>
              <w:pStyle w:val="34"/>
              <w:spacing w:before="185" w:line="266" w:lineRule="auto"/>
              <w:ind w:left="108" w:right="97"/>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挥发性盐基氮、镉（以 Cd 计）、氯霉素、呋喃唑酮代谢物、呋喃西林代谢物、呋喃妥因代谢物、沙拉沙星、甲氧苄啶、氟苯尼考、甲硝唑、诺氟沙星、培氟沙星</w:t>
            </w:r>
          </w:p>
        </w:tc>
        <w:tc>
          <w:tcPr>
            <w:tcW w:w="1338" w:type="dxa"/>
          </w:tcPr>
          <w:p w14:paraId="71E6CD77">
            <w:pPr>
              <w:pStyle w:val="34"/>
              <w:rPr>
                <w:rFonts w:hint="eastAsia" w:asciiTheme="minorEastAsia" w:hAnsiTheme="minorEastAsia" w:eastAsiaTheme="minorEastAsia" w:cstheme="minorEastAsia"/>
                <w:spacing w:val="0"/>
                <w:position w:val="0"/>
                <w:sz w:val="21"/>
                <w:szCs w:val="21"/>
              </w:rPr>
            </w:pPr>
          </w:p>
        </w:tc>
      </w:tr>
      <w:tr w14:paraId="47503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057" w:type="dxa"/>
            <w:vMerge w:val="continue"/>
            <w:tcBorders>
              <w:top w:val="nil"/>
            </w:tcBorders>
          </w:tcPr>
          <w:p w14:paraId="035071AA">
            <w:pPr>
              <w:rPr>
                <w:rFonts w:hint="eastAsia" w:asciiTheme="minorEastAsia" w:hAnsiTheme="minorEastAsia" w:eastAsiaTheme="minorEastAsia" w:cstheme="minorEastAsia"/>
                <w:spacing w:val="0"/>
                <w:position w:val="0"/>
                <w:sz w:val="21"/>
                <w:szCs w:val="21"/>
              </w:rPr>
            </w:pPr>
          </w:p>
        </w:tc>
        <w:tc>
          <w:tcPr>
            <w:tcW w:w="1170" w:type="dxa"/>
            <w:vMerge w:val="restart"/>
          </w:tcPr>
          <w:p w14:paraId="0C63B426">
            <w:pPr>
              <w:pStyle w:val="34"/>
              <w:rPr>
                <w:rFonts w:hint="eastAsia" w:asciiTheme="minorEastAsia" w:hAnsiTheme="minorEastAsia" w:eastAsiaTheme="minorEastAsia" w:cstheme="minorEastAsia"/>
                <w:spacing w:val="0"/>
                <w:position w:val="0"/>
                <w:sz w:val="21"/>
                <w:szCs w:val="21"/>
              </w:rPr>
            </w:pPr>
          </w:p>
          <w:p w14:paraId="338CF5D0">
            <w:pPr>
              <w:pStyle w:val="34"/>
              <w:spacing w:before="12"/>
              <w:rPr>
                <w:rFonts w:hint="eastAsia" w:asciiTheme="minorEastAsia" w:hAnsiTheme="minorEastAsia" w:eastAsiaTheme="minorEastAsia" w:cstheme="minorEastAsia"/>
                <w:spacing w:val="0"/>
                <w:position w:val="0"/>
                <w:sz w:val="21"/>
                <w:szCs w:val="21"/>
              </w:rPr>
            </w:pPr>
          </w:p>
          <w:p w14:paraId="23EA6499">
            <w:pPr>
              <w:pStyle w:val="34"/>
              <w:spacing w:before="1"/>
              <w:ind w:left="225"/>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海水产品</w:t>
            </w:r>
          </w:p>
        </w:tc>
        <w:tc>
          <w:tcPr>
            <w:tcW w:w="1245" w:type="dxa"/>
          </w:tcPr>
          <w:p w14:paraId="086D5AC5">
            <w:pPr>
              <w:pStyle w:val="34"/>
              <w:spacing w:before="17"/>
              <w:rPr>
                <w:rFonts w:hint="eastAsia" w:asciiTheme="minorEastAsia" w:hAnsiTheme="minorEastAsia" w:eastAsiaTheme="minorEastAsia" w:cstheme="minorEastAsia"/>
                <w:spacing w:val="0"/>
                <w:position w:val="0"/>
                <w:sz w:val="21"/>
                <w:szCs w:val="21"/>
              </w:rPr>
            </w:pPr>
          </w:p>
          <w:p w14:paraId="70FAF351">
            <w:pPr>
              <w:pStyle w:val="34"/>
              <w:ind w:left="246" w:right="238"/>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海水虾</w:t>
            </w:r>
          </w:p>
        </w:tc>
        <w:tc>
          <w:tcPr>
            <w:tcW w:w="2245" w:type="dxa"/>
          </w:tcPr>
          <w:p w14:paraId="0D283253">
            <w:pPr>
              <w:pStyle w:val="34"/>
              <w:spacing w:before="5"/>
              <w:rPr>
                <w:rFonts w:hint="eastAsia" w:asciiTheme="minorEastAsia" w:hAnsiTheme="minorEastAsia" w:eastAsiaTheme="minorEastAsia" w:cstheme="minorEastAsia"/>
                <w:spacing w:val="0"/>
                <w:position w:val="0"/>
                <w:sz w:val="21"/>
                <w:szCs w:val="21"/>
              </w:rPr>
            </w:pPr>
          </w:p>
          <w:p w14:paraId="1755367A">
            <w:pPr>
              <w:pStyle w:val="34"/>
              <w:ind w:left="165" w:right="158"/>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二氧化硫残留量</w:t>
            </w:r>
          </w:p>
        </w:tc>
        <w:tc>
          <w:tcPr>
            <w:tcW w:w="7670" w:type="dxa"/>
          </w:tcPr>
          <w:p w14:paraId="65D5B3F2">
            <w:pPr>
              <w:pStyle w:val="34"/>
              <w:spacing w:line="280" w:lineRule="atLeast"/>
              <w:ind w:left="108" w:right="75"/>
              <w:jc w:val="both"/>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挥发性盐基氮、镉（以 Cd 计）、孔雀石绿、氯霉素、呋喃唑酮代谢物、呋喃它酮代谢物、呋喃妥因代谢物、五氯酚酸钠（以五氯酚计）、恩诺沙星、磺胺类（总量）、土霉素</w:t>
            </w:r>
            <w:r>
              <w:rPr>
                <w:rFonts w:hint="eastAsia" w:asciiTheme="minorEastAsia" w:hAnsiTheme="minorEastAsia" w:eastAsiaTheme="minorEastAsia" w:cstheme="minorEastAsia"/>
                <w:spacing w:val="0"/>
                <w:w w:val="170"/>
                <w:position w:val="0"/>
                <w:sz w:val="21"/>
                <w:szCs w:val="21"/>
              </w:rPr>
              <w:t>/</w:t>
            </w:r>
            <w:r>
              <w:rPr>
                <w:rFonts w:hint="eastAsia" w:asciiTheme="minorEastAsia" w:hAnsiTheme="minorEastAsia" w:eastAsiaTheme="minorEastAsia" w:cstheme="minorEastAsia"/>
                <w:spacing w:val="0"/>
                <w:position w:val="0"/>
                <w:sz w:val="21"/>
                <w:szCs w:val="21"/>
              </w:rPr>
              <w:t>金霉素</w:t>
            </w:r>
            <w:r>
              <w:rPr>
                <w:rFonts w:hint="eastAsia" w:asciiTheme="minorEastAsia" w:hAnsiTheme="minorEastAsia" w:eastAsiaTheme="minorEastAsia" w:cstheme="minorEastAsia"/>
                <w:spacing w:val="0"/>
                <w:w w:val="170"/>
                <w:position w:val="0"/>
                <w:sz w:val="21"/>
                <w:szCs w:val="21"/>
              </w:rPr>
              <w:t>/</w:t>
            </w:r>
            <w:r>
              <w:rPr>
                <w:rFonts w:hint="eastAsia" w:asciiTheme="minorEastAsia" w:hAnsiTheme="minorEastAsia" w:eastAsiaTheme="minorEastAsia" w:cstheme="minorEastAsia"/>
                <w:spacing w:val="0"/>
                <w:position w:val="0"/>
                <w:sz w:val="21"/>
                <w:szCs w:val="21"/>
              </w:rPr>
              <w:t>四环素（组合含量）、诺氟沙星</w:t>
            </w:r>
          </w:p>
        </w:tc>
        <w:tc>
          <w:tcPr>
            <w:tcW w:w="1338" w:type="dxa"/>
          </w:tcPr>
          <w:p w14:paraId="7E0BAAB2">
            <w:pPr>
              <w:pStyle w:val="34"/>
              <w:rPr>
                <w:rFonts w:hint="eastAsia" w:asciiTheme="minorEastAsia" w:hAnsiTheme="minorEastAsia" w:eastAsiaTheme="minorEastAsia" w:cstheme="minorEastAsia"/>
                <w:spacing w:val="0"/>
                <w:position w:val="0"/>
                <w:sz w:val="21"/>
                <w:szCs w:val="21"/>
              </w:rPr>
            </w:pPr>
          </w:p>
        </w:tc>
      </w:tr>
      <w:tr w14:paraId="58303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trPr>
        <w:tc>
          <w:tcPr>
            <w:tcW w:w="1057" w:type="dxa"/>
            <w:vMerge w:val="continue"/>
            <w:tcBorders>
              <w:top w:val="nil"/>
            </w:tcBorders>
          </w:tcPr>
          <w:p w14:paraId="0636B73C">
            <w:pPr>
              <w:rPr>
                <w:rFonts w:hint="eastAsia" w:asciiTheme="minorEastAsia" w:hAnsiTheme="minorEastAsia" w:eastAsiaTheme="minorEastAsia" w:cstheme="minorEastAsia"/>
                <w:spacing w:val="0"/>
                <w:position w:val="0"/>
                <w:sz w:val="21"/>
                <w:szCs w:val="21"/>
              </w:rPr>
            </w:pPr>
          </w:p>
        </w:tc>
        <w:tc>
          <w:tcPr>
            <w:tcW w:w="1170" w:type="dxa"/>
            <w:vMerge w:val="continue"/>
            <w:tcBorders>
              <w:top w:val="nil"/>
            </w:tcBorders>
          </w:tcPr>
          <w:p w14:paraId="0C710749">
            <w:pPr>
              <w:rPr>
                <w:rFonts w:hint="eastAsia" w:asciiTheme="minorEastAsia" w:hAnsiTheme="minorEastAsia" w:eastAsiaTheme="minorEastAsia" w:cstheme="minorEastAsia"/>
                <w:spacing w:val="0"/>
                <w:position w:val="0"/>
                <w:sz w:val="21"/>
                <w:szCs w:val="21"/>
              </w:rPr>
            </w:pPr>
          </w:p>
        </w:tc>
        <w:tc>
          <w:tcPr>
            <w:tcW w:w="1245" w:type="dxa"/>
          </w:tcPr>
          <w:p w14:paraId="27407744">
            <w:pPr>
              <w:pStyle w:val="34"/>
              <w:spacing w:before="12"/>
              <w:rPr>
                <w:rFonts w:hint="eastAsia" w:asciiTheme="minorEastAsia" w:hAnsiTheme="minorEastAsia" w:eastAsiaTheme="minorEastAsia" w:cstheme="minorEastAsia"/>
                <w:spacing w:val="0"/>
                <w:position w:val="0"/>
                <w:sz w:val="21"/>
                <w:szCs w:val="21"/>
              </w:rPr>
            </w:pPr>
          </w:p>
          <w:p w14:paraId="0BF87B92">
            <w:pPr>
              <w:pStyle w:val="34"/>
              <w:ind w:left="246" w:right="238"/>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海水鱼</w:t>
            </w:r>
          </w:p>
        </w:tc>
        <w:tc>
          <w:tcPr>
            <w:tcW w:w="2245" w:type="dxa"/>
          </w:tcPr>
          <w:p w14:paraId="7BEC1414">
            <w:pPr>
              <w:pStyle w:val="34"/>
              <w:rPr>
                <w:rFonts w:hint="eastAsia" w:asciiTheme="minorEastAsia" w:hAnsiTheme="minorEastAsia" w:eastAsiaTheme="minorEastAsia" w:cstheme="minorEastAsia"/>
                <w:spacing w:val="0"/>
                <w:position w:val="0"/>
                <w:sz w:val="21"/>
                <w:szCs w:val="21"/>
              </w:rPr>
            </w:pPr>
          </w:p>
          <w:p w14:paraId="5E1782C7">
            <w:pPr>
              <w:pStyle w:val="34"/>
              <w:ind w:left="168" w:right="158"/>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恩诺沙星</w:t>
            </w:r>
          </w:p>
        </w:tc>
        <w:tc>
          <w:tcPr>
            <w:tcW w:w="7670" w:type="dxa"/>
          </w:tcPr>
          <w:p w14:paraId="4818170B">
            <w:pPr>
              <w:pStyle w:val="34"/>
              <w:spacing w:before="182" w:line="266" w:lineRule="auto"/>
              <w:ind w:left="108" w:right="94"/>
              <w:jc w:val="both"/>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挥发性盐基氮、组胺、镉（以 Cd 计）、孔雀石绿、氯霉素、呋喃唑酮代谢物、呋喃它酮代谢物、呋喃西林代谢物、五氯酚酸钠（以五氯酚计）、磺胺类（总量）、土霉素</w:t>
            </w:r>
            <w:r>
              <w:rPr>
                <w:rFonts w:hint="eastAsia" w:asciiTheme="minorEastAsia" w:hAnsiTheme="minorEastAsia" w:eastAsiaTheme="minorEastAsia" w:cstheme="minorEastAsia"/>
                <w:spacing w:val="0"/>
                <w:w w:val="170"/>
                <w:position w:val="0"/>
                <w:sz w:val="21"/>
                <w:szCs w:val="21"/>
              </w:rPr>
              <w:t>/</w:t>
            </w:r>
            <w:r>
              <w:rPr>
                <w:rFonts w:hint="eastAsia" w:asciiTheme="minorEastAsia" w:hAnsiTheme="minorEastAsia" w:eastAsiaTheme="minorEastAsia" w:cstheme="minorEastAsia"/>
                <w:spacing w:val="0"/>
                <w:position w:val="0"/>
                <w:sz w:val="21"/>
                <w:szCs w:val="21"/>
              </w:rPr>
              <w:t>金霉素</w:t>
            </w:r>
            <w:r>
              <w:rPr>
                <w:rFonts w:hint="eastAsia" w:asciiTheme="minorEastAsia" w:hAnsiTheme="minorEastAsia" w:eastAsiaTheme="minorEastAsia" w:cstheme="minorEastAsia"/>
                <w:spacing w:val="0"/>
                <w:w w:val="170"/>
                <w:position w:val="0"/>
                <w:sz w:val="21"/>
                <w:szCs w:val="21"/>
              </w:rPr>
              <w:t>/</w:t>
            </w:r>
            <w:r>
              <w:rPr>
                <w:rFonts w:hint="eastAsia" w:asciiTheme="minorEastAsia" w:hAnsiTheme="minorEastAsia" w:eastAsiaTheme="minorEastAsia" w:cstheme="minorEastAsia"/>
                <w:spacing w:val="0"/>
                <w:position w:val="0"/>
                <w:sz w:val="21"/>
                <w:szCs w:val="21"/>
              </w:rPr>
              <w:t>四环素（组合含量）、甲氧苄啶、甲硝唑、氧氟沙星、培氟沙星、诺氟沙星</w:t>
            </w:r>
          </w:p>
        </w:tc>
        <w:tc>
          <w:tcPr>
            <w:tcW w:w="1338" w:type="dxa"/>
          </w:tcPr>
          <w:p w14:paraId="19F8BE43">
            <w:pPr>
              <w:pStyle w:val="34"/>
              <w:rPr>
                <w:rFonts w:hint="eastAsia" w:asciiTheme="minorEastAsia" w:hAnsiTheme="minorEastAsia" w:eastAsiaTheme="minorEastAsia" w:cstheme="minorEastAsia"/>
                <w:spacing w:val="0"/>
                <w:position w:val="0"/>
                <w:sz w:val="21"/>
                <w:szCs w:val="21"/>
              </w:rPr>
            </w:pPr>
          </w:p>
        </w:tc>
      </w:tr>
      <w:tr w14:paraId="1D8BD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1057" w:type="dxa"/>
            <w:vMerge w:val="continue"/>
            <w:tcBorders>
              <w:top w:val="nil"/>
            </w:tcBorders>
          </w:tcPr>
          <w:p w14:paraId="64ADB6F4">
            <w:pPr>
              <w:rPr>
                <w:rFonts w:hint="eastAsia" w:asciiTheme="minorEastAsia" w:hAnsiTheme="minorEastAsia" w:eastAsiaTheme="minorEastAsia" w:cstheme="minorEastAsia"/>
                <w:spacing w:val="0"/>
                <w:position w:val="0"/>
                <w:sz w:val="21"/>
                <w:szCs w:val="21"/>
              </w:rPr>
            </w:pPr>
          </w:p>
        </w:tc>
        <w:tc>
          <w:tcPr>
            <w:tcW w:w="1170" w:type="dxa"/>
          </w:tcPr>
          <w:p w14:paraId="1F4F195D">
            <w:pPr>
              <w:pStyle w:val="34"/>
              <w:rPr>
                <w:rFonts w:hint="eastAsia" w:asciiTheme="minorEastAsia" w:hAnsiTheme="minorEastAsia" w:eastAsiaTheme="minorEastAsia" w:cstheme="minorEastAsia"/>
                <w:spacing w:val="0"/>
                <w:position w:val="0"/>
                <w:sz w:val="21"/>
                <w:szCs w:val="21"/>
              </w:rPr>
            </w:pPr>
          </w:p>
          <w:p w14:paraId="17883B54">
            <w:pPr>
              <w:pStyle w:val="34"/>
              <w:spacing w:before="13"/>
              <w:rPr>
                <w:rFonts w:hint="eastAsia" w:asciiTheme="minorEastAsia" w:hAnsiTheme="minorEastAsia" w:eastAsiaTheme="minorEastAsia" w:cstheme="minorEastAsia"/>
                <w:spacing w:val="0"/>
                <w:position w:val="0"/>
                <w:sz w:val="21"/>
                <w:szCs w:val="21"/>
              </w:rPr>
            </w:pPr>
          </w:p>
          <w:p w14:paraId="25A46A95">
            <w:pPr>
              <w:pStyle w:val="34"/>
              <w:spacing w:before="1"/>
              <w:ind w:left="119" w:right="110"/>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其他水产品</w:t>
            </w:r>
          </w:p>
        </w:tc>
        <w:tc>
          <w:tcPr>
            <w:tcW w:w="1245" w:type="dxa"/>
          </w:tcPr>
          <w:p w14:paraId="284BD55B">
            <w:pPr>
              <w:pStyle w:val="34"/>
              <w:spacing w:before="13"/>
              <w:rPr>
                <w:rFonts w:hint="eastAsia" w:asciiTheme="minorEastAsia" w:hAnsiTheme="minorEastAsia" w:eastAsiaTheme="minorEastAsia" w:cstheme="minorEastAsia"/>
                <w:spacing w:val="0"/>
                <w:position w:val="0"/>
                <w:sz w:val="21"/>
                <w:szCs w:val="21"/>
              </w:rPr>
            </w:pPr>
          </w:p>
          <w:p w14:paraId="0EB65D94">
            <w:pPr>
              <w:pStyle w:val="34"/>
              <w:ind w:left="171"/>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其他水产品</w:t>
            </w:r>
          </w:p>
          <w:p w14:paraId="0AA1FFD6">
            <w:pPr>
              <w:pStyle w:val="34"/>
              <w:spacing w:before="67" w:line="307" w:lineRule="auto"/>
              <w:ind w:left="351" w:right="46" w:hanging="245"/>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（重点品种：牛蛙）</w:t>
            </w:r>
          </w:p>
        </w:tc>
        <w:tc>
          <w:tcPr>
            <w:tcW w:w="2245" w:type="dxa"/>
          </w:tcPr>
          <w:p w14:paraId="041CE4FE">
            <w:pPr>
              <w:pStyle w:val="34"/>
              <w:spacing w:before="1"/>
              <w:rPr>
                <w:rFonts w:hint="eastAsia" w:asciiTheme="minorEastAsia" w:hAnsiTheme="minorEastAsia" w:eastAsiaTheme="minorEastAsia" w:cstheme="minorEastAsia"/>
                <w:spacing w:val="0"/>
                <w:position w:val="0"/>
                <w:sz w:val="21"/>
                <w:szCs w:val="21"/>
              </w:rPr>
            </w:pPr>
          </w:p>
          <w:p w14:paraId="1BCF3776">
            <w:pPr>
              <w:pStyle w:val="34"/>
              <w:spacing w:before="1"/>
              <w:ind w:left="168" w:right="158"/>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恩诺沙星 a、呋喃西林代谢物</w:t>
            </w:r>
          </w:p>
        </w:tc>
        <w:tc>
          <w:tcPr>
            <w:tcW w:w="7670" w:type="dxa"/>
          </w:tcPr>
          <w:p w14:paraId="3845FD86">
            <w:pPr>
              <w:pStyle w:val="34"/>
              <w:spacing w:before="4"/>
              <w:rPr>
                <w:rFonts w:hint="eastAsia" w:asciiTheme="minorEastAsia" w:hAnsiTheme="minorEastAsia" w:eastAsiaTheme="minorEastAsia" w:cstheme="minorEastAsia"/>
                <w:spacing w:val="0"/>
                <w:position w:val="0"/>
                <w:sz w:val="21"/>
                <w:szCs w:val="21"/>
              </w:rPr>
            </w:pPr>
          </w:p>
          <w:p w14:paraId="5708C201">
            <w:pPr>
              <w:pStyle w:val="34"/>
              <w:spacing w:line="268" w:lineRule="auto"/>
              <w:ind w:left="108" w:right="90"/>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镉（以 Cd 计）b、孔雀石绿、氯霉素、呋喃唑酮代谢物、呋喃妥因代谢物、五氯酚酸钠（以五氯酚计）、磺胺类（总量）a、氟苯尼考 a、甲硝唑 a、氧氟沙星 a、诺氟沙星 a</w:t>
            </w:r>
          </w:p>
        </w:tc>
        <w:tc>
          <w:tcPr>
            <w:tcW w:w="1338" w:type="dxa"/>
          </w:tcPr>
          <w:p w14:paraId="78E678D8">
            <w:pPr>
              <w:pStyle w:val="34"/>
              <w:spacing w:before="44" w:line="266" w:lineRule="auto"/>
              <w:ind w:left="128" w:right="117"/>
              <w:jc w:val="both"/>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仅蛙科、鳖科食品动物检测 b. 限头足类、腹足类棘皮类检测</w:t>
            </w:r>
          </w:p>
        </w:tc>
      </w:tr>
      <w:tr w14:paraId="50EBE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057" w:type="dxa"/>
            <w:vMerge w:val="restart"/>
          </w:tcPr>
          <w:p w14:paraId="61EC5B08">
            <w:pPr>
              <w:pStyle w:val="34"/>
              <w:rPr>
                <w:rFonts w:hint="eastAsia" w:asciiTheme="minorEastAsia" w:hAnsiTheme="minorEastAsia" w:eastAsiaTheme="minorEastAsia" w:cstheme="minorEastAsia"/>
                <w:spacing w:val="0"/>
                <w:position w:val="0"/>
                <w:sz w:val="21"/>
                <w:szCs w:val="21"/>
              </w:rPr>
            </w:pPr>
          </w:p>
          <w:p w14:paraId="6E57FBA9">
            <w:pPr>
              <w:pStyle w:val="34"/>
              <w:rPr>
                <w:rFonts w:hint="eastAsia" w:asciiTheme="minorEastAsia" w:hAnsiTheme="minorEastAsia" w:eastAsiaTheme="minorEastAsia" w:cstheme="minorEastAsia"/>
                <w:spacing w:val="0"/>
                <w:position w:val="0"/>
                <w:sz w:val="21"/>
                <w:szCs w:val="21"/>
              </w:rPr>
            </w:pPr>
          </w:p>
          <w:p w14:paraId="6B866D3C">
            <w:pPr>
              <w:pStyle w:val="34"/>
              <w:rPr>
                <w:rFonts w:hint="eastAsia" w:asciiTheme="minorEastAsia" w:hAnsiTheme="minorEastAsia" w:eastAsiaTheme="minorEastAsia" w:cstheme="minorEastAsia"/>
                <w:spacing w:val="0"/>
                <w:position w:val="0"/>
                <w:sz w:val="21"/>
                <w:szCs w:val="21"/>
              </w:rPr>
            </w:pPr>
          </w:p>
          <w:p w14:paraId="16BCFE5A">
            <w:pPr>
              <w:pStyle w:val="34"/>
              <w:spacing w:before="15"/>
              <w:rPr>
                <w:rFonts w:hint="eastAsia" w:asciiTheme="minorEastAsia" w:hAnsiTheme="minorEastAsia" w:eastAsiaTheme="minorEastAsia" w:cstheme="minorEastAsia"/>
                <w:spacing w:val="0"/>
                <w:position w:val="0"/>
                <w:sz w:val="21"/>
                <w:szCs w:val="21"/>
              </w:rPr>
            </w:pPr>
          </w:p>
          <w:p w14:paraId="11F07249">
            <w:pPr>
              <w:pStyle w:val="34"/>
              <w:ind w:left="257"/>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水果类</w:t>
            </w:r>
          </w:p>
        </w:tc>
        <w:tc>
          <w:tcPr>
            <w:tcW w:w="1170" w:type="dxa"/>
            <w:vMerge w:val="restart"/>
          </w:tcPr>
          <w:p w14:paraId="0799006D">
            <w:pPr>
              <w:pStyle w:val="34"/>
              <w:rPr>
                <w:rFonts w:hint="eastAsia" w:asciiTheme="minorEastAsia" w:hAnsiTheme="minorEastAsia" w:eastAsiaTheme="minorEastAsia" w:cstheme="minorEastAsia"/>
                <w:spacing w:val="0"/>
                <w:position w:val="0"/>
                <w:sz w:val="21"/>
                <w:szCs w:val="21"/>
              </w:rPr>
            </w:pPr>
          </w:p>
          <w:p w14:paraId="22A16D2D">
            <w:pPr>
              <w:pStyle w:val="34"/>
              <w:spacing w:before="8"/>
              <w:rPr>
                <w:rFonts w:hint="eastAsia" w:asciiTheme="minorEastAsia" w:hAnsiTheme="minorEastAsia" w:eastAsiaTheme="minorEastAsia" w:cstheme="minorEastAsia"/>
                <w:spacing w:val="0"/>
                <w:position w:val="0"/>
                <w:sz w:val="21"/>
                <w:szCs w:val="21"/>
              </w:rPr>
            </w:pPr>
          </w:p>
          <w:p w14:paraId="68985965">
            <w:pPr>
              <w:pStyle w:val="34"/>
              <w:ind w:left="134"/>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柑橘类水果</w:t>
            </w:r>
          </w:p>
        </w:tc>
        <w:tc>
          <w:tcPr>
            <w:tcW w:w="1245" w:type="dxa"/>
          </w:tcPr>
          <w:p w14:paraId="4439D662">
            <w:pPr>
              <w:pStyle w:val="34"/>
              <w:spacing w:before="196"/>
              <w:ind w:left="246" w:right="238"/>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柑、橘</w:t>
            </w:r>
          </w:p>
        </w:tc>
        <w:tc>
          <w:tcPr>
            <w:tcW w:w="2245" w:type="dxa"/>
          </w:tcPr>
          <w:p w14:paraId="010E9387">
            <w:pPr>
              <w:pStyle w:val="34"/>
              <w:spacing w:before="184"/>
              <w:ind w:left="168" w:right="158"/>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苯醚甲环唑、联苯菊酯</w:t>
            </w:r>
          </w:p>
        </w:tc>
        <w:tc>
          <w:tcPr>
            <w:tcW w:w="7670" w:type="dxa"/>
          </w:tcPr>
          <w:p w14:paraId="4DBE1AD2">
            <w:pPr>
              <w:pStyle w:val="34"/>
              <w:spacing w:line="280" w:lineRule="atLeast"/>
              <w:ind w:left="108" w:right="273"/>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丙溴磷、克百威、氯唑磷、三唑磷、水胺硫磷、氧乐果、氯氟氰菊酯和高效氯氟氰菊酯甲拌磷</w:t>
            </w:r>
            <w:r>
              <w:rPr>
                <w:rFonts w:hint="eastAsia" w:asciiTheme="minorEastAsia" w:hAnsiTheme="minorEastAsia" w:eastAsiaTheme="minorEastAsia" w:cstheme="minorEastAsia"/>
                <w:spacing w:val="0"/>
                <w:w w:val="150"/>
                <w:position w:val="0"/>
                <w:sz w:val="21"/>
                <w:szCs w:val="21"/>
              </w:rPr>
              <w:t xml:space="preserve"> </w:t>
            </w:r>
            <w:r>
              <w:rPr>
                <w:rFonts w:hint="eastAsia" w:asciiTheme="minorEastAsia" w:hAnsiTheme="minorEastAsia" w:eastAsiaTheme="minorEastAsia" w:cstheme="minorEastAsia"/>
                <w:spacing w:val="0"/>
                <w:position w:val="0"/>
                <w:sz w:val="21"/>
                <w:szCs w:val="21"/>
              </w:rPr>
              <w:t>2, 4- 滴和 2, 4－滴钠盐、狄氏剂、毒死蜱、杀扑磷、敌敌畏、联苯肼酯</w:t>
            </w:r>
          </w:p>
        </w:tc>
        <w:tc>
          <w:tcPr>
            <w:tcW w:w="1338" w:type="dxa"/>
          </w:tcPr>
          <w:p w14:paraId="13C01349">
            <w:pPr>
              <w:pStyle w:val="34"/>
              <w:rPr>
                <w:rFonts w:hint="eastAsia" w:asciiTheme="minorEastAsia" w:hAnsiTheme="minorEastAsia" w:eastAsiaTheme="minorEastAsia" w:cstheme="minorEastAsia"/>
                <w:spacing w:val="0"/>
                <w:position w:val="0"/>
                <w:sz w:val="21"/>
                <w:szCs w:val="21"/>
              </w:rPr>
            </w:pPr>
          </w:p>
        </w:tc>
      </w:tr>
      <w:tr w14:paraId="05075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057" w:type="dxa"/>
            <w:vMerge w:val="continue"/>
            <w:tcBorders>
              <w:top w:val="nil"/>
            </w:tcBorders>
          </w:tcPr>
          <w:p w14:paraId="37380C7D">
            <w:pPr>
              <w:rPr>
                <w:rFonts w:hint="eastAsia" w:asciiTheme="minorEastAsia" w:hAnsiTheme="minorEastAsia" w:eastAsiaTheme="minorEastAsia" w:cstheme="minorEastAsia"/>
                <w:spacing w:val="0"/>
                <w:position w:val="0"/>
                <w:sz w:val="21"/>
                <w:szCs w:val="21"/>
              </w:rPr>
            </w:pPr>
          </w:p>
        </w:tc>
        <w:tc>
          <w:tcPr>
            <w:tcW w:w="1170" w:type="dxa"/>
            <w:vMerge w:val="continue"/>
            <w:tcBorders>
              <w:top w:val="nil"/>
            </w:tcBorders>
          </w:tcPr>
          <w:p w14:paraId="3C3AF266">
            <w:pPr>
              <w:rPr>
                <w:rFonts w:hint="eastAsia" w:asciiTheme="minorEastAsia" w:hAnsiTheme="minorEastAsia" w:eastAsiaTheme="minorEastAsia" w:cstheme="minorEastAsia"/>
                <w:spacing w:val="0"/>
                <w:position w:val="0"/>
                <w:sz w:val="21"/>
                <w:szCs w:val="21"/>
              </w:rPr>
            </w:pPr>
          </w:p>
        </w:tc>
        <w:tc>
          <w:tcPr>
            <w:tcW w:w="1245" w:type="dxa"/>
          </w:tcPr>
          <w:p w14:paraId="0786AA6C">
            <w:pPr>
              <w:pStyle w:val="34"/>
              <w:spacing w:before="195"/>
              <w:ind w:left="8"/>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橙</w:t>
            </w:r>
          </w:p>
        </w:tc>
        <w:tc>
          <w:tcPr>
            <w:tcW w:w="2245" w:type="dxa"/>
          </w:tcPr>
          <w:p w14:paraId="74E338F9">
            <w:pPr>
              <w:pStyle w:val="34"/>
              <w:spacing w:before="183"/>
              <w:ind w:left="168" w:right="158"/>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联苯菊酯、氯唑磷</w:t>
            </w:r>
          </w:p>
        </w:tc>
        <w:tc>
          <w:tcPr>
            <w:tcW w:w="7670" w:type="dxa"/>
          </w:tcPr>
          <w:p w14:paraId="0DB61749">
            <w:pPr>
              <w:pStyle w:val="34"/>
              <w:spacing w:line="280" w:lineRule="atLeast"/>
              <w:ind w:left="108" w:right="96"/>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丙溴磷、克百威、三唑磷、杀扑磷、水胺硫磷、氧乐果</w:t>
            </w:r>
            <w:r>
              <w:rPr>
                <w:rFonts w:hint="eastAsia" w:asciiTheme="minorEastAsia" w:hAnsiTheme="minorEastAsia" w:eastAsiaTheme="minorEastAsia" w:cstheme="minorEastAsia"/>
                <w:spacing w:val="0"/>
                <w:w w:val="150"/>
                <w:position w:val="0"/>
                <w:sz w:val="21"/>
                <w:szCs w:val="21"/>
              </w:rPr>
              <w:t xml:space="preserve"> </w:t>
            </w:r>
            <w:r>
              <w:rPr>
                <w:rFonts w:hint="eastAsia" w:asciiTheme="minorEastAsia" w:hAnsiTheme="minorEastAsia" w:eastAsiaTheme="minorEastAsia" w:cstheme="minorEastAsia"/>
                <w:spacing w:val="0"/>
                <w:position w:val="0"/>
                <w:sz w:val="21"/>
                <w:szCs w:val="21"/>
              </w:rPr>
              <w:t>2, 4- 滴和 2, 4- 滴钠盐、苯醚甲环唑、敌敌畏、氯氟氰菊酯和高效氯氟氰菊酯、乙酰甲胺磷</w:t>
            </w:r>
          </w:p>
        </w:tc>
        <w:tc>
          <w:tcPr>
            <w:tcW w:w="1338" w:type="dxa"/>
          </w:tcPr>
          <w:p w14:paraId="630CEFB7">
            <w:pPr>
              <w:pStyle w:val="34"/>
              <w:rPr>
                <w:rFonts w:hint="eastAsia" w:asciiTheme="minorEastAsia" w:hAnsiTheme="minorEastAsia" w:eastAsiaTheme="minorEastAsia" w:cstheme="minorEastAsia"/>
                <w:spacing w:val="0"/>
                <w:position w:val="0"/>
                <w:sz w:val="21"/>
                <w:szCs w:val="21"/>
              </w:rPr>
            </w:pPr>
          </w:p>
        </w:tc>
      </w:tr>
      <w:tr w14:paraId="00EA8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57" w:type="dxa"/>
            <w:vMerge w:val="continue"/>
            <w:tcBorders>
              <w:top w:val="nil"/>
            </w:tcBorders>
          </w:tcPr>
          <w:p w14:paraId="0D5C52AB">
            <w:pPr>
              <w:rPr>
                <w:rFonts w:hint="eastAsia" w:asciiTheme="minorEastAsia" w:hAnsiTheme="minorEastAsia" w:eastAsiaTheme="minorEastAsia" w:cstheme="minorEastAsia"/>
                <w:spacing w:val="0"/>
                <w:position w:val="0"/>
                <w:sz w:val="21"/>
                <w:szCs w:val="21"/>
              </w:rPr>
            </w:pPr>
          </w:p>
        </w:tc>
        <w:tc>
          <w:tcPr>
            <w:tcW w:w="1170" w:type="dxa"/>
            <w:vMerge w:val="continue"/>
            <w:tcBorders>
              <w:top w:val="nil"/>
            </w:tcBorders>
          </w:tcPr>
          <w:p w14:paraId="7CAFDE52">
            <w:pPr>
              <w:rPr>
                <w:rFonts w:hint="eastAsia" w:asciiTheme="minorEastAsia" w:hAnsiTheme="minorEastAsia" w:eastAsiaTheme="minorEastAsia" w:cstheme="minorEastAsia"/>
                <w:spacing w:val="0"/>
                <w:position w:val="0"/>
                <w:sz w:val="21"/>
                <w:szCs w:val="21"/>
              </w:rPr>
            </w:pPr>
          </w:p>
        </w:tc>
        <w:tc>
          <w:tcPr>
            <w:tcW w:w="1245" w:type="dxa"/>
          </w:tcPr>
          <w:p w14:paraId="2DF8A215">
            <w:pPr>
              <w:pStyle w:val="34"/>
              <w:spacing w:before="76" w:line="223" w:lineRule="exact"/>
              <w:ind w:left="8"/>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柚</w:t>
            </w:r>
          </w:p>
        </w:tc>
        <w:tc>
          <w:tcPr>
            <w:tcW w:w="2245" w:type="dxa"/>
          </w:tcPr>
          <w:p w14:paraId="71FA89D3">
            <w:pPr>
              <w:pStyle w:val="34"/>
              <w:spacing w:before="64" w:line="235" w:lineRule="exact"/>
              <w:ind w:left="165" w:right="158"/>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氯唑磷</w:t>
            </w:r>
          </w:p>
        </w:tc>
        <w:tc>
          <w:tcPr>
            <w:tcW w:w="7670" w:type="dxa"/>
          </w:tcPr>
          <w:p w14:paraId="4003CA84">
            <w:pPr>
              <w:pStyle w:val="34"/>
              <w:spacing w:before="64" w:line="235" w:lineRule="exact"/>
              <w:ind w:left="108"/>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水胺硫磷、联苯菊酯、氯氟氰菊酯和高效氯氟氰菊酯、多菌灵、克百威</w:t>
            </w:r>
          </w:p>
        </w:tc>
        <w:tc>
          <w:tcPr>
            <w:tcW w:w="1338" w:type="dxa"/>
          </w:tcPr>
          <w:p w14:paraId="2946BAF5">
            <w:pPr>
              <w:pStyle w:val="34"/>
              <w:rPr>
                <w:rFonts w:hint="eastAsia" w:asciiTheme="minorEastAsia" w:hAnsiTheme="minorEastAsia" w:eastAsiaTheme="minorEastAsia" w:cstheme="minorEastAsia"/>
                <w:spacing w:val="0"/>
                <w:position w:val="0"/>
                <w:sz w:val="21"/>
                <w:szCs w:val="21"/>
              </w:rPr>
            </w:pPr>
          </w:p>
        </w:tc>
      </w:tr>
      <w:tr w14:paraId="726F8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057" w:type="dxa"/>
            <w:vMerge w:val="continue"/>
            <w:tcBorders>
              <w:top w:val="nil"/>
            </w:tcBorders>
          </w:tcPr>
          <w:p w14:paraId="60F9C1C3">
            <w:pPr>
              <w:rPr>
                <w:rFonts w:hint="eastAsia" w:asciiTheme="minorEastAsia" w:hAnsiTheme="minorEastAsia" w:eastAsiaTheme="minorEastAsia" w:cstheme="minorEastAsia"/>
                <w:spacing w:val="0"/>
                <w:position w:val="0"/>
                <w:sz w:val="21"/>
                <w:szCs w:val="21"/>
              </w:rPr>
            </w:pPr>
          </w:p>
        </w:tc>
        <w:tc>
          <w:tcPr>
            <w:tcW w:w="1170" w:type="dxa"/>
            <w:vMerge w:val="restart"/>
          </w:tcPr>
          <w:p w14:paraId="160749AF">
            <w:pPr>
              <w:pStyle w:val="34"/>
              <w:spacing w:before="14"/>
              <w:rPr>
                <w:rFonts w:hint="eastAsia" w:asciiTheme="minorEastAsia" w:hAnsiTheme="minorEastAsia" w:eastAsiaTheme="minorEastAsia" w:cstheme="minorEastAsia"/>
                <w:spacing w:val="0"/>
                <w:position w:val="0"/>
                <w:sz w:val="21"/>
                <w:szCs w:val="21"/>
              </w:rPr>
            </w:pPr>
          </w:p>
          <w:p w14:paraId="1FF4FFAB">
            <w:pPr>
              <w:pStyle w:val="34"/>
              <w:spacing w:line="304" w:lineRule="auto"/>
              <w:ind w:left="225" w:right="123" w:hanging="92"/>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浆果和其他小型水果</w:t>
            </w:r>
          </w:p>
        </w:tc>
        <w:tc>
          <w:tcPr>
            <w:tcW w:w="1245" w:type="dxa"/>
          </w:tcPr>
          <w:p w14:paraId="6C997FA3">
            <w:pPr>
              <w:pStyle w:val="34"/>
              <w:spacing w:before="11"/>
              <w:rPr>
                <w:rFonts w:hint="eastAsia" w:asciiTheme="minorEastAsia" w:hAnsiTheme="minorEastAsia" w:eastAsiaTheme="minorEastAsia" w:cstheme="minorEastAsia"/>
                <w:spacing w:val="0"/>
                <w:position w:val="0"/>
                <w:sz w:val="21"/>
                <w:szCs w:val="21"/>
              </w:rPr>
            </w:pPr>
          </w:p>
          <w:p w14:paraId="08E11EA8">
            <w:pPr>
              <w:pStyle w:val="34"/>
              <w:ind w:left="351"/>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猕猴桃</w:t>
            </w:r>
          </w:p>
        </w:tc>
        <w:tc>
          <w:tcPr>
            <w:tcW w:w="2245" w:type="dxa"/>
          </w:tcPr>
          <w:p w14:paraId="51A35D33">
            <w:pPr>
              <w:pStyle w:val="34"/>
              <w:spacing w:before="11"/>
              <w:rPr>
                <w:rFonts w:hint="eastAsia" w:asciiTheme="minorEastAsia" w:hAnsiTheme="minorEastAsia" w:eastAsiaTheme="minorEastAsia" w:cstheme="minorEastAsia"/>
                <w:spacing w:val="0"/>
                <w:position w:val="0"/>
                <w:sz w:val="21"/>
                <w:szCs w:val="21"/>
              </w:rPr>
            </w:pPr>
          </w:p>
          <w:p w14:paraId="67252A88">
            <w:pPr>
              <w:pStyle w:val="34"/>
              <w:ind w:left="165" w:right="158"/>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氯吡脲</w:t>
            </w:r>
          </w:p>
        </w:tc>
        <w:tc>
          <w:tcPr>
            <w:tcW w:w="7670" w:type="dxa"/>
          </w:tcPr>
          <w:p w14:paraId="1E37333D">
            <w:pPr>
              <w:pStyle w:val="34"/>
              <w:spacing w:before="11"/>
              <w:rPr>
                <w:rFonts w:hint="eastAsia" w:asciiTheme="minorEastAsia" w:hAnsiTheme="minorEastAsia" w:eastAsiaTheme="minorEastAsia" w:cstheme="minorEastAsia"/>
                <w:spacing w:val="0"/>
                <w:position w:val="0"/>
                <w:sz w:val="21"/>
                <w:szCs w:val="21"/>
              </w:rPr>
            </w:pPr>
          </w:p>
          <w:p w14:paraId="1A8B8705">
            <w:pPr>
              <w:pStyle w:val="34"/>
              <w:ind w:left="108"/>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敌敌畏、多菌灵、氧乐果</w:t>
            </w:r>
          </w:p>
        </w:tc>
        <w:tc>
          <w:tcPr>
            <w:tcW w:w="1338" w:type="dxa"/>
          </w:tcPr>
          <w:p w14:paraId="0DB39CA7">
            <w:pPr>
              <w:pStyle w:val="34"/>
              <w:rPr>
                <w:rFonts w:hint="eastAsia" w:asciiTheme="minorEastAsia" w:hAnsiTheme="minorEastAsia" w:eastAsiaTheme="minorEastAsia" w:cstheme="minorEastAsia"/>
                <w:spacing w:val="0"/>
                <w:position w:val="0"/>
                <w:sz w:val="21"/>
                <w:szCs w:val="21"/>
              </w:rPr>
            </w:pPr>
          </w:p>
        </w:tc>
      </w:tr>
      <w:tr w14:paraId="6A3A1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57" w:type="dxa"/>
            <w:vMerge w:val="continue"/>
            <w:tcBorders>
              <w:top w:val="nil"/>
            </w:tcBorders>
          </w:tcPr>
          <w:p w14:paraId="3364F2CF">
            <w:pPr>
              <w:rPr>
                <w:rFonts w:hint="eastAsia" w:asciiTheme="minorEastAsia" w:hAnsiTheme="minorEastAsia" w:eastAsiaTheme="minorEastAsia" w:cstheme="minorEastAsia"/>
                <w:spacing w:val="0"/>
                <w:position w:val="0"/>
                <w:sz w:val="21"/>
                <w:szCs w:val="21"/>
              </w:rPr>
            </w:pPr>
          </w:p>
        </w:tc>
        <w:tc>
          <w:tcPr>
            <w:tcW w:w="1170" w:type="dxa"/>
            <w:vMerge w:val="continue"/>
            <w:tcBorders>
              <w:top w:val="nil"/>
            </w:tcBorders>
          </w:tcPr>
          <w:p w14:paraId="2F06ADE4">
            <w:pPr>
              <w:rPr>
                <w:rFonts w:hint="eastAsia" w:asciiTheme="minorEastAsia" w:hAnsiTheme="minorEastAsia" w:eastAsiaTheme="minorEastAsia" w:cstheme="minorEastAsia"/>
                <w:spacing w:val="0"/>
                <w:position w:val="0"/>
                <w:sz w:val="21"/>
                <w:szCs w:val="21"/>
              </w:rPr>
            </w:pPr>
          </w:p>
        </w:tc>
        <w:tc>
          <w:tcPr>
            <w:tcW w:w="1245" w:type="dxa"/>
          </w:tcPr>
          <w:p w14:paraId="08518334">
            <w:pPr>
              <w:pStyle w:val="34"/>
              <w:spacing w:before="8"/>
              <w:rPr>
                <w:rFonts w:hint="eastAsia" w:asciiTheme="minorEastAsia" w:hAnsiTheme="minorEastAsia" w:eastAsiaTheme="minorEastAsia" w:cstheme="minorEastAsia"/>
                <w:spacing w:val="0"/>
                <w:position w:val="0"/>
                <w:sz w:val="21"/>
                <w:szCs w:val="21"/>
              </w:rPr>
            </w:pPr>
          </w:p>
          <w:p w14:paraId="40EEF134">
            <w:pPr>
              <w:pStyle w:val="34"/>
              <w:ind w:left="246" w:right="240"/>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桑葚</w:t>
            </w:r>
          </w:p>
        </w:tc>
        <w:tc>
          <w:tcPr>
            <w:tcW w:w="2245" w:type="dxa"/>
          </w:tcPr>
          <w:p w14:paraId="54DD261E">
            <w:pPr>
              <w:pStyle w:val="34"/>
              <w:spacing w:before="173" w:line="268" w:lineRule="auto"/>
              <w:ind w:left="133" w:right="124"/>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脱氢乙酸及其钠盐（以脱氢乙酸计）、糖精钠（以糖精计）</w:t>
            </w:r>
          </w:p>
        </w:tc>
        <w:tc>
          <w:tcPr>
            <w:tcW w:w="7670" w:type="dxa"/>
          </w:tcPr>
          <w:p w14:paraId="68384288">
            <w:pPr>
              <w:pStyle w:val="34"/>
              <w:spacing w:before="173" w:line="268" w:lineRule="auto"/>
              <w:ind w:left="108" w:right="97"/>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苯甲酸及其钠盐（以苯甲酸计）、山梨酸及其钾盐（以山梨酸计）、三氯蔗糖、甜蜜素（以环己基氨基磺酸计）、多菌灵</w:t>
            </w:r>
          </w:p>
        </w:tc>
        <w:tc>
          <w:tcPr>
            <w:tcW w:w="1338" w:type="dxa"/>
          </w:tcPr>
          <w:p w14:paraId="0CEAF7D4">
            <w:pPr>
              <w:pStyle w:val="34"/>
              <w:rPr>
                <w:rFonts w:hint="eastAsia" w:asciiTheme="minorEastAsia" w:hAnsiTheme="minorEastAsia" w:eastAsiaTheme="minorEastAsia" w:cstheme="minorEastAsia"/>
                <w:spacing w:val="0"/>
                <w:position w:val="0"/>
                <w:sz w:val="21"/>
                <w:szCs w:val="21"/>
              </w:rPr>
            </w:pPr>
          </w:p>
        </w:tc>
      </w:tr>
      <w:tr w14:paraId="429B2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1057" w:type="dxa"/>
            <w:vMerge w:val="continue"/>
            <w:tcBorders>
              <w:top w:val="nil"/>
            </w:tcBorders>
          </w:tcPr>
          <w:p w14:paraId="309F50F8">
            <w:pPr>
              <w:rPr>
                <w:rFonts w:hint="eastAsia" w:asciiTheme="minorEastAsia" w:hAnsiTheme="minorEastAsia" w:eastAsiaTheme="minorEastAsia" w:cstheme="minorEastAsia"/>
                <w:spacing w:val="0"/>
                <w:position w:val="0"/>
                <w:sz w:val="21"/>
                <w:szCs w:val="21"/>
              </w:rPr>
            </w:pPr>
          </w:p>
        </w:tc>
        <w:tc>
          <w:tcPr>
            <w:tcW w:w="1170" w:type="dxa"/>
          </w:tcPr>
          <w:p w14:paraId="401DC91D">
            <w:pPr>
              <w:pStyle w:val="34"/>
              <w:spacing w:before="72" w:line="320" w:lineRule="atLeast"/>
              <w:ind w:left="314" w:right="123" w:hanging="180"/>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热带和亚热带水果</w:t>
            </w:r>
          </w:p>
        </w:tc>
        <w:tc>
          <w:tcPr>
            <w:tcW w:w="1245" w:type="dxa"/>
          </w:tcPr>
          <w:p w14:paraId="19216505">
            <w:pPr>
              <w:pStyle w:val="34"/>
              <w:spacing w:before="13"/>
              <w:rPr>
                <w:rFonts w:hint="eastAsia" w:asciiTheme="minorEastAsia" w:hAnsiTheme="minorEastAsia" w:eastAsiaTheme="minorEastAsia" w:cstheme="minorEastAsia"/>
                <w:spacing w:val="0"/>
                <w:position w:val="0"/>
                <w:sz w:val="21"/>
                <w:szCs w:val="21"/>
              </w:rPr>
            </w:pPr>
          </w:p>
          <w:p w14:paraId="390B1C28">
            <w:pPr>
              <w:pStyle w:val="34"/>
              <w:spacing w:before="1"/>
              <w:ind w:left="246" w:right="240"/>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荔枝</w:t>
            </w:r>
          </w:p>
        </w:tc>
        <w:tc>
          <w:tcPr>
            <w:tcW w:w="2245" w:type="dxa"/>
          </w:tcPr>
          <w:p w14:paraId="60E9384D">
            <w:pPr>
              <w:pStyle w:val="34"/>
              <w:spacing w:before="140" w:line="268" w:lineRule="auto"/>
              <w:ind w:left="765" w:right="124" w:hanging="632"/>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吡唑醚菌酯、氯氟氰菊酯和高效氯氟氰菊酯</w:t>
            </w:r>
          </w:p>
        </w:tc>
        <w:tc>
          <w:tcPr>
            <w:tcW w:w="7670" w:type="dxa"/>
          </w:tcPr>
          <w:p w14:paraId="6F1CD0E6">
            <w:pPr>
              <w:pStyle w:val="34"/>
              <w:spacing w:before="140" w:line="268" w:lineRule="auto"/>
              <w:ind w:left="108" w:right="91"/>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多菌灵、氧乐果、毒死蜱、苯醚甲环唑、氯氰菊酯和高效氯氰菊酯、除虫脲、氰霜唑、氟吗啉、咪鲜胺和咪鲜胺锰盐、乐果</w:t>
            </w:r>
          </w:p>
        </w:tc>
        <w:tc>
          <w:tcPr>
            <w:tcW w:w="1338" w:type="dxa"/>
          </w:tcPr>
          <w:p w14:paraId="06238356">
            <w:pPr>
              <w:pStyle w:val="34"/>
              <w:rPr>
                <w:rFonts w:hint="eastAsia" w:asciiTheme="minorEastAsia" w:hAnsiTheme="minorEastAsia" w:eastAsiaTheme="minorEastAsia" w:cstheme="minorEastAsia"/>
                <w:spacing w:val="0"/>
                <w:position w:val="0"/>
                <w:sz w:val="21"/>
                <w:szCs w:val="21"/>
              </w:rPr>
            </w:pPr>
          </w:p>
        </w:tc>
      </w:tr>
    </w:tbl>
    <w:p w14:paraId="188E1129">
      <w:pPr>
        <w:spacing w:after="0"/>
        <w:rPr>
          <w:rFonts w:ascii="Times New Roman"/>
          <w:spacing w:val="0"/>
          <w:position w:val="0"/>
          <w:sz w:val="16"/>
        </w:rPr>
      </w:pPr>
    </w:p>
    <w:p w14:paraId="13B3987A">
      <w:pPr>
        <w:spacing w:after="0"/>
        <w:rPr>
          <w:rFonts w:ascii="Times New Roman"/>
          <w:spacing w:val="0"/>
          <w:position w:val="0"/>
          <w:sz w:val="16"/>
        </w:rPr>
      </w:pPr>
    </w:p>
    <w:p w14:paraId="1DFCB500">
      <w:pPr>
        <w:spacing w:after="0"/>
        <w:rPr>
          <w:rFonts w:ascii="Times New Roman"/>
          <w:spacing w:val="0"/>
          <w:position w:val="0"/>
          <w:sz w:val="16"/>
        </w:rPr>
      </w:pPr>
    </w:p>
    <w:p w14:paraId="5F13C71E">
      <w:pPr>
        <w:spacing w:after="0"/>
        <w:rPr>
          <w:rFonts w:ascii="Times New Roman"/>
          <w:spacing w:val="0"/>
          <w:position w:val="0"/>
          <w:sz w:val="16"/>
        </w:rPr>
      </w:pPr>
    </w:p>
    <w:p w14:paraId="7E6A2F38">
      <w:pPr>
        <w:spacing w:after="0"/>
        <w:rPr>
          <w:rFonts w:ascii="Times New Roman"/>
          <w:spacing w:val="0"/>
          <w:position w:val="0"/>
          <w:sz w:val="16"/>
        </w:rPr>
      </w:pPr>
    </w:p>
    <w:p w14:paraId="5FB290DA">
      <w:pPr>
        <w:spacing w:after="0"/>
        <w:rPr>
          <w:rFonts w:ascii="Times New Roman"/>
          <w:spacing w:val="0"/>
          <w:position w:val="0"/>
          <w:sz w:val="16"/>
        </w:rPr>
        <w:sectPr>
          <w:pgSz w:w="16840" w:h="11910" w:orient="landscape"/>
          <w:pgMar w:top="1340" w:right="820" w:bottom="280" w:left="200" w:header="720" w:footer="720" w:gutter="0"/>
          <w:pgNumType w:fmt="decimal"/>
          <w:cols w:space="720" w:num="1"/>
        </w:sectPr>
      </w:pPr>
    </w:p>
    <w:tbl>
      <w:tblPr>
        <w:tblStyle w:val="17"/>
        <w:tblpPr w:leftFromText="180" w:rightFromText="180" w:vertAnchor="text" w:horzAnchor="page" w:tblpX="1336" w:tblpY="6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7"/>
        <w:gridCol w:w="1170"/>
        <w:gridCol w:w="1245"/>
        <w:gridCol w:w="2610"/>
        <w:gridCol w:w="7305"/>
        <w:gridCol w:w="1338"/>
      </w:tblGrid>
      <w:tr w14:paraId="6676A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57" w:type="dxa"/>
            <w:vAlign w:val="center"/>
          </w:tcPr>
          <w:p w14:paraId="7F15C27F">
            <w:pPr>
              <w:pStyle w:val="34"/>
              <w:spacing w:before="76"/>
              <w:ind w:left="166"/>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食品亚类</w:t>
            </w:r>
          </w:p>
          <w:p w14:paraId="39AC6922">
            <w:pPr>
              <w:pStyle w:val="34"/>
              <w:spacing w:before="89" w:line="224" w:lineRule="exact"/>
              <w:ind w:left="166"/>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（二级</w:t>
            </w:r>
          </w:p>
        </w:tc>
        <w:tc>
          <w:tcPr>
            <w:tcW w:w="1170" w:type="dxa"/>
            <w:vAlign w:val="center"/>
          </w:tcPr>
          <w:p w14:paraId="6F07B861">
            <w:pPr>
              <w:pStyle w:val="34"/>
              <w:spacing w:before="76"/>
              <w:ind w:left="225"/>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食品品种</w:t>
            </w:r>
          </w:p>
          <w:p w14:paraId="7F49FAE5">
            <w:pPr>
              <w:pStyle w:val="34"/>
              <w:spacing w:before="89" w:line="224" w:lineRule="exact"/>
              <w:ind w:left="225"/>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（三级</w:t>
            </w:r>
          </w:p>
        </w:tc>
        <w:tc>
          <w:tcPr>
            <w:tcW w:w="1245" w:type="dxa"/>
            <w:vAlign w:val="center"/>
          </w:tcPr>
          <w:p w14:paraId="6DC27F66">
            <w:pPr>
              <w:pStyle w:val="34"/>
              <w:spacing w:before="76"/>
              <w:ind w:left="260"/>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食品细类</w:t>
            </w:r>
          </w:p>
          <w:p w14:paraId="5E654F91">
            <w:pPr>
              <w:pStyle w:val="34"/>
              <w:spacing w:before="89" w:line="224" w:lineRule="exact"/>
              <w:ind w:left="260"/>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（四级</w:t>
            </w:r>
          </w:p>
        </w:tc>
        <w:tc>
          <w:tcPr>
            <w:tcW w:w="2610" w:type="dxa"/>
            <w:vAlign w:val="center"/>
          </w:tcPr>
          <w:p w14:paraId="4A11DCFE">
            <w:pPr>
              <w:pStyle w:val="34"/>
              <w:ind w:left="168" w:right="158"/>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必检项目</w:t>
            </w:r>
          </w:p>
        </w:tc>
        <w:tc>
          <w:tcPr>
            <w:tcW w:w="7305" w:type="dxa"/>
            <w:vAlign w:val="center"/>
          </w:tcPr>
          <w:p w14:paraId="1841500D">
            <w:pPr>
              <w:pStyle w:val="34"/>
              <w:ind w:right="3270"/>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可选项目</w:t>
            </w:r>
          </w:p>
        </w:tc>
        <w:tc>
          <w:tcPr>
            <w:tcW w:w="1338" w:type="dxa"/>
            <w:vAlign w:val="center"/>
          </w:tcPr>
          <w:p w14:paraId="6F596FCB">
            <w:pPr>
              <w:pStyle w:val="34"/>
              <w:ind w:right="465"/>
              <w:jc w:val="center"/>
              <w:rPr>
                <w:rFonts w:hint="eastAsia" w:asciiTheme="minorEastAsia" w:hAnsiTheme="minorEastAsia" w:eastAsiaTheme="minorEastAsia" w:cstheme="minorEastAsia"/>
                <w:spacing w:val="0"/>
                <w:position w:val="0"/>
                <w:sz w:val="21"/>
                <w:szCs w:val="21"/>
                <w:lang w:val="en-US" w:eastAsia="zh-CN"/>
              </w:rPr>
            </w:pPr>
            <w:r>
              <w:rPr>
                <w:rFonts w:hint="eastAsia" w:asciiTheme="minorEastAsia" w:hAnsiTheme="minorEastAsia" w:eastAsiaTheme="minorEastAsia" w:cstheme="minorEastAsia"/>
                <w:spacing w:val="0"/>
                <w:position w:val="0"/>
                <w:sz w:val="21"/>
                <w:szCs w:val="21"/>
                <w:lang w:val="en-US" w:eastAsia="zh-CN"/>
              </w:rPr>
              <w:t xml:space="preserve">    备注</w:t>
            </w:r>
          </w:p>
        </w:tc>
      </w:tr>
      <w:tr w14:paraId="040D3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057" w:type="dxa"/>
            <w:vMerge w:val="restart"/>
            <w:vAlign w:val="center"/>
          </w:tcPr>
          <w:p w14:paraId="3E0E4560">
            <w:pPr>
              <w:pStyle w:val="34"/>
              <w:jc w:val="center"/>
              <w:rPr>
                <w:rFonts w:hint="eastAsia" w:asciiTheme="minorEastAsia" w:hAnsiTheme="minorEastAsia" w:eastAsiaTheme="minorEastAsia" w:cstheme="minorEastAsia"/>
                <w:spacing w:val="0"/>
                <w:position w:val="0"/>
                <w:sz w:val="21"/>
                <w:szCs w:val="21"/>
              </w:rPr>
            </w:pPr>
          </w:p>
          <w:p w14:paraId="07A652B0">
            <w:pPr>
              <w:pStyle w:val="34"/>
              <w:jc w:val="center"/>
              <w:rPr>
                <w:rFonts w:hint="eastAsia" w:asciiTheme="minorEastAsia" w:hAnsiTheme="minorEastAsia" w:eastAsiaTheme="minorEastAsia" w:cstheme="minorEastAsia"/>
                <w:spacing w:val="0"/>
                <w:position w:val="0"/>
                <w:sz w:val="21"/>
                <w:szCs w:val="21"/>
              </w:rPr>
            </w:pPr>
          </w:p>
          <w:p w14:paraId="5E213CA8">
            <w:pPr>
              <w:pStyle w:val="34"/>
              <w:spacing w:before="10"/>
              <w:jc w:val="center"/>
              <w:rPr>
                <w:rFonts w:hint="eastAsia" w:asciiTheme="minorEastAsia" w:hAnsiTheme="minorEastAsia" w:eastAsiaTheme="minorEastAsia" w:cstheme="minorEastAsia"/>
                <w:spacing w:val="0"/>
                <w:position w:val="0"/>
                <w:sz w:val="21"/>
                <w:szCs w:val="21"/>
              </w:rPr>
            </w:pPr>
          </w:p>
          <w:p w14:paraId="7A48FB8C">
            <w:pPr>
              <w:pStyle w:val="34"/>
              <w:spacing w:before="1"/>
              <w:ind w:left="257"/>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水果类</w:t>
            </w:r>
          </w:p>
        </w:tc>
        <w:tc>
          <w:tcPr>
            <w:tcW w:w="1170" w:type="dxa"/>
            <w:vMerge w:val="restart"/>
            <w:vAlign w:val="center"/>
          </w:tcPr>
          <w:p w14:paraId="7A3F7071">
            <w:pPr>
              <w:pStyle w:val="34"/>
              <w:jc w:val="center"/>
              <w:rPr>
                <w:rFonts w:hint="eastAsia" w:asciiTheme="minorEastAsia" w:hAnsiTheme="minorEastAsia" w:eastAsiaTheme="minorEastAsia" w:cstheme="minorEastAsia"/>
                <w:spacing w:val="0"/>
                <w:position w:val="0"/>
                <w:sz w:val="21"/>
                <w:szCs w:val="21"/>
              </w:rPr>
            </w:pPr>
          </w:p>
          <w:p w14:paraId="048D5B79">
            <w:pPr>
              <w:pStyle w:val="34"/>
              <w:jc w:val="center"/>
              <w:rPr>
                <w:rFonts w:hint="eastAsia" w:asciiTheme="minorEastAsia" w:hAnsiTheme="minorEastAsia" w:eastAsiaTheme="minorEastAsia" w:cstheme="minorEastAsia"/>
                <w:spacing w:val="0"/>
                <w:position w:val="0"/>
                <w:sz w:val="21"/>
                <w:szCs w:val="21"/>
              </w:rPr>
            </w:pPr>
          </w:p>
          <w:p w14:paraId="01054176">
            <w:pPr>
              <w:pStyle w:val="34"/>
              <w:spacing w:before="10"/>
              <w:jc w:val="center"/>
              <w:rPr>
                <w:rFonts w:hint="eastAsia" w:asciiTheme="minorEastAsia" w:hAnsiTheme="minorEastAsia" w:eastAsiaTheme="minorEastAsia" w:cstheme="minorEastAsia"/>
                <w:spacing w:val="0"/>
                <w:position w:val="0"/>
                <w:sz w:val="21"/>
                <w:szCs w:val="21"/>
              </w:rPr>
            </w:pPr>
          </w:p>
          <w:p w14:paraId="7A95BBDC">
            <w:pPr>
              <w:pStyle w:val="34"/>
              <w:spacing w:before="1" w:line="304" w:lineRule="auto"/>
              <w:ind w:left="314" w:right="123" w:hanging="180"/>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热带和亚热带水果</w:t>
            </w:r>
          </w:p>
        </w:tc>
        <w:tc>
          <w:tcPr>
            <w:tcW w:w="1245" w:type="dxa"/>
            <w:vAlign w:val="center"/>
          </w:tcPr>
          <w:p w14:paraId="2D741E75">
            <w:pPr>
              <w:pStyle w:val="34"/>
              <w:spacing w:before="185"/>
              <w:ind w:left="246" w:right="240"/>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芒果</w:t>
            </w:r>
          </w:p>
        </w:tc>
        <w:tc>
          <w:tcPr>
            <w:tcW w:w="2610" w:type="dxa"/>
            <w:vAlign w:val="center"/>
          </w:tcPr>
          <w:p w14:paraId="0E5C77BC">
            <w:pPr>
              <w:pStyle w:val="34"/>
              <w:spacing w:line="280" w:lineRule="atLeast"/>
              <w:ind w:left="853" w:right="6" w:hanging="747"/>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吡唑醚菌酯、噻虫胺、戊唑醇、苯醚甲环唑</w:t>
            </w:r>
          </w:p>
        </w:tc>
        <w:tc>
          <w:tcPr>
            <w:tcW w:w="7305" w:type="dxa"/>
            <w:vAlign w:val="center"/>
          </w:tcPr>
          <w:p w14:paraId="5A378776">
            <w:pPr>
              <w:pStyle w:val="34"/>
              <w:spacing w:before="185"/>
              <w:ind w:left="108"/>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氧乐果、乙酰甲胺磷、吡虫啉、噻虫嗪、噻嗪酮</w:t>
            </w:r>
          </w:p>
        </w:tc>
        <w:tc>
          <w:tcPr>
            <w:tcW w:w="1338" w:type="dxa"/>
            <w:vAlign w:val="center"/>
          </w:tcPr>
          <w:p w14:paraId="15E0065F">
            <w:pPr>
              <w:pStyle w:val="34"/>
              <w:jc w:val="center"/>
              <w:rPr>
                <w:rFonts w:hint="eastAsia" w:asciiTheme="minorEastAsia" w:hAnsiTheme="minorEastAsia" w:eastAsiaTheme="minorEastAsia" w:cstheme="minorEastAsia"/>
                <w:spacing w:val="0"/>
                <w:position w:val="0"/>
                <w:sz w:val="21"/>
                <w:szCs w:val="21"/>
              </w:rPr>
            </w:pPr>
          </w:p>
        </w:tc>
      </w:tr>
      <w:tr w14:paraId="2A29A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057" w:type="dxa"/>
            <w:vMerge w:val="continue"/>
            <w:tcBorders>
              <w:top w:val="nil"/>
            </w:tcBorders>
            <w:vAlign w:val="center"/>
          </w:tcPr>
          <w:p w14:paraId="59F521E8">
            <w:pPr>
              <w:jc w:val="center"/>
              <w:rPr>
                <w:rFonts w:hint="eastAsia" w:asciiTheme="minorEastAsia" w:hAnsiTheme="minorEastAsia" w:eastAsiaTheme="minorEastAsia" w:cstheme="minorEastAsia"/>
                <w:spacing w:val="0"/>
                <w:position w:val="0"/>
                <w:sz w:val="21"/>
                <w:szCs w:val="21"/>
              </w:rPr>
            </w:pPr>
          </w:p>
        </w:tc>
        <w:tc>
          <w:tcPr>
            <w:tcW w:w="1170" w:type="dxa"/>
            <w:vMerge w:val="continue"/>
            <w:tcBorders>
              <w:top w:val="nil"/>
            </w:tcBorders>
            <w:vAlign w:val="center"/>
          </w:tcPr>
          <w:p w14:paraId="360F36CE">
            <w:pPr>
              <w:jc w:val="center"/>
              <w:rPr>
                <w:rFonts w:hint="eastAsia" w:asciiTheme="minorEastAsia" w:hAnsiTheme="minorEastAsia" w:eastAsiaTheme="minorEastAsia" w:cstheme="minorEastAsia"/>
                <w:spacing w:val="0"/>
                <w:position w:val="0"/>
                <w:sz w:val="21"/>
                <w:szCs w:val="21"/>
              </w:rPr>
            </w:pPr>
          </w:p>
        </w:tc>
        <w:tc>
          <w:tcPr>
            <w:tcW w:w="1245" w:type="dxa"/>
            <w:vAlign w:val="center"/>
          </w:tcPr>
          <w:p w14:paraId="595BB97B">
            <w:pPr>
              <w:pStyle w:val="34"/>
              <w:spacing w:before="14"/>
              <w:jc w:val="center"/>
              <w:rPr>
                <w:rFonts w:hint="eastAsia" w:asciiTheme="minorEastAsia" w:hAnsiTheme="minorEastAsia" w:eastAsiaTheme="minorEastAsia" w:cstheme="minorEastAsia"/>
                <w:spacing w:val="0"/>
                <w:position w:val="0"/>
                <w:sz w:val="21"/>
                <w:szCs w:val="21"/>
              </w:rPr>
            </w:pPr>
          </w:p>
          <w:p w14:paraId="015542D6">
            <w:pPr>
              <w:pStyle w:val="34"/>
              <w:ind w:left="246" w:right="240"/>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香蕉</w:t>
            </w:r>
          </w:p>
        </w:tc>
        <w:tc>
          <w:tcPr>
            <w:tcW w:w="2610" w:type="dxa"/>
            <w:vAlign w:val="center"/>
          </w:tcPr>
          <w:p w14:paraId="5D4AAF8B">
            <w:pPr>
              <w:pStyle w:val="34"/>
              <w:spacing w:before="31" w:line="280" w:lineRule="atLeast"/>
              <w:ind w:left="1125" w:right="124" w:hanging="992"/>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吡虫啉、噻虫胺、噻虫嗪、腈苯唑</w:t>
            </w:r>
          </w:p>
        </w:tc>
        <w:tc>
          <w:tcPr>
            <w:tcW w:w="7305" w:type="dxa"/>
            <w:vAlign w:val="center"/>
          </w:tcPr>
          <w:p w14:paraId="6428397F">
            <w:pPr>
              <w:pStyle w:val="34"/>
              <w:spacing w:before="31" w:line="280" w:lineRule="atLeast"/>
              <w:ind w:left="108" w:right="91"/>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苯醚甲环唑、吡唑醚菌酯、多菌灵、氟虫腈、甲拌磷、联苯菊酯、烯唑醇、百菌清、噻唑膦、氟唑菌酰胺</w:t>
            </w:r>
          </w:p>
        </w:tc>
        <w:tc>
          <w:tcPr>
            <w:tcW w:w="1338" w:type="dxa"/>
            <w:vAlign w:val="center"/>
          </w:tcPr>
          <w:p w14:paraId="65ED6B04">
            <w:pPr>
              <w:pStyle w:val="34"/>
              <w:jc w:val="center"/>
              <w:rPr>
                <w:rFonts w:hint="eastAsia" w:asciiTheme="minorEastAsia" w:hAnsiTheme="minorEastAsia" w:eastAsiaTheme="minorEastAsia" w:cstheme="minorEastAsia"/>
                <w:spacing w:val="0"/>
                <w:position w:val="0"/>
                <w:sz w:val="21"/>
                <w:szCs w:val="21"/>
              </w:rPr>
            </w:pPr>
          </w:p>
        </w:tc>
      </w:tr>
      <w:tr w14:paraId="0C588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057" w:type="dxa"/>
            <w:vMerge w:val="continue"/>
            <w:tcBorders>
              <w:top w:val="nil"/>
            </w:tcBorders>
            <w:vAlign w:val="center"/>
          </w:tcPr>
          <w:p w14:paraId="36EC06AD">
            <w:pPr>
              <w:jc w:val="center"/>
              <w:rPr>
                <w:rFonts w:hint="eastAsia" w:asciiTheme="minorEastAsia" w:hAnsiTheme="minorEastAsia" w:eastAsiaTheme="minorEastAsia" w:cstheme="minorEastAsia"/>
                <w:spacing w:val="0"/>
                <w:position w:val="0"/>
                <w:sz w:val="21"/>
                <w:szCs w:val="21"/>
              </w:rPr>
            </w:pPr>
          </w:p>
        </w:tc>
        <w:tc>
          <w:tcPr>
            <w:tcW w:w="1170" w:type="dxa"/>
            <w:vMerge w:val="continue"/>
            <w:tcBorders>
              <w:top w:val="nil"/>
            </w:tcBorders>
            <w:vAlign w:val="center"/>
          </w:tcPr>
          <w:p w14:paraId="67945C5D">
            <w:pPr>
              <w:jc w:val="center"/>
              <w:rPr>
                <w:rFonts w:hint="eastAsia" w:asciiTheme="minorEastAsia" w:hAnsiTheme="minorEastAsia" w:eastAsiaTheme="minorEastAsia" w:cstheme="minorEastAsia"/>
                <w:spacing w:val="0"/>
                <w:position w:val="0"/>
                <w:sz w:val="21"/>
                <w:szCs w:val="21"/>
              </w:rPr>
            </w:pPr>
          </w:p>
        </w:tc>
        <w:tc>
          <w:tcPr>
            <w:tcW w:w="1245" w:type="dxa"/>
            <w:vAlign w:val="center"/>
          </w:tcPr>
          <w:p w14:paraId="47EFFDE9">
            <w:pPr>
              <w:pStyle w:val="34"/>
              <w:spacing w:before="3"/>
              <w:jc w:val="center"/>
              <w:rPr>
                <w:rFonts w:hint="eastAsia" w:asciiTheme="minorEastAsia" w:hAnsiTheme="minorEastAsia" w:eastAsiaTheme="minorEastAsia" w:cstheme="minorEastAsia"/>
                <w:spacing w:val="0"/>
                <w:position w:val="0"/>
                <w:sz w:val="21"/>
                <w:szCs w:val="21"/>
              </w:rPr>
            </w:pPr>
          </w:p>
          <w:p w14:paraId="3A15C99E">
            <w:pPr>
              <w:pStyle w:val="34"/>
              <w:spacing w:before="1"/>
              <w:ind w:left="246" w:right="240"/>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杨梅</w:t>
            </w:r>
          </w:p>
        </w:tc>
        <w:tc>
          <w:tcPr>
            <w:tcW w:w="2610" w:type="dxa"/>
            <w:vAlign w:val="center"/>
          </w:tcPr>
          <w:p w14:paraId="05623673">
            <w:pPr>
              <w:pStyle w:val="34"/>
              <w:spacing w:before="66" w:line="280" w:lineRule="atLeast"/>
              <w:ind w:left="133" w:right="124"/>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脱氢乙酸及其钠盐（以脱氢乙酸计）、糖精钠（以糖精计）</w:t>
            </w:r>
          </w:p>
        </w:tc>
        <w:tc>
          <w:tcPr>
            <w:tcW w:w="7305" w:type="dxa"/>
            <w:vAlign w:val="center"/>
          </w:tcPr>
          <w:p w14:paraId="7149B6C4">
            <w:pPr>
              <w:pStyle w:val="34"/>
              <w:spacing w:before="66" w:line="280" w:lineRule="atLeast"/>
              <w:ind w:left="108" w:right="97"/>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苯甲酸及其钠盐（以苯甲酸计）、山梨酸及其钾盐（以山梨酸计）、三氯蔗糖、甜蜜素（以环己基氨基磺酸计）、敌敌畏、氧乐果、啶虫脒</w:t>
            </w:r>
          </w:p>
        </w:tc>
        <w:tc>
          <w:tcPr>
            <w:tcW w:w="1338" w:type="dxa"/>
            <w:vAlign w:val="center"/>
          </w:tcPr>
          <w:p w14:paraId="7E2408CB">
            <w:pPr>
              <w:pStyle w:val="34"/>
              <w:jc w:val="center"/>
              <w:rPr>
                <w:rFonts w:hint="eastAsia" w:asciiTheme="minorEastAsia" w:hAnsiTheme="minorEastAsia" w:eastAsiaTheme="minorEastAsia" w:cstheme="minorEastAsia"/>
                <w:spacing w:val="0"/>
                <w:position w:val="0"/>
                <w:sz w:val="21"/>
                <w:szCs w:val="21"/>
              </w:rPr>
            </w:pPr>
          </w:p>
        </w:tc>
      </w:tr>
      <w:tr w14:paraId="7A60C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57" w:type="dxa"/>
            <w:vMerge w:val="continue"/>
            <w:tcBorders>
              <w:top w:val="nil"/>
            </w:tcBorders>
            <w:vAlign w:val="center"/>
          </w:tcPr>
          <w:p w14:paraId="71F4AD46">
            <w:pPr>
              <w:jc w:val="center"/>
              <w:rPr>
                <w:rFonts w:hint="eastAsia" w:asciiTheme="minorEastAsia" w:hAnsiTheme="minorEastAsia" w:eastAsiaTheme="minorEastAsia" w:cstheme="minorEastAsia"/>
                <w:spacing w:val="0"/>
                <w:position w:val="0"/>
                <w:sz w:val="21"/>
                <w:szCs w:val="21"/>
              </w:rPr>
            </w:pPr>
          </w:p>
        </w:tc>
        <w:tc>
          <w:tcPr>
            <w:tcW w:w="1170" w:type="dxa"/>
            <w:vMerge w:val="continue"/>
            <w:tcBorders>
              <w:top w:val="nil"/>
            </w:tcBorders>
            <w:vAlign w:val="center"/>
          </w:tcPr>
          <w:p w14:paraId="38EDA526">
            <w:pPr>
              <w:jc w:val="center"/>
              <w:rPr>
                <w:rFonts w:hint="eastAsia" w:asciiTheme="minorEastAsia" w:hAnsiTheme="minorEastAsia" w:eastAsiaTheme="minorEastAsia" w:cstheme="minorEastAsia"/>
                <w:spacing w:val="0"/>
                <w:position w:val="0"/>
                <w:sz w:val="21"/>
                <w:szCs w:val="21"/>
              </w:rPr>
            </w:pPr>
          </w:p>
        </w:tc>
        <w:tc>
          <w:tcPr>
            <w:tcW w:w="1245" w:type="dxa"/>
            <w:vAlign w:val="center"/>
          </w:tcPr>
          <w:p w14:paraId="09C70BC7">
            <w:pPr>
              <w:pStyle w:val="34"/>
              <w:spacing w:before="63" w:line="237" w:lineRule="exact"/>
              <w:ind w:left="246" w:right="240"/>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龙眼</w:t>
            </w:r>
          </w:p>
        </w:tc>
        <w:tc>
          <w:tcPr>
            <w:tcW w:w="2610" w:type="dxa"/>
            <w:vAlign w:val="center"/>
          </w:tcPr>
          <w:p w14:paraId="3BDBAF70">
            <w:pPr>
              <w:pStyle w:val="34"/>
              <w:spacing w:before="63" w:line="237" w:lineRule="exact"/>
              <w:ind w:left="165" w:right="158"/>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二氧化硫残留量</w:t>
            </w:r>
          </w:p>
        </w:tc>
        <w:tc>
          <w:tcPr>
            <w:tcW w:w="7305" w:type="dxa"/>
            <w:vAlign w:val="center"/>
          </w:tcPr>
          <w:p w14:paraId="4C411EB9">
            <w:pPr>
              <w:pStyle w:val="34"/>
              <w:spacing w:before="63" w:line="237" w:lineRule="exact"/>
              <w:ind w:left="108"/>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克百威、氯氰菊酯和高效氯氰菊酯、氧乐果</w:t>
            </w:r>
          </w:p>
        </w:tc>
        <w:tc>
          <w:tcPr>
            <w:tcW w:w="1338" w:type="dxa"/>
            <w:vAlign w:val="center"/>
          </w:tcPr>
          <w:p w14:paraId="24B2C0AA">
            <w:pPr>
              <w:pStyle w:val="34"/>
              <w:jc w:val="center"/>
              <w:rPr>
                <w:rFonts w:hint="eastAsia" w:asciiTheme="minorEastAsia" w:hAnsiTheme="minorEastAsia" w:eastAsiaTheme="minorEastAsia" w:cstheme="minorEastAsia"/>
                <w:spacing w:val="0"/>
                <w:position w:val="0"/>
                <w:sz w:val="21"/>
                <w:szCs w:val="21"/>
              </w:rPr>
            </w:pPr>
          </w:p>
        </w:tc>
      </w:tr>
      <w:tr w14:paraId="6B548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57" w:type="dxa"/>
            <w:vMerge w:val="continue"/>
            <w:tcBorders>
              <w:top w:val="nil"/>
            </w:tcBorders>
            <w:vAlign w:val="center"/>
          </w:tcPr>
          <w:p w14:paraId="367698B6">
            <w:pPr>
              <w:jc w:val="center"/>
              <w:rPr>
                <w:rFonts w:hint="eastAsia" w:asciiTheme="minorEastAsia" w:hAnsiTheme="minorEastAsia" w:eastAsiaTheme="minorEastAsia" w:cstheme="minorEastAsia"/>
                <w:spacing w:val="0"/>
                <w:position w:val="0"/>
                <w:sz w:val="21"/>
                <w:szCs w:val="21"/>
              </w:rPr>
            </w:pPr>
          </w:p>
        </w:tc>
        <w:tc>
          <w:tcPr>
            <w:tcW w:w="1170" w:type="dxa"/>
            <w:vMerge w:val="continue"/>
            <w:tcBorders>
              <w:top w:val="nil"/>
            </w:tcBorders>
            <w:vAlign w:val="center"/>
          </w:tcPr>
          <w:p w14:paraId="1ED13353">
            <w:pPr>
              <w:jc w:val="center"/>
              <w:rPr>
                <w:rFonts w:hint="eastAsia" w:asciiTheme="minorEastAsia" w:hAnsiTheme="minorEastAsia" w:eastAsiaTheme="minorEastAsia" w:cstheme="minorEastAsia"/>
                <w:spacing w:val="0"/>
                <w:position w:val="0"/>
                <w:sz w:val="21"/>
                <w:szCs w:val="21"/>
              </w:rPr>
            </w:pPr>
          </w:p>
        </w:tc>
        <w:tc>
          <w:tcPr>
            <w:tcW w:w="1245" w:type="dxa"/>
            <w:vAlign w:val="center"/>
          </w:tcPr>
          <w:p w14:paraId="34304948">
            <w:pPr>
              <w:pStyle w:val="34"/>
              <w:spacing w:before="64" w:line="236" w:lineRule="exact"/>
              <w:ind w:left="246" w:right="238"/>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番木瓜</w:t>
            </w:r>
          </w:p>
        </w:tc>
        <w:tc>
          <w:tcPr>
            <w:tcW w:w="2610" w:type="dxa"/>
            <w:vAlign w:val="center"/>
          </w:tcPr>
          <w:p w14:paraId="66B79C1E">
            <w:pPr>
              <w:pStyle w:val="34"/>
              <w:spacing w:before="64" w:line="236" w:lineRule="exact"/>
              <w:ind w:left="165" w:right="158"/>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噻虫胺、噻虫嗪</w:t>
            </w:r>
          </w:p>
        </w:tc>
        <w:tc>
          <w:tcPr>
            <w:tcW w:w="7305" w:type="dxa"/>
            <w:vAlign w:val="center"/>
          </w:tcPr>
          <w:p w14:paraId="3CE4A0FB">
            <w:pPr>
              <w:pStyle w:val="34"/>
              <w:spacing w:before="64" w:line="236" w:lineRule="exact"/>
              <w:ind w:left="108"/>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乙酰甲胺磷</w:t>
            </w:r>
          </w:p>
        </w:tc>
        <w:tc>
          <w:tcPr>
            <w:tcW w:w="1338" w:type="dxa"/>
            <w:vAlign w:val="center"/>
          </w:tcPr>
          <w:p w14:paraId="4E5D217A">
            <w:pPr>
              <w:pStyle w:val="34"/>
              <w:jc w:val="center"/>
              <w:rPr>
                <w:rFonts w:hint="eastAsia" w:asciiTheme="minorEastAsia" w:hAnsiTheme="minorEastAsia" w:eastAsiaTheme="minorEastAsia" w:cstheme="minorEastAsia"/>
                <w:spacing w:val="0"/>
                <w:position w:val="0"/>
                <w:sz w:val="21"/>
                <w:szCs w:val="21"/>
              </w:rPr>
            </w:pPr>
          </w:p>
        </w:tc>
      </w:tr>
      <w:tr w14:paraId="1F7D5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057" w:type="dxa"/>
            <w:vAlign w:val="center"/>
          </w:tcPr>
          <w:p w14:paraId="58D62D9B">
            <w:pPr>
              <w:pStyle w:val="34"/>
              <w:spacing w:before="195"/>
              <w:ind w:left="346"/>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鲜蛋</w:t>
            </w:r>
          </w:p>
        </w:tc>
        <w:tc>
          <w:tcPr>
            <w:tcW w:w="1170" w:type="dxa"/>
            <w:vAlign w:val="center"/>
          </w:tcPr>
          <w:p w14:paraId="53416FC8">
            <w:pPr>
              <w:pStyle w:val="34"/>
              <w:spacing w:before="195"/>
              <w:ind w:left="119" w:right="108"/>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鲜蛋</w:t>
            </w:r>
          </w:p>
        </w:tc>
        <w:tc>
          <w:tcPr>
            <w:tcW w:w="1245" w:type="dxa"/>
            <w:vAlign w:val="center"/>
          </w:tcPr>
          <w:p w14:paraId="3B5720A8">
            <w:pPr>
              <w:pStyle w:val="34"/>
              <w:spacing w:before="183"/>
              <w:ind w:left="246" w:right="240"/>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鸡蛋</w:t>
            </w:r>
          </w:p>
        </w:tc>
        <w:tc>
          <w:tcPr>
            <w:tcW w:w="2610" w:type="dxa"/>
            <w:vAlign w:val="center"/>
          </w:tcPr>
          <w:p w14:paraId="64EA23B9">
            <w:pPr>
              <w:pStyle w:val="34"/>
              <w:spacing w:line="280" w:lineRule="atLeast"/>
              <w:ind w:left="945" w:right="304" w:hanging="812"/>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甲氧苄啶、磺胺类（总量）多西环素</w:t>
            </w:r>
          </w:p>
        </w:tc>
        <w:tc>
          <w:tcPr>
            <w:tcW w:w="7305" w:type="dxa"/>
            <w:vAlign w:val="center"/>
          </w:tcPr>
          <w:p w14:paraId="0E3F2A2D">
            <w:pPr>
              <w:pStyle w:val="34"/>
              <w:spacing w:line="280" w:lineRule="atLeast"/>
              <w:ind w:left="108" w:right="6"/>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甲硝唑、地美硝唑、呋喃唑酮代谢物、氟虫腈、氯霉素、氟苯尼考、甲砜霉素、恩诺沙星、氧氟沙星、沙拉沙星、地克珠利、托曲珠利</w:t>
            </w:r>
          </w:p>
        </w:tc>
        <w:tc>
          <w:tcPr>
            <w:tcW w:w="1338" w:type="dxa"/>
            <w:vAlign w:val="center"/>
          </w:tcPr>
          <w:p w14:paraId="609BDC37">
            <w:pPr>
              <w:pStyle w:val="34"/>
              <w:jc w:val="center"/>
              <w:rPr>
                <w:rFonts w:hint="eastAsia" w:asciiTheme="minorEastAsia" w:hAnsiTheme="minorEastAsia" w:eastAsiaTheme="minorEastAsia" w:cstheme="minorEastAsia"/>
                <w:spacing w:val="0"/>
                <w:position w:val="0"/>
                <w:sz w:val="21"/>
                <w:szCs w:val="21"/>
              </w:rPr>
            </w:pPr>
          </w:p>
        </w:tc>
      </w:tr>
      <w:tr w14:paraId="09CE5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057" w:type="dxa"/>
            <w:vAlign w:val="center"/>
          </w:tcPr>
          <w:p w14:paraId="29777754">
            <w:pPr>
              <w:pStyle w:val="34"/>
              <w:spacing w:before="44"/>
              <w:ind w:left="166"/>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生干坚果</w:t>
            </w:r>
          </w:p>
          <w:p w14:paraId="642D888E">
            <w:pPr>
              <w:pStyle w:val="34"/>
              <w:spacing w:line="280" w:lineRule="atLeast"/>
              <w:ind w:left="437" w:right="158" w:hanging="272"/>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与籽类食品</w:t>
            </w:r>
          </w:p>
        </w:tc>
        <w:tc>
          <w:tcPr>
            <w:tcW w:w="1170" w:type="dxa"/>
            <w:vAlign w:val="center"/>
          </w:tcPr>
          <w:p w14:paraId="2F31DEBA">
            <w:pPr>
              <w:pStyle w:val="34"/>
              <w:spacing w:before="183" w:line="268" w:lineRule="auto"/>
              <w:ind w:left="225" w:right="123" w:hanging="92"/>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生干坚果与籽类食品</w:t>
            </w:r>
          </w:p>
        </w:tc>
        <w:tc>
          <w:tcPr>
            <w:tcW w:w="1245" w:type="dxa"/>
            <w:vAlign w:val="center"/>
          </w:tcPr>
          <w:p w14:paraId="32FDBAED">
            <w:pPr>
              <w:pStyle w:val="34"/>
              <w:spacing w:before="6"/>
              <w:jc w:val="center"/>
              <w:rPr>
                <w:rFonts w:hint="eastAsia" w:asciiTheme="minorEastAsia" w:hAnsiTheme="minorEastAsia" w:eastAsiaTheme="minorEastAsia" w:cstheme="minorEastAsia"/>
                <w:spacing w:val="0"/>
                <w:position w:val="0"/>
                <w:sz w:val="21"/>
                <w:szCs w:val="21"/>
              </w:rPr>
            </w:pPr>
          </w:p>
          <w:p w14:paraId="58C21281">
            <w:pPr>
              <w:pStyle w:val="34"/>
              <w:ind w:left="246" w:right="240"/>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生干籽类</w:t>
            </w:r>
          </w:p>
        </w:tc>
        <w:tc>
          <w:tcPr>
            <w:tcW w:w="2610" w:type="dxa"/>
            <w:vAlign w:val="center"/>
          </w:tcPr>
          <w:p w14:paraId="4CA0D641">
            <w:pPr>
              <w:pStyle w:val="34"/>
              <w:spacing w:before="183" w:line="268" w:lineRule="auto"/>
              <w:ind w:left="179" w:right="95" w:hanging="72"/>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酸价（以脂肪计）( KOH) 、黄曲霉毒素 B1（重点品种：花生）</w:t>
            </w:r>
          </w:p>
        </w:tc>
        <w:tc>
          <w:tcPr>
            <w:tcW w:w="7305" w:type="dxa"/>
            <w:vAlign w:val="center"/>
          </w:tcPr>
          <w:p w14:paraId="41F08854">
            <w:pPr>
              <w:pStyle w:val="34"/>
              <w:spacing w:before="6"/>
              <w:jc w:val="center"/>
              <w:rPr>
                <w:rFonts w:hint="eastAsia" w:asciiTheme="minorEastAsia" w:hAnsiTheme="minorEastAsia" w:eastAsiaTheme="minorEastAsia" w:cstheme="minorEastAsia"/>
                <w:spacing w:val="0"/>
                <w:position w:val="0"/>
                <w:sz w:val="21"/>
                <w:szCs w:val="21"/>
              </w:rPr>
            </w:pPr>
          </w:p>
          <w:p w14:paraId="41CFDBCE">
            <w:pPr>
              <w:pStyle w:val="34"/>
              <w:ind w:left="108"/>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过氧化值（以脂肪计）、铅（以Pb 计）、镉（以 Cd 计）、噻虫嗪、噻虫胺</w:t>
            </w:r>
          </w:p>
        </w:tc>
        <w:tc>
          <w:tcPr>
            <w:tcW w:w="1338" w:type="dxa"/>
            <w:vAlign w:val="center"/>
          </w:tcPr>
          <w:p w14:paraId="0FC85E1C">
            <w:pPr>
              <w:pStyle w:val="34"/>
              <w:spacing w:before="183" w:line="268" w:lineRule="auto"/>
              <w:ind w:left="219" w:right="117" w:hanging="92"/>
              <w:jc w:val="center"/>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仅花生检测黄曲霉毒素B1</w:t>
            </w:r>
          </w:p>
        </w:tc>
      </w:tr>
    </w:tbl>
    <w:p w14:paraId="1F3ADA65">
      <w:pPr>
        <w:spacing w:line="540" w:lineRule="exact"/>
        <w:ind w:firstLine="402" w:firstLineChars="200"/>
        <w:rPr>
          <w:rFonts w:asciiTheme="minorEastAsia" w:hAnsiTheme="minorEastAsia" w:eastAsiaTheme="minorEastAsia"/>
          <w:b/>
          <w:bCs/>
          <w:color w:val="000000" w:themeColor="text1"/>
          <w:kern w:val="0"/>
          <w:sz w:val="20"/>
          <w:szCs w:val="20"/>
          <w:highlight w:val="none"/>
          <w14:textFill>
            <w14:solidFill>
              <w14:schemeClr w14:val="tx1"/>
            </w14:solidFill>
          </w14:textFill>
        </w:rPr>
        <w:sectPr>
          <w:headerReference r:id="rId5" w:type="default"/>
          <w:footerReference r:id="rId6" w:type="default"/>
          <w:pgSz w:w="16838" w:h="11906" w:orient="landscape"/>
          <w:pgMar w:top="1588" w:right="1418" w:bottom="1418" w:left="1418" w:header="851" w:footer="771" w:gutter="0"/>
          <w:cols w:space="720" w:num="1"/>
          <w:docGrid w:linePitch="326" w:charSpace="0"/>
        </w:sectPr>
      </w:pPr>
      <w:r>
        <w:rPr>
          <w:rFonts w:hint="eastAsia" w:asciiTheme="minorEastAsia" w:hAnsiTheme="minorEastAsia" w:eastAsiaTheme="minorEastAsia"/>
          <w:b/>
          <w:bCs/>
          <w:color w:val="000000" w:themeColor="text1"/>
          <w:kern w:val="0"/>
          <w:sz w:val="20"/>
          <w:szCs w:val="20"/>
          <w:highlight w:val="none"/>
          <w14:textFill>
            <w14:solidFill>
              <w14:schemeClr w14:val="tx1"/>
            </w14:solidFill>
          </w14:textFill>
        </w:rPr>
        <w:t>注：该表格覆盖所有食品抽检项目，均为总体计划，在实际抽检中甲方将根据举报投诉、专项检查、时期热点等工作需要适时调整抽检产品。</w:t>
      </w:r>
    </w:p>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14:paraId="5C64383C">
      <w:pPr>
        <w:widowControl/>
        <w:spacing w:line="560" w:lineRule="exact"/>
        <w:ind w:firstLine="856" w:firstLineChars="200"/>
        <w:jc w:val="both"/>
        <w:rPr>
          <w:rFonts w:hint="eastAsia" w:ascii="仿宋_GB2312" w:eastAsia="方正小标宋简体"/>
          <w:sz w:val="32"/>
          <w:szCs w:val="32"/>
          <w:lang w:val="en-US" w:eastAsia="zh-CN"/>
        </w:rPr>
      </w:pPr>
      <w:r>
        <w:rPr>
          <w:rFonts w:ascii="Times New Roman" w:hAnsi="Times New Roman" w:eastAsia="方正小标宋简体" w:cs="Times New Roman"/>
          <w:color w:val="000000"/>
          <w:spacing w:val="-6"/>
          <w:sz w:val="44"/>
          <w:szCs w:val="44"/>
        </w:rPr>
        <w:t>202</w:t>
      </w:r>
      <w:r>
        <w:rPr>
          <w:rFonts w:hint="eastAsia" w:ascii="Times New Roman" w:hAnsi="Times New Roman" w:eastAsia="方正小标宋简体" w:cs="Times New Roman"/>
          <w:color w:val="000000"/>
          <w:spacing w:val="-6"/>
          <w:sz w:val="44"/>
          <w:szCs w:val="44"/>
          <w:lang w:val="en-US" w:eastAsia="zh-CN"/>
        </w:rPr>
        <w:t>5</w:t>
      </w:r>
      <w:r>
        <w:rPr>
          <w:rFonts w:ascii="Times New Roman" w:hAnsi="Times New Roman" w:eastAsia="方正小标宋简体" w:cs="Times New Roman"/>
          <w:color w:val="000000"/>
          <w:spacing w:val="-6"/>
          <w:sz w:val="44"/>
          <w:szCs w:val="44"/>
        </w:rPr>
        <w:t>年</w:t>
      </w:r>
      <w:r>
        <w:rPr>
          <w:rFonts w:hint="eastAsia" w:ascii="Times New Roman" w:hAnsi="Times New Roman" w:eastAsia="方正小标宋简体" w:cs="Times New Roman"/>
          <w:color w:val="000000"/>
          <w:spacing w:val="-6"/>
          <w:sz w:val="44"/>
          <w:szCs w:val="44"/>
          <w:lang w:val="en-US" w:eastAsia="zh-CN"/>
        </w:rPr>
        <w:t>灵宝</w:t>
      </w:r>
      <w:r>
        <w:rPr>
          <w:rFonts w:ascii="Times New Roman" w:hAnsi="Times New Roman" w:eastAsia="方正小标宋简体" w:cs="Times New Roman"/>
          <w:color w:val="000000"/>
          <w:spacing w:val="-6"/>
          <w:sz w:val="44"/>
          <w:szCs w:val="44"/>
        </w:rPr>
        <w:t>市产品质量监督抽查计划</w:t>
      </w:r>
      <w:r>
        <w:rPr>
          <w:rFonts w:hint="eastAsia" w:eastAsia="方正小标宋简体" w:cs="Times New Roman"/>
          <w:color w:val="000000"/>
          <w:spacing w:val="-6"/>
          <w:sz w:val="44"/>
          <w:szCs w:val="44"/>
          <w:lang w:val="en-US" w:eastAsia="zh-CN"/>
        </w:rPr>
        <w:t>表</w:t>
      </w:r>
    </w:p>
    <w:tbl>
      <w:tblPr>
        <w:tblStyle w:val="17"/>
        <w:tblW w:w="901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2031"/>
        <w:gridCol w:w="4193"/>
        <w:gridCol w:w="1758"/>
      </w:tblGrid>
      <w:tr w14:paraId="2DE60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bottom"/>
          </w:tcPr>
          <w:p w14:paraId="045DCA22">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031" w:type="dxa"/>
            <w:noWrap w:val="0"/>
            <w:vAlign w:val="bottom"/>
          </w:tcPr>
          <w:p w14:paraId="262ABED3">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产品类别</w:t>
            </w:r>
          </w:p>
        </w:tc>
        <w:tc>
          <w:tcPr>
            <w:tcW w:w="4193" w:type="dxa"/>
            <w:noWrap w:val="0"/>
            <w:vAlign w:val="bottom"/>
          </w:tcPr>
          <w:p w14:paraId="13E4B9C4">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产品名称</w:t>
            </w:r>
          </w:p>
        </w:tc>
        <w:tc>
          <w:tcPr>
            <w:tcW w:w="1758" w:type="dxa"/>
            <w:noWrap w:val="0"/>
            <w:vAlign w:val="bottom"/>
          </w:tcPr>
          <w:p w14:paraId="39DE49EC">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抽查领域</w:t>
            </w:r>
          </w:p>
        </w:tc>
      </w:tr>
      <w:tr w14:paraId="6F0A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036" w:type="dxa"/>
            <w:noWrap w:val="0"/>
            <w:vAlign w:val="bottom"/>
          </w:tcPr>
          <w:p w14:paraId="16D738C4">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031" w:type="dxa"/>
            <w:noWrap w:val="0"/>
            <w:vAlign w:val="bottom"/>
          </w:tcPr>
          <w:p w14:paraId="0974074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交通用具及相关产品</w:t>
            </w:r>
          </w:p>
        </w:tc>
        <w:tc>
          <w:tcPr>
            <w:tcW w:w="4193" w:type="dxa"/>
            <w:noWrap w:val="0"/>
            <w:vAlign w:val="bottom"/>
          </w:tcPr>
          <w:p w14:paraId="1941E91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车用燃油（车用汽油、车用柴油）</w:t>
            </w:r>
          </w:p>
        </w:tc>
        <w:tc>
          <w:tcPr>
            <w:tcW w:w="1758" w:type="dxa"/>
            <w:noWrap w:val="0"/>
            <w:vAlign w:val="bottom"/>
          </w:tcPr>
          <w:p w14:paraId="2B2A3C4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w:t>
            </w:r>
          </w:p>
        </w:tc>
      </w:tr>
      <w:tr w14:paraId="32B3C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bottom"/>
          </w:tcPr>
          <w:p w14:paraId="22585363">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031" w:type="dxa"/>
            <w:noWrap w:val="0"/>
            <w:vAlign w:val="bottom"/>
          </w:tcPr>
          <w:p w14:paraId="35CB6BD0">
            <w:pPr>
              <w:jc w:val="center"/>
              <w:rPr>
                <w:rFonts w:hint="eastAsia" w:ascii="宋体" w:hAnsi="宋体" w:eastAsia="宋体" w:cs="宋体"/>
                <w:i w:val="0"/>
                <w:iCs w:val="0"/>
                <w:color w:val="000000"/>
                <w:sz w:val="21"/>
                <w:szCs w:val="21"/>
                <w:u w:val="none"/>
              </w:rPr>
            </w:pPr>
          </w:p>
        </w:tc>
        <w:tc>
          <w:tcPr>
            <w:tcW w:w="4193" w:type="dxa"/>
            <w:noWrap w:val="0"/>
            <w:vAlign w:val="bottom"/>
          </w:tcPr>
          <w:p w14:paraId="1AAC36D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车用防冻液</w:t>
            </w:r>
          </w:p>
        </w:tc>
        <w:tc>
          <w:tcPr>
            <w:tcW w:w="1758" w:type="dxa"/>
            <w:noWrap w:val="0"/>
            <w:vAlign w:val="bottom"/>
          </w:tcPr>
          <w:p w14:paraId="5BDE291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w:t>
            </w:r>
          </w:p>
        </w:tc>
      </w:tr>
      <w:tr w14:paraId="62C1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bottom"/>
          </w:tcPr>
          <w:p w14:paraId="56C48045">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031" w:type="dxa"/>
            <w:noWrap w:val="0"/>
            <w:vAlign w:val="bottom"/>
          </w:tcPr>
          <w:p w14:paraId="58C3B4D8">
            <w:pPr>
              <w:jc w:val="center"/>
              <w:rPr>
                <w:rFonts w:hint="eastAsia" w:ascii="宋体" w:hAnsi="宋体" w:eastAsia="宋体" w:cs="宋体"/>
                <w:i w:val="0"/>
                <w:iCs w:val="0"/>
                <w:color w:val="000000"/>
                <w:sz w:val="21"/>
                <w:szCs w:val="21"/>
                <w:u w:val="none"/>
              </w:rPr>
            </w:pPr>
          </w:p>
        </w:tc>
        <w:tc>
          <w:tcPr>
            <w:tcW w:w="4193" w:type="dxa"/>
            <w:noWrap w:val="0"/>
            <w:vAlign w:val="bottom"/>
          </w:tcPr>
          <w:p w14:paraId="3981F401">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机动车制动液</w:t>
            </w:r>
          </w:p>
        </w:tc>
        <w:tc>
          <w:tcPr>
            <w:tcW w:w="1758" w:type="dxa"/>
            <w:noWrap w:val="0"/>
            <w:vAlign w:val="bottom"/>
          </w:tcPr>
          <w:p w14:paraId="1DD149F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w:t>
            </w:r>
          </w:p>
        </w:tc>
      </w:tr>
      <w:tr w14:paraId="2217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bottom"/>
          </w:tcPr>
          <w:p w14:paraId="712A2D65">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031" w:type="dxa"/>
            <w:noWrap w:val="0"/>
            <w:vAlign w:val="bottom"/>
          </w:tcPr>
          <w:p w14:paraId="2DAF17BE">
            <w:pPr>
              <w:jc w:val="center"/>
              <w:rPr>
                <w:rFonts w:hint="eastAsia" w:ascii="宋体" w:hAnsi="宋体" w:eastAsia="宋体" w:cs="宋体"/>
                <w:i w:val="0"/>
                <w:iCs w:val="0"/>
                <w:color w:val="000000"/>
                <w:sz w:val="21"/>
                <w:szCs w:val="21"/>
                <w:u w:val="none"/>
              </w:rPr>
            </w:pPr>
          </w:p>
        </w:tc>
        <w:tc>
          <w:tcPr>
            <w:tcW w:w="4193" w:type="dxa"/>
            <w:noWrap w:val="0"/>
            <w:vAlign w:val="bottom"/>
          </w:tcPr>
          <w:p w14:paraId="55EB2C59">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润滑油</w:t>
            </w:r>
          </w:p>
        </w:tc>
        <w:tc>
          <w:tcPr>
            <w:tcW w:w="1758" w:type="dxa"/>
            <w:noWrap w:val="0"/>
            <w:vAlign w:val="bottom"/>
          </w:tcPr>
          <w:p w14:paraId="4A007BE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w:t>
            </w:r>
          </w:p>
        </w:tc>
      </w:tr>
      <w:tr w14:paraId="2344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bottom"/>
          </w:tcPr>
          <w:p w14:paraId="5CB0922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031" w:type="dxa"/>
            <w:noWrap w:val="0"/>
            <w:vAlign w:val="bottom"/>
          </w:tcPr>
          <w:p w14:paraId="04A75E6A">
            <w:pPr>
              <w:jc w:val="center"/>
              <w:rPr>
                <w:rFonts w:hint="eastAsia" w:ascii="宋体" w:hAnsi="宋体" w:eastAsia="宋体" w:cs="宋体"/>
                <w:i w:val="0"/>
                <w:iCs w:val="0"/>
                <w:color w:val="000000"/>
                <w:sz w:val="21"/>
                <w:szCs w:val="21"/>
                <w:u w:val="none"/>
              </w:rPr>
            </w:pPr>
          </w:p>
        </w:tc>
        <w:tc>
          <w:tcPr>
            <w:tcW w:w="4193" w:type="dxa"/>
            <w:noWrap w:val="0"/>
            <w:vAlign w:val="center"/>
          </w:tcPr>
          <w:p w14:paraId="5D0232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润滑脂</w:t>
            </w:r>
          </w:p>
        </w:tc>
        <w:tc>
          <w:tcPr>
            <w:tcW w:w="1758" w:type="dxa"/>
            <w:noWrap w:val="0"/>
            <w:vAlign w:val="bottom"/>
          </w:tcPr>
          <w:p w14:paraId="702A36A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w:t>
            </w:r>
          </w:p>
        </w:tc>
      </w:tr>
      <w:tr w14:paraId="42C3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bottom"/>
          </w:tcPr>
          <w:p w14:paraId="7C1B3E64">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031" w:type="dxa"/>
            <w:noWrap w:val="0"/>
            <w:vAlign w:val="bottom"/>
          </w:tcPr>
          <w:p w14:paraId="0FB8C7BC">
            <w:pPr>
              <w:jc w:val="center"/>
              <w:rPr>
                <w:rFonts w:hint="eastAsia" w:ascii="宋体" w:hAnsi="宋体" w:eastAsia="宋体" w:cs="宋体"/>
                <w:i w:val="0"/>
                <w:iCs w:val="0"/>
                <w:color w:val="000000"/>
                <w:sz w:val="21"/>
                <w:szCs w:val="21"/>
                <w:u w:val="none"/>
              </w:rPr>
            </w:pPr>
          </w:p>
        </w:tc>
        <w:tc>
          <w:tcPr>
            <w:tcW w:w="4193" w:type="dxa"/>
            <w:noWrap w:val="0"/>
            <w:vAlign w:val="center"/>
          </w:tcPr>
          <w:p w14:paraId="2F63E0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车用尿素</w:t>
            </w:r>
          </w:p>
        </w:tc>
        <w:tc>
          <w:tcPr>
            <w:tcW w:w="1758" w:type="dxa"/>
            <w:noWrap w:val="0"/>
            <w:vAlign w:val="bottom"/>
          </w:tcPr>
          <w:p w14:paraId="0FD910C0">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w:t>
            </w:r>
          </w:p>
        </w:tc>
      </w:tr>
      <w:tr w14:paraId="067C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bottom"/>
          </w:tcPr>
          <w:p w14:paraId="6191D46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031" w:type="dxa"/>
            <w:noWrap w:val="0"/>
            <w:vAlign w:val="bottom"/>
          </w:tcPr>
          <w:p w14:paraId="1AB6552D">
            <w:pPr>
              <w:jc w:val="center"/>
              <w:rPr>
                <w:rFonts w:hint="eastAsia" w:ascii="宋体" w:hAnsi="宋体" w:eastAsia="宋体" w:cs="宋体"/>
                <w:i w:val="0"/>
                <w:iCs w:val="0"/>
                <w:color w:val="000000"/>
                <w:sz w:val="21"/>
                <w:szCs w:val="21"/>
                <w:u w:val="none"/>
              </w:rPr>
            </w:pPr>
          </w:p>
        </w:tc>
        <w:tc>
          <w:tcPr>
            <w:tcW w:w="4193" w:type="dxa"/>
            <w:noWrap w:val="0"/>
            <w:vAlign w:val="center"/>
          </w:tcPr>
          <w:p w14:paraId="7245FB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车用压缩天然气</w:t>
            </w:r>
          </w:p>
        </w:tc>
        <w:tc>
          <w:tcPr>
            <w:tcW w:w="1758" w:type="dxa"/>
            <w:noWrap w:val="0"/>
            <w:vAlign w:val="bottom"/>
          </w:tcPr>
          <w:p w14:paraId="697CE009">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w:t>
            </w:r>
          </w:p>
        </w:tc>
      </w:tr>
      <w:tr w14:paraId="50DB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bottom"/>
          </w:tcPr>
          <w:p w14:paraId="16E3DCC2">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031" w:type="dxa"/>
            <w:noWrap w:val="0"/>
            <w:vAlign w:val="bottom"/>
          </w:tcPr>
          <w:p w14:paraId="61B0C30D">
            <w:pPr>
              <w:jc w:val="center"/>
              <w:rPr>
                <w:rFonts w:hint="eastAsia" w:ascii="宋体" w:hAnsi="宋体" w:eastAsia="宋体" w:cs="宋体"/>
                <w:i w:val="0"/>
                <w:iCs w:val="0"/>
                <w:color w:val="000000"/>
                <w:sz w:val="21"/>
                <w:szCs w:val="21"/>
                <w:u w:val="none"/>
              </w:rPr>
            </w:pPr>
          </w:p>
        </w:tc>
        <w:tc>
          <w:tcPr>
            <w:tcW w:w="4193" w:type="dxa"/>
            <w:noWrap w:val="0"/>
            <w:vAlign w:val="center"/>
          </w:tcPr>
          <w:p w14:paraId="778459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液化石油气</w:t>
            </w:r>
          </w:p>
        </w:tc>
        <w:tc>
          <w:tcPr>
            <w:tcW w:w="1758" w:type="dxa"/>
            <w:noWrap w:val="0"/>
            <w:vAlign w:val="bottom"/>
          </w:tcPr>
          <w:p w14:paraId="20B13F45">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w:t>
            </w:r>
          </w:p>
        </w:tc>
      </w:tr>
      <w:tr w14:paraId="5063B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bottom"/>
          </w:tcPr>
          <w:p w14:paraId="2823632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031" w:type="dxa"/>
            <w:noWrap w:val="0"/>
            <w:vAlign w:val="bottom"/>
          </w:tcPr>
          <w:p w14:paraId="3E823C15">
            <w:pPr>
              <w:jc w:val="center"/>
              <w:rPr>
                <w:rFonts w:hint="eastAsia" w:ascii="宋体" w:hAnsi="宋体" w:eastAsia="宋体" w:cs="宋体"/>
                <w:i w:val="0"/>
                <w:iCs w:val="0"/>
                <w:color w:val="000000"/>
                <w:sz w:val="21"/>
                <w:szCs w:val="21"/>
                <w:u w:val="none"/>
              </w:rPr>
            </w:pPr>
          </w:p>
        </w:tc>
        <w:tc>
          <w:tcPr>
            <w:tcW w:w="4193" w:type="dxa"/>
            <w:noWrap w:val="0"/>
            <w:vAlign w:val="center"/>
          </w:tcPr>
          <w:p w14:paraId="3D0CF9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车用汽油清净剂</w:t>
            </w:r>
          </w:p>
        </w:tc>
        <w:tc>
          <w:tcPr>
            <w:tcW w:w="1758" w:type="dxa"/>
            <w:noWrap w:val="0"/>
            <w:vAlign w:val="bottom"/>
          </w:tcPr>
          <w:p w14:paraId="454F2F98">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w:t>
            </w:r>
          </w:p>
        </w:tc>
      </w:tr>
      <w:tr w14:paraId="470A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bottom"/>
          </w:tcPr>
          <w:p w14:paraId="45BA616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031" w:type="dxa"/>
            <w:noWrap w:val="0"/>
            <w:vAlign w:val="bottom"/>
          </w:tcPr>
          <w:p w14:paraId="41FDBAE0">
            <w:pPr>
              <w:jc w:val="center"/>
              <w:rPr>
                <w:rFonts w:hint="eastAsia" w:ascii="宋体" w:hAnsi="宋体" w:eastAsia="宋体" w:cs="宋体"/>
                <w:i w:val="0"/>
                <w:iCs w:val="0"/>
                <w:color w:val="000000"/>
                <w:sz w:val="21"/>
                <w:szCs w:val="21"/>
                <w:u w:val="none"/>
              </w:rPr>
            </w:pPr>
          </w:p>
        </w:tc>
        <w:tc>
          <w:tcPr>
            <w:tcW w:w="4193" w:type="dxa"/>
            <w:noWrap w:val="0"/>
            <w:vAlign w:val="center"/>
          </w:tcPr>
          <w:p w14:paraId="3E12D8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车用柴油清净剂</w:t>
            </w:r>
          </w:p>
        </w:tc>
        <w:tc>
          <w:tcPr>
            <w:tcW w:w="1758" w:type="dxa"/>
            <w:noWrap w:val="0"/>
            <w:vAlign w:val="bottom"/>
          </w:tcPr>
          <w:p w14:paraId="4785F935">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w:t>
            </w:r>
          </w:p>
        </w:tc>
      </w:tr>
      <w:tr w14:paraId="5A88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bottom"/>
          </w:tcPr>
          <w:p w14:paraId="31CCE713">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031" w:type="dxa"/>
            <w:noWrap w:val="0"/>
            <w:vAlign w:val="bottom"/>
          </w:tcPr>
          <w:p w14:paraId="4E8C7833">
            <w:pPr>
              <w:jc w:val="center"/>
              <w:rPr>
                <w:rFonts w:hint="eastAsia" w:ascii="宋体" w:hAnsi="宋体" w:eastAsia="宋体" w:cs="宋体"/>
                <w:i w:val="0"/>
                <w:iCs w:val="0"/>
                <w:color w:val="000000"/>
                <w:sz w:val="21"/>
                <w:szCs w:val="21"/>
                <w:u w:val="none"/>
              </w:rPr>
            </w:pPr>
          </w:p>
        </w:tc>
        <w:tc>
          <w:tcPr>
            <w:tcW w:w="4193" w:type="dxa"/>
            <w:noWrap w:val="0"/>
            <w:vAlign w:val="center"/>
          </w:tcPr>
          <w:p w14:paraId="74360B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乙二醇型和丙二醇型发动机冷却液</w:t>
            </w:r>
          </w:p>
        </w:tc>
        <w:tc>
          <w:tcPr>
            <w:tcW w:w="1758" w:type="dxa"/>
            <w:noWrap w:val="0"/>
            <w:vAlign w:val="bottom"/>
          </w:tcPr>
          <w:p w14:paraId="3C51DCF4">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w:t>
            </w:r>
          </w:p>
        </w:tc>
      </w:tr>
      <w:tr w14:paraId="74EAF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bottom"/>
          </w:tcPr>
          <w:p w14:paraId="0BFF4D0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031" w:type="dxa"/>
            <w:noWrap w:val="0"/>
            <w:vAlign w:val="bottom"/>
          </w:tcPr>
          <w:p w14:paraId="41E54188">
            <w:pPr>
              <w:jc w:val="center"/>
              <w:rPr>
                <w:rFonts w:hint="eastAsia" w:ascii="宋体" w:hAnsi="宋体" w:eastAsia="宋体" w:cs="宋体"/>
                <w:i w:val="0"/>
                <w:iCs w:val="0"/>
                <w:color w:val="000000"/>
                <w:sz w:val="21"/>
                <w:szCs w:val="21"/>
                <w:u w:val="none"/>
              </w:rPr>
            </w:pPr>
          </w:p>
        </w:tc>
        <w:tc>
          <w:tcPr>
            <w:tcW w:w="4193" w:type="dxa"/>
            <w:noWrap w:val="0"/>
            <w:vAlign w:val="center"/>
          </w:tcPr>
          <w:p w14:paraId="5A0CD5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机动车发动机冷却液</w:t>
            </w:r>
          </w:p>
        </w:tc>
        <w:tc>
          <w:tcPr>
            <w:tcW w:w="1758" w:type="dxa"/>
            <w:noWrap w:val="0"/>
            <w:vAlign w:val="bottom"/>
          </w:tcPr>
          <w:p w14:paraId="2F506F8C">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w:t>
            </w:r>
          </w:p>
        </w:tc>
      </w:tr>
      <w:tr w14:paraId="7E68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bottom"/>
          </w:tcPr>
          <w:p w14:paraId="3B9DA321">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031" w:type="dxa"/>
            <w:noWrap w:val="0"/>
            <w:vAlign w:val="bottom"/>
          </w:tcPr>
          <w:p w14:paraId="1E87E8F0">
            <w:pPr>
              <w:jc w:val="center"/>
              <w:rPr>
                <w:rFonts w:hint="eastAsia" w:ascii="宋体" w:hAnsi="宋体" w:eastAsia="宋体" w:cs="宋体"/>
                <w:i w:val="0"/>
                <w:iCs w:val="0"/>
                <w:color w:val="000000"/>
                <w:sz w:val="21"/>
                <w:szCs w:val="21"/>
                <w:u w:val="none"/>
              </w:rPr>
            </w:pPr>
          </w:p>
        </w:tc>
        <w:tc>
          <w:tcPr>
            <w:tcW w:w="4193" w:type="dxa"/>
            <w:noWrap w:val="0"/>
            <w:vAlign w:val="center"/>
          </w:tcPr>
          <w:p w14:paraId="73D83E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汽车风窗玻璃清洗液</w:t>
            </w:r>
          </w:p>
        </w:tc>
        <w:tc>
          <w:tcPr>
            <w:tcW w:w="1758" w:type="dxa"/>
            <w:noWrap w:val="0"/>
            <w:vAlign w:val="bottom"/>
          </w:tcPr>
          <w:p w14:paraId="38A73FF3">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w:t>
            </w:r>
          </w:p>
        </w:tc>
      </w:tr>
      <w:tr w14:paraId="1787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bottom"/>
          </w:tcPr>
          <w:p w14:paraId="454EC80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031" w:type="dxa"/>
            <w:noWrap w:val="0"/>
            <w:vAlign w:val="bottom"/>
          </w:tcPr>
          <w:p w14:paraId="1489A64F">
            <w:pPr>
              <w:jc w:val="center"/>
              <w:rPr>
                <w:rFonts w:hint="eastAsia" w:ascii="宋体" w:hAnsi="宋体" w:eastAsia="宋体" w:cs="宋体"/>
                <w:i w:val="0"/>
                <w:iCs w:val="0"/>
                <w:color w:val="000000"/>
                <w:sz w:val="21"/>
                <w:szCs w:val="21"/>
                <w:u w:val="none"/>
              </w:rPr>
            </w:pPr>
          </w:p>
        </w:tc>
        <w:tc>
          <w:tcPr>
            <w:tcW w:w="4193" w:type="dxa"/>
            <w:noWrap w:val="0"/>
            <w:vAlign w:val="bottom"/>
          </w:tcPr>
          <w:p w14:paraId="61019E53">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电动车配件（充电器、充电线等）</w:t>
            </w:r>
          </w:p>
        </w:tc>
        <w:tc>
          <w:tcPr>
            <w:tcW w:w="1758" w:type="dxa"/>
            <w:noWrap w:val="0"/>
            <w:vAlign w:val="bottom"/>
          </w:tcPr>
          <w:p w14:paraId="08D74EB0">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生产销售</w:t>
            </w:r>
          </w:p>
        </w:tc>
      </w:tr>
      <w:tr w14:paraId="14C7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bottom"/>
          </w:tcPr>
          <w:p w14:paraId="22A12D04">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031" w:type="dxa"/>
            <w:noWrap w:val="0"/>
            <w:vAlign w:val="bottom"/>
          </w:tcPr>
          <w:p w14:paraId="61A6CDA4">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农业生产资料</w:t>
            </w:r>
          </w:p>
        </w:tc>
        <w:tc>
          <w:tcPr>
            <w:tcW w:w="4193" w:type="dxa"/>
            <w:noWrap w:val="0"/>
            <w:vAlign w:val="bottom"/>
          </w:tcPr>
          <w:p w14:paraId="446CA33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化肥</w:t>
            </w:r>
          </w:p>
        </w:tc>
        <w:tc>
          <w:tcPr>
            <w:tcW w:w="1758" w:type="dxa"/>
            <w:noWrap w:val="0"/>
            <w:vAlign w:val="bottom"/>
          </w:tcPr>
          <w:p w14:paraId="0A67667C">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生产销售</w:t>
            </w:r>
          </w:p>
        </w:tc>
      </w:tr>
      <w:tr w14:paraId="1692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bottom"/>
          </w:tcPr>
          <w:p w14:paraId="559D028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031" w:type="dxa"/>
            <w:noWrap w:val="0"/>
            <w:vAlign w:val="bottom"/>
          </w:tcPr>
          <w:p w14:paraId="17C1BF6E">
            <w:pPr>
              <w:jc w:val="center"/>
              <w:rPr>
                <w:rFonts w:hint="eastAsia" w:ascii="宋体" w:hAnsi="宋体" w:eastAsia="宋体" w:cs="宋体"/>
                <w:i w:val="0"/>
                <w:iCs w:val="0"/>
                <w:color w:val="000000"/>
                <w:sz w:val="21"/>
                <w:szCs w:val="21"/>
                <w:u w:val="none"/>
              </w:rPr>
            </w:pPr>
          </w:p>
        </w:tc>
        <w:tc>
          <w:tcPr>
            <w:tcW w:w="4193" w:type="dxa"/>
            <w:noWrap w:val="0"/>
            <w:vAlign w:val="bottom"/>
          </w:tcPr>
          <w:p w14:paraId="248AFE1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农膜</w:t>
            </w:r>
          </w:p>
        </w:tc>
        <w:tc>
          <w:tcPr>
            <w:tcW w:w="1758" w:type="dxa"/>
            <w:noWrap w:val="0"/>
            <w:vAlign w:val="bottom"/>
          </w:tcPr>
          <w:p w14:paraId="659CE1D3">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生产销售</w:t>
            </w:r>
          </w:p>
        </w:tc>
      </w:tr>
      <w:tr w14:paraId="6629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bottom"/>
          </w:tcPr>
          <w:p w14:paraId="6843C1D8">
            <w:pPr>
              <w:keepNext w:val="0"/>
              <w:keepLines w:val="0"/>
              <w:widowControl/>
              <w:suppressLineNumbers w:val="0"/>
              <w:jc w:val="center"/>
              <w:textAlignment w:val="bottom"/>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17</w:t>
            </w:r>
          </w:p>
        </w:tc>
        <w:tc>
          <w:tcPr>
            <w:tcW w:w="2031" w:type="dxa"/>
            <w:noWrap w:val="0"/>
            <w:vAlign w:val="bottom"/>
          </w:tcPr>
          <w:p w14:paraId="08AADE14">
            <w:pPr>
              <w:jc w:val="center"/>
              <w:rPr>
                <w:rFonts w:hint="eastAsia" w:ascii="宋体" w:hAnsi="宋体" w:eastAsia="宋体" w:cs="宋体"/>
                <w:i w:val="0"/>
                <w:iCs w:val="0"/>
                <w:color w:val="000000"/>
                <w:sz w:val="21"/>
                <w:szCs w:val="21"/>
                <w:u w:val="none"/>
              </w:rPr>
            </w:pPr>
          </w:p>
        </w:tc>
        <w:tc>
          <w:tcPr>
            <w:tcW w:w="4193" w:type="dxa"/>
            <w:noWrap w:val="0"/>
            <w:vAlign w:val="bottom"/>
          </w:tcPr>
          <w:p w14:paraId="4AA8A3D9">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内墙涂料、外墙涂料、防水涂料、防火涂料</w:t>
            </w:r>
          </w:p>
        </w:tc>
        <w:tc>
          <w:tcPr>
            <w:tcW w:w="1758" w:type="dxa"/>
            <w:noWrap w:val="0"/>
            <w:vAlign w:val="bottom"/>
          </w:tcPr>
          <w:p w14:paraId="2083240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w:t>
            </w:r>
          </w:p>
        </w:tc>
      </w:tr>
      <w:tr w14:paraId="1874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bottom"/>
          </w:tcPr>
          <w:p w14:paraId="784150D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2031" w:type="dxa"/>
            <w:noWrap w:val="0"/>
            <w:vAlign w:val="bottom"/>
          </w:tcPr>
          <w:p w14:paraId="13AE3F67">
            <w:pPr>
              <w:jc w:val="center"/>
              <w:rPr>
                <w:rFonts w:hint="eastAsia" w:ascii="宋体" w:hAnsi="宋体" w:eastAsia="宋体" w:cs="宋体"/>
                <w:i w:val="0"/>
                <w:iCs w:val="0"/>
                <w:color w:val="000000"/>
                <w:sz w:val="21"/>
                <w:szCs w:val="21"/>
                <w:u w:val="none"/>
              </w:rPr>
            </w:pPr>
          </w:p>
        </w:tc>
        <w:tc>
          <w:tcPr>
            <w:tcW w:w="4193" w:type="dxa"/>
            <w:noWrap w:val="0"/>
            <w:vAlign w:val="bottom"/>
          </w:tcPr>
          <w:p w14:paraId="48D0DE9C">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油漆</w:t>
            </w:r>
          </w:p>
        </w:tc>
        <w:tc>
          <w:tcPr>
            <w:tcW w:w="1758" w:type="dxa"/>
            <w:noWrap w:val="0"/>
            <w:vAlign w:val="bottom"/>
          </w:tcPr>
          <w:p w14:paraId="4D09A080">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w:t>
            </w:r>
          </w:p>
        </w:tc>
      </w:tr>
      <w:tr w14:paraId="4FFB3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bottom"/>
          </w:tcPr>
          <w:p w14:paraId="3463ED42">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031" w:type="dxa"/>
            <w:noWrap w:val="0"/>
            <w:vAlign w:val="bottom"/>
          </w:tcPr>
          <w:p w14:paraId="27641CFC">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胶粘剂</w:t>
            </w:r>
          </w:p>
        </w:tc>
        <w:tc>
          <w:tcPr>
            <w:tcW w:w="4193" w:type="dxa"/>
            <w:noWrap w:val="0"/>
            <w:vAlign w:val="bottom"/>
          </w:tcPr>
          <w:p w14:paraId="4DE6CCD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白乳胶</w:t>
            </w:r>
          </w:p>
        </w:tc>
        <w:tc>
          <w:tcPr>
            <w:tcW w:w="1758" w:type="dxa"/>
            <w:noWrap w:val="0"/>
            <w:vAlign w:val="bottom"/>
          </w:tcPr>
          <w:p w14:paraId="2E7151C9">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w:t>
            </w:r>
          </w:p>
        </w:tc>
      </w:tr>
      <w:tr w14:paraId="18A1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bottom"/>
          </w:tcPr>
          <w:p w14:paraId="695EAAA8">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031" w:type="dxa"/>
            <w:noWrap w:val="0"/>
            <w:vAlign w:val="bottom"/>
          </w:tcPr>
          <w:p w14:paraId="630AEDE7">
            <w:pPr>
              <w:jc w:val="center"/>
              <w:rPr>
                <w:rFonts w:hint="eastAsia" w:ascii="宋体" w:hAnsi="宋体" w:eastAsia="宋体" w:cs="宋体"/>
                <w:i w:val="0"/>
                <w:iCs w:val="0"/>
                <w:color w:val="000000"/>
                <w:sz w:val="21"/>
                <w:szCs w:val="21"/>
                <w:u w:val="none"/>
              </w:rPr>
            </w:pPr>
          </w:p>
        </w:tc>
        <w:tc>
          <w:tcPr>
            <w:tcW w:w="4193" w:type="dxa"/>
            <w:noWrap w:val="0"/>
            <w:vAlign w:val="bottom"/>
          </w:tcPr>
          <w:p w14:paraId="066A3BD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木工板</w:t>
            </w:r>
          </w:p>
        </w:tc>
        <w:tc>
          <w:tcPr>
            <w:tcW w:w="1758" w:type="dxa"/>
            <w:noWrap w:val="0"/>
            <w:vAlign w:val="bottom"/>
          </w:tcPr>
          <w:p w14:paraId="0D9944D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w:t>
            </w:r>
          </w:p>
        </w:tc>
      </w:tr>
      <w:tr w14:paraId="751D9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bottom"/>
          </w:tcPr>
          <w:p w14:paraId="5C43EB5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031" w:type="dxa"/>
            <w:noWrap w:val="0"/>
            <w:vAlign w:val="bottom"/>
          </w:tcPr>
          <w:p w14:paraId="68736E13">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工业生产资料</w:t>
            </w:r>
          </w:p>
        </w:tc>
        <w:tc>
          <w:tcPr>
            <w:tcW w:w="4193" w:type="dxa"/>
            <w:noWrap w:val="0"/>
            <w:vAlign w:val="bottom"/>
          </w:tcPr>
          <w:p w14:paraId="67FBA958">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砖</w:t>
            </w:r>
          </w:p>
        </w:tc>
        <w:tc>
          <w:tcPr>
            <w:tcW w:w="1758" w:type="dxa"/>
            <w:noWrap w:val="0"/>
            <w:vAlign w:val="bottom"/>
          </w:tcPr>
          <w:p w14:paraId="010240A8">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w:t>
            </w:r>
          </w:p>
        </w:tc>
      </w:tr>
      <w:tr w14:paraId="2D01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bottom"/>
          </w:tcPr>
          <w:p w14:paraId="286C963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031" w:type="dxa"/>
            <w:noWrap w:val="0"/>
            <w:vAlign w:val="bottom"/>
          </w:tcPr>
          <w:p w14:paraId="5141AC4F">
            <w:pPr>
              <w:jc w:val="center"/>
              <w:rPr>
                <w:rFonts w:hint="eastAsia" w:ascii="宋体" w:hAnsi="宋体" w:eastAsia="宋体" w:cs="宋体"/>
                <w:i w:val="0"/>
                <w:iCs w:val="0"/>
                <w:color w:val="000000"/>
                <w:sz w:val="21"/>
                <w:szCs w:val="21"/>
                <w:u w:val="none"/>
              </w:rPr>
            </w:pPr>
          </w:p>
        </w:tc>
        <w:tc>
          <w:tcPr>
            <w:tcW w:w="4193" w:type="dxa"/>
            <w:noWrap w:val="0"/>
            <w:vAlign w:val="bottom"/>
          </w:tcPr>
          <w:p w14:paraId="17F1472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电线电缆</w:t>
            </w:r>
          </w:p>
        </w:tc>
        <w:tc>
          <w:tcPr>
            <w:tcW w:w="1758" w:type="dxa"/>
            <w:noWrap w:val="0"/>
            <w:vAlign w:val="bottom"/>
          </w:tcPr>
          <w:p w14:paraId="54FDB4FC">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生产销售</w:t>
            </w:r>
          </w:p>
        </w:tc>
      </w:tr>
      <w:tr w14:paraId="7506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bottom"/>
          </w:tcPr>
          <w:p w14:paraId="35901EF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031" w:type="dxa"/>
            <w:noWrap w:val="0"/>
            <w:vAlign w:val="bottom"/>
          </w:tcPr>
          <w:p w14:paraId="344EF14E">
            <w:pPr>
              <w:jc w:val="center"/>
              <w:rPr>
                <w:rFonts w:hint="eastAsia" w:ascii="宋体" w:hAnsi="宋体" w:eastAsia="宋体" w:cs="宋体"/>
                <w:i w:val="0"/>
                <w:iCs w:val="0"/>
                <w:color w:val="000000"/>
                <w:sz w:val="21"/>
                <w:szCs w:val="21"/>
                <w:u w:val="none"/>
              </w:rPr>
            </w:pPr>
          </w:p>
        </w:tc>
        <w:tc>
          <w:tcPr>
            <w:tcW w:w="4193" w:type="dxa"/>
            <w:noWrap w:val="0"/>
            <w:vAlign w:val="bottom"/>
          </w:tcPr>
          <w:p w14:paraId="2728B38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钢筋（冷、热轧带肋钢筋）</w:t>
            </w:r>
          </w:p>
        </w:tc>
        <w:tc>
          <w:tcPr>
            <w:tcW w:w="1758" w:type="dxa"/>
            <w:noWrap w:val="0"/>
            <w:vAlign w:val="bottom"/>
          </w:tcPr>
          <w:p w14:paraId="21FF1D7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生产销售</w:t>
            </w:r>
          </w:p>
        </w:tc>
      </w:tr>
      <w:tr w14:paraId="5777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bottom"/>
          </w:tcPr>
          <w:p w14:paraId="57E6AAA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031" w:type="dxa"/>
            <w:noWrap w:val="0"/>
            <w:vAlign w:val="bottom"/>
          </w:tcPr>
          <w:p w14:paraId="003F172F">
            <w:pPr>
              <w:jc w:val="center"/>
              <w:rPr>
                <w:rFonts w:hint="eastAsia" w:ascii="宋体" w:hAnsi="宋体" w:eastAsia="宋体" w:cs="宋体"/>
                <w:i w:val="0"/>
                <w:iCs w:val="0"/>
                <w:color w:val="000000"/>
                <w:sz w:val="21"/>
                <w:szCs w:val="21"/>
                <w:u w:val="none"/>
              </w:rPr>
            </w:pPr>
          </w:p>
        </w:tc>
        <w:tc>
          <w:tcPr>
            <w:tcW w:w="4193" w:type="dxa"/>
            <w:noWrap w:val="0"/>
            <w:vAlign w:val="bottom"/>
          </w:tcPr>
          <w:p w14:paraId="3D033BA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w:t>
            </w:r>
          </w:p>
        </w:tc>
        <w:tc>
          <w:tcPr>
            <w:tcW w:w="1758" w:type="dxa"/>
            <w:noWrap w:val="0"/>
            <w:vAlign w:val="bottom"/>
          </w:tcPr>
          <w:p w14:paraId="36A80251">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生产销售</w:t>
            </w:r>
          </w:p>
        </w:tc>
      </w:tr>
      <w:tr w14:paraId="2FBF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bottom"/>
          </w:tcPr>
          <w:p w14:paraId="282008E1">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031" w:type="dxa"/>
            <w:noWrap w:val="0"/>
            <w:vAlign w:val="bottom"/>
          </w:tcPr>
          <w:p w14:paraId="3E72ACD2">
            <w:pPr>
              <w:jc w:val="center"/>
              <w:rPr>
                <w:rFonts w:hint="eastAsia" w:ascii="宋体" w:hAnsi="宋体" w:eastAsia="宋体" w:cs="宋体"/>
                <w:i w:val="0"/>
                <w:iCs w:val="0"/>
                <w:color w:val="000000"/>
                <w:sz w:val="21"/>
                <w:szCs w:val="21"/>
                <w:u w:val="none"/>
              </w:rPr>
            </w:pPr>
          </w:p>
        </w:tc>
        <w:tc>
          <w:tcPr>
            <w:tcW w:w="4193" w:type="dxa"/>
            <w:noWrap w:val="0"/>
            <w:vAlign w:val="bottom"/>
          </w:tcPr>
          <w:p w14:paraId="5BAC8661">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消防产品（灭火器等）</w:t>
            </w:r>
          </w:p>
        </w:tc>
        <w:tc>
          <w:tcPr>
            <w:tcW w:w="1758" w:type="dxa"/>
            <w:noWrap w:val="0"/>
            <w:vAlign w:val="bottom"/>
          </w:tcPr>
          <w:p w14:paraId="1A26FAE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w:t>
            </w:r>
          </w:p>
        </w:tc>
      </w:tr>
      <w:tr w14:paraId="76734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036" w:type="dxa"/>
            <w:noWrap w:val="0"/>
            <w:vAlign w:val="bottom"/>
          </w:tcPr>
          <w:p w14:paraId="11B4AEE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031" w:type="dxa"/>
            <w:noWrap w:val="0"/>
            <w:vAlign w:val="bottom"/>
          </w:tcPr>
          <w:p w14:paraId="7B68E648">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燃气器具及配件产品</w:t>
            </w:r>
          </w:p>
        </w:tc>
        <w:tc>
          <w:tcPr>
            <w:tcW w:w="4193" w:type="dxa"/>
            <w:noWrap w:val="0"/>
            <w:vAlign w:val="bottom"/>
          </w:tcPr>
          <w:p w14:paraId="65FEA9A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燃气具及配件</w:t>
            </w:r>
          </w:p>
        </w:tc>
        <w:tc>
          <w:tcPr>
            <w:tcW w:w="1758" w:type="dxa"/>
            <w:noWrap w:val="0"/>
            <w:vAlign w:val="bottom"/>
          </w:tcPr>
          <w:p w14:paraId="64F9E5C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生产销售</w:t>
            </w:r>
          </w:p>
        </w:tc>
      </w:tr>
      <w:tr w14:paraId="5CEC7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bottom"/>
          </w:tcPr>
          <w:p w14:paraId="3DE9607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031" w:type="dxa"/>
            <w:noWrap w:val="0"/>
            <w:vAlign w:val="bottom"/>
          </w:tcPr>
          <w:p w14:paraId="1E84BE8C">
            <w:pPr>
              <w:jc w:val="center"/>
              <w:rPr>
                <w:rFonts w:hint="eastAsia" w:ascii="宋体" w:hAnsi="宋体" w:eastAsia="宋体" w:cs="宋体"/>
                <w:i w:val="0"/>
                <w:iCs w:val="0"/>
                <w:color w:val="000000"/>
                <w:sz w:val="21"/>
                <w:szCs w:val="21"/>
                <w:u w:val="none"/>
              </w:rPr>
            </w:pPr>
          </w:p>
        </w:tc>
        <w:tc>
          <w:tcPr>
            <w:tcW w:w="4193" w:type="dxa"/>
            <w:noWrap w:val="0"/>
            <w:vAlign w:val="bottom"/>
          </w:tcPr>
          <w:p w14:paraId="7E6B988C">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液化石油气</w:t>
            </w:r>
          </w:p>
        </w:tc>
        <w:tc>
          <w:tcPr>
            <w:tcW w:w="1758" w:type="dxa"/>
            <w:noWrap w:val="0"/>
            <w:vAlign w:val="bottom"/>
          </w:tcPr>
          <w:p w14:paraId="48FE1753">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生产销售</w:t>
            </w:r>
          </w:p>
        </w:tc>
      </w:tr>
      <w:tr w14:paraId="5237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036" w:type="dxa"/>
            <w:shd w:val="clear" w:color="auto" w:fill="auto"/>
            <w:noWrap w:val="0"/>
            <w:vAlign w:val="bottom"/>
          </w:tcPr>
          <w:p w14:paraId="4512DEE0">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031" w:type="dxa"/>
            <w:shd w:val="clear" w:color="auto" w:fill="FFFFFF"/>
            <w:noWrap w:val="0"/>
            <w:vAlign w:val="bottom"/>
          </w:tcPr>
          <w:p w14:paraId="561017B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家用电器及电器附件</w:t>
            </w:r>
          </w:p>
        </w:tc>
        <w:tc>
          <w:tcPr>
            <w:tcW w:w="4193" w:type="dxa"/>
            <w:shd w:val="clear" w:color="auto" w:fill="FFFFFF"/>
            <w:noWrap w:val="0"/>
            <w:vAlign w:val="bottom"/>
          </w:tcPr>
          <w:p w14:paraId="08DFA09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电热毯、小太阳、暖风机等</w:t>
            </w:r>
          </w:p>
        </w:tc>
        <w:tc>
          <w:tcPr>
            <w:tcW w:w="1758" w:type="dxa"/>
            <w:noWrap w:val="0"/>
            <w:vAlign w:val="bottom"/>
          </w:tcPr>
          <w:p w14:paraId="34C78A04">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w:t>
            </w:r>
          </w:p>
        </w:tc>
      </w:tr>
      <w:tr w14:paraId="36FF2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shd w:val="clear" w:color="auto" w:fill="auto"/>
            <w:noWrap w:val="0"/>
            <w:vAlign w:val="bottom"/>
          </w:tcPr>
          <w:p w14:paraId="0A5D002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2031" w:type="dxa"/>
            <w:shd w:val="clear" w:color="auto" w:fill="auto"/>
            <w:noWrap w:val="0"/>
            <w:vAlign w:val="bottom"/>
          </w:tcPr>
          <w:p w14:paraId="3EF3D081">
            <w:pPr>
              <w:jc w:val="center"/>
              <w:rPr>
                <w:rFonts w:hint="eastAsia" w:ascii="宋体" w:hAnsi="宋体" w:eastAsia="宋体" w:cs="宋体"/>
                <w:i w:val="0"/>
                <w:iCs w:val="0"/>
                <w:color w:val="000000"/>
                <w:sz w:val="21"/>
                <w:szCs w:val="21"/>
                <w:u w:val="none"/>
              </w:rPr>
            </w:pPr>
          </w:p>
        </w:tc>
        <w:tc>
          <w:tcPr>
            <w:tcW w:w="4193" w:type="dxa"/>
            <w:shd w:val="clear" w:color="auto" w:fill="FFFFFF"/>
            <w:noWrap w:val="0"/>
            <w:vAlign w:val="bottom"/>
          </w:tcPr>
          <w:p w14:paraId="2A26593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家用及类似用途插头插座</w:t>
            </w:r>
          </w:p>
        </w:tc>
        <w:tc>
          <w:tcPr>
            <w:tcW w:w="1758" w:type="dxa"/>
            <w:noWrap w:val="0"/>
            <w:vAlign w:val="bottom"/>
          </w:tcPr>
          <w:p w14:paraId="3CC36091">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w:t>
            </w:r>
          </w:p>
        </w:tc>
      </w:tr>
      <w:tr w14:paraId="46CE2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shd w:val="clear" w:color="auto" w:fill="auto"/>
            <w:noWrap w:val="0"/>
            <w:vAlign w:val="center"/>
          </w:tcPr>
          <w:p w14:paraId="2E6B45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031" w:type="dxa"/>
            <w:shd w:val="clear" w:color="auto" w:fill="auto"/>
            <w:noWrap w:val="0"/>
            <w:vAlign w:val="bottom"/>
          </w:tcPr>
          <w:p w14:paraId="7EBC0A1E">
            <w:pPr>
              <w:jc w:val="center"/>
              <w:rPr>
                <w:rFonts w:hint="eastAsia" w:ascii="宋体" w:hAnsi="宋体" w:eastAsia="宋体" w:cs="宋体"/>
                <w:i w:val="0"/>
                <w:iCs w:val="0"/>
                <w:color w:val="000000"/>
                <w:sz w:val="21"/>
                <w:szCs w:val="21"/>
                <w:u w:val="none"/>
              </w:rPr>
            </w:pPr>
          </w:p>
        </w:tc>
        <w:tc>
          <w:tcPr>
            <w:tcW w:w="4193" w:type="dxa"/>
            <w:shd w:val="clear" w:color="auto" w:fill="FFFFFF"/>
            <w:noWrap w:val="0"/>
            <w:vAlign w:val="bottom"/>
          </w:tcPr>
          <w:p w14:paraId="30592D6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电水壶</w:t>
            </w:r>
          </w:p>
        </w:tc>
        <w:tc>
          <w:tcPr>
            <w:tcW w:w="1758" w:type="dxa"/>
            <w:noWrap w:val="0"/>
            <w:vAlign w:val="bottom"/>
          </w:tcPr>
          <w:p w14:paraId="2028AF04">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w:t>
            </w:r>
          </w:p>
        </w:tc>
      </w:tr>
      <w:tr w14:paraId="6BE5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center"/>
          </w:tcPr>
          <w:p w14:paraId="5F739E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2031" w:type="dxa"/>
            <w:noWrap w:val="0"/>
            <w:vAlign w:val="bottom"/>
          </w:tcPr>
          <w:p w14:paraId="5DD6DD88">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民用煤</w:t>
            </w:r>
          </w:p>
        </w:tc>
        <w:tc>
          <w:tcPr>
            <w:tcW w:w="4193" w:type="dxa"/>
            <w:noWrap w:val="0"/>
            <w:vAlign w:val="bottom"/>
          </w:tcPr>
          <w:p w14:paraId="6A2E636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民用型煤等</w:t>
            </w:r>
          </w:p>
        </w:tc>
        <w:tc>
          <w:tcPr>
            <w:tcW w:w="1758" w:type="dxa"/>
            <w:noWrap w:val="0"/>
            <w:vAlign w:val="bottom"/>
          </w:tcPr>
          <w:p w14:paraId="21EFBDA3">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生产销售</w:t>
            </w:r>
          </w:p>
        </w:tc>
      </w:tr>
      <w:tr w14:paraId="3665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center"/>
          </w:tcPr>
          <w:p w14:paraId="37A7F1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031" w:type="dxa"/>
            <w:noWrap w:val="0"/>
            <w:vAlign w:val="bottom"/>
          </w:tcPr>
          <w:p w14:paraId="05553378">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儿童用品</w:t>
            </w:r>
          </w:p>
        </w:tc>
        <w:tc>
          <w:tcPr>
            <w:tcW w:w="4193" w:type="dxa"/>
            <w:noWrap w:val="0"/>
            <w:vAlign w:val="bottom"/>
          </w:tcPr>
          <w:p w14:paraId="1FC1DFDE">
            <w:pPr>
              <w:keepNext w:val="0"/>
              <w:keepLines w:val="0"/>
              <w:widowControl/>
              <w:suppressLineNumbers w:val="0"/>
              <w:jc w:val="center"/>
              <w:textAlignment w:val="bottom"/>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儿童相关产品</w:t>
            </w:r>
          </w:p>
        </w:tc>
        <w:tc>
          <w:tcPr>
            <w:tcW w:w="1758" w:type="dxa"/>
            <w:noWrap w:val="0"/>
            <w:vAlign w:val="bottom"/>
          </w:tcPr>
          <w:p w14:paraId="1BC6A4D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生产销售</w:t>
            </w:r>
          </w:p>
        </w:tc>
      </w:tr>
      <w:tr w14:paraId="650E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center"/>
          </w:tcPr>
          <w:p w14:paraId="430634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33</w:t>
            </w:r>
          </w:p>
        </w:tc>
        <w:tc>
          <w:tcPr>
            <w:tcW w:w="2031" w:type="dxa"/>
            <w:noWrap w:val="0"/>
            <w:vAlign w:val="bottom"/>
          </w:tcPr>
          <w:p w14:paraId="0EF001F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学生用品</w:t>
            </w:r>
          </w:p>
        </w:tc>
        <w:tc>
          <w:tcPr>
            <w:tcW w:w="4193" w:type="dxa"/>
            <w:noWrap w:val="0"/>
            <w:vAlign w:val="bottom"/>
          </w:tcPr>
          <w:p w14:paraId="3155B891">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校服</w:t>
            </w:r>
          </w:p>
        </w:tc>
        <w:tc>
          <w:tcPr>
            <w:tcW w:w="1758" w:type="dxa"/>
            <w:noWrap w:val="0"/>
            <w:vAlign w:val="bottom"/>
          </w:tcPr>
          <w:p w14:paraId="3070476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w:t>
            </w:r>
          </w:p>
        </w:tc>
      </w:tr>
      <w:tr w14:paraId="43B2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center"/>
          </w:tcPr>
          <w:p w14:paraId="4C189F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34</w:t>
            </w:r>
          </w:p>
        </w:tc>
        <w:tc>
          <w:tcPr>
            <w:tcW w:w="2031" w:type="dxa"/>
            <w:noWrap w:val="0"/>
            <w:vAlign w:val="bottom"/>
          </w:tcPr>
          <w:p w14:paraId="6E2EE27C">
            <w:pPr>
              <w:jc w:val="center"/>
              <w:rPr>
                <w:rFonts w:hint="eastAsia" w:ascii="宋体" w:hAnsi="宋体" w:eastAsia="宋体" w:cs="宋体"/>
                <w:i w:val="0"/>
                <w:iCs w:val="0"/>
                <w:color w:val="000000"/>
                <w:sz w:val="21"/>
                <w:szCs w:val="21"/>
                <w:u w:val="none"/>
              </w:rPr>
            </w:pPr>
          </w:p>
        </w:tc>
        <w:tc>
          <w:tcPr>
            <w:tcW w:w="4193" w:type="dxa"/>
            <w:noWrap w:val="0"/>
            <w:vAlign w:val="bottom"/>
          </w:tcPr>
          <w:p w14:paraId="4A075FF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本、笔等</w:t>
            </w:r>
          </w:p>
        </w:tc>
        <w:tc>
          <w:tcPr>
            <w:tcW w:w="1758" w:type="dxa"/>
            <w:noWrap w:val="0"/>
            <w:vAlign w:val="bottom"/>
          </w:tcPr>
          <w:p w14:paraId="29B0BD3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w:t>
            </w:r>
          </w:p>
        </w:tc>
      </w:tr>
      <w:tr w14:paraId="4C8E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center"/>
          </w:tcPr>
          <w:p w14:paraId="437E88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35</w:t>
            </w:r>
          </w:p>
        </w:tc>
        <w:tc>
          <w:tcPr>
            <w:tcW w:w="2031" w:type="dxa"/>
            <w:noWrap w:val="0"/>
            <w:vAlign w:val="bottom"/>
          </w:tcPr>
          <w:p w14:paraId="16C3092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老年人用品</w:t>
            </w:r>
          </w:p>
        </w:tc>
        <w:tc>
          <w:tcPr>
            <w:tcW w:w="4193" w:type="dxa"/>
            <w:noWrap w:val="0"/>
            <w:vAlign w:val="bottom"/>
          </w:tcPr>
          <w:p w14:paraId="38D4962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老人鞋</w:t>
            </w:r>
          </w:p>
        </w:tc>
        <w:tc>
          <w:tcPr>
            <w:tcW w:w="1758" w:type="dxa"/>
            <w:noWrap w:val="0"/>
            <w:vAlign w:val="bottom"/>
          </w:tcPr>
          <w:p w14:paraId="4CCC057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w:t>
            </w:r>
          </w:p>
        </w:tc>
      </w:tr>
      <w:tr w14:paraId="2C627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center"/>
          </w:tcPr>
          <w:p w14:paraId="18EFE9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36</w:t>
            </w:r>
          </w:p>
        </w:tc>
        <w:tc>
          <w:tcPr>
            <w:tcW w:w="2031" w:type="dxa"/>
            <w:noWrap w:val="0"/>
            <w:vAlign w:val="bottom"/>
          </w:tcPr>
          <w:p w14:paraId="3D41FB2C">
            <w:pPr>
              <w:jc w:val="center"/>
              <w:rPr>
                <w:rFonts w:hint="eastAsia" w:ascii="宋体" w:hAnsi="宋体" w:eastAsia="宋体" w:cs="宋体"/>
                <w:i w:val="0"/>
                <w:iCs w:val="0"/>
                <w:color w:val="000000"/>
                <w:sz w:val="21"/>
                <w:szCs w:val="21"/>
                <w:u w:val="none"/>
              </w:rPr>
            </w:pPr>
          </w:p>
        </w:tc>
        <w:tc>
          <w:tcPr>
            <w:tcW w:w="4193" w:type="dxa"/>
            <w:noWrap w:val="0"/>
            <w:vAlign w:val="bottom"/>
          </w:tcPr>
          <w:p w14:paraId="4F85163C">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老视成镜</w:t>
            </w:r>
          </w:p>
        </w:tc>
        <w:tc>
          <w:tcPr>
            <w:tcW w:w="1758" w:type="dxa"/>
            <w:noWrap w:val="0"/>
            <w:vAlign w:val="bottom"/>
          </w:tcPr>
          <w:p w14:paraId="2366E693">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w:t>
            </w:r>
          </w:p>
        </w:tc>
      </w:tr>
      <w:tr w14:paraId="0F16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center"/>
          </w:tcPr>
          <w:p w14:paraId="4D88A2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37</w:t>
            </w:r>
          </w:p>
        </w:tc>
        <w:tc>
          <w:tcPr>
            <w:tcW w:w="2031" w:type="dxa"/>
            <w:noWrap w:val="0"/>
            <w:vAlign w:val="bottom"/>
          </w:tcPr>
          <w:p w14:paraId="04DC6CC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卫生用品</w:t>
            </w:r>
          </w:p>
        </w:tc>
        <w:tc>
          <w:tcPr>
            <w:tcW w:w="4193" w:type="dxa"/>
            <w:noWrap w:val="0"/>
            <w:vAlign w:val="bottom"/>
          </w:tcPr>
          <w:p w14:paraId="2C41F434">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隔尿垫、纸尿裤、一次性内裤</w:t>
            </w:r>
          </w:p>
        </w:tc>
        <w:tc>
          <w:tcPr>
            <w:tcW w:w="1758" w:type="dxa"/>
            <w:noWrap w:val="0"/>
            <w:vAlign w:val="bottom"/>
          </w:tcPr>
          <w:p w14:paraId="680429B1">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w:t>
            </w:r>
          </w:p>
        </w:tc>
      </w:tr>
      <w:tr w14:paraId="68A0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center"/>
          </w:tcPr>
          <w:p w14:paraId="19C45D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38</w:t>
            </w:r>
          </w:p>
        </w:tc>
        <w:tc>
          <w:tcPr>
            <w:tcW w:w="2031" w:type="dxa"/>
            <w:noWrap w:val="0"/>
            <w:vAlign w:val="bottom"/>
          </w:tcPr>
          <w:p w14:paraId="4C2467B8">
            <w:pPr>
              <w:jc w:val="center"/>
              <w:rPr>
                <w:rFonts w:hint="eastAsia" w:ascii="宋体" w:hAnsi="宋体" w:eastAsia="宋体" w:cs="宋体"/>
                <w:i w:val="0"/>
                <w:iCs w:val="0"/>
                <w:color w:val="000000"/>
                <w:sz w:val="21"/>
                <w:szCs w:val="21"/>
                <w:u w:val="none"/>
              </w:rPr>
            </w:pPr>
          </w:p>
        </w:tc>
        <w:tc>
          <w:tcPr>
            <w:tcW w:w="4193" w:type="dxa"/>
            <w:noWrap w:val="0"/>
            <w:vAlign w:val="bottom"/>
          </w:tcPr>
          <w:p w14:paraId="7FFFCA7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女性卫生巾等卫生护理用品</w:t>
            </w:r>
          </w:p>
        </w:tc>
        <w:tc>
          <w:tcPr>
            <w:tcW w:w="1758" w:type="dxa"/>
            <w:noWrap w:val="0"/>
            <w:vAlign w:val="bottom"/>
          </w:tcPr>
          <w:p w14:paraId="7B987F19">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w:t>
            </w:r>
          </w:p>
        </w:tc>
      </w:tr>
      <w:tr w14:paraId="72B3D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center"/>
          </w:tcPr>
          <w:p w14:paraId="629E62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39</w:t>
            </w:r>
          </w:p>
        </w:tc>
        <w:tc>
          <w:tcPr>
            <w:tcW w:w="2031" w:type="dxa"/>
            <w:noWrap w:val="0"/>
            <w:vAlign w:val="bottom"/>
          </w:tcPr>
          <w:p w14:paraId="20545233">
            <w:pPr>
              <w:jc w:val="center"/>
              <w:rPr>
                <w:rFonts w:hint="eastAsia" w:ascii="宋体" w:hAnsi="宋体" w:eastAsia="宋体" w:cs="宋体"/>
                <w:i w:val="0"/>
                <w:iCs w:val="0"/>
                <w:color w:val="000000"/>
                <w:sz w:val="21"/>
                <w:szCs w:val="21"/>
                <w:u w:val="none"/>
              </w:rPr>
            </w:pPr>
          </w:p>
        </w:tc>
        <w:tc>
          <w:tcPr>
            <w:tcW w:w="4193" w:type="dxa"/>
            <w:noWrap w:val="0"/>
            <w:vAlign w:val="bottom"/>
          </w:tcPr>
          <w:p w14:paraId="64AB2B1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卫生纸</w:t>
            </w:r>
          </w:p>
        </w:tc>
        <w:tc>
          <w:tcPr>
            <w:tcW w:w="1758" w:type="dxa"/>
            <w:noWrap w:val="0"/>
            <w:vAlign w:val="bottom"/>
          </w:tcPr>
          <w:p w14:paraId="4274C823">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w:t>
            </w:r>
          </w:p>
        </w:tc>
      </w:tr>
      <w:tr w14:paraId="5CBF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center"/>
          </w:tcPr>
          <w:p w14:paraId="69C797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40</w:t>
            </w:r>
          </w:p>
        </w:tc>
        <w:tc>
          <w:tcPr>
            <w:tcW w:w="2031" w:type="dxa"/>
            <w:noWrap w:val="0"/>
            <w:vAlign w:val="bottom"/>
          </w:tcPr>
          <w:p w14:paraId="17E0037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纺织品</w:t>
            </w:r>
          </w:p>
        </w:tc>
        <w:tc>
          <w:tcPr>
            <w:tcW w:w="4193" w:type="dxa"/>
            <w:noWrap w:val="0"/>
            <w:vAlign w:val="bottom"/>
          </w:tcPr>
          <w:p w14:paraId="4C54086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床上用品</w:t>
            </w:r>
          </w:p>
        </w:tc>
        <w:tc>
          <w:tcPr>
            <w:tcW w:w="1758" w:type="dxa"/>
            <w:noWrap w:val="0"/>
            <w:vAlign w:val="bottom"/>
          </w:tcPr>
          <w:p w14:paraId="7E508E95">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w:t>
            </w:r>
          </w:p>
        </w:tc>
      </w:tr>
      <w:tr w14:paraId="6E8CD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center"/>
          </w:tcPr>
          <w:p w14:paraId="7F8980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41</w:t>
            </w:r>
          </w:p>
        </w:tc>
        <w:tc>
          <w:tcPr>
            <w:tcW w:w="2031" w:type="dxa"/>
            <w:noWrap w:val="0"/>
            <w:vAlign w:val="bottom"/>
          </w:tcPr>
          <w:p w14:paraId="32EEFDB9">
            <w:pPr>
              <w:jc w:val="center"/>
              <w:rPr>
                <w:rFonts w:hint="eastAsia" w:ascii="宋体" w:hAnsi="宋体" w:eastAsia="宋体" w:cs="宋体"/>
                <w:i w:val="0"/>
                <w:iCs w:val="0"/>
                <w:color w:val="000000"/>
                <w:sz w:val="21"/>
                <w:szCs w:val="21"/>
                <w:u w:val="none"/>
              </w:rPr>
            </w:pPr>
          </w:p>
        </w:tc>
        <w:tc>
          <w:tcPr>
            <w:tcW w:w="4193" w:type="dxa"/>
            <w:noWrap w:val="0"/>
            <w:vAlign w:val="bottom"/>
          </w:tcPr>
          <w:p w14:paraId="4D04D85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休闲服饰</w:t>
            </w:r>
          </w:p>
        </w:tc>
        <w:tc>
          <w:tcPr>
            <w:tcW w:w="1758" w:type="dxa"/>
            <w:noWrap w:val="0"/>
            <w:vAlign w:val="bottom"/>
          </w:tcPr>
          <w:p w14:paraId="4BA455F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w:t>
            </w:r>
          </w:p>
        </w:tc>
      </w:tr>
      <w:tr w14:paraId="2803B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center"/>
          </w:tcPr>
          <w:p w14:paraId="6E3D70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42</w:t>
            </w:r>
          </w:p>
        </w:tc>
        <w:tc>
          <w:tcPr>
            <w:tcW w:w="2031" w:type="dxa"/>
            <w:noWrap w:val="0"/>
            <w:vAlign w:val="bottom"/>
          </w:tcPr>
          <w:p w14:paraId="3209F849">
            <w:pPr>
              <w:jc w:val="center"/>
              <w:rPr>
                <w:rFonts w:hint="eastAsia" w:ascii="宋体" w:hAnsi="宋体" w:eastAsia="宋体" w:cs="宋体"/>
                <w:i w:val="0"/>
                <w:iCs w:val="0"/>
                <w:color w:val="000000"/>
                <w:sz w:val="21"/>
                <w:szCs w:val="21"/>
                <w:u w:val="none"/>
              </w:rPr>
            </w:pPr>
          </w:p>
        </w:tc>
        <w:tc>
          <w:tcPr>
            <w:tcW w:w="4193" w:type="dxa"/>
            <w:noWrap w:val="0"/>
            <w:vAlign w:val="bottom"/>
          </w:tcPr>
          <w:p w14:paraId="5DED4AB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毛针织品</w:t>
            </w:r>
          </w:p>
        </w:tc>
        <w:tc>
          <w:tcPr>
            <w:tcW w:w="1758" w:type="dxa"/>
            <w:noWrap w:val="0"/>
            <w:vAlign w:val="bottom"/>
          </w:tcPr>
          <w:p w14:paraId="554A4E93">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w:t>
            </w:r>
          </w:p>
        </w:tc>
      </w:tr>
      <w:tr w14:paraId="4E3A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center"/>
          </w:tcPr>
          <w:p w14:paraId="1A5A98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43</w:t>
            </w:r>
          </w:p>
        </w:tc>
        <w:tc>
          <w:tcPr>
            <w:tcW w:w="2031" w:type="dxa"/>
            <w:noWrap w:val="0"/>
            <w:vAlign w:val="bottom"/>
          </w:tcPr>
          <w:p w14:paraId="38A68A7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日化用品</w:t>
            </w:r>
          </w:p>
        </w:tc>
        <w:tc>
          <w:tcPr>
            <w:tcW w:w="4193" w:type="dxa"/>
            <w:noWrap w:val="0"/>
            <w:vAlign w:val="bottom"/>
          </w:tcPr>
          <w:p w14:paraId="6FBFE480">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洗洁精</w:t>
            </w:r>
          </w:p>
        </w:tc>
        <w:tc>
          <w:tcPr>
            <w:tcW w:w="1758" w:type="dxa"/>
            <w:noWrap w:val="0"/>
            <w:vAlign w:val="bottom"/>
          </w:tcPr>
          <w:p w14:paraId="1B0F7CD5">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w:t>
            </w:r>
          </w:p>
        </w:tc>
      </w:tr>
      <w:tr w14:paraId="023AA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center"/>
          </w:tcPr>
          <w:p w14:paraId="119304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44</w:t>
            </w:r>
          </w:p>
        </w:tc>
        <w:tc>
          <w:tcPr>
            <w:tcW w:w="2031" w:type="dxa"/>
            <w:noWrap w:val="0"/>
            <w:vAlign w:val="bottom"/>
          </w:tcPr>
          <w:p w14:paraId="7EC6E129">
            <w:pPr>
              <w:jc w:val="center"/>
              <w:rPr>
                <w:rFonts w:hint="eastAsia" w:ascii="宋体" w:hAnsi="宋体" w:eastAsia="宋体" w:cs="宋体"/>
                <w:i w:val="0"/>
                <w:iCs w:val="0"/>
                <w:color w:val="000000"/>
                <w:sz w:val="21"/>
                <w:szCs w:val="21"/>
                <w:u w:val="none"/>
              </w:rPr>
            </w:pPr>
          </w:p>
        </w:tc>
        <w:tc>
          <w:tcPr>
            <w:tcW w:w="4193" w:type="dxa"/>
            <w:noWrap w:val="0"/>
            <w:vAlign w:val="bottom"/>
          </w:tcPr>
          <w:p w14:paraId="1CCA95D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洗衣粉</w:t>
            </w:r>
          </w:p>
        </w:tc>
        <w:tc>
          <w:tcPr>
            <w:tcW w:w="1758" w:type="dxa"/>
            <w:noWrap w:val="0"/>
            <w:vAlign w:val="bottom"/>
          </w:tcPr>
          <w:p w14:paraId="3800350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w:t>
            </w:r>
          </w:p>
        </w:tc>
      </w:tr>
      <w:tr w14:paraId="0D53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center"/>
          </w:tcPr>
          <w:p w14:paraId="106197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45</w:t>
            </w:r>
          </w:p>
        </w:tc>
        <w:tc>
          <w:tcPr>
            <w:tcW w:w="2031" w:type="dxa"/>
            <w:noWrap w:val="0"/>
            <w:vAlign w:val="bottom"/>
          </w:tcPr>
          <w:p w14:paraId="02A4D161">
            <w:pPr>
              <w:jc w:val="center"/>
              <w:rPr>
                <w:rFonts w:hint="eastAsia" w:ascii="宋体" w:hAnsi="宋体" w:eastAsia="宋体" w:cs="宋体"/>
                <w:i w:val="0"/>
                <w:iCs w:val="0"/>
                <w:color w:val="000000"/>
                <w:sz w:val="21"/>
                <w:szCs w:val="21"/>
                <w:u w:val="none"/>
              </w:rPr>
            </w:pPr>
          </w:p>
        </w:tc>
        <w:tc>
          <w:tcPr>
            <w:tcW w:w="4193" w:type="dxa"/>
            <w:noWrap w:val="0"/>
            <w:vAlign w:val="bottom"/>
          </w:tcPr>
          <w:p w14:paraId="063C6CA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清洁剂</w:t>
            </w:r>
          </w:p>
        </w:tc>
        <w:tc>
          <w:tcPr>
            <w:tcW w:w="1758" w:type="dxa"/>
            <w:noWrap w:val="0"/>
            <w:vAlign w:val="bottom"/>
          </w:tcPr>
          <w:p w14:paraId="20749AA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w:t>
            </w:r>
          </w:p>
        </w:tc>
      </w:tr>
      <w:tr w14:paraId="5CA4C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center"/>
          </w:tcPr>
          <w:p w14:paraId="05BDF1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46</w:t>
            </w:r>
          </w:p>
        </w:tc>
        <w:tc>
          <w:tcPr>
            <w:tcW w:w="2031" w:type="dxa"/>
            <w:noWrap w:val="0"/>
            <w:vAlign w:val="bottom"/>
          </w:tcPr>
          <w:p w14:paraId="489C6FCE">
            <w:pPr>
              <w:jc w:val="center"/>
              <w:rPr>
                <w:rFonts w:hint="eastAsia" w:ascii="宋体" w:hAnsi="宋体" w:eastAsia="宋体" w:cs="宋体"/>
                <w:i w:val="0"/>
                <w:iCs w:val="0"/>
                <w:color w:val="000000"/>
                <w:sz w:val="21"/>
                <w:szCs w:val="21"/>
                <w:u w:val="none"/>
              </w:rPr>
            </w:pPr>
          </w:p>
        </w:tc>
        <w:tc>
          <w:tcPr>
            <w:tcW w:w="4193" w:type="dxa"/>
            <w:noWrap w:val="0"/>
            <w:vAlign w:val="bottom"/>
          </w:tcPr>
          <w:p w14:paraId="5347590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84消毒液</w:t>
            </w:r>
          </w:p>
        </w:tc>
        <w:tc>
          <w:tcPr>
            <w:tcW w:w="1758" w:type="dxa"/>
            <w:noWrap w:val="0"/>
            <w:vAlign w:val="bottom"/>
          </w:tcPr>
          <w:p w14:paraId="124FE5B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w:t>
            </w:r>
          </w:p>
        </w:tc>
      </w:tr>
      <w:tr w14:paraId="67C46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center"/>
          </w:tcPr>
          <w:p w14:paraId="390715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47</w:t>
            </w:r>
          </w:p>
        </w:tc>
        <w:tc>
          <w:tcPr>
            <w:tcW w:w="2031" w:type="dxa"/>
            <w:noWrap w:val="0"/>
            <w:vAlign w:val="bottom"/>
          </w:tcPr>
          <w:p w14:paraId="3B2A546B">
            <w:pPr>
              <w:jc w:val="center"/>
              <w:rPr>
                <w:rFonts w:hint="eastAsia" w:ascii="宋体" w:hAnsi="宋体" w:eastAsia="宋体" w:cs="宋体"/>
                <w:i w:val="0"/>
                <w:iCs w:val="0"/>
                <w:color w:val="000000"/>
                <w:sz w:val="21"/>
                <w:szCs w:val="21"/>
                <w:u w:val="none"/>
              </w:rPr>
            </w:pPr>
          </w:p>
        </w:tc>
        <w:tc>
          <w:tcPr>
            <w:tcW w:w="4193" w:type="dxa"/>
            <w:noWrap w:val="0"/>
            <w:vAlign w:val="bottom"/>
          </w:tcPr>
          <w:p w14:paraId="6B15B7E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洗手液</w:t>
            </w:r>
          </w:p>
        </w:tc>
        <w:tc>
          <w:tcPr>
            <w:tcW w:w="1758" w:type="dxa"/>
            <w:noWrap w:val="0"/>
            <w:vAlign w:val="bottom"/>
          </w:tcPr>
          <w:p w14:paraId="256A0765">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w:t>
            </w:r>
          </w:p>
        </w:tc>
      </w:tr>
      <w:tr w14:paraId="369A7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center"/>
          </w:tcPr>
          <w:p w14:paraId="70EC90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48</w:t>
            </w:r>
          </w:p>
        </w:tc>
        <w:tc>
          <w:tcPr>
            <w:tcW w:w="2031" w:type="dxa"/>
            <w:noWrap w:val="0"/>
            <w:vAlign w:val="bottom"/>
          </w:tcPr>
          <w:p w14:paraId="6A1318AB">
            <w:pPr>
              <w:jc w:val="center"/>
              <w:rPr>
                <w:rFonts w:hint="eastAsia" w:ascii="宋体" w:hAnsi="宋体" w:eastAsia="宋体" w:cs="宋体"/>
                <w:i w:val="0"/>
                <w:iCs w:val="0"/>
                <w:color w:val="000000"/>
                <w:sz w:val="21"/>
                <w:szCs w:val="21"/>
                <w:u w:val="none"/>
              </w:rPr>
            </w:pPr>
          </w:p>
        </w:tc>
        <w:tc>
          <w:tcPr>
            <w:tcW w:w="4193" w:type="dxa"/>
            <w:noWrap w:val="0"/>
            <w:vAlign w:val="bottom"/>
          </w:tcPr>
          <w:p w14:paraId="02AAD9BC">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沐浴液</w:t>
            </w:r>
          </w:p>
        </w:tc>
        <w:tc>
          <w:tcPr>
            <w:tcW w:w="1758" w:type="dxa"/>
            <w:noWrap w:val="0"/>
            <w:vAlign w:val="bottom"/>
          </w:tcPr>
          <w:p w14:paraId="7D792345">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w:t>
            </w:r>
          </w:p>
        </w:tc>
      </w:tr>
      <w:tr w14:paraId="3B417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center"/>
          </w:tcPr>
          <w:p w14:paraId="0BF4D1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49</w:t>
            </w:r>
          </w:p>
        </w:tc>
        <w:tc>
          <w:tcPr>
            <w:tcW w:w="2031" w:type="dxa"/>
            <w:noWrap w:val="0"/>
            <w:vAlign w:val="bottom"/>
          </w:tcPr>
          <w:p w14:paraId="4960423B">
            <w:pPr>
              <w:jc w:val="center"/>
              <w:rPr>
                <w:rFonts w:hint="eastAsia" w:ascii="宋体" w:hAnsi="宋体" w:eastAsia="宋体" w:cs="宋体"/>
                <w:i w:val="0"/>
                <w:iCs w:val="0"/>
                <w:color w:val="000000"/>
                <w:sz w:val="21"/>
                <w:szCs w:val="21"/>
                <w:u w:val="none"/>
              </w:rPr>
            </w:pPr>
          </w:p>
        </w:tc>
        <w:tc>
          <w:tcPr>
            <w:tcW w:w="4193" w:type="dxa"/>
            <w:noWrap w:val="0"/>
            <w:vAlign w:val="bottom"/>
          </w:tcPr>
          <w:p w14:paraId="4E0EE890">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洗面奶/膏</w:t>
            </w:r>
          </w:p>
        </w:tc>
        <w:tc>
          <w:tcPr>
            <w:tcW w:w="1758" w:type="dxa"/>
            <w:noWrap w:val="0"/>
            <w:vAlign w:val="bottom"/>
          </w:tcPr>
          <w:p w14:paraId="3054D4C0">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w:t>
            </w:r>
          </w:p>
        </w:tc>
      </w:tr>
      <w:tr w14:paraId="3A9A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center"/>
          </w:tcPr>
          <w:p w14:paraId="4BDF87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50</w:t>
            </w:r>
          </w:p>
        </w:tc>
        <w:tc>
          <w:tcPr>
            <w:tcW w:w="2031" w:type="dxa"/>
            <w:noWrap w:val="0"/>
            <w:vAlign w:val="bottom"/>
          </w:tcPr>
          <w:p w14:paraId="2A2AAF18">
            <w:pPr>
              <w:jc w:val="center"/>
              <w:rPr>
                <w:rFonts w:hint="eastAsia" w:ascii="宋体" w:hAnsi="宋体" w:eastAsia="宋体" w:cs="宋体"/>
                <w:i w:val="0"/>
                <w:iCs w:val="0"/>
                <w:color w:val="000000"/>
                <w:sz w:val="21"/>
                <w:szCs w:val="21"/>
                <w:u w:val="none"/>
              </w:rPr>
            </w:pPr>
          </w:p>
        </w:tc>
        <w:tc>
          <w:tcPr>
            <w:tcW w:w="4193" w:type="dxa"/>
            <w:noWrap w:val="0"/>
            <w:vAlign w:val="bottom"/>
          </w:tcPr>
          <w:p w14:paraId="28E35DC9">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洗发液/膏</w:t>
            </w:r>
          </w:p>
        </w:tc>
        <w:tc>
          <w:tcPr>
            <w:tcW w:w="1758" w:type="dxa"/>
            <w:noWrap w:val="0"/>
            <w:vAlign w:val="bottom"/>
          </w:tcPr>
          <w:p w14:paraId="0C89C1B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w:t>
            </w:r>
          </w:p>
        </w:tc>
      </w:tr>
      <w:tr w14:paraId="13408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center"/>
          </w:tcPr>
          <w:p w14:paraId="4B415A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51</w:t>
            </w:r>
          </w:p>
        </w:tc>
        <w:tc>
          <w:tcPr>
            <w:tcW w:w="2031" w:type="dxa"/>
            <w:noWrap w:val="0"/>
            <w:vAlign w:val="bottom"/>
          </w:tcPr>
          <w:p w14:paraId="4C12B462">
            <w:pPr>
              <w:jc w:val="center"/>
              <w:rPr>
                <w:rFonts w:hint="eastAsia" w:ascii="宋体" w:hAnsi="宋体" w:eastAsia="宋体" w:cs="宋体"/>
                <w:i w:val="0"/>
                <w:iCs w:val="0"/>
                <w:color w:val="000000"/>
                <w:sz w:val="21"/>
                <w:szCs w:val="21"/>
                <w:u w:val="none"/>
              </w:rPr>
            </w:pPr>
          </w:p>
        </w:tc>
        <w:tc>
          <w:tcPr>
            <w:tcW w:w="4193" w:type="dxa"/>
            <w:noWrap w:val="0"/>
            <w:vAlign w:val="bottom"/>
          </w:tcPr>
          <w:p w14:paraId="72C5EA60">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牙膏</w:t>
            </w:r>
          </w:p>
        </w:tc>
        <w:tc>
          <w:tcPr>
            <w:tcW w:w="1758" w:type="dxa"/>
            <w:noWrap w:val="0"/>
            <w:vAlign w:val="bottom"/>
          </w:tcPr>
          <w:p w14:paraId="3102FD7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w:t>
            </w:r>
          </w:p>
        </w:tc>
      </w:tr>
      <w:tr w14:paraId="05B4B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center"/>
          </w:tcPr>
          <w:p w14:paraId="200788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52</w:t>
            </w:r>
          </w:p>
        </w:tc>
        <w:tc>
          <w:tcPr>
            <w:tcW w:w="2031" w:type="dxa"/>
            <w:noWrap w:val="0"/>
            <w:vAlign w:val="bottom"/>
          </w:tcPr>
          <w:p w14:paraId="4273D066">
            <w:pPr>
              <w:jc w:val="center"/>
              <w:rPr>
                <w:rFonts w:hint="eastAsia" w:ascii="宋体" w:hAnsi="宋体" w:eastAsia="宋体" w:cs="宋体"/>
                <w:i w:val="0"/>
                <w:iCs w:val="0"/>
                <w:color w:val="000000"/>
                <w:sz w:val="21"/>
                <w:szCs w:val="21"/>
                <w:u w:val="none"/>
              </w:rPr>
            </w:pPr>
          </w:p>
        </w:tc>
        <w:tc>
          <w:tcPr>
            <w:tcW w:w="4193" w:type="dxa"/>
            <w:noWrap w:val="0"/>
            <w:vAlign w:val="bottom"/>
          </w:tcPr>
          <w:p w14:paraId="1BDD3C15">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衣料用液体洗涤剂</w:t>
            </w:r>
          </w:p>
        </w:tc>
        <w:tc>
          <w:tcPr>
            <w:tcW w:w="1758" w:type="dxa"/>
            <w:noWrap w:val="0"/>
            <w:vAlign w:val="bottom"/>
          </w:tcPr>
          <w:p w14:paraId="4255968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w:t>
            </w:r>
          </w:p>
        </w:tc>
      </w:tr>
      <w:tr w14:paraId="62E3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center"/>
          </w:tcPr>
          <w:p w14:paraId="0FA5CE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53</w:t>
            </w:r>
          </w:p>
        </w:tc>
        <w:tc>
          <w:tcPr>
            <w:tcW w:w="2031" w:type="dxa"/>
            <w:noWrap w:val="0"/>
            <w:vAlign w:val="bottom"/>
          </w:tcPr>
          <w:p w14:paraId="3F6D00FD">
            <w:pPr>
              <w:jc w:val="center"/>
              <w:rPr>
                <w:rFonts w:hint="eastAsia" w:ascii="宋体" w:hAnsi="宋体" w:eastAsia="宋体" w:cs="宋体"/>
                <w:i w:val="0"/>
                <w:iCs w:val="0"/>
                <w:color w:val="000000"/>
                <w:sz w:val="21"/>
                <w:szCs w:val="21"/>
                <w:u w:val="none"/>
              </w:rPr>
            </w:pPr>
          </w:p>
        </w:tc>
        <w:tc>
          <w:tcPr>
            <w:tcW w:w="4193" w:type="dxa"/>
            <w:noWrap w:val="0"/>
            <w:vAlign w:val="bottom"/>
          </w:tcPr>
          <w:p w14:paraId="4B32A9D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洗涤剂</w:t>
            </w:r>
          </w:p>
        </w:tc>
        <w:tc>
          <w:tcPr>
            <w:tcW w:w="1758" w:type="dxa"/>
            <w:noWrap w:val="0"/>
            <w:vAlign w:val="bottom"/>
          </w:tcPr>
          <w:p w14:paraId="6F967135">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w:t>
            </w:r>
          </w:p>
        </w:tc>
      </w:tr>
      <w:tr w14:paraId="64C9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36" w:type="dxa"/>
            <w:noWrap w:val="0"/>
            <w:vAlign w:val="center"/>
          </w:tcPr>
          <w:p w14:paraId="5199B4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54</w:t>
            </w:r>
          </w:p>
        </w:tc>
        <w:tc>
          <w:tcPr>
            <w:tcW w:w="2031" w:type="dxa"/>
            <w:noWrap w:val="0"/>
            <w:vAlign w:val="bottom"/>
          </w:tcPr>
          <w:p w14:paraId="3EF568DD">
            <w:pPr>
              <w:jc w:val="center"/>
              <w:rPr>
                <w:rFonts w:hint="eastAsia" w:ascii="宋体" w:hAnsi="宋体" w:eastAsia="宋体" w:cs="宋体"/>
                <w:i w:val="0"/>
                <w:iCs w:val="0"/>
                <w:color w:val="000000"/>
                <w:sz w:val="21"/>
                <w:szCs w:val="21"/>
                <w:u w:val="none"/>
              </w:rPr>
            </w:pPr>
          </w:p>
        </w:tc>
        <w:tc>
          <w:tcPr>
            <w:tcW w:w="4193" w:type="dxa"/>
            <w:noWrap w:val="0"/>
            <w:vAlign w:val="bottom"/>
          </w:tcPr>
          <w:p w14:paraId="7DCA91B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洁厕净</w:t>
            </w:r>
          </w:p>
        </w:tc>
        <w:tc>
          <w:tcPr>
            <w:tcW w:w="1758" w:type="dxa"/>
            <w:noWrap w:val="0"/>
            <w:vAlign w:val="bottom"/>
          </w:tcPr>
          <w:p w14:paraId="0C91748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w:t>
            </w:r>
          </w:p>
        </w:tc>
      </w:tr>
      <w:tr w14:paraId="0786A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18" w:type="dxa"/>
            <w:gridSpan w:val="4"/>
            <w:noWrap w:val="0"/>
            <w:vAlign w:val="bottom"/>
          </w:tcPr>
          <w:p w14:paraId="2C198C05">
            <w:pPr>
              <w:keepNext w:val="0"/>
              <w:keepLines w:val="0"/>
              <w:widowControl/>
              <w:suppressLineNumbers w:val="0"/>
              <w:jc w:val="left"/>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注：该表格系较为全面的商品抽检项目，均为总体计划，在实际抽检中甲方将根据上级要求、举报投诉、专项检查、民生关注等工作需要适时调整抽检产品，并以常规产品抽检为主。</w:t>
            </w:r>
          </w:p>
        </w:tc>
      </w:tr>
    </w:tbl>
    <w:p w14:paraId="465D47F6">
      <w:pPr>
        <w:pStyle w:val="2"/>
        <w:spacing w:line="240" w:lineRule="auto"/>
        <w:jc w:val="center"/>
        <w:rPr>
          <w:rFonts w:asciiTheme="minorEastAsia" w:hAnsiTheme="minorEastAsia" w:eastAsiaTheme="minorEastAsia"/>
          <w:color w:val="000000" w:themeColor="text1"/>
          <w:sz w:val="36"/>
          <w:szCs w:val="36"/>
          <w:highlight w:val="none"/>
          <w14:textFill>
            <w14:solidFill>
              <w14:schemeClr w14:val="tx1"/>
            </w14:solidFill>
          </w14:textFill>
        </w:rPr>
      </w:pPr>
      <w:r>
        <w:rPr>
          <w:rFonts w:hint="eastAsia" w:asciiTheme="minorEastAsia" w:hAnsiTheme="minorEastAsia" w:eastAsiaTheme="minorEastAsia"/>
          <w:color w:val="000000" w:themeColor="text1"/>
          <w:sz w:val="36"/>
          <w:szCs w:val="36"/>
          <w:highlight w:val="none"/>
          <w14:textFill>
            <w14:solidFill>
              <w14:schemeClr w14:val="tx1"/>
            </w14:solidFill>
          </w14:textFill>
        </w:rPr>
        <w:t>第四章 评审办法</w:t>
      </w:r>
    </w:p>
    <w:p w14:paraId="159A8849">
      <w:pPr>
        <w:snapToGrid w:val="0"/>
        <w:spacing w:line="500" w:lineRule="exact"/>
        <w:ind w:left="1" w:firstLine="482" w:firstLineChars="200"/>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1. 磋商响应文件的评审、比较和否决</w:t>
      </w:r>
    </w:p>
    <w:p w14:paraId="1D37C0DA">
      <w:pPr>
        <w:spacing w:line="500" w:lineRule="exact"/>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1.1 磋商小组将按照竞争性磋商文件的规定，仅对在实质上响应竞争性磋商文件要求的磋商响应文件进行评估和比较。</w:t>
      </w:r>
    </w:p>
    <w:p w14:paraId="7A2FD52A">
      <w:pPr>
        <w:spacing w:line="500" w:lineRule="exact"/>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1.2 根据相关法律法规及有关招磋商响应文件规定，结合本项目具体情况，制定本次招标评审办法。并按照“公平、公正、科学、择优”的原则进行评标。采用百分制综合分法进行评比。</w:t>
      </w:r>
    </w:p>
    <w:p w14:paraId="726CDE1F">
      <w:pPr>
        <w:spacing w:line="500" w:lineRule="exact"/>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1.3 在评审过程中，磋商小组可以要求供应商就磋商响应文件中含义不明确的内容进行陈述；凡遇到竞争性磋商文件中无界定或界定不清、前后不一致使磋商小组成员意见有分歧且又难于协商一致的问题，均由磋商小组予以表决，获半数以上同意的即为通过，未获半数同意的即为否决。</w:t>
      </w:r>
    </w:p>
    <w:p w14:paraId="62652EDB">
      <w:pPr>
        <w:spacing w:line="500" w:lineRule="exact"/>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1.4 评审时，报价是评标的重要依据，但不是唯一依据，采购人不承诺将合同授予报价最低或最高的供应商。</w:t>
      </w:r>
    </w:p>
    <w:p w14:paraId="496BC3C1">
      <w:pPr>
        <w:spacing w:line="500" w:lineRule="exact"/>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1.5 磋商小组依据竞争性磋商文件中规定的评标标准和方法，对磋商响应文件进行评审和比较，向采购人提出书面评标报告，并推荐合格的中标候选人。采购人根据磋商小组提出的书面评标报告和推荐的中标候选人按序确定成交供应商。</w:t>
      </w:r>
    </w:p>
    <w:p w14:paraId="197AF4CE">
      <w:pPr>
        <w:snapToGrid w:val="0"/>
        <w:spacing w:line="500" w:lineRule="exact"/>
        <w:ind w:left="1"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1.6在磋商过程中，评审得分相同的，按照最后报价由低到高的顺序确定，评审得分且最后报价相同的，由采购人确定成交候选供应商。</w:t>
      </w:r>
    </w:p>
    <w:p w14:paraId="45304B5E">
      <w:pPr>
        <w:snapToGrid w:val="0"/>
        <w:spacing w:line="500" w:lineRule="exact"/>
        <w:ind w:left="1" w:firstLine="482" w:firstLineChars="200"/>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2. 评审程序</w:t>
      </w:r>
    </w:p>
    <w:p w14:paraId="7E326177">
      <w:pPr>
        <w:spacing w:line="500" w:lineRule="exact"/>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cs="宋体" w:asciiTheme="minorEastAsia" w:hAnsiTheme="minorEastAsia" w:eastAsiaTheme="minorEastAsia"/>
          <w:color w:val="000000" w:themeColor="text1"/>
          <w:sz w:val="24"/>
          <w:highlight w:val="none"/>
          <w14:textFill>
            <w14:solidFill>
              <w14:schemeClr w14:val="tx1"/>
            </w14:solidFill>
          </w14:textFill>
        </w:rPr>
        <w:t xml:space="preserve">2.1 </w:t>
      </w:r>
      <w:r>
        <w:rPr>
          <w:rFonts w:hint="eastAsia" w:cs="宋体" w:asciiTheme="minorEastAsia" w:hAnsiTheme="minorEastAsia" w:eastAsiaTheme="minorEastAsia"/>
          <w:color w:val="000000" w:themeColor="text1"/>
          <w:sz w:val="24"/>
          <w:highlight w:val="none"/>
          <w14:textFill>
            <w14:solidFill>
              <w14:schemeClr w14:val="tx1"/>
            </w14:solidFill>
          </w14:textFill>
        </w:rPr>
        <w:t>资格审查</w:t>
      </w:r>
    </w:p>
    <w:p w14:paraId="5FE39933">
      <w:pPr>
        <w:spacing w:line="500" w:lineRule="exact"/>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磋商小组按照本章第3条“磋商具体方法和标准”的要求对磋商供应商的资格要求相关证件材料进行审查，有一项不符合的，视为未通过资格审查，按无效标处理，符合的进入下一磋商程序。</w:t>
      </w:r>
    </w:p>
    <w:p w14:paraId="6C29A170">
      <w:pPr>
        <w:spacing w:line="500" w:lineRule="exact"/>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cs="宋体" w:asciiTheme="minorEastAsia" w:hAnsiTheme="minorEastAsia" w:eastAsiaTheme="minorEastAsia"/>
          <w:color w:val="000000" w:themeColor="text1"/>
          <w:sz w:val="24"/>
          <w:highlight w:val="none"/>
          <w14:textFill>
            <w14:solidFill>
              <w14:schemeClr w14:val="tx1"/>
            </w14:solidFill>
          </w14:textFill>
        </w:rPr>
        <w:t>2.2</w:t>
      </w:r>
      <w:r>
        <w:rPr>
          <w:rFonts w:hint="eastAsia" w:cs="宋体" w:asciiTheme="minorEastAsia" w:hAnsiTheme="minorEastAsia" w:eastAsiaTheme="minorEastAsia"/>
          <w:color w:val="000000" w:themeColor="text1"/>
          <w:sz w:val="24"/>
          <w:highlight w:val="none"/>
          <w14:textFill>
            <w14:solidFill>
              <w14:schemeClr w14:val="tx1"/>
            </w14:solidFill>
          </w14:textFill>
        </w:rPr>
        <w:t>符合性审查</w:t>
      </w:r>
    </w:p>
    <w:p w14:paraId="50858CBB">
      <w:pPr>
        <w:spacing w:line="500" w:lineRule="exact"/>
        <w:ind w:firstLine="480" w:firstLineChars="200"/>
        <w:rPr>
          <w:rFonts w:hint="eastAsia"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磋商小组按照本章第3条“磋商具体方法和标准”的要求对磋商供应商的符合性进行审查，有一项不符合的，视为未通过符合性审查，按无效标处理，符合的进入下一磋商程序。</w:t>
      </w:r>
    </w:p>
    <w:p w14:paraId="20619386">
      <w:pPr>
        <w:spacing w:line="500" w:lineRule="exact"/>
        <w:ind w:firstLine="480" w:firstLineChars="200"/>
        <w:rPr>
          <w:rFonts w:hint="eastAsia"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2.3响应性</w:t>
      </w:r>
      <w:r>
        <w:rPr>
          <w:rFonts w:hint="eastAsia" w:cs="宋体" w:asciiTheme="minorEastAsia" w:hAnsiTheme="minorEastAsia" w:eastAsiaTheme="minorEastAsia"/>
          <w:color w:val="000000" w:themeColor="text1"/>
          <w:sz w:val="24"/>
          <w:highlight w:val="none"/>
          <w14:textFill>
            <w14:solidFill>
              <w14:schemeClr w14:val="tx1"/>
            </w14:solidFill>
          </w14:textFill>
        </w:rPr>
        <w:t>审查</w:t>
      </w:r>
    </w:p>
    <w:p w14:paraId="019CCE48">
      <w:pPr>
        <w:spacing w:line="500" w:lineRule="exact"/>
        <w:ind w:firstLine="480" w:firstLineChars="200"/>
        <w:rPr>
          <w:rFonts w:hint="eastAsia" w:eastAsiaTheme="minorEastAsia"/>
          <w:lang w:val="en-US" w:eastAsia="zh-CN"/>
        </w:rPr>
      </w:pPr>
      <w:r>
        <w:rPr>
          <w:rFonts w:hint="eastAsia" w:cs="宋体" w:asciiTheme="minorEastAsia" w:hAnsiTheme="minorEastAsia" w:eastAsiaTheme="minorEastAsia"/>
          <w:color w:val="000000" w:themeColor="text1"/>
          <w:sz w:val="24"/>
          <w:highlight w:val="none"/>
          <w14:textFill>
            <w14:solidFill>
              <w14:schemeClr w14:val="tx1"/>
            </w14:solidFill>
          </w14:textFill>
        </w:rPr>
        <w:t>磋商小组按照本章第3条“磋商具体方法和标准”的要求对磋商供应商的</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响应性</w:t>
      </w:r>
      <w:r>
        <w:rPr>
          <w:rFonts w:hint="eastAsia" w:cs="宋体" w:asciiTheme="minorEastAsia" w:hAnsiTheme="minorEastAsia" w:eastAsiaTheme="minorEastAsia"/>
          <w:color w:val="000000" w:themeColor="text1"/>
          <w:sz w:val="24"/>
          <w:highlight w:val="none"/>
          <w14:textFill>
            <w14:solidFill>
              <w14:schemeClr w14:val="tx1"/>
            </w14:solidFill>
          </w14:textFill>
        </w:rPr>
        <w:t>进行审查，有一项不符合的，视为未通过</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响应性</w:t>
      </w:r>
      <w:r>
        <w:rPr>
          <w:rFonts w:hint="eastAsia" w:cs="宋体" w:asciiTheme="minorEastAsia" w:hAnsiTheme="minorEastAsia" w:eastAsiaTheme="minorEastAsia"/>
          <w:color w:val="000000" w:themeColor="text1"/>
          <w:sz w:val="24"/>
          <w:highlight w:val="none"/>
          <w14:textFill>
            <w14:solidFill>
              <w14:schemeClr w14:val="tx1"/>
            </w14:solidFill>
          </w14:textFill>
        </w:rPr>
        <w:t>审查，按无效标处理，符合的进入下一磋商程序</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w:t>
      </w:r>
    </w:p>
    <w:p w14:paraId="4056CE74">
      <w:pPr>
        <w:spacing w:line="500" w:lineRule="exact"/>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4</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磋商小组所有成员集中与通过初步评审的供应商分别逐一进行磋商，磋商双方可以就磋商项目所涉服务方案、服务要求等进行磋商，但磋商的任何一方不得透露与磋商有关的其他供应商的技术资料、价格和其他信息。磋商结束后要求所有参加磋商的磋商供应商在规定时间内进行（最后报价）。</w:t>
      </w:r>
    </w:p>
    <w:p w14:paraId="47786419">
      <w:pPr>
        <w:snapToGrid w:val="0"/>
        <w:spacing w:line="500" w:lineRule="exact"/>
        <w:ind w:left="1" w:firstLine="482" w:firstLineChars="200"/>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3.磋商具体方法和标准</w:t>
      </w:r>
    </w:p>
    <w:p w14:paraId="08604F71">
      <w:pPr>
        <w:spacing w:line="500" w:lineRule="exact"/>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3.1满足竞争性磋商文件要求且价格最低的报价为评标基准价，其价格分为满分（即10分）。其他供应商的价格分统一按照下列公式计算：报价得分=(评标基准价／报价)×价格权值（10分）</w:t>
      </w:r>
    </w:p>
    <w:p w14:paraId="3FD4ABB0">
      <w:pPr>
        <w:spacing w:line="500" w:lineRule="exact"/>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3.2磋商小组根据磋商原则和办法对所有磋商文件进行集中审核，分别评</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审</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396ED189">
      <w:pPr>
        <w:pStyle w:val="16"/>
        <w:ind w:firstLine="321"/>
        <w:rPr>
          <w:rFonts w:asciiTheme="minorEastAsia" w:hAnsiTheme="minorEastAsia" w:eastAsiaTheme="minorEastAsia"/>
          <w:b/>
          <w:color w:val="000000" w:themeColor="text1"/>
          <w:sz w:val="32"/>
          <w:szCs w:val="32"/>
          <w:highlight w:val="none"/>
          <w14:textFill>
            <w14:solidFill>
              <w14:schemeClr w14:val="tx1"/>
            </w14:solidFill>
          </w14:textFill>
        </w:rPr>
      </w:pPr>
    </w:p>
    <w:p w14:paraId="3547FCFE">
      <w:pPr>
        <w:pStyle w:val="16"/>
        <w:ind w:firstLine="321"/>
        <w:rPr>
          <w:rFonts w:asciiTheme="minorEastAsia" w:hAnsiTheme="minorEastAsia" w:eastAsiaTheme="minorEastAsia"/>
          <w:b/>
          <w:color w:val="000000" w:themeColor="text1"/>
          <w:sz w:val="32"/>
          <w:szCs w:val="32"/>
          <w:highlight w:val="none"/>
          <w14:textFill>
            <w14:solidFill>
              <w14:schemeClr w14:val="tx1"/>
            </w14:solidFill>
          </w14:textFill>
        </w:rPr>
      </w:pPr>
    </w:p>
    <w:p w14:paraId="0333DC00">
      <w:pPr>
        <w:pStyle w:val="16"/>
        <w:ind w:firstLine="321"/>
        <w:rPr>
          <w:rFonts w:asciiTheme="minorEastAsia" w:hAnsiTheme="minorEastAsia" w:eastAsiaTheme="minorEastAsia"/>
          <w:b/>
          <w:color w:val="000000" w:themeColor="text1"/>
          <w:sz w:val="32"/>
          <w:szCs w:val="32"/>
          <w:highlight w:val="none"/>
          <w14:textFill>
            <w14:solidFill>
              <w14:schemeClr w14:val="tx1"/>
            </w14:solidFill>
          </w14:textFill>
        </w:rPr>
      </w:pPr>
    </w:p>
    <w:p w14:paraId="4D8E98D9">
      <w:pPr>
        <w:pStyle w:val="16"/>
        <w:ind w:firstLine="321"/>
        <w:rPr>
          <w:rFonts w:asciiTheme="minorEastAsia" w:hAnsiTheme="minorEastAsia" w:eastAsiaTheme="minorEastAsia"/>
          <w:b/>
          <w:color w:val="000000" w:themeColor="text1"/>
          <w:sz w:val="32"/>
          <w:szCs w:val="32"/>
          <w:highlight w:val="none"/>
          <w14:textFill>
            <w14:solidFill>
              <w14:schemeClr w14:val="tx1"/>
            </w14:solidFill>
          </w14:textFill>
        </w:rPr>
      </w:pPr>
    </w:p>
    <w:p w14:paraId="3B814CB2">
      <w:pPr>
        <w:pStyle w:val="16"/>
        <w:ind w:firstLine="321"/>
        <w:rPr>
          <w:rFonts w:asciiTheme="minorEastAsia" w:hAnsiTheme="minorEastAsia" w:eastAsiaTheme="minorEastAsia"/>
          <w:b/>
          <w:color w:val="000000" w:themeColor="text1"/>
          <w:sz w:val="32"/>
          <w:szCs w:val="32"/>
          <w:highlight w:val="none"/>
          <w14:textFill>
            <w14:solidFill>
              <w14:schemeClr w14:val="tx1"/>
            </w14:solidFill>
          </w14:textFill>
        </w:rPr>
      </w:pPr>
    </w:p>
    <w:p w14:paraId="06B4F36F">
      <w:pPr>
        <w:pStyle w:val="16"/>
        <w:ind w:firstLine="321"/>
        <w:rPr>
          <w:rFonts w:asciiTheme="minorEastAsia" w:hAnsiTheme="minorEastAsia" w:eastAsiaTheme="minorEastAsia"/>
          <w:b/>
          <w:color w:val="000000" w:themeColor="text1"/>
          <w:sz w:val="32"/>
          <w:szCs w:val="32"/>
          <w:highlight w:val="none"/>
          <w14:textFill>
            <w14:solidFill>
              <w14:schemeClr w14:val="tx1"/>
            </w14:solidFill>
          </w14:textFill>
        </w:rPr>
      </w:pPr>
    </w:p>
    <w:p w14:paraId="7E0FA940">
      <w:pPr>
        <w:pStyle w:val="16"/>
        <w:ind w:firstLine="321"/>
        <w:rPr>
          <w:rFonts w:asciiTheme="minorEastAsia" w:hAnsiTheme="minorEastAsia" w:eastAsiaTheme="minorEastAsia"/>
          <w:b/>
          <w:color w:val="000000" w:themeColor="text1"/>
          <w:sz w:val="32"/>
          <w:szCs w:val="32"/>
          <w:highlight w:val="none"/>
          <w14:textFill>
            <w14:solidFill>
              <w14:schemeClr w14:val="tx1"/>
            </w14:solidFill>
          </w14:textFill>
        </w:rPr>
      </w:pPr>
    </w:p>
    <w:p w14:paraId="2188826B">
      <w:pPr>
        <w:pStyle w:val="16"/>
        <w:ind w:firstLine="321"/>
        <w:rPr>
          <w:rFonts w:asciiTheme="minorEastAsia" w:hAnsiTheme="minorEastAsia" w:eastAsiaTheme="minorEastAsia"/>
          <w:b/>
          <w:color w:val="000000" w:themeColor="text1"/>
          <w:sz w:val="32"/>
          <w:szCs w:val="32"/>
          <w:highlight w:val="none"/>
          <w14:textFill>
            <w14:solidFill>
              <w14:schemeClr w14:val="tx1"/>
            </w14:solidFill>
          </w14:textFill>
        </w:rPr>
      </w:pPr>
    </w:p>
    <w:p w14:paraId="21BE2343">
      <w:pPr>
        <w:pStyle w:val="16"/>
        <w:ind w:firstLine="321"/>
        <w:rPr>
          <w:rFonts w:asciiTheme="minorEastAsia" w:hAnsiTheme="minorEastAsia" w:eastAsiaTheme="minorEastAsia"/>
          <w:b/>
          <w:color w:val="000000" w:themeColor="text1"/>
          <w:sz w:val="32"/>
          <w:szCs w:val="32"/>
          <w:highlight w:val="none"/>
          <w14:textFill>
            <w14:solidFill>
              <w14:schemeClr w14:val="tx1"/>
            </w14:solidFill>
          </w14:textFill>
        </w:rPr>
      </w:pPr>
    </w:p>
    <w:p w14:paraId="226644D2">
      <w:pPr>
        <w:pStyle w:val="16"/>
        <w:ind w:firstLine="321"/>
        <w:rPr>
          <w:rFonts w:asciiTheme="minorEastAsia" w:hAnsiTheme="minorEastAsia" w:eastAsiaTheme="minorEastAsia"/>
          <w:b/>
          <w:color w:val="000000" w:themeColor="text1"/>
          <w:sz w:val="32"/>
          <w:szCs w:val="32"/>
          <w:highlight w:val="none"/>
          <w14:textFill>
            <w14:solidFill>
              <w14:schemeClr w14:val="tx1"/>
            </w14:solidFill>
          </w14:textFill>
        </w:rPr>
      </w:pPr>
    </w:p>
    <w:p w14:paraId="7A1CA41C">
      <w:pPr>
        <w:pStyle w:val="16"/>
        <w:ind w:firstLine="321"/>
        <w:rPr>
          <w:rFonts w:asciiTheme="minorEastAsia" w:hAnsiTheme="minorEastAsia" w:eastAsiaTheme="minorEastAsia"/>
          <w:b/>
          <w:color w:val="000000" w:themeColor="text1"/>
          <w:sz w:val="32"/>
          <w:szCs w:val="32"/>
          <w:highlight w:val="none"/>
          <w14:textFill>
            <w14:solidFill>
              <w14:schemeClr w14:val="tx1"/>
            </w14:solidFill>
          </w14:textFill>
        </w:rPr>
      </w:pPr>
    </w:p>
    <w:p w14:paraId="6BE6A6D4">
      <w:pPr>
        <w:pStyle w:val="16"/>
        <w:ind w:firstLine="321"/>
        <w:rPr>
          <w:rFonts w:asciiTheme="minorEastAsia" w:hAnsiTheme="minorEastAsia" w:eastAsiaTheme="minorEastAsia"/>
          <w:b/>
          <w:color w:val="000000" w:themeColor="text1"/>
          <w:sz w:val="32"/>
          <w:szCs w:val="32"/>
          <w:highlight w:val="none"/>
          <w14:textFill>
            <w14:solidFill>
              <w14:schemeClr w14:val="tx1"/>
            </w14:solidFill>
          </w14:textFill>
        </w:rPr>
      </w:pPr>
    </w:p>
    <w:p w14:paraId="6D11E1F8">
      <w:pPr>
        <w:pStyle w:val="16"/>
        <w:ind w:firstLine="0" w:firstLineChars="0"/>
        <w:rPr>
          <w:rFonts w:asciiTheme="minorEastAsia" w:hAnsiTheme="minorEastAsia" w:eastAsiaTheme="minorEastAsia"/>
          <w:b/>
          <w:color w:val="000000" w:themeColor="text1"/>
          <w:sz w:val="32"/>
          <w:szCs w:val="32"/>
          <w:highlight w:val="none"/>
          <w14:textFill>
            <w14:solidFill>
              <w14:schemeClr w14:val="tx1"/>
            </w14:solidFill>
          </w14:textFill>
        </w:rPr>
      </w:pPr>
    </w:p>
    <w:p w14:paraId="4C7E5ADA">
      <w:pPr>
        <w:pStyle w:val="16"/>
        <w:ind w:firstLine="321"/>
        <w:jc w:val="center"/>
        <w:rPr>
          <w:rFonts w:hint="eastAsia" w:asciiTheme="minorEastAsia" w:hAnsiTheme="minorEastAsia" w:eastAsiaTheme="minorEastAsia"/>
          <w:b/>
          <w:color w:val="000000" w:themeColor="text1"/>
          <w:sz w:val="32"/>
          <w:szCs w:val="32"/>
          <w:highlight w:val="none"/>
          <w14:textFill>
            <w14:solidFill>
              <w14:schemeClr w14:val="tx1"/>
            </w14:solidFill>
          </w14:textFill>
        </w:rPr>
      </w:pPr>
    </w:p>
    <w:p w14:paraId="3B502A50">
      <w:pPr>
        <w:pStyle w:val="16"/>
        <w:ind w:firstLine="321"/>
        <w:jc w:val="center"/>
        <w:rPr>
          <w:rFonts w:asciiTheme="minorEastAsia" w:hAnsiTheme="minorEastAsia" w:eastAsia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b/>
          <w:color w:val="000000" w:themeColor="text1"/>
          <w:sz w:val="32"/>
          <w:szCs w:val="32"/>
          <w:highlight w:val="none"/>
          <w14:textFill>
            <w14:solidFill>
              <w14:schemeClr w14:val="tx1"/>
            </w14:solidFill>
          </w14:textFill>
        </w:rPr>
        <w:t>评分标准</w:t>
      </w:r>
    </w:p>
    <w:tbl>
      <w:tblPr>
        <w:tblStyle w:val="17"/>
        <w:tblW w:w="9532" w:type="dxa"/>
        <w:jc w:val="center"/>
        <w:tblLayout w:type="fixed"/>
        <w:tblCellMar>
          <w:top w:w="0" w:type="dxa"/>
          <w:left w:w="0" w:type="dxa"/>
          <w:bottom w:w="0" w:type="dxa"/>
          <w:right w:w="0" w:type="dxa"/>
        </w:tblCellMar>
      </w:tblPr>
      <w:tblGrid>
        <w:gridCol w:w="1027"/>
        <w:gridCol w:w="1359"/>
        <w:gridCol w:w="1559"/>
        <w:gridCol w:w="5587"/>
      </w:tblGrid>
      <w:tr w14:paraId="0FB79D65">
        <w:tblPrEx>
          <w:tblCellMar>
            <w:top w:w="0" w:type="dxa"/>
            <w:left w:w="0" w:type="dxa"/>
            <w:bottom w:w="0" w:type="dxa"/>
            <w:right w:w="0" w:type="dxa"/>
          </w:tblCellMar>
        </w:tblPrEx>
        <w:trPr>
          <w:trHeight w:val="20" w:hRule="atLeast"/>
          <w:jc w:val="center"/>
        </w:trPr>
        <w:tc>
          <w:tcPr>
            <w:tcW w:w="2386" w:type="dxa"/>
            <w:gridSpan w:val="2"/>
            <w:tcBorders>
              <w:top w:val="single" w:color="auto" w:sz="4" w:space="0"/>
              <w:left w:val="single" w:color="auto" w:sz="4" w:space="0"/>
              <w:bottom w:val="single" w:color="000000" w:sz="4" w:space="0"/>
              <w:right w:val="single" w:color="000000" w:sz="4" w:space="0"/>
            </w:tcBorders>
            <w:vAlign w:val="center"/>
          </w:tcPr>
          <w:p w14:paraId="5EC6FDB1">
            <w:pPr>
              <w:autoSpaceDE w:val="0"/>
              <w:autoSpaceDN w:val="0"/>
              <w:adjustRightInd w:val="0"/>
              <w:spacing w:before="50" w:line="360" w:lineRule="auto"/>
              <w:ind w:right="97" w:firstLine="68" w:firstLineChars="28"/>
              <w:jc w:val="center"/>
              <w:rPr>
                <w:rFonts w:asciiTheme="minorEastAsia" w:hAnsiTheme="minorEastAsia" w:eastAsiaTheme="minorEastAsia"/>
                <w:b/>
                <w:color w:val="000000" w:themeColor="text1"/>
                <w:spacing w:val="1"/>
                <w:kern w:val="0"/>
                <w:sz w:val="24"/>
                <w:highlight w:val="none"/>
                <w14:textFill>
                  <w14:solidFill>
                    <w14:schemeClr w14:val="tx1"/>
                  </w14:solidFill>
                </w14:textFill>
              </w:rPr>
            </w:pPr>
            <w:r>
              <w:rPr>
                <w:rFonts w:hint="eastAsia" w:asciiTheme="minorEastAsia" w:hAnsiTheme="minorEastAsia" w:eastAsiaTheme="minorEastAsia"/>
                <w:b/>
                <w:color w:val="000000" w:themeColor="text1"/>
                <w:spacing w:val="1"/>
                <w:kern w:val="0"/>
                <w:sz w:val="24"/>
                <w:highlight w:val="none"/>
                <w14:textFill>
                  <w14:solidFill>
                    <w14:schemeClr w14:val="tx1"/>
                  </w14:solidFill>
                </w14:textFill>
              </w:rPr>
              <w:t>条款号</w:t>
            </w:r>
          </w:p>
        </w:tc>
        <w:tc>
          <w:tcPr>
            <w:tcW w:w="1559" w:type="dxa"/>
            <w:tcBorders>
              <w:top w:val="single" w:color="auto" w:sz="4" w:space="0"/>
              <w:left w:val="single" w:color="000000" w:sz="4" w:space="0"/>
              <w:bottom w:val="single" w:color="000000" w:sz="4" w:space="0"/>
              <w:right w:val="single" w:color="000000" w:sz="4" w:space="0"/>
            </w:tcBorders>
            <w:vAlign w:val="center"/>
          </w:tcPr>
          <w:p w14:paraId="5C1CEF73">
            <w:pPr>
              <w:autoSpaceDE w:val="0"/>
              <w:autoSpaceDN w:val="0"/>
              <w:adjustRightInd w:val="0"/>
              <w:spacing w:before="50" w:line="360" w:lineRule="auto"/>
              <w:ind w:right="97" w:firstLine="68" w:firstLineChars="28"/>
              <w:jc w:val="center"/>
              <w:rPr>
                <w:rFonts w:asciiTheme="minorEastAsia" w:hAnsiTheme="minorEastAsia" w:eastAsiaTheme="minorEastAsia"/>
                <w:b/>
                <w:color w:val="000000" w:themeColor="text1"/>
                <w:spacing w:val="1"/>
                <w:kern w:val="0"/>
                <w:sz w:val="24"/>
                <w:highlight w:val="none"/>
                <w14:textFill>
                  <w14:solidFill>
                    <w14:schemeClr w14:val="tx1"/>
                  </w14:solidFill>
                </w14:textFill>
              </w:rPr>
            </w:pPr>
            <w:r>
              <w:rPr>
                <w:rFonts w:hint="eastAsia" w:asciiTheme="minorEastAsia" w:hAnsiTheme="minorEastAsia" w:eastAsiaTheme="minorEastAsia"/>
                <w:b/>
                <w:color w:val="000000" w:themeColor="text1"/>
                <w:spacing w:val="1"/>
                <w:kern w:val="0"/>
                <w:sz w:val="24"/>
                <w:highlight w:val="none"/>
                <w14:textFill>
                  <w14:solidFill>
                    <w14:schemeClr w14:val="tx1"/>
                  </w14:solidFill>
                </w14:textFill>
              </w:rPr>
              <w:t>评审因素</w:t>
            </w:r>
          </w:p>
        </w:tc>
        <w:tc>
          <w:tcPr>
            <w:tcW w:w="5587" w:type="dxa"/>
            <w:tcBorders>
              <w:top w:val="single" w:color="auto" w:sz="4" w:space="0"/>
              <w:left w:val="single" w:color="000000" w:sz="4" w:space="0"/>
              <w:bottom w:val="single" w:color="000000" w:sz="4" w:space="0"/>
              <w:right w:val="single" w:color="auto" w:sz="4" w:space="0"/>
            </w:tcBorders>
            <w:vAlign w:val="center"/>
          </w:tcPr>
          <w:p w14:paraId="2059D238">
            <w:pPr>
              <w:autoSpaceDE w:val="0"/>
              <w:autoSpaceDN w:val="0"/>
              <w:adjustRightInd w:val="0"/>
              <w:spacing w:before="50" w:line="360" w:lineRule="auto"/>
              <w:ind w:right="97" w:firstLine="68" w:firstLineChars="28"/>
              <w:jc w:val="center"/>
              <w:rPr>
                <w:rFonts w:asciiTheme="minorEastAsia" w:hAnsiTheme="minorEastAsia" w:eastAsiaTheme="minorEastAsia"/>
                <w:b/>
                <w:color w:val="000000" w:themeColor="text1"/>
                <w:spacing w:val="1"/>
                <w:kern w:val="0"/>
                <w:sz w:val="24"/>
                <w:highlight w:val="none"/>
                <w14:textFill>
                  <w14:solidFill>
                    <w14:schemeClr w14:val="tx1"/>
                  </w14:solidFill>
                </w14:textFill>
              </w:rPr>
            </w:pPr>
            <w:r>
              <w:rPr>
                <w:rFonts w:hint="eastAsia" w:asciiTheme="minorEastAsia" w:hAnsiTheme="minorEastAsia" w:eastAsiaTheme="minorEastAsia"/>
                <w:b/>
                <w:color w:val="000000" w:themeColor="text1"/>
                <w:spacing w:val="1"/>
                <w:kern w:val="0"/>
                <w:sz w:val="24"/>
                <w:highlight w:val="none"/>
                <w14:textFill>
                  <w14:solidFill>
                    <w14:schemeClr w14:val="tx1"/>
                  </w14:solidFill>
                </w14:textFill>
              </w:rPr>
              <w:t>评审标准</w:t>
            </w:r>
          </w:p>
        </w:tc>
      </w:tr>
      <w:tr w14:paraId="7724F2F9">
        <w:tblPrEx>
          <w:tblCellMar>
            <w:top w:w="0" w:type="dxa"/>
            <w:left w:w="0" w:type="dxa"/>
            <w:bottom w:w="0" w:type="dxa"/>
            <w:right w:w="0" w:type="dxa"/>
          </w:tblCellMar>
        </w:tblPrEx>
        <w:trPr>
          <w:trHeight w:val="1250" w:hRule="atLeast"/>
          <w:jc w:val="center"/>
        </w:trPr>
        <w:tc>
          <w:tcPr>
            <w:tcW w:w="1027" w:type="dxa"/>
            <w:vMerge w:val="restart"/>
            <w:tcBorders>
              <w:top w:val="single" w:color="auto" w:sz="4" w:space="0"/>
              <w:left w:val="single" w:color="auto" w:sz="4" w:space="0"/>
              <w:right w:val="single" w:color="auto" w:sz="4" w:space="0"/>
            </w:tcBorders>
            <w:vAlign w:val="center"/>
          </w:tcPr>
          <w:p w14:paraId="0DE4B265">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p>
          <w:p w14:paraId="529DC4E6">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2.1</w:t>
            </w:r>
          </w:p>
        </w:tc>
        <w:tc>
          <w:tcPr>
            <w:tcW w:w="1359" w:type="dxa"/>
            <w:vMerge w:val="restart"/>
            <w:tcBorders>
              <w:top w:val="single" w:color="auto" w:sz="4" w:space="0"/>
              <w:left w:val="single" w:color="auto" w:sz="4" w:space="0"/>
              <w:right w:val="single" w:color="auto" w:sz="4" w:space="0"/>
            </w:tcBorders>
            <w:vAlign w:val="center"/>
          </w:tcPr>
          <w:p w14:paraId="540D94D5">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资格评审标准</w:t>
            </w:r>
          </w:p>
        </w:tc>
        <w:tc>
          <w:tcPr>
            <w:tcW w:w="1559" w:type="dxa"/>
            <w:tcBorders>
              <w:top w:val="single" w:color="000000" w:sz="4" w:space="0"/>
              <w:left w:val="single" w:color="auto" w:sz="4" w:space="0"/>
              <w:bottom w:val="single" w:color="auto" w:sz="4" w:space="0"/>
              <w:right w:val="single" w:color="auto" w:sz="4" w:space="0"/>
            </w:tcBorders>
            <w:vAlign w:val="center"/>
          </w:tcPr>
          <w:p w14:paraId="65A8F6AF">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有效的营业执照</w:t>
            </w:r>
          </w:p>
        </w:tc>
        <w:tc>
          <w:tcPr>
            <w:tcW w:w="5587" w:type="dxa"/>
            <w:tcBorders>
              <w:top w:val="single" w:color="000000" w:sz="4" w:space="0"/>
              <w:left w:val="single" w:color="000000" w:sz="4" w:space="0"/>
              <w:bottom w:val="single" w:color="auto" w:sz="4" w:space="0"/>
              <w:right w:val="single" w:color="auto" w:sz="4" w:space="0"/>
            </w:tcBorders>
            <w:vAlign w:val="center"/>
          </w:tcPr>
          <w:p w14:paraId="3BFC41BE">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供应商须具有有效的营业执照、税务登记证、组织机构代码证或“三证合一”的营业执照</w:t>
            </w:r>
          </w:p>
        </w:tc>
      </w:tr>
      <w:tr w14:paraId="582CBFE9">
        <w:tblPrEx>
          <w:tblCellMar>
            <w:top w:w="0" w:type="dxa"/>
            <w:left w:w="0" w:type="dxa"/>
            <w:bottom w:w="0" w:type="dxa"/>
            <w:right w:w="0" w:type="dxa"/>
          </w:tblCellMar>
        </w:tblPrEx>
        <w:trPr>
          <w:trHeight w:val="20" w:hRule="atLeast"/>
          <w:jc w:val="center"/>
        </w:trPr>
        <w:tc>
          <w:tcPr>
            <w:tcW w:w="1027" w:type="dxa"/>
            <w:vMerge w:val="continue"/>
            <w:tcBorders>
              <w:top w:val="single" w:color="auto" w:sz="4" w:space="0"/>
              <w:left w:val="single" w:color="auto" w:sz="4" w:space="0"/>
              <w:right w:val="single" w:color="auto" w:sz="4" w:space="0"/>
            </w:tcBorders>
            <w:vAlign w:val="center"/>
          </w:tcPr>
          <w:p w14:paraId="724C2A82">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359" w:type="dxa"/>
            <w:vMerge w:val="continue"/>
            <w:tcBorders>
              <w:top w:val="single" w:color="auto" w:sz="4" w:space="0"/>
              <w:left w:val="single" w:color="auto" w:sz="4" w:space="0"/>
              <w:right w:val="single" w:color="auto" w:sz="4" w:space="0"/>
            </w:tcBorders>
            <w:vAlign w:val="center"/>
          </w:tcPr>
          <w:p w14:paraId="77C68AC0">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559" w:type="dxa"/>
            <w:tcBorders>
              <w:top w:val="single" w:color="000000" w:sz="4" w:space="0"/>
              <w:left w:val="single" w:color="auto" w:sz="4" w:space="0"/>
              <w:bottom w:val="single" w:color="auto" w:sz="4" w:space="0"/>
              <w:right w:val="single" w:color="auto" w:sz="4" w:space="0"/>
            </w:tcBorders>
            <w:vAlign w:val="center"/>
          </w:tcPr>
          <w:p w14:paraId="7C4C756A">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认证证书、检验资质、合格证书</w:t>
            </w:r>
          </w:p>
        </w:tc>
        <w:tc>
          <w:tcPr>
            <w:tcW w:w="5587" w:type="dxa"/>
            <w:tcBorders>
              <w:top w:val="single" w:color="000000" w:sz="4" w:space="0"/>
              <w:left w:val="single" w:color="000000" w:sz="4" w:space="0"/>
              <w:bottom w:val="single" w:color="auto" w:sz="4" w:space="0"/>
              <w:right w:val="single" w:color="auto" w:sz="4" w:space="0"/>
            </w:tcBorders>
            <w:vAlign w:val="center"/>
          </w:tcPr>
          <w:p w14:paraId="05E907AE">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有效期内的CMA证书（其中CMA资质附表中要同时具备食品及工业品检测能力</w:t>
            </w:r>
            <w:r>
              <w:rPr>
                <w:rFonts w:hint="eastAsia" w:ascii="宋体" w:hAnsi="宋体"/>
                <w:b/>
                <w:bCs/>
                <w:color w:val="000000" w:themeColor="text1"/>
                <w:sz w:val="24"/>
                <w:szCs w:val="24"/>
                <w:highlight w:val="none"/>
                <w14:textFill>
                  <w14:solidFill>
                    <w14:schemeClr w14:val="tx1"/>
                  </w14:solidFill>
                </w14:textFill>
              </w:rPr>
              <w:t>（注：本项目服务目录中所有产品检测覆盖率达80%以上并提供CMA能力附表）</w:t>
            </w:r>
          </w:p>
        </w:tc>
      </w:tr>
      <w:tr w14:paraId="6A25A569">
        <w:tblPrEx>
          <w:tblCellMar>
            <w:top w:w="0" w:type="dxa"/>
            <w:left w:w="0" w:type="dxa"/>
            <w:bottom w:w="0" w:type="dxa"/>
            <w:right w:w="0" w:type="dxa"/>
          </w:tblCellMar>
        </w:tblPrEx>
        <w:trPr>
          <w:trHeight w:val="20" w:hRule="atLeast"/>
          <w:jc w:val="center"/>
        </w:trPr>
        <w:tc>
          <w:tcPr>
            <w:tcW w:w="1027" w:type="dxa"/>
            <w:vMerge w:val="continue"/>
            <w:tcBorders>
              <w:top w:val="single" w:color="auto" w:sz="4" w:space="0"/>
              <w:left w:val="single" w:color="auto" w:sz="4" w:space="0"/>
              <w:right w:val="single" w:color="auto" w:sz="4" w:space="0"/>
            </w:tcBorders>
            <w:vAlign w:val="center"/>
          </w:tcPr>
          <w:p w14:paraId="7E67822B">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359" w:type="dxa"/>
            <w:vMerge w:val="continue"/>
            <w:tcBorders>
              <w:top w:val="single" w:color="auto" w:sz="4" w:space="0"/>
              <w:left w:val="single" w:color="auto" w:sz="4" w:space="0"/>
              <w:right w:val="single" w:color="auto" w:sz="4" w:space="0"/>
            </w:tcBorders>
            <w:vAlign w:val="center"/>
          </w:tcPr>
          <w:p w14:paraId="7E72BD3E">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559" w:type="dxa"/>
            <w:tcBorders>
              <w:top w:val="single" w:color="000000" w:sz="4" w:space="0"/>
              <w:left w:val="single" w:color="auto" w:sz="4" w:space="0"/>
              <w:bottom w:val="single" w:color="auto" w:sz="4" w:space="0"/>
              <w:right w:val="single" w:color="auto" w:sz="4" w:space="0"/>
            </w:tcBorders>
            <w:vAlign w:val="center"/>
          </w:tcPr>
          <w:p w14:paraId="6FDE709D">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具有履行本项目采购内容所必须的设备和专业技术服务能力</w:t>
            </w:r>
          </w:p>
        </w:tc>
        <w:tc>
          <w:tcPr>
            <w:tcW w:w="5587" w:type="dxa"/>
            <w:tcBorders>
              <w:top w:val="single" w:color="000000" w:sz="4" w:space="0"/>
              <w:left w:val="single" w:color="000000" w:sz="4" w:space="0"/>
              <w:bottom w:val="single" w:color="auto" w:sz="4" w:space="0"/>
              <w:right w:val="single" w:color="auto" w:sz="4" w:space="0"/>
            </w:tcBorders>
            <w:vAlign w:val="center"/>
          </w:tcPr>
          <w:p w14:paraId="6AF13406">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具有履行本项目采购内容所必须的设备和专业技术服务能力；(提供证明材料或承诺书)；</w:t>
            </w:r>
          </w:p>
        </w:tc>
      </w:tr>
      <w:tr w14:paraId="6B3E9E24">
        <w:tblPrEx>
          <w:tblCellMar>
            <w:top w:w="0" w:type="dxa"/>
            <w:left w:w="0" w:type="dxa"/>
            <w:bottom w:w="0" w:type="dxa"/>
            <w:right w:w="0" w:type="dxa"/>
          </w:tblCellMar>
        </w:tblPrEx>
        <w:trPr>
          <w:trHeight w:val="20" w:hRule="atLeast"/>
          <w:jc w:val="center"/>
        </w:trPr>
        <w:tc>
          <w:tcPr>
            <w:tcW w:w="1027" w:type="dxa"/>
            <w:vMerge w:val="continue"/>
            <w:tcBorders>
              <w:top w:val="single" w:color="auto" w:sz="4" w:space="0"/>
              <w:left w:val="single" w:color="auto" w:sz="4" w:space="0"/>
              <w:right w:val="single" w:color="auto" w:sz="4" w:space="0"/>
            </w:tcBorders>
            <w:vAlign w:val="center"/>
          </w:tcPr>
          <w:p w14:paraId="526C28D6">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359" w:type="dxa"/>
            <w:vMerge w:val="continue"/>
            <w:tcBorders>
              <w:top w:val="single" w:color="auto" w:sz="4" w:space="0"/>
              <w:left w:val="single" w:color="auto" w:sz="4" w:space="0"/>
              <w:right w:val="single" w:color="auto" w:sz="4" w:space="0"/>
            </w:tcBorders>
            <w:vAlign w:val="center"/>
          </w:tcPr>
          <w:p w14:paraId="0EBED118">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559" w:type="dxa"/>
            <w:tcBorders>
              <w:top w:val="single" w:color="000000" w:sz="4" w:space="0"/>
              <w:left w:val="single" w:color="auto" w:sz="4" w:space="0"/>
              <w:bottom w:val="single" w:color="auto" w:sz="4" w:space="0"/>
              <w:right w:val="single" w:color="auto" w:sz="4" w:space="0"/>
            </w:tcBorders>
            <w:vAlign w:val="center"/>
          </w:tcPr>
          <w:p w14:paraId="4610DFF8">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依法缴纳税收和社会保障资金</w:t>
            </w:r>
          </w:p>
        </w:tc>
        <w:tc>
          <w:tcPr>
            <w:tcW w:w="5587" w:type="dxa"/>
            <w:tcBorders>
              <w:top w:val="single" w:color="000000" w:sz="4" w:space="0"/>
              <w:left w:val="single" w:color="000000" w:sz="4" w:space="0"/>
              <w:bottom w:val="single" w:color="auto" w:sz="4" w:space="0"/>
              <w:right w:val="single" w:color="auto" w:sz="4" w:space="0"/>
            </w:tcBorders>
            <w:vAlign w:val="center"/>
          </w:tcPr>
          <w:p w14:paraId="22133B3B">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具有依法缴纳税收（提供202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 w:val="24"/>
                <w:highlight w:val="none"/>
                <w14:textFill>
                  <w14:solidFill>
                    <w14:schemeClr w14:val="tx1"/>
                  </w14:solidFill>
                </w14:textFill>
              </w:rPr>
              <w:t>年01月以来</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任意一个</w:t>
            </w:r>
            <w:r>
              <w:rPr>
                <w:rFonts w:hint="eastAsia" w:asciiTheme="minorEastAsia" w:hAnsiTheme="minorEastAsia" w:eastAsiaTheme="minorEastAsia"/>
                <w:color w:val="000000" w:themeColor="text1"/>
                <w:sz w:val="24"/>
                <w:highlight w:val="none"/>
                <w14:textFill>
                  <w14:solidFill>
                    <w14:schemeClr w14:val="tx1"/>
                  </w14:solidFill>
                </w14:textFill>
              </w:rPr>
              <w:t>月的税收缴纳证明材料；注：依法免税的，应提供税务部门出具的依法免税证明材料）和社会保障资金（提供</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2025</w:t>
            </w:r>
            <w:r>
              <w:rPr>
                <w:rFonts w:hint="eastAsia" w:asciiTheme="minorEastAsia" w:hAnsiTheme="minorEastAsia" w:eastAsiaTheme="minorEastAsia"/>
                <w:color w:val="000000" w:themeColor="text1"/>
                <w:sz w:val="24"/>
                <w:highlight w:val="none"/>
                <w14:textFill>
                  <w14:solidFill>
                    <w14:schemeClr w14:val="tx1"/>
                  </w14:solidFill>
                </w14:textFill>
              </w:rPr>
              <w:t>年01月以来项目负责人</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任意一个月</w:t>
            </w:r>
            <w:r>
              <w:rPr>
                <w:rFonts w:hint="eastAsia" w:asciiTheme="minorEastAsia" w:hAnsiTheme="minorEastAsia" w:eastAsiaTheme="minorEastAsia"/>
                <w:color w:val="000000" w:themeColor="text1"/>
                <w:sz w:val="24"/>
                <w:highlight w:val="none"/>
                <w14:textFill>
                  <w14:solidFill>
                    <w14:schemeClr w14:val="tx1"/>
                  </w14:solidFill>
                </w14:textFill>
              </w:rPr>
              <w:t>的社保证明材料）；</w:t>
            </w:r>
          </w:p>
        </w:tc>
      </w:tr>
      <w:tr w14:paraId="32EEBDB5">
        <w:tblPrEx>
          <w:tblCellMar>
            <w:top w:w="0" w:type="dxa"/>
            <w:left w:w="0" w:type="dxa"/>
            <w:bottom w:w="0" w:type="dxa"/>
            <w:right w:w="0" w:type="dxa"/>
          </w:tblCellMar>
        </w:tblPrEx>
        <w:trPr>
          <w:trHeight w:val="20" w:hRule="atLeast"/>
          <w:jc w:val="center"/>
        </w:trPr>
        <w:tc>
          <w:tcPr>
            <w:tcW w:w="1027" w:type="dxa"/>
            <w:vMerge w:val="continue"/>
            <w:tcBorders>
              <w:top w:val="single" w:color="auto" w:sz="4" w:space="0"/>
              <w:left w:val="single" w:color="auto" w:sz="4" w:space="0"/>
              <w:right w:val="single" w:color="auto" w:sz="4" w:space="0"/>
            </w:tcBorders>
            <w:vAlign w:val="center"/>
          </w:tcPr>
          <w:p w14:paraId="432EFD0B">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359" w:type="dxa"/>
            <w:vMerge w:val="continue"/>
            <w:tcBorders>
              <w:top w:val="single" w:color="auto" w:sz="4" w:space="0"/>
              <w:left w:val="single" w:color="auto" w:sz="4" w:space="0"/>
              <w:right w:val="single" w:color="auto" w:sz="4" w:space="0"/>
            </w:tcBorders>
            <w:vAlign w:val="center"/>
          </w:tcPr>
          <w:p w14:paraId="2F64C5D3">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559" w:type="dxa"/>
            <w:tcBorders>
              <w:top w:val="single" w:color="000000" w:sz="4" w:space="0"/>
              <w:left w:val="single" w:color="auto" w:sz="4" w:space="0"/>
              <w:bottom w:val="single" w:color="auto" w:sz="4" w:space="0"/>
              <w:right w:val="single" w:color="auto" w:sz="4" w:space="0"/>
            </w:tcBorders>
            <w:vAlign w:val="center"/>
          </w:tcPr>
          <w:p w14:paraId="1CCA5CE8">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具有良好的商业信誉和健全的财务会计制度</w:t>
            </w:r>
          </w:p>
        </w:tc>
        <w:tc>
          <w:tcPr>
            <w:tcW w:w="5587" w:type="dxa"/>
            <w:tcBorders>
              <w:top w:val="single" w:color="000000" w:sz="4" w:space="0"/>
              <w:left w:val="single" w:color="000000" w:sz="4" w:space="0"/>
              <w:bottom w:val="single" w:color="auto" w:sz="4" w:space="0"/>
              <w:right w:val="single" w:color="auto" w:sz="4" w:space="0"/>
            </w:tcBorders>
            <w:vAlign w:val="center"/>
          </w:tcPr>
          <w:p w14:paraId="4FAA2E79">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具有良好的商业信誉和健全的财务会计制度，提供近三年经审计的财务报告（或财务报表）</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新成立公司无审计报告应附最新的财务报表说明；</w:t>
            </w:r>
          </w:p>
        </w:tc>
      </w:tr>
      <w:tr w14:paraId="1F6DF466">
        <w:tblPrEx>
          <w:tblCellMar>
            <w:top w:w="0" w:type="dxa"/>
            <w:left w:w="0" w:type="dxa"/>
            <w:bottom w:w="0" w:type="dxa"/>
            <w:right w:w="0" w:type="dxa"/>
          </w:tblCellMar>
        </w:tblPrEx>
        <w:trPr>
          <w:trHeight w:val="20" w:hRule="atLeast"/>
          <w:jc w:val="center"/>
        </w:trPr>
        <w:tc>
          <w:tcPr>
            <w:tcW w:w="1027" w:type="dxa"/>
            <w:vMerge w:val="continue"/>
            <w:tcBorders>
              <w:top w:val="single" w:color="auto" w:sz="4" w:space="0"/>
              <w:left w:val="single" w:color="auto" w:sz="4" w:space="0"/>
              <w:right w:val="single" w:color="auto" w:sz="4" w:space="0"/>
            </w:tcBorders>
            <w:vAlign w:val="center"/>
          </w:tcPr>
          <w:p w14:paraId="4E91FE01">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359" w:type="dxa"/>
            <w:vMerge w:val="continue"/>
            <w:tcBorders>
              <w:top w:val="single" w:color="auto" w:sz="4" w:space="0"/>
              <w:left w:val="single" w:color="auto" w:sz="4" w:space="0"/>
              <w:right w:val="single" w:color="auto" w:sz="4" w:space="0"/>
            </w:tcBorders>
            <w:vAlign w:val="center"/>
          </w:tcPr>
          <w:p w14:paraId="6428F367">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559" w:type="dxa"/>
            <w:tcBorders>
              <w:top w:val="single" w:color="000000" w:sz="4" w:space="0"/>
              <w:left w:val="single" w:color="auto" w:sz="4" w:space="0"/>
              <w:bottom w:val="single" w:color="auto" w:sz="4" w:space="0"/>
              <w:right w:val="single" w:color="auto" w:sz="4" w:space="0"/>
            </w:tcBorders>
            <w:vAlign w:val="center"/>
          </w:tcPr>
          <w:p w14:paraId="1B490E98">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参加政府采购活动前3年内无行贿犯罪记录</w:t>
            </w:r>
          </w:p>
        </w:tc>
        <w:tc>
          <w:tcPr>
            <w:tcW w:w="5587" w:type="dxa"/>
            <w:tcBorders>
              <w:top w:val="single" w:color="000000" w:sz="4" w:space="0"/>
              <w:left w:val="single" w:color="000000" w:sz="4" w:space="0"/>
              <w:bottom w:val="single" w:color="auto" w:sz="4" w:space="0"/>
              <w:right w:val="single" w:color="auto" w:sz="4" w:space="0"/>
            </w:tcBorders>
            <w:vAlign w:val="center"/>
          </w:tcPr>
          <w:p w14:paraId="080AD413">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参加政府采购活动前3年内无行贿犯罪记录；（提供《中国裁判文书网》查询结果网页截图或企业自行承诺的无行贿犯罪承诺书，查询&lt;承诺&gt;对象为“企业，法定代表人，项目负责人”。）</w:t>
            </w:r>
          </w:p>
        </w:tc>
      </w:tr>
      <w:tr w14:paraId="7320E5F4">
        <w:tblPrEx>
          <w:tblCellMar>
            <w:top w:w="0" w:type="dxa"/>
            <w:left w:w="0" w:type="dxa"/>
            <w:bottom w:w="0" w:type="dxa"/>
            <w:right w:w="0" w:type="dxa"/>
          </w:tblCellMar>
        </w:tblPrEx>
        <w:trPr>
          <w:trHeight w:val="20" w:hRule="atLeast"/>
          <w:jc w:val="center"/>
        </w:trPr>
        <w:tc>
          <w:tcPr>
            <w:tcW w:w="1027" w:type="dxa"/>
            <w:vMerge w:val="continue"/>
            <w:tcBorders>
              <w:top w:val="single" w:color="auto" w:sz="4" w:space="0"/>
              <w:left w:val="single" w:color="auto" w:sz="4" w:space="0"/>
              <w:right w:val="single" w:color="auto" w:sz="4" w:space="0"/>
            </w:tcBorders>
            <w:vAlign w:val="center"/>
          </w:tcPr>
          <w:p w14:paraId="69CF5776">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359" w:type="dxa"/>
            <w:vMerge w:val="continue"/>
            <w:tcBorders>
              <w:top w:val="single" w:color="auto" w:sz="4" w:space="0"/>
              <w:left w:val="single" w:color="auto" w:sz="4" w:space="0"/>
              <w:right w:val="single" w:color="auto" w:sz="4" w:space="0"/>
            </w:tcBorders>
            <w:vAlign w:val="center"/>
          </w:tcPr>
          <w:p w14:paraId="1B9FA456">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559" w:type="dxa"/>
            <w:tcBorders>
              <w:top w:val="single" w:color="000000" w:sz="4" w:space="0"/>
              <w:left w:val="single" w:color="auto" w:sz="4" w:space="0"/>
              <w:bottom w:val="single" w:color="auto" w:sz="4" w:space="0"/>
              <w:right w:val="single" w:color="auto" w:sz="4" w:space="0"/>
            </w:tcBorders>
            <w:vAlign w:val="center"/>
          </w:tcPr>
          <w:p w14:paraId="7F5E95B2">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参加政府采购活动前3年内无商业贿赂、不正当竞争行为</w:t>
            </w:r>
          </w:p>
        </w:tc>
        <w:tc>
          <w:tcPr>
            <w:tcW w:w="5587" w:type="dxa"/>
            <w:tcBorders>
              <w:top w:val="single" w:color="000000" w:sz="4" w:space="0"/>
              <w:left w:val="single" w:color="000000" w:sz="4" w:space="0"/>
              <w:bottom w:val="single" w:color="auto" w:sz="4" w:space="0"/>
              <w:right w:val="single" w:color="auto" w:sz="4" w:space="0"/>
            </w:tcBorders>
            <w:vAlign w:val="center"/>
          </w:tcPr>
          <w:p w14:paraId="50CA5B15">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参加政府采购活动前3年内无商业贿赂、不正当竞争行为、骗取中标、严重违约及重大质量等问题，（供应商须自行出具承诺书）</w:t>
            </w:r>
          </w:p>
        </w:tc>
      </w:tr>
      <w:tr w14:paraId="37BEFFE1">
        <w:tblPrEx>
          <w:tblCellMar>
            <w:top w:w="0" w:type="dxa"/>
            <w:left w:w="0" w:type="dxa"/>
            <w:bottom w:w="0" w:type="dxa"/>
            <w:right w:w="0" w:type="dxa"/>
          </w:tblCellMar>
        </w:tblPrEx>
        <w:trPr>
          <w:trHeight w:val="20" w:hRule="atLeast"/>
          <w:jc w:val="center"/>
        </w:trPr>
        <w:tc>
          <w:tcPr>
            <w:tcW w:w="1027" w:type="dxa"/>
            <w:vMerge w:val="continue"/>
            <w:tcBorders>
              <w:top w:val="single" w:color="auto" w:sz="4" w:space="0"/>
              <w:left w:val="single" w:color="auto" w:sz="4" w:space="0"/>
              <w:right w:val="single" w:color="auto" w:sz="4" w:space="0"/>
            </w:tcBorders>
            <w:vAlign w:val="center"/>
          </w:tcPr>
          <w:p w14:paraId="51EDC739">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359" w:type="dxa"/>
            <w:vMerge w:val="continue"/>
            <w:tcBorders>
              <w:top w:val="single" w:color="auto" w:sz="4" w:space="0"/>
              <w:left w:val="single" w:color="auto" w:sz="4" w:space="0"/>
              <w:right w:val="single" w:color="auto" w:sz="4" w:space="0"/>
            </w:tcBorders>
            <w:vAlign w:val="center"/>
          </w:tcPr>
          <w:p w14:paraId="315716C0">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559" w:type="dxa"/>
            <w:tcBorders>
              <w:top w:val="single" w:color="000000" w:sz="4" w:space="0"/>
              <w:left w:val="single" w:color="auto" w:sz="4" w:space="0"/>
              <w:bottom w:val="single" w:color="auto" w:sz="4" w:space="0"/>
              <w:right w:val="single" w:color="auto" w:sz="4" w:space="0"/>
            </w:tcBorders>
            <w:vAlign w:val="center"/>
          </w:tcPr>
          <w:p w14:paraId="3FAAD945">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信用查询</w:t>
            </w:r>
          </w:p>
        </w:tc>
        <w:tc>
          <w:tcPr>
            <w:tcW w:w="5587" w:type="dxa"/>
            <w:tcBorders>
              <w:top w:val="single" w:color="000000" w:sz="4" w:space="0"/>
              <w:left w:val="single" w:color="000000" w:sz="4" w:space="0"/>
              <w:bottom w:val="single" w:color="auto" w:sz="4" w:space="0"/>
              <w:right w:val="single" w:color="auto" w:sz="4" w:space="0"/>
            </w:tcBorders>
            <w:vAlign w:val="center"/>
          </w:tcPr>
          <w:p w14:paraId="05C6642C">
            <w:pPr>
              <w:spacing w:line="360" w:lineRule="auto"/>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根据《关于在政府采购活动中查询及使用信用记录有关问题的通知》(财库[2016]125号) 和豫财购【2016】15号的规定，企业没有被列入“信用中国”网站的“失信被执行人”、“重大税收违法失信主体”及“中国政府采购网”网站的“政府采购严重违法失信行为记录名单”的投标供应商；（查询渠道：“信用中国”网站（www.creditchina.gov.cn）、中国政府采购网（www.ccgp.gov.cn）提供网站的查询信息截图；(注：査询时间必须是磋商公告发布以后开标时间以前并提供网站查询网页截图，查询结果清晰可见)；</w:t>
            </w:r>
          </w:p>
        </w:tc>
      </w:tr>
      <w:tr w14:paraId="10D12DC4">
        <w:tblPrEx>
          <w:tblCellMar>
            <w:top w:w="0" w:type="dxa"/>
            <w:left w:w="0" w:type="dxa"/>
            <w:bottom w:w="0" w:type="dxa"/>
            <w:right w:w="0" w:type="dxa"/>
          </w:tblCellMar>
        </w:tblPrEx>
        <w:trPr>
          <w:trHeight w:val="20" w:hRule="atLeast"/>
          <w:jc w:val="center"/>
        </w:trPr>
        <w:tc>
          <w:tcPr>
            <w:tcW w:w="1027" w:type="dxa"/>
            <w:vMerge w:val="continue"/>
            <w:tcBorders>
              <w:top w:val="single" w:color="auto" w:sz="4" w:space="0"/>
              <w:left w:val="single" w:color="auto" w:sz="4" w:space="0"/>
              <w:right w:val="single" w:color="auto" w:sz="4" w:space="0"/>
            </w:tcBorders>
            <w:vAlign w:val="center"/>
          </w:tcPr>
          <w:p w14:paraId="77FFACCD">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359" w:type="dxa"/>
            <w:vMerge w:val="continue"/>
            <w:tcBorders>
              <w:top w:val="single" w:color="auto" w:sz="4" w:space="0"/>
              <w:left w:val="single" w:color="auto" w:sz="4" w:space="0"/>
              <w:right w:val="single" w:color="auto" w:sz="4" w:space="0"/>
            </w:tcBorders>
            <w:vAlign w:val="center"/>
          </w:tcPr>
          <w:p w14:paraId="406DC09C">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478D5512">
            <w:pPr>
              <w:spacing w:line="360" w:lineRule="auto"/>
              <w:ind w:left="57" w:leftChars="27" w:right="84" w:rightChars="40"/>
              <w:jc w:val="center"/>
              <w:rPr>
                <w:rFonts w:hint="default" w:cs="宋体"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“国家企业信用信息公示系统”</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查询信息</w:t>
            </w:r>
          </w:p>
        </w:tc>
        <w:tc>
          <w:tcPr>
            <w:tcW w:w="5587" w:type="dxa"/>
            <w:tcBorders>
              <w:top w:val="single" w:color="000000" w:sz="4" w:space="0"/>
              <w:left w:val="single" w:color="000000" w:sz="4" w:space="0"/>
              <w:bottom w:val="single" w:color="auto" w:sz="4" w:space="0"/>
              <w:right w:val="single" w:color="auto" w:sz="4" w:space="0"/>
            </w:tcBorders>
            <w:vAlign w:val="center"/>
          </w:tcPr>
          <w:p w14:paraId="7CD6EEC5">
            <w:pPr>
              <w:spacing w:line="360" w:lineRule="auto"/>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单位负责人为同一人或者存在控股、管理关系的不同单位，不得参加同一标段投标或者未划分标段的同一招标项目投标,提供投标企业在“国家企业信用信息公示系统”中公示的公司信息、股东或投资人信息”。</w:t>
            </w:r>
          </w:p>
        </w:tc>
      </w:tr>
      <w:tr w14:paraId="20D0B62C">
        <w:tblPrEx>
          <w:tblCellMar>
            <w:top w:w="0" w:type="dxa"/>
            <w:left w:w="0" w:type="dxa"/>
            <w:bottom w:w="0" w:type="dxa"/>
            <w:right w:w="0" w:type="dxa"/>
          </w:tblCellMar>
        </w:tblPrEx>
        <w:trPr>
          <w:trHeight w:val="20" w:hRule="atLeast"/>
          <w:jc w:val="center"/>
        </w:trPr>
        <w:tc>
          <w:tcPr>
            <w:tcW w:w="1027" w:type="dxa"/>
            <w:vMerge w:val="continue"/>
            <w:tcBorders>
              <w:top w:val="single" w:color="auto" w:sz="4" w:space="0"/>
              <w:left w:val="single" w:color="auto" w:sz="4" w:space="0"/>
              <w:right w:val="single" w:color="auto" w:sz="4" w:space="0"/>
            </w:tcBorders>
            <w:vAlign w:val="center"/>
          </w:tcPr>
          <w:p w14:paraId="14A6ABC9">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359" w:type="dxa"/>
            <w:vMerge w:val="continue"/>
            <w:tcBorders>
              <w:top w:val="single" w:color="auto" w:sz="4" w:space="0"/>
              <w:left w:val="single" w:color="auto" w:sz="4" w:space="0"/>
              <w:right w:val="single" w:color="auto" w:sz="4" w:space="0"/>
            </w:tcBorders>
            <w:vAlign w:val="center"/>
          </w:tcPr>
          <w:p w14:paraId="19A0A4DD">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559" w:type="dxa"/>
            <w:tcBorders>
              <w:top w:val="single" w:color="000000" w:sz="4" w:space="0"/>
              <w:left w:val="single" w:color="auto" w:sz="4" w:space="0"/>
              <w:bottom w:val="single" w:color="auto" w:sz="4" w:space="0"/>
              <w:right w:val="single" w:color="auto" w:sz="4" w:space="0"/>
            </w:tcBorders>
            <w:vAlign w:val="center"/>
          </w:tcPr>
          <w:p w14:paraId="78B6C177">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非联合体投标</w:t>
            </w:r>
          </w:p>
        </w:tc>
        <w:tc>
          <w:tcPr>
            <w:tcW w:w="5587" w:type="dxa"/>
            <w:tcBorders>
              <w:top w:val="single" w:color="000000" w:sz="4" w:space="0"/>
              <w:left w:val="single" w:color="000000" w:sz="4" w:space="0"/>
              <w:bottom w:val="single" w:color="auto" w:sz="4" w:space="0"/>
              <w:right w:val="single" w:color="auto" w:sz="4" w:space="0"/>
            </w:tcBorders>
            <w:vAlign w:val="center"/>
          </w:tcPr>
          <w:p w14:paraId="60ED2034">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本项目不接受联合体；</w:t>
            </w:r>
          </w:p>
        </w:tc>
      </w:tr>
      <w:tr w14:paraId="663F34F5">
        <w:tblPrEx>
          <w:tblCellMar>
            <w:top w:w="0" w:type="dxa"/>
            <w:left w:w="0" w:type="dxa"/>
            <w:bottom w:w="0" w:type="dxa"/>
            <w:right w:w="0" w:type="dxa"/>
          </w:tblCellMar>
        </w:tblPrEx>
        <w:trPr>
          <w:trHeight w:val="20" w:hRule="atLeast"/>
          <w:jc w:val="center"/>
        </w:trPr>
        <w:tc>
          <w:tcPr>
            <w:tcW w:w="1027" w:type="dxa"/>
            <w:vMerge w:val="continue"/>
            <w:tcBorders>
              <w:top w:val="single" w:color="auto" w:sz="4" w:space="0"/>
              <w:left w:val="single" w:color="auto" w:sz="4" w:space="0"/>
              <w:right w:val="single" w:color="auto" w:sz="4" w:space="0"/>
            </w:tcBorders>
            <w:vAlign w:val="center"/>
          </w:tcPr>
          <w:p w14:paraId="44E232B1">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359" w:type="dxa"/>
            <w:vMerge w:val="continue"/>
            <w:tcBorders>
              <w:top w:val="single" w:color="auto" w:sz="4" w:space="0"/>
              <w:left w:val="single" w:color="auto" w:sz="4" w:space="0"/>
              <w:right w:val="single" w:color="auto" w:sz="4" w:space="0"/>
            </w:tcBorders>
            <w:vAlign w:val="center"/>
          </w:tcPr>
          <w:p w14:paraId="2DB4765F">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559" w:type="dxa"/>
            <w:tcBorders>
              <w:top w:val="single" w:color="000000" w:sz="4" w:space="0"/>
              <w:left w:val="single" w:color="auto" w:sz="4" w:space="0"/>
              <w:bottom w:val="single" w:color="auto" w:sz="4" w:space="0"/>
              <w:right w:val="single" w:color="auto" w:sz="4" w:space="0"/>
            </w:tcBorders>
            <w:vAlign w:val="center"/>
          </w:tcPr>
          <w:p w14:paraId="51EE433F">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其他</w:t>
            </w:r>
          </w:p>
        </w:tc>
        <w:tc>
          <w:tcPr>
            <w:tcW w:w="5587" w:type="dxa"/>
            <w:tcBorders>
              <w:top w:val="single" w:color="000000" w:sz="4" w:space="0"/>
              <w:left w:val="single" w:color="000000" w:sz="4" w:space="0"/>
              <w:bottom w:val="single" w:color="auto" w:sz="4" w:space="0"/>
              <w:right w:val="single" w:color="auto" w:sz="4" w:space="0"/>
            </w:tcBorders>
            <w:vAlign w:val="center"/>
          </w:tcPr>
          <w:p w14:paraId="26256A70">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磋商文件规定的其他内容</w:t>
            </w:r>
          </w:p>
        </w:tc>
      </w:tr>
      <w:tr w14:paraId="24AFE524">
        <w:tblPrEx>
          <w:tblCellMar>
            <w:top w:w="0" w:type="dxa"/>
            <w:left w:w="0" w:type="dxa"/>
            <w:bottom w:w="0" w:type="dxa"/>
            <w:right w:w="0" w:type="dxa"/>
          </w:tblCellMar>
        </w:tblPrEx>
        <w:trPr>
          <w:trHeight w:val="20" w:hRule="atLeast"/>
          <w:jc w:val="center"/>
        </w:trPr>
        <w:tc>
          <w:tcPr>
            <w:tcW w:w="9532" w:type="dxa"/>
            <w:gridSpan w:val="4"/>
            <w:tcBorders>
              <w:top w:val="single" w:color="auto" w:sz="4" w:space="0"/>
              <w:left w:val="single" w:color="auto" w:sz="4" w:space="0"/>
              <w:right w:val="single" w:color="auto" w:sz="4" w:space="0"/>
            </w:tcBorders>
            <w:vAlign w:val="center"/>
          </w:tcPr>
          <w:p w14:paraId="771DFFA2">
            <w:pPr>
              <w:spacing w:line="360" w:lineRule="auto"/>
              <w:ind w:left="139" w:leftChars="66" w:right="143" w:rightChars="68" w:firstLine="1"/>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注：以上资格项评审标准中所涉及的证明材料，均以磋商响应文件中所附原件扫描件为准（网页查询以网页截图为准），提供不全或者未按要求提供的，视为没有提供。</w:t>
            </w:r>
          </w:p>
        </w:tc>
      </w:tr>
      <w:tr w14:paraId="654EA40A">
        <w:tblPrEx>
          <w:tblCellMar>
            <w:top w:w="0" w:type="dxa"/>
            <w:left w:w="0" w:type="dxa"/>
            <w:bottom w:w="0" w:type="dxa"/>
            <w:right w:w="0" w:type="dxa"/>
          </w:tblCellMar>
        </w:tblPrEx>
        <w:trPr>
          <w:trHeight w:val="20" w:hRule="atLeast"/>
          <w:jc w:val="center"/>
        </w:trPr>
        <w:tc>
          <w:tcPr>
            <w:tcW w:w="1027" w:type="dxa"/>
            <w:vMerge w:val="restart"/>
            <w:tcBorders>
              <w:top w:val="single" w:color="auto" w:sz="4" w:space="0"/>
              <w:left w:val="single" w:color="auto" w:sz="4" w:space="0"/>
              <w:right w:val="single" w:color="auto" w:sz="4" w:space="0"/>
            </w:tcBorders>
            <w:vAlign w:val="center"/>
          </w:tcPr>
          <w:p w14:paraId="5CA15A53">
            <w:pPr>
              <w:spacing w:line="360" w:lineRule="auto"/>
              <w:ind w:left="57" w:leftChars="27" w:right="84" w:rightChars="40"/>
              <w:jc w:val="cente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2</w:t>
            </w:r>
          </w:p>
        </w:tc>
        <w:tc>
          <w:tcPr>
            <w:tcW w:w="1359" w:type="dxa"/>
            <w:vMerge w:val="restart"/>
            <w:tcBorders>
              <w:top w:val="single" w:color="auto" w:sz="4" w:space="0"/>
              <w:left w:val="single" w:color="auto" w:sz="4" w:space="0"/>
              <w:right w:val="single" w:color="auto" w:sz="4" w:space="0"/>
            </w:tcBorders>
            <w:vAlign w:val="center"/>
          </w:tcPr>
          <w:p w14:paraId="51ACA43D">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符合性评审标准</w:t>
            </w:r>
          </w:p>
        </w:tc>
        <w:tc>
          <w:tcPr>
            <w:tcW w:w="1559" w:type="dxa"/>
            <w:tcBorders>
              <w:top w:val="single" w:color="auto" w:sz="4" w:space="0"/>
              <w:left w:val="single" w:color="auto" w:sz="4" w:space="0"/>
              <w:right w:val="single" w:color="auto" w:sz="4" w:space="0"/>
            </w:tcBorders>
            <w:vAlign w:val="center"/>
          </w:tcPr>
          <w:p w14:paraId="02A5B77A">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供应商名称</w:t>
            </w:r>
          </w:p>
        </w:tc>
        <w:tc>
          <w:tcPr>
            <w:tcW w:w="5587" w:type="dxa"/>
            <w:tcBorders>
              <w:top w:val="single" w:color="auto" w:sz="4" w:space="0"/>
              <w:left w:val="single" w:color="000000" w:sz="4" w:space="0"/>
              <w:right w:val="single" w:color="auto" w:sz="4" w:space="0"/>
            </w:tcBorders>
            <w:vAlign w:val="center"/>
          </w:tcPr>
          <w:p w14:paraId="4709DCDC">
            <w:pPr>
              <w:spacing w:line="360" w:lineRule="auto"/>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供应商名称与营业执照、资质证书名称一致；</w:t>
            </w:r>
          </w:p>
        </w:tc>
      </w:tr>
      <w:tr w14:paraId="3F776A27">
        <w:tblPrEx>
          <w:tblCellMar>
            <w:top w:w="0" w:type="dxa"/>
            <w:left w:w="0" w:type="dxa"/>
            <w:bottom w:w="0" w:type="dxa"/>
            <w:right w:w="0" w:type="dxa"/>
          </w:tblCellMar>
        </w:tblPrEx>
        <w:trPr>
          <w:trHeight w:val="20" w:hRule="atLeast"/>
          <w:jc w:val="center"/>
        </w:trPr>
        <w:tc>
          <w:tcPr>
            <w:tcW w:w="1027" w:type="dxa"/>
            <w:vMerge w:val="continue"/>
            <w:tcBorders>
              <w:top w:val="single" w:color="auto" w:sz="4" w:space="0"/>
              <w:left w:val="single" w:color="auto" w:sz="4" w:space="0"/>
              <w:right w:val="single" w:color="auto" w:sz="4" w:space="0"/>
            </w:tcBorders>
            <w:vAlign w:val="center"/>
          </w:tcPr>
          <w:p w14:paraId="54813D59">
            <w:pPr>
              <w:autoSpaceDE w:val="0"/>
              <w:autoSpaceDN w:val="0"/>
              <w:adjustRightInd w:val="0"/>
              <w:spacing w:before="50" w:line="360" w:lineRule="auto"/>
              <w:ind w:right="97" w:firstLine="67" w:firstLineChars="28"/>
              <w:jc w:val="center"/>
              <w:rPr>
                <w:rFonts w:asciiTheme="minorEastAsia" w:hAnsiTheme="minorEastAsia" w:eastAsiaTheme="minorEastAsia"/>
                <w:color w:val="000000" w:themeColor="text1"/>
                <w:spacing w:val="1"/>
                <w:kern w:val="0"/>
                <w:sz w:val="24"/>
                <w:highlight w:val="none"/>
                <w14:textFill>
                  <w14:solidFill>
                    <w14:schemeClr w14:val="tx1"/>
                  </w14:solidFill>
                </w14:textFill>
              </w:rPr>
            </w:pPr>
          </w:p>
        </w:tc>
        <w:tc>
          <w:tcPr>
            <w:tcW w:w="1359" w:type="dxa"/>
            <w:vMerge w:val="continue"/>
            <w:tcBorders>
              <w:top w:val="single" w:color="auto" w:sz="4" w:space="0"/>
              <w:left w:val="single" w:color="auto" w:sz="4" w:space="0"/>
              <w:right w:val="single" w:color="auto" w:sz="4" w:space="0"/>
            </w:tcBorders>
            <w:vAlign w:val="center"/>
          </w:tcPr>
          <w:p w14:paraId="0436752A">
            <w:pPr>
              <w:autoSpaceDE w:val="0"/>
              <w:autoSpaceDN w:val="0"/>
              <w:adjustRightInd w:val="0"/>
              <w:spacing w:before="50" w:line="360" w:lineRule="auto"/>
              <w:ind w:right="97" w:firstLine="67" w:firstLineChars="28"/>
              <w:jc w:val="center"/>
              <w:rPr>
                <w:rFonts w:asciiTheme="minorEastAsia" w:hAnsiTheme="minorEastAsia" w:eastAsiaTheme="minorEastAsia"/>
                <w:color w:val="000000" w:themeColor="text1"/>
                <w:spacing w:val="1"/>
                <w:kern w:val="0"/>
                <w:sz w:val="24"/>
                <w:highlight w:val="none"/>
                <w14:textFill>
                  <w14:solidFill>
                    <w14:schemeClr w14:val="tx1"/>
                  </w14:solidFill>
                </w14:textFill>
              </w:rPr>
            </w:pPr>
          </w:p>
        </w:tc>
        <w:tc>
          <w:tcPr>
            <w:tcW w:w="1559" w:type="dxa"/>
            <w:tcBorders>
              <w:top w:val="single" w:color="auto" w:sz="4" w:space="0"/>
              <w:left w:val="single" w:color="auto" w:sz="4" w:space="0"/>
              <w:right w:val="single" w:color="auto" w:sz="4" w:space="0"/>
            </w:tcBorders>
            <w:vAlign w:val="center"/>
          </w:tcPr>
          <w:p w14:paraId="78F5EC6B">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响应</w:t>
            </w:r>
            <w:r>
              <w:rPr>
                <w:rFonts w:cs="宋体" w:asciiTheme="minorEastAsia" w:hAnsiTheme="minorEastAsia" w:eastAsiaTheme="minorEastAsia"/>
                <w:color w:val="000000" w:themeColor="text1"/>
                <w:sz w:val="24"/>
                <w:highlight w:val="none"/>
                <w14:textFill>
                  <w14:solidFill>
                    <w14:schemeClr w14:val="tx1"/>
                  </w14:solidFill>
                </w14:textFill>
              </w:rPr>
              <w:t>文件格式</w:t>
            </w:r>
          </w:p>
        </w:tc>
        <w:tc>
          <w:tcPr>
            <w:tcW w:w="5587" w:type="dxa"/>
            <w:tcBorders>
              <w:top w:val="single" w:color="auto" w:sz="4" w:space="0"/>
              <w:left w:val="single" w:color="000000" w:sz="4" w:space="0"/>
              <w:right w:val="single" w:color="auto" w:sz="4" w:space="0"/>
            </w:tcBorders>
          </w:tcPr>
          <w:p w14:paraId="35984B2F">
            <w:pPr>
              <w:spacing w:line="360" w:lineRule="auto"/>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符合第六章“响应文件格式”的要求；</w:t>
            </w:r>
          </w:p>
        </w:tc>
      </w:tr>
      <w:tr w14:paraId="0BBE89A6">
        <w:tblPrEx>
          <w:tblCellMar>
            <w:top w:w="0" w:type="dxa"/>
            <w:left w:w="0" w:type="dxa"/>
            <w:bottom w:w="0" w:type="dxa"/>
            <w:right w:w="0" w:type="dxa"/>
          </w:tblCellMar>
        </w:tblPrEx>
        <w:trPr>
          <w:trHeight w:val="20" w:hRule="atLeast"/>
          <w:jc w:val="center"/>
        </w:trPr>
        <w:tc>
          <w:tcPr>
            <w:tcW w:w="1027" w:type="dxa"/>
            <w:vMerge w:val="continue"/>
            <w:tcBorders>
              <w:left w:val="single" w:color="auto" w:sz="4" w:space="0"/>
              <w:right w:val="single" w:color="auto" w:sz="4" w:space="0"/>
            </w:tcBorders>
            <w:vAlign w:val="center"/>
          </w:tcPr>
          <w:p w14:paraId="0BC38C8E">
            <w:pPr>
              <w:autoSpaceDE w:val="0"/>
              <w:autoSpaceDN w:val="0"/>
              <w:adjustRightInd w:val="0"/>
              <w:spacing w:before="50" w:line="360" w:lineRule="auto"/>
              <w:ind w:right="97" w:firstLine="67" w:firstLineChars="28"/>
              <w:jc w:val="center"/>
              <w:rPr>
                <w:rFonts w:asciiTheme="minorEastAsia" w:hAnsiTheme="minorEastAsia" w:eastAsiaTheme="minorEastAsia"/>
                <w:color w:val="000000" w:themeColor="text1"/>
                <w:spacing w:val="1"/>
                <w:kern w:val="0"/>
                <w:sz w:val="24"/>
                <w:highlight w:val="none"/>
                <w14:textFill>
                  <w14:solidFill>
                    <w14:schemeClr w14:val="tx1"/>
                  </w14:solidFill>
                </w14:textFill>
              </w:rPr>
            </w:pPr>
          </w:p>
        </w:tc>
        <w:tc>
          <w:tcPr>
            <w:tcW w:w="1359" w:type="dxa"/>
            <w:vMerge w:val="continue"/>
            <w:tcBorders>
              <w:left w:val="single" w:color="auto" w:sz="4" w:space="0"/>
              <w:right w:val="single" w:color="auto" w:sz="4" w:space="0"/>
            </w:tcBorders>
            <w:vAlign w:val="center"/>
          </w:tcPr>
          <w:p w14:paraId="24CEA63E">
            <w:pPr>
              <w:autoSpaceDE w:val="0"/>
              <w:autoSpaceDN w:val="0"/>
              <w:adjustRightInd w:val="0"/>
              <w:spacing w:before="50" w:line="360" w:lineRule="auto"/>
              <w:ind w:right="97" w:firstLine="67" w:firstLineChars="28"/>
              <w:jc w:val="center"/>
              <w:rPr>
                <w:rFonts w:asciiTheme="minorEastAsia" w:hAnsiTheme="minorEastAsia" w:eastAsiaTheme="minorEastAsia"/>
                <w:color w:val="000000" w:themeColor="text1"/>
                <w:spacing w:val="1"/>
                <w:kern w:val="0"/>
                <w:sz w:val="24"/>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4292C1E9">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签章</w:t>
            </w:r>
          </w:p>
        </w:tc>
        <w:tc>
          <w:tcPr>
            <w:tcW w:w="5587" w:type="dxa"/>
            <w:tcBorders>
              <w:top w:val="single" w:color="auto" w:sz="4" w:space="0"/>
              <w:left w:val="single" w:color="000000" w:sz="4" w:space="0"/>
              <w:bottom w:val="single" w:color="auto" w:sz="4" w:space="0"/>
              <w:right w:val="single" w:color="auto" w:sz="4" w:space="0"/>
            </w:tcBorders>
          </w:tcPr>
          <w:p w14:paraId="18B528E9">
            <w:pPr>
              <w:spacing w:line="360" w:lineRule="auto"/>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符合第二章供应商须知中签字和盖章要求；</w:t>
            </w:r>
          </w:p>
        </w:tc>
      </w:tr>
      <w:tr w14:paraId="272983EB">
        <w:tblPrEx>
          <w:tblCellMar>
            <w:top w:w="0" w:type="dxa"/>
            <w:left w:w="0" w:type="dxa"/>
            <w:bottom w:w="0" w:type="dxa"/>
            <w:right w:w="0" w:type="dxa"/>
          </w:tblCellMar>
        </w:tblPrEx>
        <w:trPr>
          <w:trHeight w:val="20" w:hRule="atLeast"/>
          <w:jc w:val="center"/>
        </w:trPr>
        <w:tc>
          <w:tcPr>
            <w:tcW w:w="1027" w:type="dxa"/>
            <w:vMerge w:val="continue"/>
            <w:tcBorders>
              <w:left w:val="single" w:color="auto" w:sz="4" w:space="0"/>
              <w:bottom w:val="single" w:color="auto" w:sz="4" w:space="0"/>
              <w:right w:val="single" w:color="auto" w:sz="4" w:space="0"/>
            </w:tcBorders>
            <w:vAlign w:val="center"/>
          </w:tcPr>
          <w:p w14:paraId="56AE9E54">
            <w:pPr>
              <w:autoSpaceDE w:val="0"/>
              <w:autoSpaceDN w:val="0"/>
              <w:adjustRightInd w:val="0"/>
              <w:spacing w:before="50" w:line="360" w:lineRule="auto"/>
              <w:ind w:right="97" w:firstLine="67" w:firstLineChars="28"/>
              <w:jc w:val="center"/>
              <w:rPr>
                <w:rFonts w:asciiTheme="minorEastAsia" w:hAnsiTheme="minorEastAsia" w:eastAsiaTheme="minorEastAsia"/>
                <w:color w:val="000000" w:themeColor="text1"/>
                <w:spacing w:val="1"/>
                <w:kern w:val="0"/>
                <w:sz w:val="24"/>
                <w:highlight w:val="none"/>
                <w14:textFill>
                  <w14:solidFill>
                    <w14:schemeClr w14:val="tx1"/>
                  </w14:solidFill>
                </w14:textFill>
              </w:rPr>
            </w:pPr>
          </w:p>
        </w:tc>
        <w:tc>
          <w:tcPr>
            <w:tcW w:w="1359" w:type="dxa"/>
            <w:vMerge w:val="continue"/>
            <w:tcBorders>
              <w:left w:val="single" w:color="auto" w:sz="4" w:space="0"/>
              <w:bottom w:val="single" w:color="auto" w:sz="4" w:space="0"/>
              <w:right w:val="single" w:color="auto" w:sz="4" w:space="0"/>
            </w:tcBorders>
            <w:vAlign w:val="center"/>
          </w:tcPr>
          <w:p w14:paraId="03FD3438">
            <w:pPr>
              <w:autoSpaceDE w:val="0"/>
              <w:autoSpaceDN w:val="0"/>
              <w:adjustRightInd w:val="0"/>
              <w:spacing w:before="50" w:line="360" w:lineRule="auto"/>
              <w:ind w:right="97" w:firstLine="67" w:firstLineChars="28"/>
              <w:jc w:val="center"/>
              <w:rPr>
                <w:rFonts w:asciiTheme="minorEastAsia" w:hAnsiTheme="minorEastAsia" w:eastAsiaTheme="minorEastAsia"/>
                <w:color w:val="000000" w:themeColor="text1"/>
                <w:spacing w:val="1"/>
                <w:kern w:val="0"/>
                <w:sz w:val="24"/>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13FE50C7">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报价</w:t>
            </w:r>
          </w:p>
        </w:tc>
        <w:tc>
          <w:tcPr>
            <w:tcW w:w="5587" w:type="dxa"/>
            <w:tcBorders>
              <w:top w:val="single" w:color="auto" w:sz="4" w:space="0"/>
              <w:left w:val="single" w:color="000000" w:sz="4" w:space="0"/>
              <w:bottom w:val="single" w:color="auto" w:sz="4" w:space="0"/>
              <w:right w:val="single" w:color="auto" w:sz="4" w:space="0"/>
            </w:tcBorders>
          </w:tcPr>
          <w:p w14:paraId="09A6F696">
            <w:pPr>
              <w:spacing w:line="360" w:lineRule="auto"/>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只能有一个有效报价且不超过采购预算，否则按废标处理；</w:t>
            </w:r>
          </w:p>
        </w:tc>
      </w:tr>
      <w:tr w14:paraId="315956F4">
        <w:tblPrEx>
          <w:tblCellMar>
            <w:top w:w="0" w:type="dxa"/>
            <w:left w:w="0" w:type="dxa"/>
            <w:bottom w:w="0" w:type="dxa"/>
            <w:right w:w="0" w:type="dxa"/>
          </w:tblCellMar>
        </w:tblPrEx>
        <w:trPr>
          <w:trHeight w:val="20" w:hRule="atLeast"/>
          <w:jc w:val="center"/>
        </w:trPr>
        <w:tc>
          <w:tcPr>
            <w:tcW w:w="1027" w:type="dxa"/>
            <w:vMerge w:val="restart"/>
            <w:tcBorders>
              <w:top w:val="single" w:color="auto" w:sz="4" w:space="0"/>
              <w:left w:val="single" w:color="auto" w:sz="4" w:space="0"/>
              <w:right w:val="single" w:color="auto" w:sz="4" w:space="0"/>
            </w:tcBorders>
            <w:vAlign w:val="center"/>
          </w:tcPr>
          <w:p w14:paraId="58CED805">
            <w:pPr>
              <w:autoSpaceDE w:val="0"/>
              <w:autoSpaceDN w:val="0"/>
              <w:adjustRightInd w:val="0"/>
              <w:spacing w:before="50" w:line="360" w:lineRule="auto"/>
              <w:ind w:right="97" w:firstLine="67" w:firstLineChars="28"/>
              <w:jc w:val="center"/>
              <w:rPr>
                <w:rFonts w:hint="default" w:asciiTheme="minorEastAsia" w:hAnsiTheme="minorEastAsia" w:eastAsiaTheme="minorEastAsia"/>
                <w:color w:val="000000" w:themeColor="text1"/>
                <w:spacing w:val="1"/>
                <w:kern w:val="0"/>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pacing w:val="1"/>
                <w:kern w:val="0"/>
                <w:sz w:val="24"/>
                <w:highlight w:val="none"/>
                <w:lang w:val="en-US" w:eastAsia="zh-CN"/>
                <w14:textFill>
                  <w14:solidFill>
                    <w14:schemeClr w14:val="tx1"/>
                  </w14:solidFill>
                </w14:textFill>
              </w:rPr>
              <w:t>2.3</w:t>
            </w:r>
          </w:p>
        </w:tc>
        <w:tc>
          <w:tcPr>
            <w:tcW w:w="1359" w:type="dxa"/>
            <w:vMerge w:val="restart"/>
            <w:tcBorders>
              <w:top w:val="single" w:color="auto" w:sz="4" w:space="0"/>
              <w:left w:val="single" w:color="auto" w:sz="4" w:space="0"/>
              <w:right w:val="single" w:color="auto" w:sz="4" w:space="0"/>
            </w:tcBorders>
            <w:vAlign w:val="center"/>
          </w:tcPr>
          <w:p w14:paraId="2A582AEF">
            <w:pPr>
              <w:autoSpaceDE w:val="0"/>
              <w:autoSpaceDN w:val="0"/>
              <w:adjustRightInd w:val="0"/>
              <w:spacing w:before="50" w:line="360" w:lineRule="auto"/>
              <w:ind w:right="97" w:firstLine="67" w:firstLineChars="28"/>
              <w:jc w:val="center"/>
              <w:rPr>
                <w:rFonts w:hint="default" w:asciiTheme="minorEastAsia" w:hAnsiTheme="minorEastAsia" w:eastAsiaTheme="minorEastAsia"/>
                <w:color w:val="000000" w:themeColor="text1"/>
                <w:spacing w:val="1"/>
                <w:kern w:val="0"/>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pacing w:val="1"/>
                <w:kern w:val="0"/>
                <w:sz w:val="24"/>
                <w:highlight w:val="none"/>
                <w:lang w:val="en-US" w:eastAsia="zh-CN"/>
                <w14:textFill>
                  <w14:solidFill>
                    <w14:schemeClr w14:val="tx1"/>
                  </w14:solidFill>
                </w14:textFill>
              </w:rPr>
              <w:t>响应性评审标准</w:t>
            </w:r>
          </w:p>
        </w:tc>
        <w:tc>
          <w:tcPr>
            <w:tcW w:w="1559" w:type="dxa"/>
            <w:tcBorders>
              <w:top w:val="single" w:color="auto" w:sz="4" w:space="0"/>
              <w:left w:val="single" w:color="auto" w:sz="4" w:space="0"/>
              <w:bottom w:val="single" w:color="auto" w:sz="4" w:space="0"/>
              <w:right w:val="single" w:color="auto" w:sz="4" w:space="0"/>
            </w:tcBorders>
            <w:vAlign w:val="center"/>
          </w:tcPr>
          <w:p w14:paraId="6C5FC059">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服务内容</w:t>
            </w:r>
          </w:p>
        </w:tc>
        <w:tc>
          <w:tcPr>
            <w:tcW w:w="5587" w:type="dxa"/>
            <w:tcBorders>
              <w:top w:val="single" w:color="auto" w:sz="4" w:space="0"/>
              <w:left w:val="single" w:color="000000" w:sz="4" w:space="0"/>
              <w:bottom w:val="single" w:color="auto" w:sz="4" w:space="0"/>
              <w:right w:val="single" w:color="auto" w:sz="4" w:space="0"/>
            </w:tcBorders>
          </w:tcPr>
          <w:p w14:paraId="461DA556">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符合第二章“投标供应商须知”规定；</w:t>
            </w:r>
          </w:p>
        </w:tc>
      </w:tr>
      <w:tr w14:paraId="54FB4F11">
        <w:tblPrEx>
          <w:tblCellMar>
            <w:top w:w="0" w:type="dxa"/>
            <w:left w:w="0" w:type="dxa"/>
            <w:bottom w:w="0" w:type="dxa"/>
            <w:right w:w="0" w:type="dxa"/>
          </w:tblCellMar>
        </w:tblPrEx>
        <w:trPr>
          <w:trHeight w:val="20" w:hRule="atLeast"/>
          <w:jc w:val="center"/>
        </w:trPr>
        <w:tc>
          <w:tcPr>
            <w:tcW w:w="1027" w:type="dxa"/>
            <w:vMerge w:val="continue"/>
            <w:tcBorders>
              <w:left w:val="single" w:color="auto" w:sz="4" w:space="0"/>
              <w:right w:val="single" w:color="auto" w:sz="4" w:space="0"/>
            </w:tcBorders>
            <w:vAlign w:val="center"/>
          </w:tcPr>
          <w:p w14:paraId="5D825ED9">
            <w:pPr>
              <w:autoSpaceDE w:val="0"/>
              <w:autoSpaceDN w:val="0"/>
              <w:adjustRightInd w:val="0"/>
              <w:spacing w:before="50" w:line="360" w:lineRule="auto"/>
              <w:ind w:right="97" w:firstLine="67" w:firstLineChars="28"/>
              <w:jc w:val="center"/>
              <w:rPr>
                <w:rFonts w:asciiTheme="minorEastAsia" w:hAnsiTheme="minorEastAsia" w:eastAsiaTheme="minorEastAsia"/>
                <w:color w:val="000000" w:themeColor="text1"/>
                <w:spacing w:val="1"/>
                <w:kern w:val="0"/>
                <w:sz w:val="24"/>
                <w:highlight w:val="none"/>
                <w14:textFill>
                  <w14:solidFill>
                    <w14:schemeClr w14:val="tx1"/>
                  </w14:solidFill>
                </w14:textFill>
              </w:rPr>
            </w:pPr>
          </w:p>
        </w:tc>
        <w:tc>
          <w:tcPr>
            <w:tcW w:w="1359" w:type="dxa"/>
            <w:vMerge w:val="continue"/>
            <w:tcBorders>
              <w:left w:val="single" w:color="auto" w:sz="4" w:space="0"/>
              <w:right w:val="single" w:color="auto" w:sz="4" w:space="0"/>
            </w:tcBorders>
            <w:vAlign w:val="center"/>
          </w:tcPr>
          <w:p w14:paraId="00542D05">
            <w:pPr>
              <w:autoSpaceDE w:val="0"/>
              <w:autoSpaceDN w:val="0"/>
              <w:adjustRightInd w:val="0"/>
              <w:spacing w:before="50" w:line="360" w:lineRule="auto"/>
              <w:ind w:right="97" w:firstLine="67" w:firstLineChars="28"/>
              <w:jc w:val="center"/>
              <w:rPr>
                <w:rFonts w:asciiTheme="minorEastAsia" w:hAnsiTheme="minorEastAsia" w:eastAsiaTheme="minorEastAsia"/>
                <w:color w:val="000000" w:themeColor="text1"/>
                <w:spacing w:val="1"/>
                <w:kern w:val="0"/>
                <w:sz w:val="24"/>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705CE714">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服务标准</w:t>
            </w:r>
          </w:p>
        </w:tc>
        <w:tc>
          <w:tcPr>
            <w:tcW w:w="5587" w:type="dxa"/>
            <w:tcBorders>
              <w:top w:val="single" w:color="auto" w:sz="4" w:space="0"/>
              <w:left w:val="single" w:color="000000" w:sz="4" w:space="0"/>
              <w:bottom w:val="single" w:color="auto" w:sz="4" w:space="0"/>
              <w:right w:val="single" w:color="auto" w:sz="4" w:space="0"/>
            </w:tcBorders>
          </w:tcPr>
          <w:p w14:paraId="66A23391">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符合第二章“投标供应商须知”规定；</w:t>
            </w:r>
          </w:p>
        </w:tc>
      </w:tr>
      <w:tr w14:paraId="0C5876B7">
        <w:tblPrEx>
          <w:tblCellMar>
            <w:top w:w="0" w:type="dxa"/>
            <w:left w:w="0" w:type="dxa"/>
            <w:bottom w:w="0" w:type="dxa"/>
            <w:right w:w="0" w:type="dxa"/>
          </w:tblCellMar>
        </w:tblPrEx>
        <w:trPr>
          <w:trHeight w:val="20" w:hRule="atLeast"/>
          <w:jc w:val="center"/>
        </w:trPr>
        <w:tc>
          <w:tcPr>
            <w:tcW w:w="1027" w:type="dxa"/>
            <w:vMerge w:val="continue"/>
            <w:tcBorders>
              <w:left w:val="single" w:color="auto" w:sz="4" w:space="0"/>
              <w:right w:val="single" w:color="auto" w:sz="4" w:space="0"/>
            </w:tcBorders>
            <w:vAlign w:val="center"/>
          </w:tcPr>
          <w:p w14:paraId="769EC868">
            <w:pPr>
              <w:autoSpaceDE w:val="0"/>
              <w:autoSpaceDN w:val="0"/>
              <w:adjustRightInd w:val="0"/>
              <w:spacing w:before="50" w:line="360" w:lineRule="auto"/>
              <w:ind w:right="97" w:firstLine="67" w:firstLineChars="28"/>
              <w:jc w:val="center"/>
              <w:rPr>
                <w:rFonts w:asciiTheme="minorEastAsia" w:hAnsiTheme="minorEastAsia" w:eastAsiaTheme="minorEastAsia"/>
                <w:color w:val="000000" w:themeColor="text1"/>
                <w:spacing w:val="1"/>
                <w:kern w:val="0"/>
                <w:sz w:val="24"/>
                <w:highlight w:val="none"/>
                <w14:textFill>
                  <w14:solidFill>
                    <w14:schemeClr w14:val="tx1"/>
                  </w14:solidFill>
                </w14:textFill>
              </w:rPr>
            </w:pPr>
          </w:p>
        </w:tc>
        <w:tc>
          <w:tcPr>
            <w:tcW w:w="1359" w:type="dxa"/>
            <w:vMerge w:val="continue"/>
            <w:tcBorders>
              <w:left w:val="single" w:color="auto" w:sz="4" w:space="0"/>
              <w:right w:val="single" w:color="auto" w:sz="4" w:space="0"/>
            </w:tcBorders>
            <w:vAlign w:val="center"/>
          </w:tcPr>
          <w:p w14:paraId="33A027D8">
            <w:pPr>
              <w:autoSpaceDE w:val="0"/>
              <w:autoSpaceDN w:val="0"/>
              <w:adjustRightInd w:val="0"/>
              <w:spacing w:before="50" w:line="360" w:lineRule="auto"/>
              <w:ind w:right="97" w:firstLine="67" w:firstLineChars="28"/>
              <w:jc w:val="center"/>
              <w:rPr>
                <w:rFonts w:asciiTheme="minorEastAsia" w:hAnsiTheme="minorEastAsia" w:eastAsiaTheme="minorEastAsia"/>
                <w:color w:val="000000" w:themeColor="text1"/>
                <w:spacing w:val="1"/>
                <w:kern w:val="0"/>
                <w:sz w:val="24"/>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2BFA8DCA">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服务期限</w:t>
            </w:r>
          </w:p>
        </w:tc>
        <w:tc>
          <w:tcPr>
            <w:tcW w:w="5587" w:type="dxa"/>
            <w:tcBorders>
              <w:top w:val="single" w:color="auto" w:sz="4" w:space="0"/>
              <w:left w:val="single" w:color="auto" w:sz="4" w:space="0"/>
              <w:bottom w:val="single" w:color="000000" w:sz="4" w:space="0"/>
              <w:right w:val="single" w:color="auto" w:sz="4" w:space="0"/>
            </w:tcBorders>
          </w:tcPr>
          <w:p w14:paraId="2E7EF334">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符合第二章“投标供应商须知”规定；</w:t>
            </w:r>
          </w:p>
        </w:tc>
      </w:tr>
      <w:tr w14:paraId="352B63A4">
        <w:tblPrEx>
          <w:tblCellMar>
            <w:top w:w="0" w:type="dxa"/>
            <w:left w:w="0" w:type="dxa"/>
            <w:bottom w:w="0" w:type="dxa"/>
            <w:right w:w="0" w:type="dxa"/>
          </w:tblCellMar>
        </w:tblPrEx>
        <w:trPr>
          <w:trHeight w:val="20" w:hRule="atLeast"/>
          <w:jc w:val="center"/>
        </w:trPr>
        <w:tc>
          <w:tcPr>
            <w:tcW w:w="1027" w:type="dxa"/>
            <w:vMerge w:val="continue"/>
            <w:tcBorders>
              <w:left w:val="single" w:color="auto" w:sz="4" w:space="0"/>
              <w:right w:val="single" w:color="auto" w:sz="4" w:space="0"/>
            </w:tcBorders>
            <w:vAlign w:val="center"/>
          </w:tcPr>
          <w:p w14:paraId="23F582E2">
            <w:pPr>
              <w:autoSpaceDE w:val="0"/>
              <w:autoSpaceDN w:val="0"/>
              <w:adjustRightInd w:val="0"/>
              <w:spacing w:before="50" w:line="360" w:lineRule="auto"/>
              <w:ind w:right="97" w:firstLine="67" w:firstLineChars="28"/>
              <w:jc w:val="center"/>
              <w:rPr>
                <w:rFonts w:asciiTheme="minorEastAsia" w:hAnsiTheme="minorEastAsia" w:eastAsiaTheme="minorEastAsia"/>
                <w:color w:val="000000" w:themeColor="text1"/>
                <w:spacing w:val="1"/>
                <w:kern w:val="0"/>
                <w:sz w:val="24"/>
                <w:highlight w:val="none"/>
                <w14:textFill>
                  <w14:solidFill>
                    <w14:schemeClr w14:val="tx1"/>
                  </w14:solidFill>
                </w14:textFill>
              </w:rPr>
            </w:pPr>
          </w:p>
        </w:tc>
        <w:tc>
          <w:tcPr>
            <w:tcW w:w="1359" w:type="dxa"/>
            <w:vMerge w:val="continue"/>
            <w:tcBorders>
              <w:left w:val="single" w:color="auto" w:sz="4" w:space="0"/>
              <w:right w:val="single" w:color="auto" w:sz="4" w:space="0"/>
            </w:tcBorders>
            <w:vAlign w:val="center"/>
          </w:tcPr>
          <w:p w14:paraId="14203F78">
            <w:pPr>
              <w:autoSpaceDE w:val="0"/>
              <w:autoSpaceDN w:val="0"/>
              <w:adjustRightInd w:val="0"/>
              <w:spacing w:before="50" w:line="360" w:lineRule="auto"/>
              <w:ind w:right="97" w:firstLine="67" w:firstLineChars="28"/>
              <w:jc w:val="center"/>
              <w:rPr>
                <w:rFonts w:asciiTheme="minorEastAsia" w:hAnsiTheme="minorEastAsia" w:eastAsiaTheme="minorEastAsia"/>
                <w:color w:val="000000" w:themeColor="text1"/>
                <w:spacing w:val="1"/>
                <w:kern w:val="0"/>
                <w:sz w:val="24"/>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05CE2FD8">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服务地点</w:t>
            </w:r>
          </w:p>
        </w:tc>
        <w:tc>
          <w:tcPr>
            <w:tcW w:w="5587" w:type="dxa"/>
            <w:tcBorders>
              <w:top w:val="single" w:color="auto" w:sz="4" w:space="0"/>
              <w:left w:val="single" w:color="auto" w:sz="4" w:space="0"/>
              <w:bottom w:val="single" w:color="000000" w:sz="4" w:space="0"/>
              <w:right w:val="single" w:color="auto" w:sz="4" w:space="0"/>
            </w:tcBorders>
            <w:vAlign w:val="center"/>
          </w:tcPr>
          <w:p w14:paraId="1786C144">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符合第二章“投标供应商须知”规定；</w:t>
            </w:r>
          </w:p>
        </w:tc>
      </w:tr>
      <w:tr w14:paraId="2611229A">
        <w:tblPrEx>
          <w:tblCellMar>
            <w:top w:w="0" w:type="dxa"/>
            <w:left w:w="0" w:type="dxa"/>
            <w:bottom w:w="0" w:type="dxa"/>
            <w:right w:w="0" w:type="dxa"/>
          </w:tblCellMar>
        </w:tblPrEx>
        <w:trPr>
          <w:trHeight w:val="20" w:hRule="atLeast"/>
          <w:jc w:val="center"/>
        </w:trPr>
        <w:tc>
          <w:tcPr>
            <w:tcW w:w="1027" w:type="dxa"/>
            <w:vMerge w:val="continue"/>
            <w:tcBorders>
              <w:left w:val="single" w:color="auto" w:sz="4" w:space="0"/>
              <w:right w:val="single" w:color="auto" w:sz="4" w:space="0"/>
            </w:tcBorders>
            <w:vAlign w:val="center"/>
          </w:tcPr>
          <w:p w14:paraId="378AE62D">
            <w:pPr>
              <w:autoSpaceDE w:val="0"/>
              <w:autoSpaceDN w:val="0"/>
              <w:adjustRightInd w:val="0"/>
              <w:spacing w:before="50" w:line="360" w:lineRule="auto"/>
              <w:ind w:right="97" w:firstLine="67" w:firstLineChars="28"/>
              <w:jc w:val="center"/>
              <w:rPr>
                <w:rFonts w:asciiTheme="minorEastAsia" w:hAnsiTheme="minorEastAsia" w:eastAsiaTheme="minorEastAsia"/>
                <w:color w:val="000000" w:themeColor="text1"/>
                <w:spacing w:val="1"/>
                <w:kern w:val="0"/>
                <w:sz w:val="24"/>
                <w:highlight w:val="none"/>
                <w14:textFill>
                  <w14:solidFill>
                    <w14:schemeClr w14:val="tx1"/>
                  </w14:solidFill>
                </w14:textFill>
              </w:rPr>
            </w:pPr>
          </w:p>
        </w:tc>
        <w:tc>
          <w:tcPr>
            <w:tcW w:w="1359" w:type="dxa"/>
            <w:vMerge w:val="continue"/>
            <w:tcBorders>
              <w:left w:val="single" w:color="auto" w:sz="4" w:space="0"/>
              <w:right w:val="single" w:color="auto" w:sz="4" w:space="0"/>
            </w:tcBorders>
            <w:vAlign w:val="center"/>
          </w:tcPr>
          <w:p w14:paraId="60AC0A92">
            <w:pPr>
              <w:autoSpaceDE w:val="0"/>
              <w:autoSpaceDN w:val="0"/>
              <w:adjustRightInd w:val="0"/>
              <w:spacing w:before="50" w:line="360" w:lineRule="auto"/>
              <w:ind w:right="97" w:firstLine="67" w:firstLineChars="28"/>
              <w:jc w:val="center"/>
              <w:rPr>
                <w:rFonts w:asciiTheme="minorEastAsia" w:hAnsiTheme="minorEastAsia" w:eastAsiaTheme="minorEastAsia"/>
                <w:color w:val="000000" w:themeColor="text1"/>
                <w:spacing w:val="1"/>
                <w:kern w:val="0"/>
                <w:sz w:val="24"/>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77E65588">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投标承诺函</w:t>
            </w:r>
          </w:p>
        </w:tc>
        <w:tc>
          <w:tcPr>
            <w:tcW w:w="5587" w:type="dxa"/>
            <w:tcBorders>
              <w:top w:val="single" w:color="auto" w:sz="4" w:space="0"/>
              <w:left w:val="single" w:color="auto" w:sz="4" w:space="0"/>
              <w:bottom w:val="single" w:color="000000" w:sz="4" w:space="0"/>
              <w:right w:val="single" w:color="auto" w:sz="4" w:space="0"/>
            </w:tcBorders>
            <w:vAlign w:val="center"/>
          </w:tcPr>
          <w:p w14:paraId="75E90EF8">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符合第六章“响应文件格式”的要求；</w:t>
            </w:r>
          </w:p>
        </w:tc>
      </w:tr>
      <w:tr w14:paraId="1DEE5407">
        <w:tblPrEx>
          <w:tblCellMar>
            <w:top w:w="0" w:type="dxa"/>
            <w:left w:w="0" w:type="dxa"/>
            <w:bottom w:w="0" w:type="dxa"/>
            <w:right w:w="0" w:type="dxa"/>
          </w:tblCellMar>
        </w:tblPrEx>
        <w:trPr>
          <w:trHeight w:val="20" w:hRule="atLeast"/>
          <w:jc w:val="center"/>
        </w:trPr>
        <w:tc>
          <w:tcPr>
            <w:tcW w:w="1027" w:type="dxa"/>
            <w:vMerge w:val="continue"/>
            <w:tcBorders>
              <w:left w:val="single" w:color="auto" w:sz="4" w:space="0"/>
              <w:right w:val="single" w:color="auto" w:sz="4" w:space="0"/>
            </w:tcBorders>
            <w:vAlign w:val="center"/>
          </w:tcPr>
          <w:p w14:paraId="2F5C627D">
            <w:pPr>
              <w:autoSpaceDE w:val="0"/>
              <w:autoSpaceDN w:val="0"/>
              <w:adjustRightInd w:val="0"/>
              <w:spacing w:before="50" w:line="360" w:lineRule="auto"/>
              <w:ind w:right="97" w:firstLine="67" w:firstLineChars="28"/>
              <w:jc w:val="center"/>
              <w:rPr>
                <w:rFonts w:asciiTheme="minorEastAsia" w:hAnsiTheme="minorEastAsia" w:eastAsiaTheme="minorEastAsia"/>
                <w:color w:val="000000" w:themeColor="text1"/>
                <w:spacing w:val="1"/>
                <w:kern w:val="0"/>
                <w:sz w:val="24"/>
                <w:highlight w:val="none"/>
                <w14:textFill>
                  <w14:solidFill>
                    <w14:schemeClr w14:val="tx1"/>
                  </w14:solidFill>
                </w14:textFill>
              </w:rPr>
            </w:pPr>
          </w:p>
        </w:tc>
        <w:tc>
          <w:tcPr>
            <w:tcW w:w="1359" w:type="dxa"/>
            <w:vMerge w:val="continue"/>
            <w:tcBorders>
              <w:left w:val="single" w:color="auto" w:sz="4" w:space="0"/>
              <w:right w:val="single" w:color="auto" w:sz="4" w:space="0"/>
            </w:tcBorders>
            <w:vAlign w:val="center"/>
          </w:tcPr>
          <w:p w14:paraId="75850514">
            <w:pPr>
              <w:autoSpaceDE w:val="0"/>
              <w:autoSpaceDN w:val="0"/>
              <w:adjustRightInd w:val="0"/>
              <w:spacing w:before="50" w:line="360" w:lineRule="auto"/>
              <w:ind w:right="97" w:firstLine="67" w:firstLineChars="28"/>
              <w:jc w:val="center"/>
              <w:rPr>
                <w:rFonts w:asciiTheme="minorEastAsia" w:hAnsiTheme="minorEastAsia" w:eastAsiaTheme="minorEastAsia"/>
                <w:color w:val="000000" w:themeColor="text1"/>
                <w:spacing w:val="1"/>
                <w:kern w:val="0"/>
                <w:sz w:val="24"/>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5DF129D6">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磋商有效期</w:t>
            </w:r>
          </w:p>
        </w:tc>
        <w:tc>
          <w:tcPr>
            <w:tcW w:w="5587" w:type="dxa"/>
            <w:tcBorders>
              <w:top w:val="single" w:color="auto" w:sz="4" w:space="0"/>
              <w:left w:val="single" w:color="auto" w:sz="4" w:space="0"/>
              <w:bottom w:val="single" w:color="000000" w:sz="4" w:space="0"/>
              <w:right w:val="single" w:color="auto" w:sz="4" w:space="0"/>
            </w:tcBorders>
          </w:tcPr>
          <w:p w14:paraId="40434DEB">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符合第二章“投标供应商须知”规定；</w:t>
            </w:r>
          </w:p>
        </w:tc>
      </w:tr>
      <w:tr w14:paraId="40F9CB42">
        <w:tblPrEx>
          <w:tblCellMar>
            <w:top w:w="0" w:type="dxa"/>
            <w:left w:w="0" w:type="dxa"/>
            <w:bottom w:w="0" w:type="dxa"/>
            <w:right w:w="0" w:type="dxa"/>
          </w:tblCellMar>
        </w:tblPrEx>
        <w:trPr>
          <w:trHeight w:val="20"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14:paraId="7418D281">
            <w:pPr>
              <w:autoSpaceDE w:val="0"/>
              <w:autoSpaceDN w:val="0"/>
              <w:adjustRightInd w:val="0"/>
              <w:spacing w:before="50" w:line="360" w:lineRule="auto"/>
              <w:ind w:right="97" w:firstLine="68" w:firstLineChars="28"/>
              <w:jc w:val="center"/>
              <w:rPr>
                <w:rFonts w:asciiTheme="minorEastAsia" w:hAnsiTheme="minorEastAsia" w:eastAsiaTheme="minorEastAsia"/>
                <w:b/>
                <w:color w:val="000000" w:themeColor="text1"/>
                <w:spacing w:val="1"/>
                <w:kern w:val="0"/>
                <w:sz w:val="24"/>
                <w:highlight w:val="none"/>
                <w14:textFill>
                  <w14:solidFill>
                    <w14:schemeClr w14:val="tx1"/>
                  </w14:solidFill>
                </w14:textFill>
              </w:rPr>
            </w:pPr>
            <w:r>
              <w:rPr>
                <w:rFonts w:hint="eastAsia" w:asciiTheme="minorEastAsia" w:hAnsiTheme="minorEastAsia" w:eastAsiaTheme="minorEastAsia"/>
                <w:b/>
                <w:color w:val="000000" w:themeColor="text1"/>
                <w:spacing w:val="1"/>
                <w:kern w:val="0"/>
                <w:sz w:val="24"/>
                <w:highlight w:val="none"/>
                <w14:textFill>
                  <w14:solidFill>
                    <w14:schemeClr w14:val="tx1"/>
                  </w14:solidFill>
                </w14:textFill>
              </w:rPr>
              <w:t>条款号</w:t>
            </w:r>
          </w:p>
        </w:tc>
        <w:tc>
          <w:tcPr>
            <w:tcW w:w="1359" w:type="dxa"/>
            <w:tcBorders>
              <w:top w:val="single" w:color="000000" w:sz="4" w:space="0"/>
              <w:left w:val="single" w:color="000000" w:sz="4" w:space="0"/>
              <w:bottom w:val="single" w:color="000000" w:sz="4" w:space="0"/>
              <w:right w:val="single" w:color="000000" w:sz="4" w:space="0"/>
            </w:tcBorders>
            <w:vAlign w:val="center"/>
          </w:tcPr>
          <w:p w14:paraId="6DD5DD01">
            <w:pPr>
              <w:autoSpaceDE w:val="0"/>
              <w:autoSpaceDN w:val="0"/>
              <w:adjustRightInd w:val="0"/>
              <w:spacing w:before="50" w:line="360" w:lineRule="auto"/>
              <w:ind w:right="97" w:firstLine="68" w:firstLineChars="28"/>
              <w:jc w:val="center"/>
              <w:rPr>
                <w:rFonts w:asciiTheme="minorEastAsia" w:hAnsiTheme="minorEastAsia" w:eastAsiaTheme="minorEastAsia"/>
                <w:b/>
                <w:color w:val="000000" w:themeColor="text1"/>
                <w:spacing w:val="1"/>
                <w:kern w:val="0"/>
                <w:sz w:val="24"/>
                <w:highlight w:val="none"/>
                <w14:textFill>
                  <w14:solidFill>
                    <w14:schemeClr w14:val="tx1"/>
                  </w14:solidFill>
                </w14:textFill>
              </w:rPr>
            </w:pPr>
            <w:r>
              <w:rPr>
                <w:rFonts w:hint="eastAsia" w:asciiTheme="minorEastAsia" w:hAnsiTheme="minorEastAsia" w:eastAsiaTheme="minorEastAsia"/>
                <w:b/>
                <w:color w:val="000000" w:themeColor="text1"/>
                <w:spacing w:val="1"/>
                <w:kern w:val="0"/>
                <w:sz w:val="24"/>
                <w:highlight w:val="none"/>
                <w14:textFill>
                  <w14:solidFill>
                    <w14:schemeClr w14:val="tx1"/>
                  </w14:solidFill>
                </w14:textFill>
              </w:rPr>
              <w:t>条款</w:t>
            </w:r>
          </w:p>
          <w:p w14:paraId="35E32772">
            <w:pPr>
              <w:autoSpaceDE w:val="0"/>
              <w:autoSpaceDN w:val="0"/>
              <w:adjustRightInd w:val="0"/>
              <w:spacing w:before="50" w:line="360" w:lineRule="auto"/>
              <w:ind w:right="97" w:firstLine="68" w:firstLineChars="28"/>
              <w:jc w:val="center"/>
              <w:rPr>
                <w:rFonts w:asciiTheme="minorEastAsia" w:hAnsiTheme="minorEastAsia" w:eastAsiaTheme="minorEastAsia"/>
                <w:b/>
                <w:color w:val="000000" w:themeColor="text1"/>
                <w:spacing w:val="1"/>
                <w:kern w:val="0"/>
                <w:sz w:val="24"/>
                <w:highlight w:val="none"/>
                <w14:textFill>
                  <w14:solidFill>
                    <w14:schemeClr w14:val="tx1"/>
                  </w14:solidFill>
                </w14:textFill>
              </w:rPr>
            </w:pPr>
            <w:r>
              <w:rPr>
                <w:rFonts w:hint="eastAsia" w:asciiTheme="minorEastAsia" w:hAnsiTheme="minorEastAsia" w:eastAsiaTheme="minorEastAsia"/>
                <w:b/>
                <w:color w:val="000000" w:themeColor="text1"/>
                <w:spacing w:val="1"/>
                <w:kern w:val="0"/>
                <w:sz w:val="24"/>
                <w:highlight w:val="none"/>
                <w14:textFill>
                  <w14:solidFill>
                    <w14:schemeClr w14:val="tx1"/>
                  </w14:solidFill>
                </w14:textFill>
              </w:rPr>
              <w:t>内容</w:t>
            </w:r>
          </w:p>
        </w:tc>
        <w:tc>
          <w:tcPr>
            <w:tcW w:w="7146" w:type="dxa"/>
            <w:gridSpan w:val="2"/>
            <w:tcBorders>
              <w:top w:val="single" w:color="000000" w:sz="4" w:space="0"/>
              <w:left w:val="single" w:color="000000" w:sz="4" w:space="0"/>
              <w:bottom w:val="single" w:color="000000" w:sz="4" w:space="0"/>
              <w:right w:val="single" w:color="000000" w:sz="4" w:space="0"/>
            </w:tcBorders>
            <w:vAlign w:val="center"/>
          </w:tcPr>
          <w:p w14:paraId="715A6227">
            <w:pPr>
              <w:autoSpaceDE w:val="0"/>
              <w:autoSpaceDN w:val="0"/>
              <w:adjustRightInd w:val="0"/>
              <w:spacing w:before="50" w:line="360" w:lineRule="auto"/>
              <w:ind w:right="97" w:firstLine="68" w:firstLineChars="28"/>
              <w:jc w:val="center"/>
              <w:rPr>
                <w:rFonts w:asciiTheme="minorEastAsia" w:hAnsiTheme="minorEastAsia" w:eastAsiaTheme="minorEastAsia"/>
                <w:b/>
                <w:color w:val="000000" w:themeColor="text1"/>
                <w:spacing w:val="1"/>
                <w:kern w:val="0"/>
                <w:sz w:val="24"/>
                <w:highlight w:val="none"/>
                <w14:textFill>
                  <w14:solidFill>
                    <w14:schemeClr w14:val="tx1"/>
                  </w14:solidFill>
                </w14:textFill>
              </w:rPr>
            </w:pPr>
            <w:r>
              <w:rPr>
                <w:rFonts w:hint="eastAsia" w:asciiTheme="minorEastAsia" w:hAnsiTheme="minorEastAsia" w:eastAsiaTheme="minorEastAsia"/>
                <w:b/>
                <w:color w:val="000000" w:themeColor="text1"/>
                <w:spacing w:val="1"/>
                <w:kern w:val="0"/>
                <w:sz w:val="24"/>
                <w:highlight w:val="none"/>
                <w14:textFill>
                  <w14:solidFill>
                    <w14:schemeClr w14:val="tx1"/>
                  </w14:solidFill>
                </w14:textFill>
              </w:rPr>
              <w:t>编列内容</w:t>
            </w:r>
          </w:p>
        </w:tc>
      </w:tr>
      <w:tr w14:paraId="405E3842">
        <w:tblPrEx>
          <w:tblCellMar>
            <w:top w:w="0" w:type="dxa"/>
            <w:left w:w="0" w:type="dxa"/>
            <w:bottom w:w="0" w:type="dxa"/>
            <w:right w:w="0" w:type="dxa"/>
          </w:tblCellMar>
        </w:tblPrEx>
        <w:trPr>
          <w:trHeight w:val="20" w:hRule="atLeast"/>
          <w:jc w:val="center"/>
        </w:trPr>
        <w:tc>
          <w:tcPr>
            <w:tcW w:w="1027" w:type="dxa"/>
            <w:tcBorders>
              <w:top w:val="single" w:color="000000" w:sz="4" w:space="0"/>
              <w:left w:val="single" w:color="000000" w:sz="4" w:space="0"/>
              <w:bottom w:val="single" w:color="auto" w:sz="4" w:space="0"/>
              <w:right w:val="single" w:color="000000" w:sz="4" w:space="0"/>
            </w:tcBorders>
            <w:vAlign w:val="center"/>
          </w:tcPr>
          <w:p w14:paraId="0FF90525">
            <w:pPr>
              <w:spacing w:line="360" w:lineRule="auto"/>
              <w:ind w:left="57" w:leftChars="27" w:right="84" w:rightChars="40"/>
              <w:jc w:val="center"/>
              <w:rPr>
                <w:rFonts w:hint="default" w:cs="宋体"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3.1</w:t>
            </w:r>
          </w:p>
        </w:tc>
        <w:tc>
          <w:tcPr>
            <w:tcW w:w="1359" w:type="dxa"/>
            <w:tcBorders>
              <w:top w:val="single" w:color="000000" w:sz="4" w:space="0"/>
              <w:left w:val="single" w:color="000000" w:sz="4" w:space="0"/>
              <w:bottom w:val="single" w:color="000000" w:sz="4" w:space="0"/>
              <w:right w:val="single" w:color="000000" w:sz="4" w:space="0"/>
            </w:tcBorders>
            <w:vAlign w:val="center"/>
          </w:tcPr>
          <w:p w14:paraId="7BEF7D1E">
            <w:pPr>
              <w:spacing w:line="360" w:lineRule="auto"/>
              <w:ind w:left="57" w:leftChars="27" w:right="84" w:rightChars="4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分值构成</w:t>
            </w:r>
          </w:p>
          <w:p w14:paraId="6A1BCD9E">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(总分100分)</w:t>
            </w:r>
          </w:p>
        </w:tc>
        <w:tc>
          <w:tcPr>
            <w:tcW w:w="7146" w:type="dxa"/>
            <w:gridSpan w:val="2"/>
            <w:tcBorders>
              <w:top w:val="single" w:color="000000" w:sz="4" w:space="0"/>
              <w:left w:val="single" w:color="000000" w:sz="4" w:space="0"/>
              <w:bottom w:val="single" w:color="000000" w:sz="4" w:space="0"/>
              <w:right w:val="single" w:color="000000" w:sz="4" w:space="0"/>
            </w:tcBorders>
            <w:vAlign w:val="center"/>
          </w:tcPr>
          <w:p w14:paraId="27C8A424">
            <w:pPr>
              <w:spacing w:line="360" w:lineRule="auto"/>
              <w:ind w:left="139" w:leftChars="66" w:right="143" w:rightChars="68" w:firstLine="1"/>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报价部分：  10分</w:t>
            </w:r>
          </w:p>
          <w:p w14:paraId="18E04741">
            <w:pPr>
              <w:spacing w:line="360" w:lineRule="auto"/>
              <w:ind w:left="139" w:leftChars="66" w:right="143" w:rightChars="68" w:firstLine="1"/>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技术部分：</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 xml:space="preserve">  60</w:t>
            </w:r>
            <w:r>
              <w:rPr>
                <w:rFonts w:hint="eastAsia" w:cs="宋体" w:asciiTheme="minorEastAsia" w:hAnsiTheme="minorEastAsia" w:eastAsiaTheme="minorEastAsia"/>
                <w:color w:val="000000" w:themeColor="text1"/>
                <w:sz w:val="24"/>
                <w:highlight w:val="none"/>
                <w14:textFill>
                  <w14:solidFill>
                    <w14:schemeClr w14:val="tx1"/>
                  </w14:solidFill>
                </w14:textFill>
              </w:rPr>
              <w:t>分</w:t>
            </w:r>
          </w:p>
          <w:p w14:paraId="0C5C631C">
            <w:pPr>
              <w:spacing w:line="360" w:lineRule="auto"/>
              <w:ind w:left="139" w:leftChars="66" w:right="143" w:rightChars="68" w:firstLine="1"/>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商务部分：  </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30</w:t>
            </w:r>
            <w:r>
              <w:rPr>
                <w:rFonts w:hint="eastAsia" w:cs="宋体" w:asciiTheme="minorEastAsia" w:hAnsiTheme="minorEastAsia" w:eastAsiaTheme="minorEastAsia"/>
                <w:color w:val="000000" w:themeColor="text1"/>
                <w:sz w:val="24"/>
                <w:highlight w:val="none"/>
                <w14:textFill>
                  <w14:solidFill>
                    <w14:schemeClr w14:val="tx1"/>
                  </w14:solidFill>
                </w14:textFill>
              </w:rPr>
              <w:t>分</w:t>
            </w:r>
          </w:p>
        </w:tc>
      </w:tr>
      <w:tr w14:paraId="6F2FAFF6">
        <w:tblPrEx>
          <w:tblCellMar>
            <w:top w:w="0" w:type="dxa"/>
            <w:left w:w="0" w:type="dxa"/>
            <w:bottom w:w="0" w:type="dxa"/>
            <w:right w:w="0" w:type="dxa"/>
          </w:tblCellMar>
        </w:tblPrEx>
        <w:trPr>
          <w:trHeight w:val="20" w:hRule="atLeast"/>
          <w:jc w:val="center"/>
        </w:trPr>
        <w:tc>
          <w:tcPr>
            <w:tcW w:w="1027" w:type="dxa"/>
            <w:tcBorders>
              <w:top w:val="single" w:color="auto" w:sz="4" w:space="0"/>
              <w:left w:val="single" w:color="auto" w:sz="4" w:space="0"/>
              <w:bottom w:val="single" w:color="auto" w:sz="4" w:space="0"/>
              <w:right w:val="single" w:color="auto" w:sz="4" w:space="0"/>
            </w:tcBorders>
            <w:vAlign w:val="center"/>
          </w:tcPr>
          <w:p w14:paraId="23654A75">
            <w:pPr>
              <w:spacing w:line="360" w:lineRule="auto"/>
              <w:ind w:left="57" w:leftChars="27" w:right="84" w:rightChars="40"/>
              <w:jc w:val="center"/>
              <w:rPr>
                <w:rFonts w:hint="default" w:cs="宋体"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3.2</w:t>
            </w:r>
          </w:p>
        </w:tc>
        <w:tc>
          <w:tcPr>
            <w:tcW w:w="1359" w:type="dxa"/>
            <w:tcBorders>
              <w:top w:val="single" w:color="000000" w:sz="4" w:space="0"/>
              <w:left w:val="single" w:color="auto" w:sz="4" w:space="0"/>
              <w:bottom w:val="single" w:color="auto" w:sz="4" w:space="0"/>
              <w:right w:val="single" w:color="000000" w:sz="4" w:space="0"/>
            </w:tcBorders>
            <w:vAlign w:val="center"/>
          </w:tcPr>
          <w:p w14:paraId="67E12649">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报价部分（10分）</w:t>
            </w:r>
          </w:p>
        </w:tc>
        <w:tc>
          <w:tcPr>
            <w:tcW w:w="7146" w:type="dxa"/>
            <w:gridSpan w:val="2"/>
            <w:tcBorders>
              <w:top w:val="single" w:color="000000" w:sz="4" w:space="0"/>
              <w:left w:val="single" w:color="000000" w:sz="4" w:space="0"/>
              <w:bottom w:val="single" w:color="auto" w:sz="4" w:space="0"/>
              <w:right w:val="single" w:color="000000" w:sz="4" w:space="0"/>
            </w:tcBorders>
            <w:vAlign w:val="center"/>
          </w:tcPr>
          <w:p w14:paraId="172D1616">
            <w:pPr>
              <w:spacing w:line="360" w:lineRule="auto"/>
              <w:ind w:left="139" w:leftChars="66" w:right="143" w:rightChars="68" w:firstLine="1"/>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1、超出采购人预算价的报价为无效报价，按废标处理。</w:t>
            </w:r>
          </w:p>
          <w:p w14:paraId="2770A404">
            <w:pPr>
              <w:spacing w:line="360" w:lineRule="auto"/>
              <w:ind w:left="139" w:leftChars="66" w:right="143" w:rightChars="68" w:firstLine="1"/>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2、价格分统一采用低价优先法计算，即满足磋商文件要求且最后报价最低的供应商的价格为磋商基准价，其价格分为满分10分。其他供应商的价格分统一按照下列公式计算：</w:t>
            </w:r>
          </w:p>
          <w:p w14:paraId="74A4AB4A">
            <w:pPr>
              <w:spacing w:line="360" w:lineRule="auto"/>
              <w:ind w:left="139" w:leftChars="66" w:right="143" w:rightChars="68" w:firstLine="1"/>
              <w:jc w:val="left"/>
              <w:rPr>
                <w:rFonts w:hint="eastAsia"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磋商报价得分=（磋商基准价/最后磋商报价）×10，按四舍五入法则，保留小数点后两位。</w:t>
            </w:r>
          </w:p>
          <w:p w14:paraId="6A7A2D50">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注：1.根据《政府采购促进中小企业发展管理办法》的规定，对小型、微型企业产品的价格给予10%～20%的扣除，本项目小型、微型企业按20%扣除。对于中型企业产品的价格不予扣除。</w:t>
            </w:r>
          </w:p>
          <w:p w14:paraId="441C3A4D">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所投小微企业产品报价=所投小微企业产品报价×（1-20%）</w:t>
            </w:r>
          </w:p>
          <w:p w14:paraId="682CC44F">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2.根据财政部司法部《关于政府采购支持监狱企业发展有关问题的通知》（财库〔2014〕68号）规定，对于监狱企业视同为小型、微型企业，价格给予 20%的扣除。</w:t>
            </w:r>
          </w:p>
          <w:p w14:paraId="63AADD2F">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所投监狱企业产品报价=所投监狱企业产品报价×（1-20%）</w:t>
            </w:r>
          </w:p>
          <w:p w14:paraId="3BF6BBE0">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3.根据财政部民政部中国残疾人联合会《关于促进残疾人就业政府采购政策的通知》（财库〔2017〕141号）规定，对于残疾人福利性单位视同为小型、微型企业，价格给予20%的扣除。</w:t>
            </w:r>
          </w:p>
          <w:p w14:paraId="7548B94E">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所投残疾人福利性单位企业产品报价=所投残疾人福利性单位企业产品报价×（1-20%）</w:t>
            </w:r>
          </w:p>
          <w:p w14:paraId="53AEC7EB">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pPr>
            <w:r>
              <w:rPr>
                <w:rFonts w:hint="eastAsia" w:cs="宋体"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同一供应商，中小微企业产品、监狱企业产品、残疾人福利性单位产品的价格扣除优惠只享受一次，不得重复享受。</w:t>
            </w:r>
          </w:p>
        </w:tc>
      </w:tr>
      <w:tr w14:paraId="4B04B43A">
        <w:tblPrEx>
          <w:tblCellMar>
            <w:top w:w="0" w:type="dxa"/>
            <w:left w:w="0" w:type="dxa"/>
            <w:bottom w:w="0" w:type="dxa"/>
            <w:right w:w="0" w:type="dxa"/>
          </w:tblCellMar>
        </w:tblPrEx>
        <w:trPr>
          <w:trHeight w:val="20" w:hRule="atLeast"/>
          <w:jc w:val="center"/>
        </w:trPr>
        <w:tc>
          <w:tcPr>
            <w:tcW w:w="1027" w:type="dxa"/>
            <w:vMerge w:val="restart"/>
            <w:tcBorders>
              <w:top w:val="single" w:color="auto" w:sz="4" w:space="0"/>
              <w:left w:val="single" w:color="auto" w:sz="4" w:space="0"/>
              <w:right w:val="single" w:color="auto" w:sz="4" w:space="0"/>
            </w:tcBorders>
            <w:vAlign w:val="center"/>
          </w:tcPr>
          <w:p w14:paraId="6EF6AD4D">
            <w:pPr>
              <w:spacing w:line="360" w:lineRule="auto"/>
              <w:ind w:left="57" w:leftChars="27" w:right="84" w:rightChars="40"/>
              <w:jc w:val="center"/>
              <w:rPr>
                <w:rFonts w:hint="default" w:cs="宋体"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3.3</w:t>
            </w:r>
          </w:p>
        </w:tc>
        <w:tc>
          <w:tcPr>
            <w:tcW w:w="1359" w:type="dxa"/>
            <w:vMerge w:val="restart"/>
            <w:tcBorders>
              <w:top w:val="single" w:color="auto" w:sz="4" w:space="0"/>
              <w:left w:val="single" w:color="auto" w:sz="4" w:space="0"/>
              <w:right w:val="single" w:color="auto" w:sz="4" w:space="0"/>
            </w:tcBorders>
            <w:vAlign w:val="center"/>
          </w:tcPr>
          <w:p w14:paraId="0A93B6E2">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技术部分（</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60</w:t>
            </w:r>
            <w:r>
              <w:rPr>
                <w:rFonts w:hint="eastAsia" w:cs="宋体" w:asciiTheme="minorEastAsia" w:hAnsiTheme="minorEastAsia" w:eastAsiaTheme="minorEastAsia"/>
                <w:color w:val="000000" w:themeColor="text1"/>
                <w:sz w:val="24"/>
                <w:highlight w:val="none"/>
                <w14:textFill>
                  <w14:solidFill>
                    <w14:schemeClr w14:val="tx1"/>
                  </w14:solidFill>
                </w14:textFill>
              </w:rPr>
              <w:t>分）</w:t>
            </w:r>
          </w:p>
        </w:tc>
        <w:tc>
          <w:tcPr>
            <w:tcW w:w="1559" w:type="dxa"/>
            <w:vMerge w:val="restart"/>
            <w:tcBorders>
              <w:top w:val="single" w:color="auto" w:sz="4" w:space="0"/>
              <w:left w:val="single" w:color="auto" w:sz="4" w:space="0"/>
              <w:right w:val="single" w:color="auto" w:sz="4" w:space="0"/>
            </w:tcBorders>
            <w:vAlign w:val="center"/>
          </w:tcPr>
          <w:p w14:paraId="7FE626C7">
            <w:pPr>
              <w:snapToGrid w:val="0"/>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设备情况</w:t>
            </w:r>
          </w:p>
          <w:p w14:paraId="681840A3">
            <w:pPr>
              <w:snapToGrid w:val="0"/>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（20分）</w:t>
            </w:r>
          </w:p>
        </w:tc>
        <w:tc>
          <w:tcPr>
            <w:tcW w:w="5587" w:type="dxa"/>
            <w:tcBorders>
              <w:top w:val="single" w:color="auto" w:sz="4" w:space="0"/>
              <w:left w:val="single" w:color="auto" w:sz="4" w:space="0"/>
              <w:bottom w:val="single" w:color="auto" w:sz="4" w:space="0"/>
              <w:right w:val="single" w:color="auto" w:sz="4" w:space="0"/>
            </w:tcBorders>
            <w:vAlign w:val="center"/>
          </w:tcPr>
          <w:p w14:paraId="6D1FF315">
            <w:pPr>
              <w:spacing w:line="360" w:lineRule="auto"/>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投标人有满足本次项目检测需求的仪器设备，有以下仪器：</w:t>
            </w:r>
          </w:p>
          <w:p w14:paraId="154EAE0A">
            <w:pPr>
              <w:spacing w:line="360" w:lineRule="auto"/>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气相色谱仪、气质联用仪、液相色谱仪、液质联用仪、电感耦合等离子体发射光谱仪、电感耦合等离子质谱仪、原子吸收光谱仪、紫外可见分光光度计、石油产品运动粘度测定器、X荧光油品硫分析仪、微库仑仪、紫外荧光定硫仪、石油产品蒸馏测定仪、全自动闭口闪点试验器、微机控制薄膜拉力机、液化石油气铜片腐蚀测定仪、垂直燃烧试验机、电线电缆燃烧热释放测试仪、高绝缘电阻测试仪、全自动凯氏定氮仪、肥料定氮仪、色牢度摩擦仪、耐洗色牢度仪、汗渍色牢度仪、酸度计。</w:t>
            </w:r>
          </w:p>
          <w:p w14:paraId="173EDDF9">
            <w:pPr>
              <w:spacing w:line="360" w:lineRule="auto"/>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每</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少</w:t>
            </w:r>
            <w:r>
              <w:rPr>
                <w:rFonts w:hint="eastAsia" w:asciiTheme="minorEastAsia" w:hAnsiTheme="minorEastAsia" w:eastAsiaTheme="minorEastAsia"/>
                <w:color w:val="000000" w:themeColor="text1"/>
                <w:sz w:val="24"/>
                <w:highlight w:val="none"/>
                <w14:textFill>
                  <w14:solidFill>
                    <w14:schemeClr w14:val="tx1"/>
                  </w14:solidFill>
                </w14:textFill>
              </w:rPr>
              <w:t>一个</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扣0.5</w:t>
            </w:r>
            <w:r>
              <w:rPr>
                <w:rFonts w:hint="eastAsia" w:asciiTheme="minorEastAsia" w:hAnsiTheme="minorEastAsia" w:eastAsiaTheme="minorEastAsia"/>
                <w:color w:val="000000" w:themeColor="text1"/>
                <w:sz w:val="24"/>
                <w:highlight w:val="none"/>
                <w14:textFill>
                  <w14:solidFill>
                    <w14:schemeClr w14:val="tx1"/>
                  </w14:solidFill>
                </w14:textFill>
              </w:rPr>
              <w:t>分，满分</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8</w:t>
            </w:r>
            <w:r>
              <w:rPr>
                <w:rFonts w:hint="eastAsia" w:asciiTheme="minorEastAsia" w:hAnsiTheme="minorEastAsia" w:eastAsiaTheme="minorEastAsia"/>
                <w:color w:val="000000" w:themeColor="text1"/>
                <w:sz w:val="24"/>
                <w:highlight w:val="none"/>
                <w14:textFill>
                  <w14:solidFill>
                    <w14:schemeClr w14:val="tx1"/>
                  </w14:solidFill>
                </w14:textFill>
              </w:rPr>
              <w:t>分</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扣完为止</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0B2B1FFC">
            <w:pPr>
              <w:spacing w:line="360" w:lineRule="auto"/>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（以上检测设备，须将发票</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设备照片</w:t>
            </w:r>
            <w:r>
              <w:rPr>
                <w:rFonts w:hint="eastAsia" w:asciiTheme="minorEastAsia" w:hAnsiTheme="minorEastAsia" w:eastAsiaTheme="minorEastAsia"/>
                <w:color w:val="000000" w:themeColor="text1"/>
                <w:sz w:val="24"/>
                <w:highlight w:val="none"/>
                <w14:textFill>
                  <w14:solidFill>
                    <w14:schemeClr w14:val="tx1"/>
                  </w14:solidFill>
                </w14:textFill>
              </w:rPr>
              <w:t>附在电子投标响应文件中，否则不得分）</w:t>
            </w:r>
          </w:p>
        </w:tc>
      </w:tr>
      <w:tr w14:paraId="07637E02">
        <w:tblPrEx>
          <w:tblCellMar>
            <w:top w:w="0" w:type="dxa"/>
            <w:left w:w="0" w:type="dxa"/>
            <w:bottom w:w="0" w:type="dxa"/>
            <w:right w:w="0" w:type="dxa"/>
          </w:tblCellMar>
        </w:tblPrEx>
        <w:trPr>
          <w:trHeight w:val="20" w:hRule="atLeast"/>
          <w:jc w:val="center"/>
        </w:trPr>
        <w:tc>
          <w:tcPr>
            <w:tcW w:w="1027" w:type="dxa"/>
            <w:vMerge w:val="continue"/>
            <w:tcBorders>
              <w:left w:val="single" w:color="auto" w:sz="4" w:space="0"/>
              <w:right w:val="single" w:color="auto" w:sz="4" w:space="0"/>
            </w:tcBorders>
            <w:vAlign w:val="center"/>
          </w:tcPr>
          <w:p w14:paraId="62350832">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359" w:type="dxa"/>
            <w:vMerge w:val="continue"/>
            <w:tcBorders>
              <w:left w:val="single" w:color="auto" w:sz="4" w:space="0"/>
              <w:right w:val="single" w:color="auto" w:sz="4" w:space="0"/>
            </w:tcBorders>
            <w:vAlign w:val="center"/>
          </w:tcPr>
          <w:p w14:paraId="565D50AB">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559" w:type="dxa"/>
            <w:vMerge w:val="continue"/>
            <w:tcBorders>
              <w:left w:val="single" w:color="auto" w:sz="4" w:space="0"/>
              <w:right w:val="single" w:color="auto" w:sz="4" w:space="0"/>
            </w:tcBorders>
            <w:vAlign w:val="center"/>
          </w:tcPr>
          <w:p w14:paraId="02AB545C">
            <w:pPr>
              <w:spacing w:before="83"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5587" w:type="dxa"/>
            <w:tcBorders>
              <w:top w:val="single" w:color="auto" w:sz="4" w:space="0"/>
              <w:left w:val="single" w:color="auto" w:sz="4" w:space="0"/>
              <w:bottom w:val="single" w:color="000000" w:sz="4" w:space="0"/>
              <w:right w:val="single" w:color="000000" w:sz="4" w:space="0"/>
            </w:tcBorders>
            <w:vAlign w:val="center"/>
          </w:tcPr>
          <w:p w14:paraId="4E0B8375">
            <w:pPr>
              <w:spacing w:line="360" w:lineRule="auto"/>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1、供应商具有专职抽检用车5辆以上（含5辆）的，得</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分；供应商具有专职抽检用车3辆以上（含3辆）的，得</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分；供应商具有专职抽检用车3辆以下得</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分</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没有的，得0分；（注：以电子</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响应性文件</w:t>
            </w:r>
            <w:r>
              <w:rPr>
                <w:rFonts w:hint="eastAsia" w:asciiTheme="minorEastAsia" w:hAnsiTheme="minorEastAsia" w:eastAsiaTheme="minorEastAsia"/>
                <w:color w:val="000000" w:themeColor="text1"/>
                <w:sz w:val="24"/>
                <w:highlight w:val="none"/>
                <w14:textFill>
                  <w14:solidFill>
                    <w14:schemeClr w14:val="tx1"/>
                  </w14:solidFill>
                </w14:textFill>
              </w:rPr>
              <w:t>所附购车发票或租车合同原件扫描件为准。）</w:t>
            </w:r>
          </w:p>
          <w:p w14:paraId="34553444">
            <w:pPr>
              <w:spacing w:line="360" w:lineRule="auto"/>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2、供应商具有具备满足速冻及冷饮类储运条件的车载冰箱5台以上（含5台）的，得</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分；供应商具有具备满足速冻及冷饮类储运条件的车载冰箱3台以上（含3台）的，得</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分；供应商具有具备满足速冻及冷饮类储运条件的车载冰箱3台以下</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.得1分；</w:t>
            </w:r>
            <w:r>
              <w:rPr>
                <w:rFonts w:hint="eastAsia" w:asciiTheme="minorEastAsia" w:hAnsiTheme="minorEastAsia" w:eastAsiaTheme="minorEastAsia"/>
                <w:color w:val="000000" w:themeColor="text1"/>
                <w:sz w:val="24"/>
                <w:highlight w:val="none"/>
                <w14:textFill>
                  <w14:solidFill>
                    <w14:schemeClr w14:val="tx1"/>
                  </w14:solidFill>
                </w14:textFill>
              </w:rPr>
              <w:t>没有的，得0分；（注：以电子</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响应性文件</w:t>
            </w:r>
            <w:r>
              <w:rPr>
                <w:rFonts w:hint="eastAsia" w:asciiTheme="minorEastAsia" w:hAnsiTheme="minorEastAsia" w:eastAsiaTheme="minorEastAsia"/>
                <w:color w:val="000000" w:themeColor="text1"/>
                <w:sz w:val="24"/>
                <w:highlight w:val="none"/>
                <w14:textFill>
                  <w14:solidFill>
                    <w14:schemeClr w14:val="tx1"/>
                  </w14:solidFill>
                </w14:textFill>
              </w:rPr>
              <w:t>所附储运设备发票原件扫描件为准。）</w:t>
            </w:r>
          </w:p>
        </w:tc>
      </w:tr>
      <w:tr w14:paraId="1C976D86">
        <w:tblPrEx>
          <w:tblCellMar>
            <w:top w:w="0" w:type="dxa"/>
            <w:left w:w="0" w:type="dxa"/>
            <w:bottom w:w="0" w:type="dxa"/>
            <w:right w:w="0" w:type="dxa"/>
          </w:tblCellMar>
        </w:tblPrEx>
        <w:trPr>
          <w:trHeight w:val="20" w:hRule="atLeast"/>
          <w:jc w:val="center"/>
        </w:trPr>
        <w:tc>
          <w:tcPr>
            <w:tcW w:w="1027" w:type="dxa"/>
            <w:vMerge w:val="continue"/>
            <w:tcBorders>
              <w:left w:val="single" w:color="auto" w:sz="4" w:space="0"/>
              <w:right w:val="single" w:color="auto" w:sz="4" w:space="0"/>
            </w:tcBorders>
            <w:vAlign w:val="center"/>
          </w:tcPr>
          <w:p w14:paraId="32BDB345">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359" w:type="dxa"/>
            <w:vMerge w:val="continue"/>
            <w:tcBorders>
              <w:left w:val="single" w:color="auto" w:sz="4" w:space="0"/>
              <w:right w:val="single" w:color="auto" w:sz="4" w:space="0"/>
            </w:tcBorders>
            <w:vAlign w:val="center"/>
          </w:tcPr>
          <w:p w14:paraId="3F17104B">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559" w:type="dxa"/>
            <w:tcBorders>
              <w:left w:val="single" w:color="auto" w:sz="4" w:space="0"/>
              <w:right w:val="single" w:color="auto" w:sz="4" w:space="0"/>
            </w:tcBorders>
            <w:vAlign w:val="center"/>
          </w:tcPr>
          <w:p w14:paraId="64023C55">
            <w:pPr>
              <w:spacing w:before="83"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5587" w:type="dxa"/>
            <w:tcBorders>
              <w:top w:val="single" w:color="auto" w:sz="4" w:space="0"/>
              <w:left w:val="single" w:color="auto" w:sz="4" w:space="0"/>
              <w:bottom w:val="single" w:color="000000" w:sz="4" w:space="0"/>
              <w:right w:val="single" w:color="000000" w:sz="4" w:space="0"/>
            </w:tcBorders>
            <w:vAlign w:val="center"/>
          </w:tcPr>
          <w:p w14:paraId="50E94E50">
            <w:pPr>
              <w:snapToGrid w:val="0"/>
              <w:spacing w:line="360" w:lineRule="auto"/>
              <w:rPr>
                <w:rFonts w:ascii="宋体" w:hAnsi="宋体" w:cs="宋体"/>
                <w:sz w:val="24"/>
              </w:rPr>
            </w:pPr>
            <w:r>
              <w:rPr>
                <w:rFonts w:hint="eastAsia" w:ascii="宋体" w:hAnsi="宋体" w:cs="宋体"/>
                <w:sz w:val="24"/>
              </w:rPr>
              <w:t>投标人拥有电子信息管理系统（如实验室信息化管理系统、报告真伪查询系统、实验室报告溯源系统等有利于服务进行的自动化软件系统），视响应程度计0-</w:t>
            </w:r>
            <w:r>
              <w:rPr>
                <w:rFonts w:hint="eastAsia" w:ascii="宋体" w:hAnsi="宋体" w:cs="宋体"/>
                <w:sz w:val="24"/>
                <w:lang w:val="en-US" w:eastAsia="zh-CN"/>
              </w:rPr>
              <w:t>4</w:t>
            </w:r>
            <w:r>
              <w:rPr>
                <w:rFonts w:hint="eastAsia" w:ascii="宋体" w:hAnsi="宋体" w:cs="宋体"/>
                <w:sz w:val="24"/>
              </w:rPr>
              <w:t>分</w:t>
            </w:r>
          </w:p>
          <w:p w14:paraId="62A19DDA">
            <w:pPr>
              <w:spacing w:line="360" w:lineRule="auto"/>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s="宋体"/>
                <w:bCs/>
                <w:sz w:val="24"/>
              </w:rPr>
              <w:t>注：提供系统使用截图或软件购买或使用协议或软件著作权相关证明材料扫描件</w:t>
            </w:r>
          </w:p>
        </w:tc>
      </w:tr>
      <w:tr w14:paraId="0C561F87">
        <w:tblPrEx>
          <w:tblCellMar>
            <w:top w:w="0" w:type="dxa"/>
            <w:left w:w="0" w:type="dxa"/>
            <w:bottom w:w="0" w:type="dxa"/>
            <w:right w:w="0" w:type="dxa"/>
          </w:tblCellMar>
        </w:tblPrEx>
        <w:trPr>
          <w:trHeight w:val="20" w:hRule="atLeast"/>
          <w:jc w:val="center"/>
        </w:trPr>
        <w:tc>
          <w:tcPr>
            <w:tcW w:w="1027" w:type="dxa"/>
            <w:vMerge w:val="continue"/>
            <w:tcBorders>
              <w:left w:val="single" w:color="auto" w:sz="4" w:space="0"/>
              <w:right w:val="single" w:color="auto" w:sz="4" w:space="0"/>
            </w:tcBorders>
            <w:vAlign w:val="center"/>
          </w:tcPr>
          <w:p w14:paraId="4664FC6F">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359" w:type="dxa"/>
            <w:vMerge w:val="continue"/>
            <w:tcBorders>
              <w:left w:val="single" w:color="auto" w:sz="4" w:space="0"/>
              <w:right w:val="single" w:color="auto" w:sz="4" w:space="0"/>
            </w:tcBorders>
            <w:vAlign w:val="center"/>
          </w:tcPr>
          <w:p w14:paraId="4F9FE823">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559" w:type="dxa"/>
            <w:tcBorders>
              <w:top w:val="single" w:color="000000" w:sz="4" w:space="0"/>
              <w:left w:val="single" w:color="000000" w:sz="4" w:space="0"/>
              <w:right w:val="single" w:color="auto" w:sz="4" w:space="0"/>
            </w:tcBorders>
            <w:vAlign w:val="center"/>
          </w:tcPr>
          <w:p w14:paraId="3D638343">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人员情况</w:t>
            </w:r>
          </w:p>
          <w:p w14:paraId="55CB97D1">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（10分）</w:t>
            </w:r>
          </w:p>
        </w:tc>
        <w:tc>
          <w:tcPr>
            <w:tcW w:w="5587" w:type="dxa"/>
            <w:tcBorders>
              <w:top w:val="single" w:color="000000" w:sz="4" w:space="0"/>
              <w:left w:val="single" w:color="auto" w:sz="4" w:space="0"/>
              <w:right w:val="single" w:color="000000" w:sz="4" w:space="0"/>
            </w:tcBorders>
            <w:vAlign w:val="center"/>
          </w:tcPr>
          <w:p w14:paraId="215F3E8A">
            <w:pPr>
              <w:spacing w:line="360" w:lineRule="auto"/>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1、项目负责人具有质量检测、化工相关专业高级职称得3分；</w:t>
            </w:r>
          </w:p>
          <w:p w14:paraId="7BF03107">
            <w:pPr>
              <w:spacing w:line="360" w:lineRule="auto"/>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2、质量负责人具有质量管理相关专业高级职称的得3分</w:t>
            </w:r>
          </w:p>
          <w:p w14:paraId="547E66A4">
            <w:pPr>
              <w:spacing w:line="360" w:lineRule="auto"/>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3、项目团队中检测人员具有中级职称的人员，每人1分，最高得4分。</w:t>
            </w:r>
          </w:p>
          <w:p w14:paraId="03EAF503">
            <w:pPr>
              <w:spacing w:line="360" w:lineRule="auto"/>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宋体" w:hAnsi="宋体" w:cs="宋体"/>
                <w:b/>
                <w:sz w:val="24"/>
              </w:rPr>
              <w:t>须提供人员身份证扫描</w:t>
            </w:r>
            <w:r>
              <w:rPr>
                <w:rFonts w:hint="eastAsia" w:ascii="宋体" w:hAnsi="宋体" w:cs="宋体"/>
                <w:b/>
                <w:color w:val="000000" w:themeColor="text1"/>
                <w:sz w:val="24"/>
                <w14:textFill>
                  <w14:solidFill>
                    <w14:schemeClr w14:val="tx1"/>
                  </w14:solidFill>
                </w14:textFill>
              </w:rPr>
              <w:t>件、职称证证明材料扫描件及202</w:t>
            </w:r>
            <w:r>
              <w:rPr>
                <w:rFonts w:hint="eastAsia" w:ascii="宋体" w:hAnsi="宋体" w:cs="宋体"/>
                <w:b/>
                <w:color w:val="000000" w:themeColor="text1"/>
                <w:sz w:val="24"/>
                <w:lang w:val="en-US" w:eastAsia="zh-CN"/>
                <w14:textFill>
                  <w14:solidFill>
                    <w14:schemeClr w14:val="tx1"/>
                  </w14:solidFill>
                </w14:textFill>
              </w:rPr>
              <w:t>5</w:t>
            </w:r>
            <w:r>
              <w:rPr>
                <w:rFonts w:hint="eastAsia" w:ascii="宋体" w:hAnsi="宋体" w:cs="宋体"/>
                <w:b/>
                <w:color w:val="000000" w:themeColor="text1"/>
                <w:sz w:val="24"/>
                <w14:textFill>
                  <w14:solidFill>
                    <w14:schemeClr w14:val="tx1"/>
                  </w14:solidFill>
                </w14:textFill>
              </w:rPr>
              <w:t>年度内（任意1个月的）在本单位缴纳社保明细表证明</w:t>
            </w:r>
            <w:r>
              <w:rPr>
                <w:rFonts w:hint="eastAsia" w:ascii="宋体" w:hAnsi="宋体" w:cs="宋体"/>
                <w:b/>
                <w:sz w:val="24"/>
              </w:rPr>
              <w:t>（退休人员提供返聘证书）；高级职称者需提供高级职称证书扫描件，未提供或提供不全的，不能作为有效检验人员参与计分。</w:t>
            </w:r>
            <w:r>
              <w:rPr>
                <w:rFonts w:hint="eastAsia" w:asciiTheme="minorEastAsia" w:hAnsiTheme="minorEastAsia" w:eastAsiaTheme="minorEastAsia"/>
                <w:color w:val="000000" w:themeColor="text1"/>
                <w:sz w:val="24"/>
                <w:highlight w:val="none"/>
                <w14:textFill>
                  <w14:solidFill>
                    <w14:schemeClr w14:val="tx1"/>
                  </w14:solidFill>
                </w14:textFill>
              </w:rPr>
              <w:t>）</w:t>
            </w:r>
          </w:p>
        </w:tc>
      </w:tr>
      <w:tr w14:paraId="47F53EDD">
        <w:tblPrEx>
          <w:tblCellMar>
            <w:top w:w="0" w:type="dxa"/>
            <w:left w:w="0" w:type="dxa"/>
            <w:bottom w:w="0" w:type="dxa"/>
            <w:right w:w="0" w:type="dxa"/>
          </w:tblCellMar>
        </w:tblPrEx>
        <w:trPr>
          <w:trHeight w:val="20" w:hRule="atLeast"/>
          <w:jc w:val="center"/>
        </w:trPr>
        <w:tc>
          <w:tcPr>
            <w:tcW w:w="1027" w:type="dxa"/>
            <w:vMerge w:val="continue"/>
            <w:tcBorders>
              <w:left w:val="single" w:color="auto" w:sz="4" w:space="0"/>
              <w:right w:val="single" w:color="auto" w:sz="4" w:space="0"/>
            </w:tcBorders>
            <w:vAlign w:val="center"/>
          </w:tcPr>
          <w:p w14:paraId="2C4DBD53">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359" w:type="dxa"/>
            <w:vMerge w:val="continue"/>
            <w:tcBorders>
              <w:left w:val="single" w:color="auto" w:sz="4" w:space="0"/>
              <w:right w:val="single" w:color="auto" w:sz="4" w:space="0"/>
            </w:tcBorders>
            <w:vAlign w:val="center"/>
          </w:tcPr>
          <w:p w14:paraId="139B55A7">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559" w:type="dxa"/>
            <w:vMerge w:val="restart"/>
            <w:tcBorders>
              <w:top w:val="single" w:color="auto" w:sz="4" w:space="0"/>
              <w:left w:val="single" w:color="000000" w:sz="4" w:space="0"/>
              <w:right w:val="single" w:color="auto" w:sz="4" w:space="0"/>
            </w:tcBorders>
            <w:vAlign w:val="center"/>
          </w:tcPr>
          <w:p w14:paraId="76D8BAA4">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场地情况</w:t>
            </w:r>
          </w:p>
          <w:p w14:paraId="5DCCA62A">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（10分）</w:t>
            </w:r>
          </w:p>
        </w:tc>
        <w:tc>
          <w:tcPr>
            <w:tcW w:w="5587" w:type="dxa"/>
            <w:tcBorders>
              <w:top w:val="single" w:color="000000" w:sz="4" w:space="0"/>
              <w:left w:val="single" w:color="auto" w:sz="4" w:space="0"/>
              <w:bottom w:val="single" w:color="000000" w:sz="4" w:space="0"/>
              <w:right w:val="single" w:color="000000" w:sz="4" w:space="0"/>
            </w:tcBorders>
            <w:vAlign w:val="center"/>
          </w:tcPr>
          <w:p w14:paraId="3B5E6734">
            <w:pPr>
              <w:spacing w:line="360" w:lineRule="auto"/>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s="宋体"/>
                <w:bCs/>
                <w:sz w:val="24"/>
              </w:rPr>
              <w:t>供应商具有独立的、固定的办公场所以及检测场地，具有格局合理的微生物检验区和理化检验区；实验室面积大于10000（含10000）平方米，得</w:t>
            </w:r>
            <w:r>
              <w:rPr>
                <w:rFonts w:hint="eastAsia" w:ascii="宋体" w:hAnsi="宋体" w:cs="宋体"/>
                <w:bCs/>
                <w:sz w:val="24"/>
                <w:lang w:val="en-US" w:eastAsia="zh-CN"/>
              </w:rPr>
              <w:t>4</w:t>
            </w:r>
            <w:r>
              <w:rPr>
                <w:rFonts w:hint="eastAsia" w:ascii="宋体" w:hAnsi="宋体" w:cs="宋体"/>
                <w:bCs/>
                <w:sz w:val="24"/>
              </w:rPr>
              <w:t>分；8000-10000（含8000）平方米，得1分；少于8000平方米不得分。</w:t>
            </w:r>
            <w:r>
              <w:rPr>
                <w:rFonts w:hint="eastAsia" w:ascii="宋体" w:hAnsi="宋体" w:cs="宋体"/>
                <w:b/>
                <w:sz w:val="24"/>
              </w:rPr>
              <w:t>（响应文件中附房屋租赁合同或产权证明扫描件，否则不得分）</w:t>
            </w:r>
          </w:p>
        </w:tc>
      </w:tr>
      <w:tr w14:paraId="597391E9">
        <w:tblPrEx>
          <w:tblCellMar>
            <w:top w:w="0" w:type="dxa"/>
            <w:left w:w="0" w:type="dxa"/>
            <w:bottom w:w="0" w:type="dxa"/>
            <w:right w:w="0" w:type="dxa"/>
          </w:tblCellMar>
        </w:tblPrEx>
        <w:trPr>
          <w:trHeight w:val="20" w:hRule="atLeast"/>
          <w:jc w:val="center"/>
        </w:trPr>
        <w:tc>
          <w:tcPr>
            <w:tcW w:w="1027" w:type="dxa"/>
            <w:vMerge w:val="continue"/>
            <w:tcBorders>
              <w:left w:val="single" w:color="auto" w:sz="4" w:space="0"/>
              <w:right w:val="single" w:color="auto" w:sz="4" w:space="0"/>
            </w:tcBorders>
            <w:vAlign w:val="center"/>
          </w:tcPr>
          <w:p w14:paraId="4975DD75">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359" w:type="dxa"/>
            <w:vMerge w:val="continue"/>
            <w:tcBorders>
              <w:left w:val="single" w:color="auto" w:sz="4" w:space="0"/>
              <w:right w:val="single" w:color="auto" w:sz="4" w:space="0"/>
            </w:tcBorders>
            <w:vAlign w:val="center"/>
          </w:tcPr>
          <w:p w14:paraId="062271A1">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559" w:type="dxa"/>
            <w:vMerge w:val="continue"/>
            <w:tcBorders>
              <w:left w:val="single" w:color="000000" w:sz="4" w:space="0"/>
              <w:right w:val="single" w:color="auto" w:sz="4" w:space="0"/>
            </w:tcBorders>
            <w:vAlign w:val="center"/>
          </w:tcPr>
          <w:p w14:paraId="26908D61">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5587" w:type="dxa"/>
            <w:tcBorders>
              <w:top w:val="single" w:color="000000" w:sz="4" w:space="0"/>
              <w:left w:val="single" w:color="auto" w:sz="4" w:space="0"/>
              <w:bottom w:val="single" w:color="auto" w:sz="4" w:space="0"/>
              <w:right w:val="single" w:color="000000" w:sz="4" w:space="0"/>
            </w:tcBorders>
            <w:vAlign w:val="center"/>
          </w:tcPr>
          <w:p w14:paraId="55912E24">
            <w:pPr>
              <w:spacing w:line="360" w:lineRule="auto"/>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s="宋体"/>
                <w:bCs/>
                <w:sz w:val="24"/>
              </w:rPr>
              <w:t>投标单位应具有足够的样品存储能力：冷库体积在150m³以上得</w:t>
            </w:r>
            <w:r>
              <w:rPr>
                <w:rFonts w:hint="eastAsia" w:ascii="宋体" w:hAnsi="宋体" w:cs="宋体"/>
                <w:bCs/>
                <w:sz w:val="24"/>
                <w:lang w:val="en-US" w:eastAsia="zh-CN"/>
              </w:rPr>
              <w:t>3</w:t>
            </w:r>
            <w:r>
              <w:rPr>
                <w:rFonts w:hint="eastAsia" w:ascii="宋体" w:hAnsi="宋体" w:cs="宋体"/>
                <w:bCs/>
                <w:sz w:val="24"/>
              </w:rPr>
              <w:t>分，150m³(含）及以下不得分。以实验室结构分布图或照片为准，冷库体积核算以施工合同为准。</w:t>
            </w:r>
          </w:p>
        </w:tc>
      </w:tr>
      <w:tr w14:paraId="1498E740">
        <w:tblPrEx>
          <w:tblCellMar>
            <w:top w:w="0" w:type="dxa"/>
            <w:left w:w="0" w:type="dxa"/>
            <w:bottom w:w="0" w:type="dxa"/>
            <w:right w:w="0" w:type="dxa"/>
          </w:tblCellMar>
        </w:tblPrEx>
        <w:trPr>
          <w:trHeight w:val="20" w:hRule="atLeast"/>
          <w:jc w:val="center"/>
        </w:trPr>
        <w:tc>
          <w:tcPr>
            <w:tcW w:w="1027" w:type="dxa"/>
            <w:vMerge w:val="continue"/>
            <w:tcBorders>
              <w:left w:val="single" w:color="auto" w:sz="4" w:space="0"/>
              <w:bottom w:val="single" w:color="auto" w:sz="4" w:space="0"/>
              <w:right w:val="single" w:color="auto" w:sz="4" w:space="0"/>
            </w:tcBorders>
            <w:vAlign w:val="center"/>
          </w:tcPr>
          <w:p w14:paraId="79D9E52A">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359" w:type="dxa"/>
            <w:vMerge w:val="continue"/>
            <w:tcBorders>
              <w:left w:val="single" w:color="auto" w:sz="4" w:space="0"/>
              <w:right w:val="single" w:color="auto" w:sz="4" w:space="0"/>
            </w:tcBorders>
            <w:vAlign w:val="center"/>
          </w:tcPr>
          <w:p w14:paraId="74F8B790">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559" w:type="dxa"/>
            <w:vMerge w:val="continue"/>
            <w:tcBorders>
              <w:left w:val="single" w:color="000000" w:sz="4" w:space="0"/>
              <w:bottom w:val="single" w:color="auto" w:sz="4" w:space="0"/>
              <w:right w:val="single" w:color="auto" w:sz="4" w:space="0"/>
            </w:tcBorders>
            <w:vAlign w:val="center"/>
          </w:tcPr>
          <w:p w14:paraId="382E47DD">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5587" w:type="dxa"/>
            <w:tcBorders>
              <w:top w:val="single" w:color="000000" w:sz="4" w:space="0"/>
              <w:left w:val="single" w:color="auto" w:sz="4" w:space="0"/>
              <w:bottom w:val="single" w:color="auto" w:sz="4" w:space="0"/>
              <w:right w:val="single" w:color="000000" w:sz="4" w:space="0"/>
            </w:tcBorders>
            <w:vAlign w:val="center"/>
          </w:tcPr>
          <w:p w14:paraId="2B0D6B41">
            <w:pPr>
              <w:spacing w:line="360" w:lineRule="auto"/>
              <w:jc w:val="left"/>
              <w:rPr>
                <w:rFonts w:hint="eastAsia" w:ascii="宋体" w:hAnsi="宋体" w:cs="宋体"/>
                <w:bCs/>
                <w:sz w:val="24"/>
              </w:rPr>
            </w:pPr>
            <w:r>
              <w:rPr>
                <w:rFonts w:hint="eastAsia" w:ascii="宋体" w:hAnsi="宋体" w:cs="宋体"/>
                <w:bCs/>
                <w:sz w:val="24"/>
              </w:rPr>
              <w:t>供应商能够保证3小时以内到达采购人指定地点进行应急抽样的，得</w:t>
            </w:r>
            <w:r>
              <w:rPr>
                <w:rFonts w:hint="eastAsia" w:ascii="宋体" w:hAnsi="宋体" w:cs="宋体"/>
                <w:bCs/>
                <w:sz w:val="24"/>
                <w:lang w:val="en-US" w:eastAsia="zh-CN"/>
              </w:rPr>
              <w:t>3</w:t>
            </w:r>
            <w:r>
              <w:rPr>
                <w:rFonts w:hint="eastAsia" w:ascii="宋体" w:hAnsi="宋体" w:cs="宋体"/>
                <w:bCs/>
                <w:sz w:val="24"/>
              </w:rPr>
              <w:t>分；4小时以内的得</w:t>
            </w:r>
            <w:r>
              <w:rPr>
                <w:rFonts w:hint="eastAsia" w:ascii="宋体" w:hAnsi="宋体" w:cs="宋体"/>
                <w:bCs/>
                <w:sz w:val="24"/>
                <w:lang w:val="en-US" w:eastAsia="zh-CN"/>
              </w:rPr>
              <w:t>2</w:t>
            </w:r>
            <w:r>
              <w:rPr>
                <w:rFonts w:hint="eastAsia" w:ascii="宋体" w:hAnsi="宋体" w:cs="宋体"/>
                <w:bCs/>
                <w:sz w:val="24"/>
              </w:rPr>
              <w:t>分，5小时及5小时以上不得分。</w:t>
            </w:r>
          </w:p>
        </w:tc>
      </w:tr>
      <w:tr w14:paraId="2C80F4B4">
        <w:tblPrEx>
          <w:tblCellMar>
            <w:top w:w="0" w:type="dxa"/>
            <w:left w:w="0" w:type="dxa"/>
            <w:bottom w:w="0" w:type="dxa"/>
            <w:right w:w="0" w:type="dxa"/>
          </w:tblCellMar>
        </w:tblPrEx>
        <w:trPr>
          <w:trHeight w:val="20" w:hRule="atLeast"/>
          <w:jc w:val="center"/>
        </w:trPr>
        <w:tc>
          <w:tcPr>
            <w:tcW w:w="1027" w:type="dxa"/>
            <w:tcBorders>
              <w:left w:val="single" w:color="auto" w:sz="4" w:space="0"/>
              <w:bottom w:val="single" w:color="auto" w:sz="4" w:space="0"/>
              <w:right w:val="single" w:color="auto" w:sz="4" w:space="0"/>
            </w:tcBorders>
            <w:vAlign w:val="center"/>
          </w:tcPr>
          <w:p w14:paraId="1EB1B01A">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359" w:type="dxa"/>
            <w:vMerge w:val="continue"/>
            <w:tcBorders>
              <w:left w:val="single" w:color="auto" w:sz="4" w:space="0"/>
              <w:right w:val="single" w:color="auto" w:sz="4" w:space="0"/>
            </w:tcBorders>
            <w:vAlign w:val="center"/>
          </w:tcPr>
          <w:p w14:paraId="2AD7DD4A">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559" w:type="dxa"/>
            <w:tcBorders>
              <w:left w:val="single" w:color="000000" w:sz="4" w:space="0"/>
              <w:bottom w:val="single" w:color="auto" w:sz="4" w:space="0"/>
              <w:right w:val="single" w:color="auto" w:sz="4" w:space="0"/>
            </w:tcBorders>
            <w:vAlign w:val="center"/>
          </w:tcPr>
          <w:p w14:paraId="6DBFDDE5">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cs="宋体" w:asciiTheme="minorEastAsia" w:hAnsiTheme="minorEastAsia" w:eastAsiaTheme="minorEastAsia"/>
                <w:color w:val="000000" w:themeColor="text1"/>
                <w:sz w:val="24"/>
                <w:highlight w:val="none"/>
                <w14:textFill>
                  <w14:solidFill>
                    <w14:schemeClr w14:val="tx1"/>
                  </w14:solidFill>
                </w14:textFill>
              </w:rPr>
              <w:t xml:space="preserve">项目整体 </w:t>
            </w:r>
          </w:p>
          <w:p w14:paraId="5A148255">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cs="宋体" w:asciiTheme="minorEastAsia" w:hAnsiTheme="minorEastAsia" w:eastAsiaTheme="minorEastAsia"/>
                <w:color w:val="000000" w:themeColor="text1"/>
                <w:sz w:val="24"/>
                <w:highlight w:val="none"/>
                <w14:textFill>
                  <w14:solidFill>
                    <w14:schemeClr w14:val="tx1"/>
                  </w14:solidFill>
                </w14:textFill>
              </w:rPr>
              <w:t>方案</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及实施计划</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20</w:t>
            </w:r>
            <w:r>
              <w:rPr>
                <w:rFonts w:hint="eastAsia" w:cs="宋体" w:asciiTheme="minorEastAsia" w:hAnsiTheme="minorEastAsia" w:eastAsiaTheme="minorEastAsia"/>
                <w:color w:val="000000" w:themeColor="text1"/>
                <w:sz w:val="24"/>
                <w:highlight w:val="none"/>
                <w14:textFill>
                  <w14:solidFill>
                    <w14:schemeClr w14:val="tx1"/>
                  </w14:solidFill>
                </w14:textFill>
              </w:rPr>
              <w:t>分）</w:t>
            </w:r>
          </w:p>
        </w:tc>
        <w:tc>
          <w:tcPr>
            <w:tcW w:w="5587" w:type="dxa"/>
            <w:tcBorders>
              <w:top w:val="single" w:color="000000" w:sz="4" w:space="0"/>
              <w:left w:val="single" w:color="auto" w:sz="4" w:space="0"/>
              <w:bottom w:val="single" w:color="auto" w:sz="4" w:space="0"/>
              <w:right w:val="single" w:color="000000" w:sz="4" w:space="0"/>
            </w:tcBorders>
            <w:vAlign w:val="center"/>
          </w:tcPr>
          <w:p w14:paraId="7E0B4DBF">
            <w:p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供应商</w:t>
            </w:r>
            <w:r>
              <w:rPr>
                <w:rFonts w:cs="宋体" w:asciiTheme="minorEastAsia" w:hAnsiTheme="minorEastAsia" w:eastAsiaTheme="minorEastAsia"/>
                <w:color w:val="000000" w:themeColor="text1"/>
                <w:sz w:val="24"/>
                <w:highlight w:val="none"/>
                <w14:textFill>
                  <w14:solidFill>
                    <w14:schemeClr w14:val="tx1"/>
                  </w14:solidFill>
                </w14:textFill>
              </w:rPr>
              <w:t xml:space="preserve">针对本项目提供的项目整体方案，包括但不限于项目背景及现状分析、实施方案等。 </w:t>
            </w:r>
          </w:p>
          <w:p w14:paraId="34D7AC60">
            <w:pPr>
              <w:numPr>
                <w:ilvl w:val="0"/>
                <w:numId w:val="0"/>
              </w:num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cs="宋体" w:asciiTheme="minorEastAsia" w:hAnsiTheme="minorEastAsia" w:eastAsiaTheme="minorEastAsia"/>
                <w:color w:val="000000" w:themeColor="text1"/>
                <w:kern w:val="2"/>
                <w:sz w:val="24"/>
                <w:szCs w:val="24"/>
                <w:lang w:val="en-US" w:eastAsia="zh-CN" w:bidi="ar-SA"/>
                <w14:textFill>
                  <w14:solidFill>
                    <w14:schemeClr w14:val="tx1"/>
                  </w14:solidFill>
                </w14:textFill>
              </w:rPr>
              <w:t>1.</w:t>
            </w:r>
            <w:r>
              <w:rPr>
                <w:rFonts w:cs="宋体" w:asciiTheme="minorEastAsia" w:hAnsiTheme="minorEastAsia" w:eastAsiaTheme="minorEastAsia"/>
                <w:color w:val="000000" w:themeColor="text1"/>
                <w:sz w:val="24"/>
                <w:highlight w:val="none"/>
                <w14:textFill>
                  <w14:solidFill>
                    <w14:schemeClr w14:val="tx1"/>
                  </w14:solidFill>
                </w14:textFill>
              </w:rPr>
              <w:t>整体方案</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及实施计划</w:t>
            </w:r>
            <w:r>
              <w:rPr>
                <w:rFonts w:cs="宋体" w:asciiTheme="minorEastAsia" w:hAnsiTheme="minorEastAsia" w:eastAsiaTheme="minorEastAsia"/>
                <w:color w:val="000000" w:themeColor="text1"/>
                <w:sz w:val="24"/>
                <w:highlight w:val="none"/>
                <w14:textFill>
                  <w14:solidFill>
                    <w14:schemeClr w14:val="tx1"/>
                  </w14:solidFill>
                </w14:textFill>
              </w:rPr>
              <w:t>完整、全面、具有针对性、科学有效，得</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15-</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20</w:t>
            </w:r>
            <w:r>
              <w:rPr>
                <w:rFonts w:cs="宋体" w:asciiTheme="minorEastAsia" w:hAnsiTheme="minorEastAsia" w:eastAsiaTheme="minorEastAsia"/>
                <w:color w:val="000000" w:themeColor="text1"/>
                <w:sz w:val="24"/>
                <w:highlight w:val="none"/>
                <w14:textFill>
                  <w14:solidFill>
                    <w14:schemeClr w14:val="tx1"/>
                  </w14:solidFill>
                </w14:textFill>
              </w:rPr>
              <w:t xml:space="preserve">分； </w:t>
            </w:r>
          </w:p>
          <w:p w14:paraId="2BFD0E02">
            <w:pPr>
              <w:numPr>
                <w:ilvl w:val="0"/>
                <w:numId w:val="0"/>
              </w:num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t>2.</w:t>
            </w:r>
            <w:r>
              <w:rPr>
                <w:rFonts w:cs="宋体" w:asciiTheme="minorEastAsia" w:hAnsiTheme="minorEastAsia" w:eastAsiaTheme="minorEastAsia"/>
                <w:color w:val="000000" w:themeColor="text1"/>
                <w:sz w:val="24"/>
                <w:highlight w:val="none"/>
                <w14:textFill>
                  <w14:solidFill>
                    <w14:schemeClr w14:val="tx1"/>
                  </w14:solidFill>
                </w14:textFill>
              </w:rPr>
              <w:t>整体方案</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及实施计划</w:t>
            </w:r>
            <w:r>
              <w:rPr>
                <w:rFonts w:cs="宋体" w:asciiTheme="minorEastAsia" w:hAnsiTheme="minorEastAsia" w:eastAsiaTheme="minorEastAsia"/>
                <w:color w:val="000000" w:themeColor="text1"/>
                <w:sz w:val="24"/>
                <w:highlight w:val="none"/>
                <w14:textFill>
                  <w14:solidFill>
                    <w14:schemeClr w14:val="tx1"/>
                  </w14:solidFill>
                </w14:textFill>
              </w:rPr>
              <w:t>大部分完备、大部分内容具有针对性，得</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5-10</w:t>
            </w:r>
            <w:r>
              <w:rPr>
                <w:rFonts w:cs="宋体" w:asciiTheme="minorEastAsia" w:hAnsiTheme="minorEastAsia" w:eastAsiaTheme="minorEastAsia"/>
                <w:color w:val="000000" w:themeColor="text1"/>
                <w:sz w:val="24"/>
                <w:highlight w:val="none"/>
                <w14:textFill>
                  <w14:solidFill>
                    <w14:schemeClr w14:val="tx1"/>
                  </w14:solidFill>
                </w14:textFill>
              </w:rPr>
              <w:t xml:space="preserve">分； </w:t>
            </w:r>
          </w:p>
          <w:p w14:paraId="57A92C8B">
            <w:pPr>
              <w:numPr>
                <w:ilvl w:val="0"/>
                <w:numId w:val="0"/>
              </w:num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3.</w:t>
            </w:r>
            <w:r>
              <w:rPr>
                <w:rFonts w:cs="宋体" w:asciiTheme="minorEastAsia" w:hAnsiTheme="minorEastAsia" w:eastAsiaTheme="minorEastAsia"/>
                <w:color w:val="000000" w:themeColor="text1"/>
                <w:sz w:val="24"/>
                <w:highlight w:val="none"/>
                <w14:textFill>
                  <w14:solidFill>
                    <w14:schemeClr w14:val="tx1"/>
                  </w14:solidFill>
                </w14:textFill>
              </w:rPr>
              <w:t>整体方案</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及实施计划</w:t>
            </w:r>
            <w:r>
              <w:rPr>
                <w:rFonts w:cs="宋体" w:asciiTheme="minorEastAsia" w:hAnsiTheme="minorEastAsia" w:eastAsiaTheme="minorEastAsia"/>
                <w:color w:val="000000" w:themeColor="text1"/>
                <w:sz w:val="24"/>
                <w:highlight w:val="none"/>
                <w14:textFill>
                  <w14:solidFill>
                    <w14:schemeClr w14:val="tx1"/>
                  </w14:solidFill>
                </w14:textFill>
              </w:rPr>
              <w:t xml:space="preserve">小部分完备、小部分内容具有针对性，得 </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0-</w:t>
            </w:r>
            <w:r>
              <w:rPr>
                <w:rFonts w:cs="宋体" w:asciiTheme="minorEastAsia" w:hAnsiTheme="minorEastAsia" w:eastAsiaTheme="minorEastAsia"/>
                <w:color w:val="000000" w:themeColor="text1"/>
                <w:sz w:val="24"/>
                <w:highlight w:val="none"/>
                <w14:textFill>
                  <w14:solidFill>
                    <w14:schemeClr w14:val="tx1"/>
                  </w14:solidFill>
                </w14:textFill>
              </w:rPr>
              <w:t xml:space="preserve">5 分； </w:t>
            </w:r>
          </w:p>
          <w:p w14:paraId="7150D09B">
            <w:pPr>
              <w:spacing w:line="360" w:lineRule="auto"/>
              <w:ind w:firstLine="480" w:firstLineChars="200"/>
              <w:jc w:val="left"/>
              <w:rPr>
                <w:rFonts w:hint="eastAsia" w:ascii="宋体" w:hAnsi="宋体" w:cs="宋体"/>
                <w:bCs/>
                <w:sz w:val="24"/>
              </w:rPr>
            </w:pPr>
            <w: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t>4</w:t>
            </w:r>
            <w:r>
              <w:rPr>
                <w:rFonts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t>.</w:t>
            </w:r>
            <w:r>
              <w:rPr>
                <w:rFonts w:cs="宋体" w:asciiTheme="minorEastAsia" w:hAnsiTheme="minorEastAsia" w:eastAsiaTheme="minorEastAsia"/>
                <w:color w:val="000000" w:themeColor="text1"/>
                <w:sz w:val="24"/>
                <w:highlight w:val="none"/>
                <w14:textFill>
                  <w14:solidFill>
                    <w14:schemeClr w14:val="tx1"/>
                  </w14:solidFill>
                </w14:textFill>
              </w:rPr>
              <w:t>整体方案缺失严重、无针对性或未提供得 0 分</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tc>
      </w:tr>
      <w:tr w14:paraId="3CA68BAC">
        <w:tblPrEx>
          <w:tblCellMar>
            <w:top w:w="0" w:type="dxa"/>
            <w:left w:w="0" w:type="dxa"/>
            <w:bottom w:w="0" w:type="dxa"/>
            <w:right w:w="0" w:type="dxa"/>
          </w:tblCellMar>
        </w:tblPrEx>
        <w:trPr>
          <w:trHeight w:val="20" w:hRule="atLeast"/>
          <w:jc w:val="center"/>
        </w:trPr>
        <w:tc>
          <w:tcPr>
            <w:tcW w:w="1027" w:type="dxa"/>
            <w:vMerge w:val="restart"/>
            <w:tcBorders>
              <w:top w:val="single" w:color="auto" w:sz="4" w:space="0"/>
              <w:left w:val="single" w:color="auto" w:sz="4" w:space="0"/>
              <w:bottom w:val="single" w:color="auto" w:sz="4" w:space="0"/>
              <w:right w:val="single" w:color="auto" w:sz="4" w:space="0"/>
            </w:tcBorders>
            <w:vAlign w:val="center"/>
          </w:tcPr>
          <w:p w14:paraId="546A52D1">
            <w:pPr>
              <w:spacing w:line="360" w:lineRule="auto"/>
              <w:ind w:left="57" w:leftChars="27" w:right="84" w:rightChars="40"/>
              <w:jc w:val="center"/>
              <w:rPr>
                <w:rFonts w:hint="default" w:cs="宋体"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3.4</w:t>
            </w:r>
          </w:p>
        </w:tc>
        <w:tc>
          <w:tcPr>
            <w:tcW w:w="1359" w:type="dxa"/>
            <w:vMerge w:val="restart"/>
            <w:tcBorders>
              <w:top w:val="single" w:color="auto" w:sz="4" w:space="0"/>
              <w:left w:val="single" w:color="auto" w:sz="4" w:space="0"/>
              <w:bottom w:val="single" w:color="auto" w:sz="4" w:space="0"/>
              <w:right w:val="single" w:color="auto" w:sz="4" w:space="0"/>
            </w:tcBorders>
            <w:vAlign w:val="center"/>
          </w:tcPr>
          <w:p w14:paraId="445D7C46">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商务部分</w:t>
            </w:r>
          </w:p>
          <w:p w14:paraId="5BB6BD50">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30</w:t>
            </w:r>
            <w:r>
              <w:rPr>
                <w:rFonts w:hint="eastAsia" w:cs="宋体" w:asciiTheme="minorEastAsia" w:hAnsiTheme="minorEastAsia" w:eastAsiaTheme="minorEastAsia"/>
                <w:color w:val="000000" w:themeColor="text1"/>
                <w:sz w:val="24"/>
                <w:highlight w:val="none"/>
                <w14:textFill>
                  <w14:solidFill>
                    <w14:schemeClr w14:val="tx1"/>
                  </w14:solidFill>
                </w14:textFill>
              </w:rPr>
              <w:t>分）</w:t>
            </w:r>
          </w:p>
        </w:tc>
        <w:tc>
          <w:tcPr>
            <w:tcW w:w="1559" w:type="dxa"/>
            <w:tcBorders>
              <w:top w:val="single" w:color="auto" w:sz="4" w:space="0"/>
              <w:left w:val="single" w:color="auto" w:sz="4" w:space="0"/>
              <w:bottom w:val="single" w:color="auto" w:sz="4" w:space="0"/>
              <w:right w:val="single" w:color="auto" w:sz="4" w:space="0"/>
            </w:tcBorders>
            <w:vAlign w:val="center"/>
          </w:tcPr>
          <w:p w14:paraId="01D11D11">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业绩</w:t>
            </w:r>
          </w:p>
          <w:p w14:paraId="7ADE6F8F">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10</w:t>
            </w:r>
            <w:r>
              <w:rPr>
                <w:rFonts w:hint="eastAsia" w:cs="宋体" w:asciiTheme="minorEastAsia" w:hAnsiTheme="minorEastAsia" w:eastAsiaTheme="minorEastAsia"/>
                <w:color w:val="000000" w:themeColor="text1"/>
                <w:sz w:val="24"/>
                <w:highlight w:val="none"/>
                <w14:textFill>
                  <w14:solidFill>
                    <w14:schemeClr w14:val="tx1"/>
                  </w14:solidFill>
                </w14:textFill>
              </w:rPr>
              <w:t>分）</w:t>
            </w:r>
          </w:p>
          <w:p w14:paraId="247A1853">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5587" w:type="dxa"/>
            <w:tcBorders>
              <w:top w:val="single" w:color="auto" w:sz="4" w:space="0"/>
              <w:left w:val="single" w:color="auto" w:sz="4" w:space="0"/>
              <w:bottom w:val="single" w:color="auto" w:sz="4" w:space="0"/>
              <w:right w:val="single" w:color="auto" w:sz="4" w:space="0"/>
            </w:tcBorders>
            <w:vAlign w:val="center"/>
          </w:tcPr>
          <w:p w14:paraId="6E280C97">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供应商自202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年01月01日以来承担过政府部门组织的食品</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产品</w:t>
            </w:r>
            <w:r>
              <w:rPr>
                <w:rFonts w:hint="eastAsia" w:asciiTheme="minorEastAsia" w:hAnsiTheme="minorEastAsia" w:eastAsiaTheme="minorEastAsia"/>
                <w:color w:val="000000" w:themeColor="text1"/>
                <w:sz w:val="24"/>
                <w:highlight w:val="none"/>
                <w14:textFill>
                  <w14:solidFill>
                    <w14:schemeClr w14:val="tx1"/>
                  </w14:solidFill>
                </w14:textFill>
              </w:rPr>
              <w:t>监督抽检或风险监测工作的，每份业绩得2分，最高得</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10</w:t>
            </w:r>
            <w:r>
              <w:rPr>
                <w:rFonts w:hint="eastAsia" w:asciiTheme="minorEastAsia" w:hAnsiTheme="minorEastAsia" w:eastAsiaTheme="minorEastAsia"/>
                <w:color w:val="000000" w:themeColor="text1"/>
                <w:sz w:val="24"/>
                <w:highlight w:val="none"/>
                <w14:textFill>
                  <w14:solidFill>
                    <w14:schemeClr w14:val="tx1"/>
                  </w14:solidFill>
                </w14:textFill>
              </w:rPr>
              <w:t>分（注：电子响应文件所附服务合同</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或</w:t>
            </w:r>
            <w:r>
              <w:rPr>
                <w:rFonts w:hint="eastAsia" w:asciiTheme="minorEastAsia" w:hAnsiTheme="minorEastAsia" w:eastAsiaTheme="minorEastAsia"/>
                <w:color w:val="000000" w:themeColor="text1"/>
                <w:sz w:val="24"/>
                <w:highlight w:val="none"/>
                <w14:textFill>
                  <w14:solidFill>
                    <w14:schemeClr w14:val="tx1"/>
                  </w14:solidFill>
                </w14:textFill>
              </w:rPr>
              <w:t>中标通知书原件扫描件为准）</w:t>
            </w:r>
          </w:p>
        </w:tc>
      </w:tr>
      <w:tr w14:paraId="0034F2C1">
        <w:tblPrEx>
          <w:tblCellMar>
            <w:top w:w="0" w:type="dxa"/>
            <w:left w:w="0" w:type="dxa"/>
            <w:bottom w:w="0" w:type="dxa"/>
            <w:right w:w="0" w:type="dxa"/>
          </w:tblCellMar>
        </w:tblPrEx>
        <w:trPr>
          <w:trHeight w:val="20" w:hRule="atLeast"/>
          <w:jc w:val="center"/>
        </w:trPr>
        <w:tc>
          <w:tcPr>
            <w:tcW w:w="1027" w:type="dxa"/>
            <w:vMerge w:val="continue"/>
            <w:tcBorders>
              <w:top w:val="single" w:color="auto" w:sz="4" w:space="0"/>
              <w:left w:val="single" w:color="auto" w:sz="4" w:space="0"/>
              <w:bottom w:val="single" w:color="auto" w:sz="4" w:space="0"/>
              <w:right w:val="single" w:color="auto" w:sz="4" w:space="0"/>
            </w:tcBorders>
            <w:vAlign w:val="center"/>
          </w:tcPr>
          <w:p w14:paraId="20F6F223">
            <w:pPr>
              <w:autoSpaceDE w:val="0"/>
              <w:autoSpaceDN w:val="0"/>
              <w:adjustRightInd w:val="0"/>
              <w:spacing w:before="50" w:line="360" w:lineRule="auto"/>
              <w:ind w:right="97" w:firstLine="67" w:firstLineChars="28"/>
              <w:jc w:val="center"/>
              <w:rPr>
                <w:rFonts w:asciiTheme="minorEastAsia" w:hAnsiTheme="minorEastAsia" w:eastAsiaTheme="minorEastAsia"/>
                <w:color w:val="000000" w:themeColor="text1"/>
                <w:spacing w:val="1"/>
                <w:kern w:val="0"/>
                <w:sz w:val="24"/>
                <w:highlight w:val="none"/>
                <w14:textFill>
                  <w14:solidFill>
                    <w14:schemeClr w14:val="tx1"/>
                  </w14:solidFill>
                </w14:textFill>
              </w:rPr>
            </w:pPr>
          </w:p>
        </w:tc>
        <w:tc>
          <w:tcPr>
            <w:tcW w:w="1359" w:type="dxa"/>
            <w:vMerge w:val="continue"/>
            <w:tcBorders>
              <w:top w:val="single" w:color="auto" w:sz="4" w:space="0"/>
              <w:left w:val="single" w:color="auto" w:sz="4" w:space="0"/>
              <w:bottom w:val="single" w:color="auto" w:sz="4" w:space="0"/>
              <w:right w:val="single" w:color="auto" w:sz="4" w:space="0"/>
            </w:tcBorders>
            <w:vAlign w:val="center"/>
          </w:tcPr>
          <w:p w14:paraId="2207E578">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559" w:type="dxa"/>
            <w:tcBorders>
              <w:top w:val="single" w:color="000000" w:sz="4" w:space="0"/>
              <w:left w:val="single" w:color="000000" w:sz="4" w:space="0"/>
              <w:right w:val="single" w:color="auto" w:sz="4" w:space="0"/>
            </w:tcBorders>
            <w:vAlign w:val="center"/>
          </w:tcPr>
          <w:p w14:paraId="7494552C">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cs="宋体" w:asciiTheme="minorEastAsia" w:hAnsiTheme="minorEastAsia" w:eastAsiaTheme="minorEastAsia"/>
                <w:color w:val="000000" w:themeColor="text1"/>
                <w:sz w:val="24"/>
                <w:highlight w:val="none"/>
                <w14:textFill>
                  <w14:solidFill>
                    <w14:schemeClr w14:val="tx1"/>
                  </w14:solidFill>
                </w14:textFill>
              </w:rPr>
              <w:t xml:space="preserve">应急处理 </w:t>
            </w:r>
          </w:p>
          <w:p w14:paraId="71F0E4E9">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cs="宋体" w:asciiTheme="minorEastAsia" w:hAnsiTheme="minorEastAsia" w:eastAsiaTheme="minorEastAsia"/>
                <w:color w:val="000000" w:themeColor="text1"/>
                <w:sz w:val="24"/>
                <w:highlight w:val="none"/>
                <w14:textFill>
                  <w14:solidFill>
                    <w14:schemeClr w14:val="tx1"/>
                  </w14:solidFill>
                </w14:textFill>
              </w:rPr>
              <w:t>方案</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10</w:t>
            </w:r>
            <w:r>
              <w:rPr>
                <w:rFonts w:hint="eastAsia" w:cs="宋体" w:asciiTheme="minorEastAsia" w:hAnsiTheme="minorEastAsia" w:eastAsiaTheme="minorEastAsia"/>
                <w:color w:val="000000" w:themeColor="text1"/>
                <w:sz w:val="24"/>
                <w:highlight w:val="none"/>
                <w14:textFill>
                  <w14:solidFill>
                    <w14:schemeClr w14:val="tx1"/>
                  </w14:solidFill>
                </w14:textFill>
              </w:rPr>
              <w:t>分）</w:t>
            </w:r>
          </w:p>
        </w:tc>
        <w:tc>
          <w:tcPr>
            <w:tcW w:w="5587" w:type="dxa"/>
            <w:tcBorders>
              <w:top w:val="single" w:color="000000" w:sz="4" w:space="0"/>
              <w:left w:val="single" w:color="auto" w:sz="4" w:space="0"/>
              <w:bottom w:val="single" w:color="auto" w:sz="4" w:space="0"/>
              <w:right w:val="single" w:color="000000" w:sz="4" w:space="0"/>
            </w:tcBorders>
            <w:vAlign w:val="center"/>
          </w:tcPr>
          <w:p w14:paraId="7D81D6F6">
            <w:p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cs="宋体" w:asciiTheme="minorEastAsia" w:hAnsiTheme="minorEastAsia" w:eastAsiaTheme="minorEastAsia"/>
                <w:color w:val="000000" w:themeColor="text1"/>
                <w:sz w:val="24"/>
                <w:highlight w:val="none"/>
                <w14:textFill>
                  <w14:solidFill>
                    <w14:schemeClr w14:val="tx1"/>
                  </w14:solidFill>
                </w14:textFill>
              </w:rPr>
              <w:t xml:space="preserve">根据项目特征以及以往工作的经验，制定各类应急处理方案。 </w:t>
            </w:r>
          </w:p>
          <w:p w14:paraId="57D815BB">
            <w:pPr>
              <w:numPr>
                <w:ilvl w:val="0"/>
                <w:numId w:val="2"/>
              </w:num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cs="宋体" w:asciiTheme="minorEastAsia" w:hAnsiTheme="minorEastAsia" w:eastAsiaTheme="minorEastAsia"/>
                <w:color w:val="000000" w:themeColor="text1"/>
                <w:sz w:val="24"/>
                <w:highlight w:val="none"/>
                <w14:textFill>
                  <w14:solidFill>
                    <w14:schemeClr w14:val="tx1"/>
                  </w14:solidFill>
                </w14:textFill>
              </w:rPr>
              <w:t xml:space="preserve">应急处理方案具有针对性，处理步骤及内容科学完善，得 </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7-10</w:t>
            </w:r>
            <w:r>
              <w:rPr>
                <w:rFonts w:cs="宋体" w:asciiTheme="minorEastAsia" w:hAnsiTheme="minorEastAsia" w:eastAsiaTheme="minorEastAsia"/>
                <w:color w:val="000000" w:themeColor="text1"/>
                <w:sz w:val="24"/>
                <w:highlight w:val="none"/>
                <w14:textFill>
                  <w14:solidFill>
                    <w14:schemeClr w14:val="tx1"/>
                  </w14:solidFill>
                </w14:textFill>
              </w:rPr>
              <w:t xml:space="preserve"> 分；</w:t>
            </w:r>
          </w:p>
          <w:p w14:paraId="3E4FD57B">
            <w:pPr>
              <w:numPr>
                <w:ilvl w:val="0"/>
                <w:numId w:val="2"/>
              </w:num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cs="宋体" w:asciiTheme="minorEastAsia" w:hAnsiTheme="minorEastAsia" w:eastAsiaTheme="minorEastAsia"/>
                <w:color w:val="000000" w:themeColor="text1"/>
                <w:sz w:val="24"/>
                <w:highlight w:val="none"/>
                <w14:textFill>
                  <w14:solidFill>
                    <w14:schemeClr w14:val="tx1"/>
                  </w14:solidFill>
                </w14:textFill>
              </w:rPr>
              <w:t xml:space="preserve">应急处理方案大部分内容有针对性，处理步骤及内容大部分内容可行，得 </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4-7</w:t>
            </w:r>
            <w:r>
              <w:rPr>
                <w:rFonts w:cs="宋体" w:asciiTheme="minorEastAsia" w:hAnsiTheme="minorEastAsia" w:eastAsiaTheme="minorEastAsia"/>
                <w:color w:val="000000" w:themeColor="text1"/>
                <w:sz w:val="24"/>
                <w:highlight w:val="none"/>
                <w14:textFill>
                  <w14:solidFill>
                    <w14:schemeClr w14:val="tx1"/>
                  </w14:solidFill>
                </w14:textFill>
              </w:rPr>
              <w:t xml:space="preserve">分； </w:t>
            </w:r>
          </w:p>
          <w:p w14:paraId="70343A20">
            <w:pPr>
              <w:numPr>
                <w:ilvl w:val="0"/>
                <w:numId w:val="2"/>
              </w:num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cs="宋体" w:asciiTheme="minorEastAsia" w:hAnsiTheme="minorEastAsia" w:eastAsiaTheme="minorEastAsia"/>
                <w:color w:val="000000" w:themeColor="text1"/>
                <w:sz w:val="24"/>
                <w:highlight w:val="none"/>
                <w14:textFill>
                  <w14:solidFill>
                    <w14:schemeClr w14:val="tx1"/>
                  </w14:solidFill>
                </w14:textFill>
              </w:rPr>
              <w:t xml:space="preserve">应急处理方案小部分内容有针对性，处理步骤及内容小部分内容可行，得 </w:t>
            </w:r>
            <w:r>
              <w:rPr>
                <w:rFonts w:hint="eastAsia" w:cs="宋体" w:asciiTheme="minorEastAsia" w:hAnsiTheme="minorEastAsia" w:eastAsiaTheme="minorEastAsia"/>
                <w:color w:val="000000" w:themeColor="text1"/>
                <w:sz w:val="24"/>
                <w:highlight w:val="none"/>
                <w14:textFill>
                  <w14:solidFill>
                    <w14:schemeClr w14:val="tx1"/>
                  </w14:solidFill>
                </w14:textFill>
              </w:rPr>
              <w:t>1</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-3</w:t>
            </w:r>
            <w:r>
              <w:rPr>
                <w:rFonts w:cs="宋体" w:asciiTheme="minorEastAsia" w:hAnsiTheme="minorEastAsia" w:eastAsiaTheme="minorEastAsia"/>
                <w:color w:val="000000" w:themeColor="text1"/>
                <w:sz w:val="24"/>
                <w:highlight w:val="none"/>
                <w14:textFill>
                  <w14:solidFill>
                    <w14:schemeClr w14:val="tx1"/>
                  </w14:solidFill>
                </w14:textFill>
              </w:rPr>
              <w:t xml:space="preserve"> 分； </w:t>
            </w:r>
          </w:p>
          <w:p w14:paraId="07C401D1">
            <w:pPr>
              <w:numPr>
                <w:ilvl w:val="0"/>
                <w:numId w:val="2"/>
              </w:num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cs="宋体" w:asciiTheme="minorEastAsia" w:hAnsiTheme="minorEastAsia" w:eastAsiaTheme="minorEastAsia"/>
                <w:color w:val="000000" w:themeColor="text1"/>
                <w:sz w:val="24"/>
                <w:highlight w:val="none"/>
                <w14:textFill>
                  <w14:solidFill>
                    <w14:schemeClr w14:val="tx1"/>
                  </w14:solidFill>
                </w14:textFill>
              </w:rPr>
              <w:t>应急处理方案无针对性，处理步骤及内容不可行，得 0 分。</w:t>
            </w:r>
          </w:p>
        </w:tc>
      </w:tr>
      <w:tr w14:paraId="5017A52D">
        <w:tblPrEx>
          <w:tblCellMar>
            <w:top w:w="0" w:type="dxa"/>
            <w:left w:w="0" w:type="dxa"/>
            <w:bottom w:w="0" w:type="dxa"/>
            <w:right w:w="0" w:type="dxa"/>
          </w:tblCellMar>
        </w:tblPrEx>
        <w:trPr>
          <w:trHeight w:val="20" w:hRule="atLeast"/>
          <w:jc w:val="center"/>
        </w:trPr>
        <w:tc>
          <w:tcPr>
            <w:tcW w:w="1027" w:type="dxa"/>
            <w:vMerge w:val="continue"/>
            <w:tcBorders>
              <w:top w:val="single" w:color="auto" w:sz="4" w:space="0"/>
              <w:left w:val="single" w:color="auto" w:sz="4" w:space="0"/>
              <w:bottom w:val="single" w:color="auto" w:sz="4" w:space="0"/>
              <w:right w:val="single" w:color="auto" w:sz="4" w:space="0"/>
            </w:tcBorders>
            <w:vAlign w:val="center"/>
          </w:tcPr>
          <w:p w14:paraId="06528288">
            <w:pPr>
              <w:autoSpaceDE w:val="0"/>
              <w:autoSpaceDN w:val="0"/>
              <w:adjustRightInd w:val="0"/>
              <w:spacing w:before="50" w:line="360" w:lineRule="auto"/>
              <w:ind w:right="97" w:firstLine="67" w:firstLineChars="28"/>
              <w:jc w:val="center"/>
              <w:rPr>
                <w:rFonts w:asciiTheme="minorEastAsia" w:hAnsiTheme="minorEastAsia" w:eastAsiaTheme="minorEastAsia"/>
                <w:color w:val="000000" w:themeColor="text1"/>
                <w:spacing w:val="1"/>
                <w:kern w:val="0"/>
                <w:sz w:val="24"/>
                <w:highlight w:val="none"/>
                <w14:textFill>
                  <w14:solidFill>
                    <w14:schemeClr w14:val="tx1"/>
                  </w14:solidFill>
                </w14:textFill>
              </w:rPr>
            </w:pPr>
          </w:p>
        </w:tc>
        <w:tc>
          <w:tcPr>
            <w:tcW w:w="1359" w:type="dxa"/>
            <w:vMerge w:val="continue"/>
            <w:tcBorders>
              <w:top w:val="single" w:color="auto" w:sz="4" w:space="0"/>
              <w:left w:val="single" w:color="auto" w:sz="4" w:space="0"/>
              <w:bottom w:val="single" w:color="auto" w:sz="4" w:space="0"/>
              <w:right w:val="single" w:color="auto" w:sz="4" w:space="0"/>
            </w:tcBorders>
            <w:vAlign w:val="center"/>
          </w:tcPr>
          <w:p w14:paraId="48014E6E">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559" w:type="dxa"/>
            <w:tcBorders>
              <w:top w:val="single" w:color="000000" w:sz="4" w:space="0"/>
              <w:left w:val="single" w:color="000000" w:sz="4" w:space="0"/>
              <w:right w:val="single" w:color="auto" w:sz="4" w:space="0"/>
            </w:tcBorders>
            <w:vAlign w:val="center"/>
          </w:tcPr>
          <w:p w14:paraId="1134F07D">
            <w:pPr>
              <w:spacing w:line="360" w:lineRule="auto"/>
              <w:ind w:left="57" w:leftChars="27" w:right="84" w:rightChars="4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s="宋体"/>
                <w:bCs/>
                <w:sz w:val="24"/>
              </w:rPr>
              <w:t>认证证书（</w:t>
            </w:r>
            <w:r>
              <w:rPr>
                <w:rFonts w:hint="eastAsia" w:ascii="宋体" w:hAnsi="宋体" w:cs="宋体"/>
                <w:bCs/>
                <w:sz w:val="24"/>
                <w:lang w:val="en-US" w:eastAsia="zh-CN"/>
              </w:rPr>
              <w:t>10</w:t>
            </w:r>
            <w:r>
              <w:rPr>
                <w:rFonts w:hint="eastAsia" w:ascii="宋体" w:hAnsi="宋体" w:cs="宋体"/>
                <w:bCs/>
                <w:sz w:val="24"/>
              </w:rPr>
              <w:t>分）</w:t>
            </w:r>
          </w:p>
        </w:tc>
        <w:tc>
          <w:tcPr>
            <w:tcW w:w="5587" w:type="dxa"/>
            <w:tcBorders>
              <w:top w:val="single" w:color="000000" w:sz="4" w:space="0"/>
              <w:left w:val="single" w:color="auto" w:sz="4" w:space="0"/>
              <w:bottom w:val="single" w:color="auto" w:sz="4" w:space="0"/>
              <w:right w:val="single" w:color="000000" w:sz="4" w:space="0"/>
            </w:tcBorders>
            <w:vAlign w:val="center"/>
          </w:tcPr>
          <w:p w14:paraId="42E70F37">
            <w:pPr>
              <w:pStyle w:val="5"/>
              <w:tabs>
                <w:tab w:val="left" w:pos="1260"/>
              </w:tabs>
              <w:spacing w:line="360" w:lineRule="auto"/>
              <w:ind w:firstLine="0" w:firstLineChars="0"/>
              <w:rPr>
                <w:rFonts w:ascii="宋体" w:hAnsi="宋体" w:cs="宋体"/>
                <w:bCs/>
                <w:sz w:val="24"/>
              </w:rPr>
            </w:pPr>
            <w:r>
              <w:rPr>
                <w:rFonts w:hint="eastAsia" w:ascii="宋体" w:hAnsi="宋体" w:cs="宋体"/>
                <w:bCs/>
                <w:sz w:val="24"/>
              </w:rPr>
              <w:t>1.取得质量管理体系认证（ISO9001或GB/T19001）、职业健康安全管理体系认证（GB/T28001或OHSAS18001或ISO45001）、环境管理体系认证（ISO14001或GB/T24001），同时取得3项体系认证得3分，不齐全或未取得不得分；</w:t>
            </w:r>
          </w:p>
          <w:p w14:paraId="7727611D">
            <w:pPr>
              <w:pStyle w:val="5"/>
              <w:tabs>
                <w:tab w:val="left" w:pos="1260"/>
              </w:tabs>
              <w:spacing w:line="360" w:lineRule="auto"/>
              <w:ind w:firstLine="0" w:firstLineChars="0"/>
              <w:rPr>
                <w:rFonts w:ascii="宋体" w:hAnsi="宋体" w:cs="宋体"/>
                <w:bCs/>
                <w:sz w:val="24"/>
              </w:rPr>
            </w:pPr>
            <w:r>
              <w:rPr>
                <w:rFonts w:hint="eastAsia" w:ascii="宋体" w:hAnsi="宋体" w:cs="宋体"/>
                <w:bCs/>
                <w:sz w:val="24"/>
              </w:rPr>
              <w:t>2.取得省级及以上高新技术企业认证证书加</w:t>
            </w:r>
            <w:r>
              <w:rPr>
                <w:rFonts w:hint="eastAsia" w:ascii="宋体" w:hAnsi="宋体" w:cs="宋体"/>
                <w:bCs/>
                <w:sz w:val="24"/>
                <w:lang w:val="en-US" w:eastAsia="zh-CN"/>
              </w:rPr>
              <w:t>3</w:t>
            </w:r>
            <w:r>
              <w:rPr>
                <w:rFonts w:hint="eastAsia" w:ascii="宋体" w:hAnsi="宋体" w:cs="宋体"/>
                <w:bCs/>
                <w:sz w:val="24"/>
              </w:rPr>
              <w:t>分；</w:t>
            </w:r>
          </w:p>
          <w:p w14:paraId="557A7358">
            <w:pPr>
              <w:pStyle w:val="5"/>
              <w:tabs>
                <w:tab w:val="left" w:pos="1260"/>
              </w:tabs>
              <w:spacing w:line="360" w:lineRule="auto"/>
              <w:ind w:firstLine="0" w:firstLineChars="0"/>
              <w:rPr>
                <w:rFonts w:ascii="宋体" w:hAnsi="宋体" w:cs="宋体"/>
                <w:bCs/>
                <w:sz w:val="24"/>
              </w:rPr>
            </w:pPr>
            <w:r>
              <w:rPr>
                <w:rFonts w:hint="eastAsia" w:ascii="宋体" w:hAnsi="宋体" w:cs="宋体"/>
                <w:bCs/>
                <w:sz w:val="24"/>
              </w:rPr>
              <w:t>3.投标人实验室为省级工业产品质量控制和技术评价实验室得2分；</w:t>
            </w:r>
          </w:p>
          <w:p w14:paraId="2481E793">
            <w:pPr>
              <w:pStyle w:val="5"/>
              <w:tabs>
                <w:tab w:val="left" w:pos="1260"/>
              </w:tabs>
              <w:spacing w:line="360" w:lineRule="auto"/>
              <w:ind w:firstLine="0" w:firstLineChars="0"/>
              <w:rPr>
                <w:rFonts w:ascii="宋体" w:hAnsi="宋体" w:cs="宋体"/>
                <w:bCs/>
                <w:sz w:val="24"/>
              </w:rPr>
            </w:pPr>
            <w:r>
              <w:rPr>
                <w:rFonts w:hint="eastAsia" w:ascii="宋体" w:hAnsi="宋体" w:cs="宋体"/>
                <w:bCs/>
                <w:sz w:val="24"/>
              </w:rPr>
              <w:t>4.投标人被授予国家食品质量安全检测技术示范中心的加2分；</w:t>
            </w:r>
          </w:p>
          <w:p w14:paraId="2D754FA2">
            <w:pPr>
              <w:numPr>
                <w:ilvl w:val="0"/>
                <w:numId w:val="0"/>
              </w:numPr>
              <w:spacing w:line="360" w:lineRule="auto"/>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s="宋体"/>
                <w:bCs/>
                <w:sz w:val="24"/>
              </w:rPr>
              <w:t>（注：证书或证明文件扫描件或权威网站证明截图）</w:t>
            </w:r>
          </w:p>
        </w:tc>
      </w:tr>
      <w:tr w14:paraId="794C555C">
        <w:tblPrEx>
          <w:tblCellMar>
            <w:top w:w="0" w:type="dxa"/>
            <w:left w:w="0" w:type="dxa"/>
            <w:bottom w:w="0" w:type="dxa"/>
            <w:right w:w="0" w:type="dxa"/>
          </w:tblCellMar>
        </w:tblPrEx>
        <w:trPr>
          <w:trHeight w:val="20" w:hRule="atLeast"/>
          <w:jc w:val="center"/>
        </w:trPr>
        <w:tc>
          <w:tcPr>
            <w:tcW w:w="9532" w:type="dxa"/>
            <w:gridSpan w:val="4"/>
            <w:tcBorders>
              <w:top w:val="single" w:color="auto" w:sz="4" w:space="0"/>
              <w:left w:val="single" w:color="auto" w:sz="4" w:space="0"/>
              <w:bottom w:val="single" w:color="auto" w:sz="4" w:space="0"/>
              <w:right w:val="single" w:color="auto" w:sz="4" w:space="0"/>
            </w:tcBorders>
            <w:vAlign w:val="center"/>
          </w:tcPr>
          <w:p w14:paraId="7A6B2F02">
            <w:pPr>
              <w:spacing w:line="360" w:lineRule="auto"/>
              <w:ind w:left="139" w:leftChars="66" w:right="143" w:rightChars="68" w:firstLine="1"/>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投标供应商综合得分=投标报价得分＋技术标得分＋商务标得分。</w:t>
            </w:r>
          </w:p>
          <w:p w14:paraId="7210282B">
            <w:pPr>
              <w:spacing w:line="360" w:lineRule="auto"/>
              <w:ind w:left="139" w:leftChars="66" w:right="143" w:rightChars="68" w:firstLine="1"/>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磋商小组完成对投标报价、技术标和商务标的汇总后取平均值作为该供应商的最终得分。</w:t>
            </w:r>
          </w:p>
          <w:p w14:paraId="64BC46B8">
            <w:pPr>
              <w:spacing w:line="360" w:lineRule="auto"/>
              <w:ind w:left="139" w:leftChars="66" w:right="143" w:rightChars="68" w:firstLine="1"/>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本办法计算过程中分值按四舍五入保留两位小数，结果按四舍五入保留两位小数。供应商的报价应包含投标供应商所承诺的应达到的本项目质量标准及其他承诺应达到的标准所包含的所有费用。</w:t>
            </w:r>
          </w:p>
          <w:p w14:paraId="66A620B6">
            <w:pPr>
              <w:spacing w:line="360" w:lineRule="auto"/>
              <w:ind w:left="139" w:leftChars="66" w:right="143" w:rightChars="68" w:firstLine="1"/>
              <w:jc w:val="left"/>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注：1、以上业绩、证书等文件证明材料应将原件扫描件制作在电子响应文件中，评标时以供应商上传的电子响应文件为准，否则由此造成应得分而未得分等情况的，由供应商承担责任。</w:t>
            </w:r>
          </w:p>
          <w:p w14:paraId="34AD4623">
            <w:pPr>
              <w:spacing w:line="360" w:lineRule="auto"/>
              <w:ind w:left="139" w:leftChars="66" w:right="143" w:rightChars="68" w:firstLine="1"/>
              <w:jc w:val="left"/>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2、评标开始后，不再接受任何补充材料。</w:t>
            </w:r>
          </w:p>
          <w:p w14:paraId="5523F16A">
            <w:pPr>
              <w:spacing w:line="360" w:lineRule="auto"/>
              <w:ind w:left="139" w:leftChars="66" w:right="143" w:rightChars="68" w:firstLine="1"/>
              <w:jc w:val="left"/>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3、供应商对</w:t>
            </w:r>
            <w:r>
              <w:rPr>
                <w:rFonts w:hint="eastAsia" w:cs="宋体" w:asciiTheme="minorEastAsia" w:hAnsiTheme="minorEastAsia" w:eastAsiaTheme="minorEastAsia"/>
                <w:b/>
                <w:color w:val="000000" w:themeColor="text1"/>
                <w:sz w:val="24"/>
                <w:highlight w:val="none"/>
                <w:lang w:eastAsia="zh-CN"/>
                <w14:textFill>
                  <w14:solidFill>
                    <w14:schemeClr w14:val="tx1"/>
                  </w14:solidFill>
                </w14:textFill>
              </w:rPr>
              <w:t>响应性文件</w:t>
            </w:r>
            <w:r>
              <w:rPr>
                <w:rFonts w:hint="eastAsia" w:cs="宋体" w:asciiTheme="minorEastAsia" w:hAnsiTheme="minorEastAsia" w:eastAsiaTheme="minorEastAsia"/>
                <w:b/>
                <w:color w:val="000000" w:themeColor="text1"/>
                <w:sz w:val="24"/>
                <w:highlight w:val="none"/>
                <w14:textFill>
                  <w14:solidFill>
                    <w14:schemeClr w14:val="tx1"/>
                  </w14:solidFill>
                </w14:textFill>
              </w:rPr>
              <w:t>信息的真实性、有效性、清晰可辩性负责。</w:t>
            </w:r>
          </w:p>
          <w:p w14:paraId="73E872B8">
            <w:pPr>
              <w:spacing w:line="360" w:lineRule="auto"/>
              <w:ind w:left="139" w:leftChars="66" w:right="143" w:rightChars="68" w:firstLine="1"/>
              <w:jc w:val="left"/>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4、评审标准中涉及的网页查询的查询时间、供应商自行出具的承诺函时间均不得早于本项目招标公告发布时间，否则，该项按无效处理。</w:t>
            </w:r>
          </w:p>
          <w:p w14:paraId="12FBD5C8">
            <w:pPr>
              <w:spacing w:line="360" w:lineRule="auto"/>
              <w:ind w:left="139" w:leftChars="66" w:right="143" w:rightChars="68" w:firstLine="1"/>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5、以上项目若缺项的，该项为</w:t>
            </w:r>
            <w:r>
              <w:rPr>
                <w:rFonts w:cs="宋体" w:asciiTheme="minorEastAsia" w:hAnsiTheme="minorEastAsia" w:eastAsiaTheme="minorEastAsia"/>
                <w:b/>
                <w:color w:val="000000" w:themeColor="text1"/>
                <w:sz w:val="24"/>
                <w:highlight w:val="none"/>
                <w14:textFill>
                  <w14:solidFill>
                    <w14:schemeClr w14:val="tx1"/>
                  </w14:solidFill>
                </w14:textFill>
              </w:rPr>
              <w:t>0</w:t>
            </w:r>
            <w:r>
              <w:rPr>
                <w:rFonts w:hint="eastAsia" w:cs="宋体" w:asciiTheme="minorEastAsia" w:hAnsiTheme="minorEastAsia" w:eastAsiaTheme="minorEastAsia"/>
                <w:b/>
                <w:color w:val="000000" w:themeColor="text1"/>
                <w:sz w:val="24"/>
                <w:highlight w:val="none"/>
                <w14:textFill>
                  <w14:solidFill>
                    <w14:schemeClr w14:val="tx1"/>
                  </w14:solidFill>
                </w14:textFill>
              </w:rPr>
              <w:t>分。</w:t>
            </w:r>
          </w:p>
        </w:tc>
      </w:tr>
    </w:tbl>
    <w:p w14:paraId="6E69CEB2">
      <w:pPr>
        <w:widowControl/>
        <w:spacing w:line="360" w:lineRule="auto"/>
        <w:ind w:firstLine="360" w:firstLineChars="150"/>
        <w:jc w:val="left"/>
        <w:rPr>
          <w:rFonts w:asciiTheme="minorEastAsia" w:hAnsiTheme="minorEastAsia" w:eastAsiaTheme="minorEastAsia"/>
          <w:color w:val="000000" w:themeColor="text1"/>
          <w:kern w:val="0"/>
          <w:sz w:val="24"/>
          <w:highlight w:val="none"/>
          <w14:textFill>
            <w14:solidFill>
              <w14:schemeClr w14:val="tx1"/>
            </w14:solidFill>
          </w14:textFill>
        </w:rPr>
      </w:pPr>
    </w:p>
    <w:p w14:paraId="0657D7F4">
      <w:pPr>
        <w:widowControl/>
        <w:spacing w:line="360" w:lineRule="auto"/>
        <w:ind w:firstLine="360" w:firstLineChars="150"/>
        <w:jc w:val="left"/>
        <w:rPr>
          <w:rFonts w:asciiTheme="minorEastAsia" w:hAnsiTheme="minorEastAsia" w:eastAsiaTheme="minorEastAsia"/>
          <w:color w:val="000000" w:themeColor="text1"/>
          <w:kern w:val="0"/>
          <w:sz w:val="24"/>
          <w:highlight w:val="none"/>
          <w14:textFill>
            <w14:solidFill>
              <w14:schemeClr w14:val="tx1"/>
            </w14:solidFill>
          </w14:textFill>
        </w:rPr>
      </w:pPr>
    </w:p>
    <w:p w14:paraId="014E7BB7">
      <w:pPr>
        <w:widowControl/>
        <w:spacing w:line="360" w:lineRule="auto"/>
        <w:ind w:firstLine="360" w:firstLineChars="150"/>
        <w:jc w:val="left"/>
        <w:rPr>
          <w:rFonts w:asciiTheme="minorEastAsia" w:hAnsiTheme="minorEastAsia" w:eastAsiaTheme="minorEastAsia"/>
          <w:color w:val="000000" w:themeColor="text1"/>
          <w:kern w:val="0"/>
          <w:sz w:val="24"/>
          <w:highlight w:val="none"/>
          <w14:textFill>
            <w14:solidFill>
              <w14:schemeClr w14:val="tx1"/>
            </w14:solidFill>
          </w14:textFill>
        </w:rPr>
      </w:pPr>
    </w:p>
    <w:p w14:paraId="2C68E8CB">
      <w:pPr>
        <w:widowControl/>
        <w:spacing w:line="360" w:lineRule="auto"/>
        <w:ind w:firstLine="360" w:firstLineChars="150"/>
        <w:jc w:val="left"/>
        <w:rPr>
          <w:rFonts w:asciiTheme="minorEastAsia" w:hAnsiTheme="minorEastAsia" w:eastAsiaTheme="minorEastAsia"/>
          <w:color w:val="000000" w:themeColor="text1"/>
          <w:kern w:val="0"/>
          <w:sz w:val="24"/>
          <w:highlight w:val="none"/>
          <w14:textFill>
            <w14:solidFill>
              <w14:schemeClr w14:val="tx1"/>
            </w14:solidFill>
          </w14:textFill>
        </w:rPr>
      </w:pPr>
    </w:p>
    <w:p w14:paraId="1F72A519">
      <w:pPr>
        <w:widowControl/>
        <w:spacing w:line="360" w:lineRule="auto"/>
        <w:ind w:firstLine="360" w:firstLineChars="150"/>
        <w:jc w:val="left"/>
        <w:rPr>
          <w:rFonts w:asciiTheme="minorEastAsia" w:hAnsiTheme="minorEastAsia" w:eastAsiaTheme="minorEastAsia"/>
          <w:color w:val="000000" w:themeColor="text1"/>
          <w:kern w:val="0"/>
          <w:sz w:val="24"/>
          <w:highlight w:val="none"/>
          <w14:textFill>
            <w14:solidFill>
              <w14:schemeClr w14:val="tx1"/>
            </w14:solidFill>
          </w14:textFill>
        </w:rPr>
      </w:pPr>
    </w:p>
    <w:p w14:paraId="696CFA7A">
      <w:pPr>
        <w:widowControl/>
        <w:spacing w:line="360" w:lineRule="auto"/>
        <w:ind w:firstLine="360" w:firstLineChars="150"/>
        <w:jc w:val="left"/>
        <w:rPr>
          <w:rFonts w:asciiTheme="minorEastAsia" w:hAnsiTheme="minorEastAsia" w:eastAsiaTheme="minorEastAsia"/>
          <w:color w:val="000000" w:themeColor="text1"/>
          <w:kern w:val="0"/>
          <w:sz w:val="24"/>
          <w:highlight w:val="none"/>
          <w14:textFill>
            <w14:solidFill>
              <w14:schemeClr w14:val="tx1"/>
            </w14:solidFill>
          </w14:textFill>
        </w:rPr>
      </w:pPr>
    </w:p>
    <w:p w14:paraId="1A065696">
      <w:pPr>
        <w:widowControl/>
        <w:spacing w:line="360" w:lineRule="auto"/>
        <w:ind w:firstLine="360" w:firstLineChars="150"/>
        <w:jc w:val="left"/>
        <w:rPr>
          <w:rFonts w:asciiTheme="minorEastAsia" w:hAnsiTheme="minorEastAsia" w:eastAsiaTheme="minorEastAsia"/>
          <w:color w:val="000000" w:themeColor="text1"/>
          <w:kern w:val="0"/>
          <w:sz w:val="24"/>
          <w:highlight w:val="none"/>
          <w14:textFill>
            <w14:solidFill>
              <w14:schemeClr w14:val="tx1"/>
            </w14:solidFill>
          </w14:textFill>
        </w:rPr>
      </w:pPr>
    </w:p>
    <w:p w14:paraId="2400746C">
      <w:pPr>
        <w:widowControl/>
        <w:spacing w:line="360" w:lineRule="auto"/>
        <w:ind w:firstLine="360" w:firstLineChars="150"/>
        <w:jc w:val="left"/>
        <w:rPr>
          <w:rFonts w:asciiTheme="minorEastAsia" w:hAnsiTheme="minorEastAsia" w:eastAsiaTheme="minorEastAsia"/>
          <w:color w:val="000000" w:themeColor="text1"/>
          <w:kern w:val="0"/>
          <w:sz w:val="24"/>
          <w:highlight w:val="none"/>
          <w14:textFill>
            <w14:solidFill>
              <w14:schemeClr w14:val="tx1"/>
            </w14:solidFill>
          </w14:textFill>
        </w:rPr>
      </w:pPr>
    </w:p>
    <w:p w14:paraId="349D9B2B">
      <w:pPr>
        <w:widowControl/>
        <w:spacing w:line="360" w:lineRule="auto"/>
        <w:ind w:firstLine="360" w:firstLineChars="150"/>
        <w:jc w:val="left"/>
        <w:rPr>
          <w:rFonts w:asciiTheme="minorEastAsia" w:hAnsiTheme="minorEastAsia" w:eastAsiaTheme="minorEastAsia"/>
          <w:color w:val="000000" w:themeColor="text1"/>
          <w:kern w:val="0"/>
          <w:sz w:val="24"/>
          <w:highlight w:val="none"/>
          <w14:textFill>
            <w14:solidFill>
              <w14:schemeClr w14:val="tx1"/>
            </w14:solidFill>
          </w14:textFill>
        </w:rPr>
      </w:pPr>
    </w:p>
    <w:p w14:paraId="314DF37C">
      <w:pPr>
        <w:widowControl/>
        <w:spacing w:line="360" w:lineRule="auto"/>
        <w:ind w:firstLine="360" w:firstLineChars="150"/>
        <w:jc w:val="left"/>
        <w:rPr>
          <w:rFonts w:asciiTheme="minorEastAsia" w:hAnsiTheme="minorEastAsia" w:eastAsiaTheme="minorEastAsia"/>
          <w:color w:val="000000" w:themeColor="text1"/>
          <w:kern w:val="0"/>
          <w:sz w:val="24"/>
          <w:highlight w:val="none"/>
          <w14:textFill>
            <w14:solidFill>
              <w14:schemeClr w14:val="tx1"/>
            </w14:solidFill>
          </w14:textFill>
        </w:rPr>
      </w:pPr>
    </w:p>
    <w:p w14:paraId="79F11A6E">
      <w:pPr>
        <w:pStyle w:val="2"/>
        <w:spacing w:line="240" w:lineRule="auto"/>
        <w:jc w:val="center"/>
        <w:rPr>
          <w:rFonts w:asciiTheme="minorEastAsia" w:hAnsiTheme="minorEastAsia" w:eastAsiaTheme="minorEastAsia"/>
          <w:color w:val="000000" w:themeColor="text1"/>
          <w:sz w:val="36"/>
          <w:szCs w:val="36"/>
          <w:highlight w:val="none"/>
          <w14:textFill>
            <w14:solidFill>
              <w14:schemeClr w14:val="tx1"/>
            </w14:solidFill>
          </w14:textFill>
        </w:rPr>
      </w:pPr>
      <w:bookmarkStart w:id="212" w:name="_Toc171612796"/>
      <w:bookmarkStart w:id="213" w:name="_Toc101344074"/>
      <w:bookmarkStart w:id="214" w:name="_Toc171608858"/>
      <w:bookmarkStart w:id="215" w:name="_Toc43652640"/>
      <w:bookmarkStart w:id="216" w:name="_Toc24049"/>
      <w:bookmarkStart w:id="217" w:name="_Toc173510809"/>
      <w:r>
        <w:rPr>
          <w:rFonts w:hint="eastAsia" w:asciiTheme="minorEastAsia" w:hAnsiTheme="minorEastAsia" w:eastAsiaTheme="minorEastAsia"/>
          <w:color w:val="000000" w:themeColor="text1"/>
          <w:sz w:val="36"/>
          <w:szCs w:val="36"/>
          <w:highlight w:val="none"/>
          <w14:textFill>
            <w14:solidFill>
              <w14:schemeClr w14:val="tx1"/>
            </w14:solidFill>
          </w14:textFill>
        </w:rPr>
        <w:t>第五章</w:t>
      </w:r>
      <w:bookmarkStart w:id="218" w:name="_Toc26505"/>
      <w:r>
        <w:rPr>
          <w:rFonts w:hint="eastAsia" w:asciiTheme="minorEastAsia" w:hAnsiTheme="minorEastAsia" w:eastAsiaTheme="minorEastAsia"/>
          <w:color w:val="000000" w:themeColor="text1"/>
          <w:sz w:val="36"/>
          <w:szCs w:val="36"/>
          <w:highlight w:val="none"/>
          <w14:textFill>
            <w14:solidFill>
              <w14:schemeClr w14:val="tx1"/>
            </w14:solidFill>
          </w14:textFill>
        </w:rPr>
        <w:t xml:space="preserve"> 合同主要条款及格式</w:t>
      </w:r>
      <w:bookmarkEnd w:id="212"/>
      <w:bookmarkEnd w:id="213"/>
      <w:bookmarkEnd w:id="214"/>
      <w:bookmarkEnd w:id="215"/>
      <w:bookmarkEnd w:id="216"/>
      <w:bookmarkEnd w:id="217"/>
    </w:p>
    <w:bookmarkEnd w:id="70"/>
    <w:bookmarkEnd w:id="71"/>
    <w:bookmarkEnd w:id="72"/>
    <w:bookmarkEnd w:id="73"/>
    <w:bookmarkEnd w:id="74"/>
    <w:bookmarkEnd w:id="75"/>
    <w:bookmarkEnd w:id="76"/>
    <w:bookmarkEnd w:id="218"/>
    <w:p w14:paraId="76DFF955">
      <w:pPr>
        <w:shd w:val="clear" w:color="auto" w:fill="FFFFFF"/>
        <w:spacing w:line="360" w:lineRule="auto"/>
        <w:jc w:val="center"/>
        <w:rPr>
          <w:rFonts w:cs="宋体" w:asciiTheme="minorEastAsia" w:hAnsiTheme="minorEastAsia" w:eastAsiaTheme="minorEastAsia"/>
          <w:b/>
          <w:bCs/>
          <w:color w:val="000000" w:themeColor="text1"/>
          <w:kern w:val="0"/>
          <w:sz w:val="24"/>
          <w:highlight w:val="none"/>
          <w14:textFill>
            <w14:solidFill>
              <w14:schemeClr w14:val="tx1"/>
            </w14:solidFill>
          </w14:textFill>
        </w:rPr>
      </w:pPr>
      <w:bookmarkStart w:id="219" w:name="_Toc29122"/>
      <w:r>
        <w:rPr>
          <w:rFonts w:hint="eastAsia" w:cs="宋体" w:asciiTheme="minorEastAsia" w:hAnsiTheme="minorEastAsia" w:eastAsiaTheme="minorEastAsia"/>
          <w:b/>
          <w:bCs/>
          <w:color w:val="000000" w:themeColor="text1"/>
          <w:kern w:val="0"/>
          <w:sz w:val="24"/>
          <w:highlight w:val="none"/>
          <w14:textFill>
            <w14:solidFill>
              <w14:schemeClr w14:val="tx1"/>
            </w14:solidFill>
          </w14:textFill>
        </w:rPr>
        <w:t xml:space="preserve">（此内容格式仅供参考，以最终签订协议为准） </w:t>
      </w:r>
    </w:p>
    <w:p w14:paraId="778AE20B">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甲方：（采购人）</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（以下简称甲方）</w:t>
      </w:r>
    </w:p>
    <w:p w14:paraId="7EEB2AB1">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乙方：（中标</w:t>
      </w:r>
      <w:r>
        <w:rPr>
          <w:rFonts w:hint="eastAsia" w:asciiTheme="minorEastAsia" w:hAnsiTheme="minorEastAsia" w:eastAsiaTheme="minorEastAsia"/>
          <w:color w:val="000000" w:themeColor="text1"/>
          <w:sz w:val="24"/>
          <w:highlight w:val="none"/>
          <w14:textFill>
            <w14:solidFill>
              <w14:schemeClr w14:val="tx1"/>
            </w14:solidFill>
          </w14:textFill>
        </w:rPr>
        <w:t>供应商</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（以下简称乙方）</w:t>
      </w:r>
    </w:p>
    <w:p w14:paraId="73739122">
      <w:pPr>
        <w:widowControl/>
        <w:tabs>
          <w:tab w:val="left" w:pos="5655"/>
        </w:tabs>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经过竞争性磋商招标，甲方将乙方作为</w:t>
      </w:r>
      <w:r>
        <w:rPr>
          <w:rFonts w:hint="eastAsia"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项目名称         </w:t>
      </w:r>
      <w:r>
        <w:rPr>
          <w:rFonts w:asciiTheme="minorEastAsia" w:hAnsiTheme="minorEastAsia" w:eastAsiaTheme="minorEastAsia"/>
          <w:color w:val="000000" w:themeColor="text1"/>
          <w:sz w:val="24"/>
          <w:highlight w:val="none"/>
          <w14:textFill>
            <w14:solidFill>
              <w14:schemeClr w14:val="tx1"/>
            </w14:solidFill>
          </w14:textFill>
        </w:rPr>
        <w:t>定点委托检验机构。依照《中华人民共和国政府采购法》，遵循平等、自愿、公平和诚信的原则，甲方将</w:t>
      </w:r>
      <w:r>
        <w:rPr>
          <w:rFonts w:hint="eastAsia"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项目名称        </w:t>
      </w:r>
      <w:r>
        <w:rPr>
          <w:rFonts w:hint="eastAsia" w:asciiTheme="minorEastAsia" w:hAnsiTheme="minorEastAsia" w:eastAsiaTheme="minorEastAsia"/>
          <w:color w:val="000000" w:themeColor="text1"/>
          <w:sz w:val="24"/>
          <w:highlight w:val="none"/>
          <w14:textFill>
            <w14:solidFill>
              <w14:schemeClr w14:val="tx1"/>
            </w14:solidFill>
          </w14:textFill>
        </w:rPr>
        <w:t>相关工作</w:t>
      </w:r>
      <w:r>
        <w:rPr>
          <w:rFonts w:asciiTheme="minorEastAsia" w:hAnsiTheme="minorEastAsia" w:eastAsiaTheme="minorEastAsia"/>
          <w:color w:val="000000" w:themeColor="text1"/>
          <w:sz w:val="24"/>
          <w:highlight w:val="none"/>
          <w14:textFill>
            <w14:solidFill>
              <w14:schemeClr w14:val="tx1"/>
            </w14:solidFill>
          </w14:textFill>
        </w:rPr>
        <w:t>委托乙方实施。乙方接受甲方委托，按照食品质量安全检验有关规定，在甲方委托事宜范围内依法组织开展食品抽检业务工作。经甲乙双方协商一致，签订如下协议</w:t>
      </w:r>
    </w:p>
    <w:p w14:paraId="74593905">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一、基本情况</w:t>
      </w:r>
    </w:p>
    <w:p w14:paraId="2076EAD5">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 合同事项：</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w:t>
      </w:r>
    </w:p>
    <w:p w14:paraId="76BE40FA">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 抽检种类：</w:t>
      </w:r>
      <w:r>
        <w:rPr>
          <w:rFonts w:hint="eastAsia"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w:t>
      </w:r>
    </w:p>
    <w:p w14:paraId="081D3398">
      <w:pPr>
        <w:widowControl/>
        <w:snapToGrid w:val="0"/>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 抽检经费及结算方式：</w:t>
      </w:r>
    </w:p>
    <w:p w14:paraId="520B3FF2">
      <w:pPr>
        <w:widowControl/>
        <w:snapToGrid w:val="0"/>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（一）成交价为：</w:t>
      </w:r>
      <w:r>
        <w:rPr>
          <w:rFonts w:hint="eastAsia" w:ascii="宋体" w:hAnsi="宋体" w:cs="宋体"/>
          <w:kern w:val="0"/>
          <w:sz w:val="24"/>
        </w:rPr>
        <w:t>人民币（大写）</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元</w:t>
      </w:r>
      <w:r>
        <w:rPr>
          <w:rFonts w:hint="eastAsia" w:ascii="宋体" w:hAnsi="宋体" w:cs="宋体"/>
          <w:kern w:val="0"/>
          <w:sz w:val="24"/>
        </w:rPr>
        <w:t>（¥</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元</w:t>
      </w:r>
      <w:r>
        <w:rPr>
          <w:rFonts w:hint="eastAsia" w:ascii="宋体" w:hAnsi="宋体" w:cs="宋体"/>
          <w:kern w:val="0"/>
          <w:sz w:val="24"/>
        </w:rPr>
        <w:t>）</w:t>
      </w:r>
      <w:r>
        <w:rPr>
          <w:rFonts w:asciiTheme="minorEastAsia" w:hAnsiTheme="minorEastAsia" w:eastAsiaTheme="minorEastAsia"/>
          <w:color w:val="000000" w:themeColor="text1"/>
          <w:sz w:val="24"/>
          <w:highlight w:val="none"/>
          <w14:textFill>
            <w14:solidFill>
              <w14:schemeClr w14:val="tx1"/>
            </w14:solidFill>
          </w14:textFill>
        </w:rPr>
        <w:t>，抽样检验费根据所检项目及数量而定。</w:t>
      </w:r>
    </w:p>
    <w:p w14:paraId="351F654E">
      <w:pPr>
        <w:widowControl/>
        <w:snapToGrid w:val="0"/>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（二）结算方式：</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双方协商</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78E38B44">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 资金来源：财政资金。</w:t>
      </w:r>
    </w:p>
    <w:p w14:paraId="3EB79DB4">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u w:val="singl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5. 服务期限：自合同签订之日起一年。</w:t>
      </w:r>
    </w:p>
    <w:p w14:paraId="3B81EF00">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二、甲方委托乙方的具体事项</w:t>
      </w:r>
    </w:p>
    <w:p w14:paraId="16EB52BD">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 按照《中华人民共和国食品安全法》、《食品安全抽样检验管理办法》、《食品安全监督抽检和风险监测工作规范》等有关法律法规和技术规范，委托乙方承担</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w:t>
      </w:r>
    </w:p>
    <w:p w14:paraId="3A50C577">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 乙方按照甲方委托的抽检品种、项目、批次和采样区域等技术要求，制订详细的抽检工作实施方案，并商请甲方同意。</w:t>
      </w:r>
    </w:p>
    <w:p w14:paraId="3AED5FD3">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 日常抽检检验周期为20个工作日。突发食品安全事件的食品抽检、其他涉及食品安全违法案件的食品抽检应在检验技术许可的情况下最短时间内出具检验报告书。</w:t>
      </w:r>
    </w:p>
    <w:p w14:paraId="09733B5F">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4. 乙方根据甲方认可的抽检计划采集样品。在组织抽样检验过程中，检验产品的种类、品种、项目、抽样地点不得随意调整；如因客观情况必须进行调整的，需征得甲方同意。</w:t>
      </w:r>
    </w:p>
    <w:p w14:paraId="325C343F">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5. 乙方应按照有关法律法规和技术规范要求开展抽样、检验、留样保存与处理，各种原始记录制作、归档与保存等各项工作。</w:t>
      </w:r>
    </w:p>
    <w:p w14:paraId="173B1A69">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6. 食品抽检发现的不合格食品信息，乙方应在第一时间报告甲方。</w:t>
      </w:r>
    </w:p>
    <w:p w14:paraId="17FEE861">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 xml:space="preserve">7. </w:t>
      </w:r>
      <w:r>
        <w:rPr>
          <w:rFonts w:hint="eastAsia" w:asciiTheme="minorEastAsia" w:hAnsiTheme="minorEastAsia" w:eastAsiaTheme="minorEastAsia"/>
          <w:color w:val="000000" w:themeColor="text1"/>
          <w:sz w:val="24"/>
          <w:highlight w:val="none"/>
          <w14:textFill>
            <w14:solidFill>
              <w14:schemeClr w14:val="tx1"/>
            </w14:solidFill>
          </w14:textFill>
        </w:rPr>
        <w:t>甲方因食品安全突发事件需委托乙方开展相关抽检工作时，乙方必须在接到甲方通知抽样后六个小时内赶到抽样地点开展抽样工作</w:t>
      </w:r>
      <w:r>
        <w:rPr>
          <w:rFonts w:asciiTheme="minorEastAsia" w:hAnsiTheme="minorEastAsia" w:eastAsiaTheme="minorEastAsia"/>
          <w:color w:val="000000" w:themeColor="text1"/>
          <w:sz w:val="24"/>
          <w:highlight w:val="none"/>
          <w14:textFill>
            <w14:solidFill>
              <w14:schemeClr w14:val="tx1"/>
            </w14:solidFill>
          </w14:textFill>
        </w:rPr>
        <w:t>。</w:t>
      </w:r>
    </w:p>
    <w:p w14:paraId="5D2FD263">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8</w:t>
      </w:r>
      <w:r>
        <w:rPr>
          <w:rFonts w:asciiTheme="minorEastAsia" w:hAnsiTheme="minorEastAsia" w:eastAsiaTheme="minorEastAsia"/>
          <w:color w:val="000000" w:themeColor="text1"/>
          <w:sz w:val="24"/>
          <w:highlight w:val="none"/>
          <w14:textFill>
            <w14:solidFill>
              <w14:schemeClr w14:val="tx1"/>
            </w14:solidFill>
          </w14:textFill>
        </w:rPr>
        <w:t>. 每个抽检周期结束前报送食品检验结果，乙方对检验报告的可靠性和准确性负责。</w:t>
      </w:r>
    </w:p>
    <w:p w14:paraId="5D10A04B">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9</w:t>
      </w:r>
      <w:r>
        <w:rPr>
          <w:rFonts w:asciiTheme="minorEastAsia" w:hAnsiTheme="minorEastAsia" w:eastAsiaTheme="minorEastAsia"/>
          <w:color w:val="000000" w:themeColor="text1"/>
          <w:sz w:val="24"/>
          <w:highlight w:val="none"/>
          <w14:textFill>
            <w14:solidFill>
              <w14:schemeClr w14:val="tx1"/>
            </w14:solidFill>
          </w14:textFill>
        </w:rPr>
        <w:t>. 参加由甲方组织的与食品抽检工作的宣传、培训、检验结果分析等有关活动。</w:t>
      </w:r>
    </w:p>
    <w:p w14:paraId="23543984">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三、甲方的权利和义务</w:t>
      </w:r>
    </w:p>
    <w:p w14:paraId="55E838B9">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 指定一名抽检工作联系人，确保通讯畅通，代表甲方处理食品抽检工作中的有关事宜。</w:t>
      </w:r>
    </w:p>
    <w:p w14:paraId="285C63C7">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 向乙方提供食品抽检计划和服务内容等书面材料和要求。检验产品的种类、品种、项目、抽样地点及样品处理由甲方提前3日通知乙方。涉及食品安全突发事件的食品抽检甲方可随时通知乙方开展抽检工作，乙方不得以任何理由推拖和拒绝。</w:t>
      </w:r>
    </w:p>
    <w:p w14:paraId="75691649">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 对乙方食品抽检计划完成情况予以审核确认，如期向乙方支付抽检费用。</w:t>
      </w:r>
    </w:p>
    <w:p w14:paraId="75763FE3">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4. 有权利就委托的事项提出合法、合理的要求。</w:t>
      </w:r>
    </w:p>
    <w:p w14:paraId="3CD32ABC">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5. 有权利派专家和工作人员监督抽检工作，但不得非法干预、影响检验过程和结果。</w:t>
      </w:r>
    </w:p>
    <w:p w14:paraId="1D3D8E23">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6．有义务保守抽检工作的相关秘密。</w:t>
      </w:r>
    </w:p>
    <w:p w14:paraId="7579AEAF">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7. 应遵守法律法规和各项食品检验规范和制度。</w:t>
      </w:r>
    </w:p>
    <w:p w14:paraId="4AEB465E">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四、乙方的权利和义务</w:t>
      </w:r>
    </w:p>
    <w:p w14:paraId="3CA33460">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 指派专人负责项目联络工作，确保通讯畅通，每日24小时开机，及时响应，如有变化应及时告知甲方。</w:t>
      </w:r>
    </w:p>
    <w:p w14:paraId="1F48CD7C">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 按照有关法律法规和技术规范要求，加强质量控制和规范管理，确保检验结果客观、准确，并按照委托时限提交检验报告和汇总分析报告。</w:t>
      </w:r>
    </w:p>
    <w:p w14:paraId="514E75BC">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 根据甲方要求制订抽检工作实施方案，同时可以根据甲方需求提出合理化建议。</w:t>
      </w:r>
    </w:p>
    <w:p w14:paraId="67868A92">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4. 根据甲方要求开展抽检工作，每个周期抽检工作结束后可向甲方出具书面确认材料。</w:t>
      </w:r>
    </w:p>
    <w:p w14:paraId="51EFA21F">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5. 满足甲方的合法、合理要求，但对违法违规以及无理的要求应予拒绝。</w:t>
      </w:r>
    </w:p>
    <w:p w14:paraId="1F44AC01">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6. 可根据需要，就食品抽检工作征询专家意见。</w:t>
      </w:r>
    </w:p>
    <w:p w14:paraId="5F2B2C3C">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7. 在委托事项范围内应及时答复甲方的询问和质疑。</w:t>
      </w:r>
    </w:p>
    <w:p w14:paraId="3C5DE754">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8. 有义务保守抽检工作的相关秘密。</w:t>
      </w:r>
    </w:p>
    <w:p w14:paraId="1FFC6709">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9. 在采样过程中不得收取食品生产经营单位任何费用。</w:t>
      </w:r>
    </w:p>
    <w:p w14:paraId="7F009AD7">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10. 应及时向甲方举报抽样过程中发现的或应该发现的食品生产经营单位的违法行为。</w:t>
      </w:r>
    </w:p>
    <w:p w14:paraId="78C3190B">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11. 及时配合被抽检对象（申请人）提出的复检申请。企业提出复检时，复检结论与初检结论一致的，复检费用由申请人承担；复检结论与初检结论不一致的，复检费用由初检机构（乙方）承担。</w:t>
      </w:r>
    </w:p>
    <w:p w14:paraId="06099D51">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12.应遵守法律法规、食品检验技术规范和相关制度。</w:t>
      </w:r>
    </w:p>
    <w:p w14:paraId="753F01E1">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为规范食品抽检工作，形成抽检大数据，为日常监管提供技术支撑，乙方抽检过程中统一使用“国家食品安全抽检监测信息系统”检测结果及时上传抽检信息系统。抽样单格式、编号规则和检验报告格式等相关规范按照总局和省局要求执行。</w:t>
      </w:r>
    </w:p>
    <w:p w14:paraId="6B0BF9F5">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配合甲方按照规定上报和公布抽检信息</w:t>
      </w:r>
      <w:r>
        <w:rPr>
          <w:rFonts w:asciiTheme="minorEastAsia" w:hAnsiTheme="minorEastAsia" w:eastAsiaTheme="minorEastAsia"/>
          <w:color w:val="000000" w:themeColor="text1"/>
          <w:sz w:val="24"/>
          <w:highlight w:val="none"/>
          <w14:textFill>
            <w14:solidFill>
              <w14:schemeClr w14:val="tx1"/>
            </w14:solidFill>
          </w14:textFill>
        </w:rPr>
        <w:t>。</w:t>
      </w:r>
    </w:p>
    <w:p w14:paraId="17831E01">
      <w:pPr>
        <w:keepNext/>
        <w:keepLines/>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15.食品安全监督抽检的检验结论合格的，承检机构应当自检验结论作出之日起3个月内妥善保存复检备份样品。复检备份样品剩余保质期不足3个月的，应当保存至保质期结束。</w:t>
      </w:r>
    </w:p>
    <w:p w14:paraId="488466C2">
      <w:pPr>
        <w:keepNext/>
        <w:keepLines/>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检验结论不合格的，承检机构应当自检验结论作出之日起6个月内妥善保存复检备份样品。复检备份样品剩余保质期不足6个月的，应当保存至保质期结束。</w:t>
      </w:r>
    </w:p>
    <w:p w14:paraId="20035376">
      <w:pPr>
        <w:keepNext/>
        <w:keepLines/>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16.食品安全监督抽检的检验结论合格的，本着节能原则，乙方向甲方提供检验报告电子版。特殊情况需纸质版，由甲方有关人员联系乙方提供。食品安全监督抽检的检验结论不合格的，乙方应当向甲方提供检验报告纸质版6份及电子版。</w:t>
      </w:r>
    </w:p>
    <w:p w14:paraId="6983B62D">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五、费用结算、违约责任处理办法</w:t>
      </w:r>
    </w:p>
    <w:p w14:paraId="11858066">
      <w:pPr>
        <w:widowControl/>
        <w:snapToGrid w:val="0"/>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抽样检测费用按实际批次和检验项目结算，购买样品费用和抽检产生费用包含在项目检测费用里，费用由乙方先行垫付，待检验和复检工作全部完成后，乙方按照实际抽检批次和成交项目单价（详见附件）合计抽样检测费用，经甲方认可后，向甲方提供合法、真实、有效的检测费用发票、样品清单等资料，每季度结算一次。</w:t>
      </w:r>
    </w:p>
    <w:p w14:paraId="52C887E0">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甲方在验收中发现下列问题时，甲方有权拒付相应的抽检费用和样品购买费用，并有权解除合同、向乙方收取违约金：</w:t>
      </w:r>
    </w:p>
    <w:p w14:paraId="4A12B0E1">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1、乙方未按照甲方明确的采样地域、环节、品种等以及未按照规定要求组织抽样的，甲方有权拒付相应的抽检费用和样品购买费用，乙方并向甲方支付相应抽检费用50%的违约金。</w:t>
      </w:r>
    </w:p>
    <w:p w14:paraId="07F0355B">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2、乙方出具虚假或伪造检验报告的，甲方有权拒付相应的抽检费用，每发现1份虚假或伪造检验报告，乙方向甲方支付成交价5%的违约金。</w:t>
      </w:r>
    </w:p>
    <w:p w14:paraId="43CF63AB">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3、乙方擅自委托其它检验机构抽检的，甲方有权拒付相应的抽检费用。</w:t>
      </w:r>
    </w:p>
    <w:p w14:paraId="598A0C26">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4、发生其它违约情形时，因违约造成经济损失的，由违约方承担。</w:t>
      </w:r>
    </w:p>
    <w:p w14:paraId="3BA508A7">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六、合同的解除与终止</w:t>
      </w:r>
    </w:p>
    <w:p w14:paraId="75DE41C1">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1.在整个抽样检验过程中，如发现乙方有出具虚假或伪造检验报告及与检验相关任何文件的情况下，甲方有权随时解除合同，要求乙方赔偿损失，并由乙方承担由此产生的一切后果和不良影响。</w:t>
      </w:r>
    </w:p>
    <w:p w14:paraId="46328929">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乙方未按照甲方要求的抽样、检验标准进行抽样检验的，甲方有权随时中止合同，并要求乙方限期改正，限期内未按要求改正的，甲方有权解除合同，要求乙方赔偿损失，并由乙方承担由此产生的一切后果和不良影响。</w:t>
      </w:r>
    </w:p>
    <w:p w14:paraId="489E27B7">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3.本合同因期限届满、履行完毕、一方解除或者其他法定事由而终止。</w:t>
      </w:r>
    </w:p>
    <w:p w14:paraId="7E641B69">
      <w:pPr>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七、本协议自甲乙双方签字盖章之日起生效。协议一式五份，甲乙双方各执二份，报政府采购主管部门备案一份。</w:t>
      </w:r>
    </w:p>
    <w:p w14:paraId="670988FA">
      <w:pPr>
        <w:keepNext/>
        <w:keepLines/>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附件：</w:t>
      </w:r>
      <w:r>
        <w:rPr>
          <w:rFonts w:hint="eastAsia" w:asciiTheme="minorEastAsia" w:hAnsiTheme="minorEastAsia" w:eastAsiaTheme="minorEastAsia"/>
          <w:color w:val="000000" w:themeColor="text1"/>
          <w:sz w:val="24"/>
          <w:highlight w:val="none"/>
          <w14:textFill>
            <w14:solidFill>
              <w14:schemeClr w14:val="tx1"/>
            </w14:solidFill>
          </w14:textFill>
        </w:rPr>
        <w:t>灵宝市市场监督管理局</w:t>
      </w:r>
      <w:r>
        <w:rPr>
          <w:rFonts w:asciiTheme="minorEastAsia" w:hAnsiTheme="minorEastAsia" w:eastAsiaTheme="minorEastAsia"/>
          <w:color w:val="000000" w:themeColor="text1"/>
          <w:sz w:val="24"/>
          <w:highlight w:val="none"/>
          <w14:textFill>
            <w14:solidFill>
              <w14:schemeClr w14:val="tx1"/>
            </w14:solidFill>
          </w14:textFill>
        </w:rPr>
        <w:t>202</w:t>
      </w: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年食品安全监督抽检明细表</w:t>
      </w:r>
    </w:p>
    <w:p w14:paraId="0DC58522">
      <w:pPr>
        <w:keepNext/>
        <w:keepLines/>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甲方：（盖章 ）                 乙方：（盖章）</w:t>
      </w:r>
    </w:p>
    <w:p w14:paraId="5AF8D6D5">
      <w:pPr>
        <w:keepNext/>
        <w:keepLines/>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地址：                         地址：</w:t>
      </w:r>
    </w:p>
    <w:p w14:paraId="2CC57319">
      <w:pPr>
        <w:keepNext/>
        <w:keepLines/>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负责人签字：                   负责人签字：</w:t>
      </w:r>
    </w:p>
    <w:p w14:paraId="02DF4496">
      <w:pPr>
        <w:keepNext/>
        <w:keepLines/>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联系人：                       联系人：</w:t>
      </w:r>
    </w:p>
    <w:p w14:paraId="749793F4">
      <w:pPr>
        <w:keepNext/>
        <w:keepLines/>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联系电话：                     联系电话：</w:t>
      </w:r>
    </w:p>
    <w:p w14:paraId="664CD567">
      <w:pPr>
        <w:keepNext/>
        <w:keepLines/>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开户行：                       开户行：</w:t>
      </w:r>
    </w:p>
    <w:p w14:paraId="390A3866">
      <w:pPr>
        <w:keepNext/>
        <w:keepLines/>
        <w:widowControl/>
        <w:spacing w:line="440" w:lineRule="exact"/>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账号：                         账号：</w:t>
      </w:r>
      <w:r>
        <w:rPr>
          <w:rFonts w:hint="eastAsia" w:asciiTheme="minorEastAsia" w:hAnsiTheme="minorEastAsia" w:eastAsiaTheme="minorEastAsia"/>
          <w:color w:val="000000" w:themeColor="text1"/>
          <w:sz w:val="24"/>
          <w:highlight w:val="none"/>
          <w14:textFill>
            <w14:solidFill>
              <w14:schemeClr w14:val="tx1"/>
            </w14:solidFill>
          </w14:textFill>
        </w:rPr>
        <w:cr/>
      </w:r>
      <w:r>
        <w:rPr>
          <w:rFonts w:hint="eastAsia" w:asciiTheme="minorEastAsia" w:hAnsiTheme="minorEastAsia" w:eastAsiaTheme="minorEastAsia"/>
          <w:color w:val="000000" w:themeColor="text1"/>
          <w:sz w:val="24"/>
          <w:highlight w:val="none"/>
          <w14:textFill>
            <w14:solidFill>
              <w14:schemeClr w14:val="tx1"/>
            </w14:solidFill>
          </w14:textFill>
        </w:rPr>
        <w:t xml:space="preserve">        年   月   日                    年   月   日</w:t>
      </w:r>
      <w:r>
        <w:rPr>
          <w:rFonts w:asciiTheme="minorEastAsia" w:hAnsiTheme="minorEastAsia" w:eastAsiaTheme="minorEastAsia"/>
          <w:color w:val="000000" w:themeColor="text1"/>
          <w:sz w:val="24"/>
          <w:highlight w:val="none"/>
          <w14:textFill>
            <w14:solidFill>
              <w14:schemeClr w14:val="tx1"/>
            </w14:solidFill>
          </w14:textFill>
        </w:rPr>
        <w:cr/>
      </w:r>
    </w:p>
    <w:p w14:paraId="442709D8">
      <w:pPr>
        <w:pStyle w:val="16"/>
        <w:ind w:firstLine="200"/>
        <w:rPr>
          <w:color w:val="000000" w:themeColor="text1"/>
          <w:highlight w:val="none"/>
          <w14:textFill>
            <w14:solidFill>
              <w14:schemeClr w14:val="tx1"/>
            </w14:solidFill>
          </w14:textFill>
        </w:rPr>
      </w:pPr>
    </w:p>
    <w:p w14:paraId="55C534BC">
      <w:pPr>
        <w:pStyle w:val="8"/>
        <w:ind w:right="164" w:firstLine="560"/>
        <w:rPr>
          <w:color w:val="000000" w:themeColor="text1"/>
          <w:highlight w:val="none"/>
          <w14:textFill>
            <w14:solidFill>
              <w14:schemeClr w14:val="tx1"/>
            </w14:solidFill>
          </w14:textFill>
        </w:rPr>
      </w:pPr>
    </w:p>
    <w:p w14:paraId="65B3D3CA">
      <w:pPr>
        <w:rPr>
          <w:color w:val="000000" w:themeColor="text1"/>
          <w:highlight w:val="none"/>
          <w14:textFill>
            <w14:solidFill>
              <w14:schemeClr w14:val="tx1"/>
            </w14:solidFill>
          </w14:textFill>
        </w:rPr>
      </w:pPr>
    </w:p>
    <w:bookmarkEnd w:id="219"/>
    <w:p w14:paraId="4BBECA4D">
      <w:pPr>
        <w:pStyle w:val="2"/>
        <w:spacing w:line="240" w:lineRule="auto"/>
        <w:ind w:left="360"/>
        <w:jc w:val="center"/>
        <w:rPr>
          <w:rFonts w:hint="eastAsia" w:asciiTheme="minorEastAsia" w:hAnsiTheme="minorEastAsia" w:eastAsiaTheme="minorEastAsia"/>
          <w:color w:val="000000" w:themeColor="text1"/>
          <w:sz w:val="36"/>
          <w:szCs w:val="36"/>
          <w:highlight w:val="none"/>
          <w14:textFill>
            <w14:solidFill>
              <w14:schemeClr w14:val="tx1"/>
            </w14:solidFill>
          </w14:textFill>
        </w:rPr>
      </w:pPr>
      <w:bookmarkStart w:id="220" w:name="_Toc171612797"/>
      <w:bookmarkStart w:id="221" w:name="_Toc48158325"/>
      <w:bookmarkStart w:id="222" w:name="_Toc173510810"/>
      <w:bookmarkStart w:id="223" w:name="_Toc171608859"/>
      <w:bookmarkStart w:id="224" w:name="_Toc101344075"/>
    </w:p>
    <w:p w14:paraId="163D8356">
      <w:pPr>
        <w:pStyle w:val="2"/>
        <w:spacing w:line="240" w:lineRule="auto"/>
        <w:ind w:left="360"/>
        <w:jc w:val="center"/>
        <w:rPr>
          <w:rFonts w:asciiTheme="minorEastAsia" w:hAnsiTheme="minorEastAsia" w:eastAsiaTheme="minorEastAsia"/>
          <w:color w:val="000000" w:themeColor="text1"/>
          <w:sz w:val="36"/>
          <w:szCs w:val="36"/>
          <w:highlight w:val="none"/>
          <w14:textFill>
            <w14:solidFill>
              <w14:schemeClr w14:val="tx1"/>
            </w14:solidFill>
          </w14:textFill>
        </w:rPr>
      </w:pPr>
      <w:r>
        <w:rPr>
          <w:rFonts w:hint="eastAsia" w:asciiTheme="minorEastAsia" w:hAnsiTheme="minorEastAsia" w:eastAsiaTheme="minorEastAsia"/>
          <w:color w:val="000000" w:themeColor="text1"/>
          <w:sz w:val="36"/>
          <w:szCs w:val="36"/>
          <w:highlight w:val="none"/>
          <w14:textFill>
            <w14:solidFill>
              <w14:schemeClr w14:val="tx1"/>
            </w14:solidFill>
          </w14:textFill>
        </w:rPr>
        <w:t>第六章 磋商响应文件格式</w:t>
      </w:r>
      <w:bookmarkEnd w:id="220"/>
      <w:bookmarkEnd w:id="221"/>
      <w:bookmarkEnd w:id="222"/>
      <w:bookmarkEnd w:id="223"/>
      <w:bookmarkEnd w:id="224"/>
    </w:p>
    <w:p w14:paraId="02945F92">
      <w:pPr>
        <w:jc w:val="center"/>
        <w:rPr>
          <w:rFonts w:hint="eastAsia" w:asciiTheme="minorEastAsia" w:hAnsiTheme="minorEastAsia" w:eastAsiaTheme="minorEastAsia"/>
          <w:b/>
          <w:bCs/>
          <w:color w:val="000000" w:themeColor="text1"/>
          <w:kern w:val="44"/>
          <w:sz w:val="36"/>
          <w:szCs w:val="36"/>
          <w:highlight w:val="none"/>
          <w14:textFill>
            <w14:solidFill>
              <w14:schemeClr w14:val="tx1"/>
            </w14:solidFill>
          </w14:textFill>
        </w:rPr>
      </w:pPr>
    </w:p>
    <w:p w14:paraId="2DBACEA8">
      <w:pPr>
        <w:jc w:val="center"/>
        <w:rPr>
          <w:rFonts w:hint="eastAsia" w:asciiTheme="minorEastAsia" w:hAnsiTheme="minorEastAsia" w:eastAsiaTheme="minorEastAsia"/>
          <w:b/>
          <w:bCs/>
          <w:color w:val="000000" w:themeColor="text1"/>
          <w:kern w:val="44"/>
          <w:sz w:val="36"/>
          <w:szCs w:val="36"/>
          <w:highlight w:val="none"/>
          <w14:textFill>
            <w14:solidFill>
              <w14:schemeClr w14:val="tx1"/>
            </w14:solidFill>
          </w14:textFill>
        </w:rPr>
      </w:pPr>
    </w:p>
    <w:p w14:paraId="5753D133">
      <w:pPr>
        <w:jc w:val="center"/>
        <w:rPr>
          <w:rFonts w:hint="eastAsia" w:asciiTheme="minorEastAsia" w:hAnsiTheme="minorEastAsia" w:eastAsiaTheme="minorEastAsia"/>
          <w:b/>
          <w:bCs/>
          <w:color w:val="000000" w:themeColor="text1"/>
          <w:kern w:val="44"/>
          <w:sz w:val="36"/>
          <w:szCs w:val="36"/>
          <w:highlight w:val="none"/>
          <w14:textFill>
            <w14:solidFill>
              <w14:schemeClr w14:val="tx1"/>
            </w14:solidFill>
          </w14:textFill>
        </w:rPr>
      </w:pPr>
    </w:p>
    <w:p w14:paraId="73E28BE8">
      <w:pPr>
        <w:jc w:val="center"/>
        <w:rPr>
          <w:rFonts w:hint="eastAsia" w:asciiTheme="minorEastAsia" w:hAnsiTheme="minorEastAsia" w:eastAsiaTheme="minorEastAsia"/>
          <w:b/>
          <w:bCs/>
          <w:color w:val="000000" w:themeColor="text1"/>
          <w:kern w:val="44"/>
          <w:sz w:val="36"/>
          <w:szCs w:val="36"/>
          <w:highlight w:val="none"/>
          <w14:textFill>
            <w14:solidFill>
              <w14:schemeClr w14:val="tx1"/>
            </w14:solidFill>
          </w14:textFill>
        </w:rPr>
      </w:pPr>
    </w:p>
    <w:p w14:paraId="208F6011">
      <w:pPr>
        <w:jc w:val="center"/>
        <w:rPr>
          <w:rFonts w:hint="eastAsia" w:asciiTheme="minorEastAsia" w:hAnsiTheme="minorEastAsia" w:eastAsiaTheme="minorEastAsia"/>
          <w:b/>
          <w:bCs/>
          <w:color w:val="000000" w:themeColor="text1"/>
          <w:kern w:val="44"/>
          <w:sz w:val="36"/>
          <w:szCs w:val="36"/>
          <w:highlight w:val="none"/>
          <w14:textFill>
            <w14:solidFill>
              <w14:schemeClr w14:val="tx1"/>
            </w14:solidFill>
          </w14:textFill>
        </w:rPr>
      </w:pPr>
    </w:p>
    <w:p w14:paraId="6C61696E">
      <w:pPr>
        <w:jc w:val="center"/>
        <w:rPr>
          <w:rFonts w:asciiTheme="minorEastAsia" w:hAnsiTheme="minorEastAsia" w:eastAsiaTheme="minorEastAsia"/>
          <w:b/>
          <w:bCs/>
          <w:color w:val="000000" w:themeColor="text1"/>
          <w:kern w:val="44"/>
          <w:sz w:val="36"/>
          <w:szCs w:val="36"/>
          <w:highlight w:val="none"/>
          <w14:textFill>
            <w14:solidFill>
              <w14:schemeClr w14:val="tx1"/>
            </w14:solidFill>
          </w14:textFill>
        </w:rPr>
      </w:pPr>
      <w:r>
        <w:rPr>
          <w:rFonts w:hint="eastAsia" w:asciiTheme="minorEastAsia" w:hAnsiTheme="minorEastAsia" w:eastAsiaTheme="minorEastAsia"/>
          <w:b/>
          <w:bCs/>
          <w:color w:val="000000" w:themeColor="text1"/>
          <w:kern w:val="44"/>
          <w:sz w:val="36"/>
          <w:szCs w:val="36"/>
          <w:highlight w:val="none"/>
          <w14:textFill>
            <w14:solidFill>
              <w14:schemeClr w14:val="tx1"/>
            </w14:solidFill>
          </w14:textFill>
        </w:rPr>
        <w:t>项目名称</w:t>
      </w:r>
    </w:p>
    <w:p w14:paraId="74D32206">
      <w:pPr>
        <w:spacing w:line="360" w:lineRule="auto"/>
        <w:ind w:firstLine="1065" w:firstLineChars="296"/>
        <w:rPr>
          <w:rFonts w:asciiTheme="minorEastAsia" w:hAnsiTheme="minorEastAsia" w:eastAsiaTheme="minorEastAsia"/>
          <w:color w:val="000000" w:themeColor="text1"/>
          <w:sz w:val="36"/>
          <w:szCs w:val="36"/>
          <w:highlight w:val="none"/>
          <w14:textFill>
            <w14:solidFill>
              <w14:schemeClr w14:val="tx1"/>
            </w14:solidFill>
          </w14:textFill>
        </w:rPr>
      </w:pPr>
    </w:p>
    <w:p w14:paraId="74B4E3A6">
      <w:pPr>
        <w:spacing w:line="360" w:lineRule="auto"/>
        <w:rPr>
          <w:rFonts w:asciiTheme="minorEastAsia" w:hAnsiTheme="minorEastAsia" w:eastAsiaTheme="minorEastAsia"/>
          <w:b/>
          <w:color w:val="000000" w:themeColor="text1"/>
          <w:sz w:val="44"/>
          <w:highlight w:val="none"/>
          <w14:textFill>
            <w14:solidFill>
              <w14:schemeClr w14:val="tx1"/>
            </w14:solidFill>
          </w14:textFill>
        </w:rPr>
      </w:pPr>
    </w:p>
    <w:p w14:paraId="059D1CD7">
      <w:pPr>
        <w:spacing w:line="360" w:lineRule="auto"/>
        <w:rPr>
          <w:rFonts w:asciiTheme="minorEastAsia" w:hAnsiTheme="minorEastAsia" w:eastAsiaTheme="minorEastAsia"/>
          <w:b/>
          <w:color w:val="000000" w:themeColor="text1"/>
          <w:sz w:val="44"/>
          <w:highlight w:val="none"/>
          <w14:textFill>
            <w14:solidFill>
              <w14:schemeClr w14:val="tx1"/>
            </w14:solidFill>
          </w14:textFill>
        </w:rPr>
      </w:pPr>
    </w:p>
    <w:p w14:paraId="5FB4852D">
      <w:pPr>
        <w:spacing w:line="276" w:lineRule="auto"/>
        <w:jc w:val="center"/>
        <w:rPr>
          <w:rFonts w:asciiTheme="minorEastAsia" w:hAnsiTheme="minorEastAsia" w:eastAsiaTheme="minorEastAsia"/>
          <w:color w:val="000000" w:themeColor="text1"/>
          <w:sz w:val="72"/>
          <w:szCs w:val="72"/>
          <w:highlight w:val="none"/>
          <w14:textFill>
            <w14:solidFill>
              <w14:schemeClr w14:val="tx1"/>
            </w14:solidFill>
          </w14:textFill>
        </w:rPr>
      </w:pPr>
      <w:r>
        <w:rPr>
          <w:rFonts w:hint="eastAsia" w:asciiTheme="minorEastAsia" w:hAnsiTheme="minorEastAsia" w:eastAsiaTheme="minorEastAsia"/>
          <w:color w:val="000000" w:themeColor="text1"/>
          <w:sz w:val="72"/>
          <w:szCs w:val="72"/>
          <w:highlight w:val="none"/>
          <w14:textFill>
            <w14:solidFill>
              <w14:schemeClr w14:val="tx1"/>
            </w14:solidFill>
          </w14:textFill>
        </w:rPr>
        <w:t>磋商响应文件</w:t>
      </w:r>
    </w:p>
    <w:p w14:paraId="434BFFF6">
      <w:pPr>
        <w:spacing w:line="276" w:lineRule="auto"/>
        <w:jc w:val="center"/>
        <w:rPr>
          <w:rFonts w:asciiTheme="minorEastAsia" w:hAnsiTheme="minorEastAsia" w:eastAsia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b/>
          <w:color w:val="000000" w:themeColor="text1"/>
          <w:sz w:val="32"/>
          <w:szCs w:val="32"/>
          <w:highlight w:val="none"/>
          <w14:textFill>
            <w14:solidFill>
              <w14:schemeClr w14:val="tx1"/>
            </w14:solidFill>
          </w14:textFill>
        </w:rPr>
        <w:t>项目编号：</w:t>
      </w:r>
    </w:p>
    <w:p w14:paraId="0649F2C9">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p>
    <w:p w14:paraId="20A6AFFB">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p>
    <w:p w14:paraId="57D8920A">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p>
    <w:p w14:paraId="5929E0B6">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p>
    <w:p w14:paraId="6E197412">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p>
    <w:p w14:paraId="7520FDAE">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p>
    <w:p w14:paraId="6AC8D8BE">
      <w:pPr>
        <w:pStyle w:val="8"/>
        <w:ind w:right="164" w:firstLine="560"/>
        <w:rPr>
          <w:color w:val="000000" w:themeColor="text1"/>
          <w:highlight w:val="none"/>
          <w14:textFill>
            <w14:solidFill>
              <w14:schemeClr w14:val="tx1"/>
            </w14:solidFill>
          </w14:textFill>
        </w:rPr>
      </w:pPr>
    </w:p>
    <w:p w14:paraId="228661CF">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p>
    <w:p w14:paraId="4C06D104">
      <w:pPr>
        <w:spacing w:line="360" w:lineRule="auto"/>
        <w:ind w:firstLine="1571" w:firstLineChars="450"/>
        <w:rPr>
          <w:rFonts w:asciiTheme="minorEastAsia" w:hAnsiTheme="minorEastAsia" w:eastAsiaTheme="minorEastAsia"/>
          <w:b/>
          <w:color w:val="000000" w:themeColor="text1"/>
          <w:spacing w:val="24"/>
          <w:sz w:val="30"/>
          <w:szCs w:val="30"/>
          <w:highlight w:val="none"/>
          <w14:textFill>
            <w14:solidFill>
              <w14:schemeClr w14:val="tx1"/>
            </w14:solidFill>
          </w14:textFill>
        </w:rPr>
      </w:pPr>
      <w:r>
        <w:rPr>
          <w:rFonts w:hint="eastAsia" w:asciiTheme="minorEastAsia" w:hAnsiTheme="minorEastAsia" w:eastAsiaTheme="minorEastAsia"/>
          <w:b/>
          <w:color w:val="000000" w:themeColor="text1"/>
          <w:spacing w:val="24"/>
          <w:sz w:val="30"/>
          <w:szCs w:val="30"/>
          <w:highlight w:val="none"/>
          <w14:textFill>
            <w14:solidFill>
              <w14:schemeClr w14:val="tx1"/>
            </w14:solidFill>
          </w14:textFill>
        </w:rPr>
        <w:t>磋商供应商：</w:t>
      </w:r>
      <w:r>
        <w:rPr>
          <w:rFonts w:hint="eastAsia" w:asciiTheme="minorEastAsia" w:hAnsiTheme="minorEastAsia" w:eastAsiaTheme="minorEastAsia"/>
          <w:b/>
          <w:color w:val="000000" w:themeColor="text1"/>
          <w:spacing w:val="24"/>
          <w:sz w:val="30"/>
          <w:szCs w:val="30"/>
          <w:highlight w:val="none"/>
          <w:u w:val="single"/>
          <w14:textFill>
            <w14:solidFill>
              <w14:schemeClr w14:val="tx1"/>
            </w14:solidFill>
          </w14:textFill>
        </w:rPr>
        <w:t xml:space="preserve">           </w:t>
      </w:r>
      <w:r>
        <w:rPr>
          <w:rFonts w:hint="eastAsia" w:asciiTheme="minorEastAsia" w:hAnsiTheme="minorEastAsia" w:eastAsiaTheme="minorEastAsia"/>
          <w:b/>
          <w:color w:val="000000" w:themeColor="text1"/>
          <w:spacing w:val="24"/>
          <w:sz w:val="30"/>
          <w:szCs w:val="30"/>
          <w:highlight w:val="none"/>
          <w14:textFill>
            <w14:solidFill>
              <w14:schemeClr w14:val="tx1"/>
            </w14:solidFill>
          </w14:textFill>
        </w:rPr>
        <w:t>（单位电子签章）</w:t>
      </w:r>
    </w:p>
    <w:p w14:paraId="22E69CAA">
      <w:pPr>
        <w:spacing w:line="360" w:lineRule="auto"/>
        <w:ind w:firstLine="1571" w:firstLineChars="450"/>
        <w:rPr>
          <w:rFonts w:asciiTheme="minorEastAsia" w:hAnsiTheme="minorEastAsia" w:eastAsiaTheme="minorEastAsia"/>
          <w:b/>
          <w:color w:val="000000" w:themeColor="text1"/>
          <w:spacing w:val="24"/>
          <w:sz w:val="30"/>
          <w:szCs w:val="30"/>
          <w:highlight w:val="none"/>
          <w14:textFill>
            <w14:solidFill>
              <w14:schemeClr w14:val="tx1"/>
            </w14:solidFill>
          </w14:textFill>
        </w:rPr>
      </w:pPr>
      <w:r>
        <w:rPr>
          <w:rFonts w:hint="eastAsia" w:asciiTheme="minorEastAsia" w:hAnsiTheme="minorEastAsia" w:eastAsiaTheme="minorEastAsia"/>
          <w:b/>
          <w:color w:val="000000" w:themeColor="text1"/>
          <w:spacing w:val="24"/>
          <w:sz w:val="30"/>
          <w:szCs w:val="30"/>
          <w:highlight w:val="none"/>
          <w14:textFill>
            <w14:solidFill>
              <w14:schemeClr w14:val="tx1"/>
            </w14:solidFill>
          </w14:textFill>
        </w:rPr>
        <w:t>法定代表人：</w:t>
      </w:r>
      <w:r>
        <w:rPr>
          <w:rFonts w:hint="eastAsia" w:asciiTheme="minorEastAsia" w:hAnsiTheme="minorEastAsia" w:eastAsiaTheme="minorEastAsia"/>
          <w:b/>
          <w:color w:val="000000" w:themeColor="text1"/>
          <w:spacing w:val="24"/>
          <w:sz w:val="30"/>
          <w:szCs w:val="30"/>
          <w:highlight w:val="none"/>
          <w:u w:val="single"/>
          <w14:textFill>
            <w14:solidFill>
              <w14:schemeClr w14:val="tx1"/>
            </w14:solidFill>
          </w14:textFill>
        </w:rPr>
        <w:t xml:space="preserve">           </w:t>
      </w:r>
      <w:r>
        <w:rPr>
          <w:rFonts w:hint="eastAsia" w:asciiTheme="minorEastAsia" w:hAnsiTheme="minorEastAsia" w:eastAsiaTheme="minorEastAsia"/>
          <w:b/>
          <w:color w:val="000000" w:themeColor="text1"/>
          <w:spacing w:val="24"/>
          <w:sz w:val="30"/>
          <w:szCs w:val="30"/>
          <w:highlight w:val="none"/>
          <w14:textFill>
            <w14:solidFill>
              <w14:schemeClr w14:val="tx1"/>
            </w14:solidFill>
          </w14:textFill>
        </w:rPr>
        <w:t>（法人电子签章）</w:t>
      </w:r>
    </w:p>
    <w:p w14:paraId="482831BC">
      <w:pPr>
        <w:spacing w:line="360" w:lineRule="auto"/>
        <w:ind w:right="452" w:firstLine="1571" w:firstLineChars="450"/>
        <w:rPr>
          <w:rFonts w:asciiTheme="minorEastAsia" w:hAnsiTheme="minorEastAsia" w:eastAsiaTheme="minorEastAsia"/>
          <w:b/>
          <w:color w:val="000000" w:themeColor="text1"/>
          <w:spacing w:val="24"/>
          <w:sz w:val="30"/>
          <w:szCs w:val="30"/>
          <w:highlight w:val="none"/>
          <w14:textFill>
            <w14:solidFill>
              <w14:schemeClr w14:val="tx1"/>
            </w14:solidFill>
          </w14:textFill>
        </w:rPr>
      </w:pPr>
      <w:r>
        <w:rPr>
          <w:rFonts w:hint="eastAsia" w:asciiTheme="minorEastAsia" w:hAnsiTheme="minorEastAsia" w:eastAsiaTheme="minorEastAsia"/>
          <w:b/>
          <w:color w:val="000000" w:themeColor="text1"/>
          <w:spacing w:val="24"/>
          <w:sz w:val="30"/>
          <w:szCs w:val="30"/>
          <w:highlight w:val="none"/>
          <w14:textFill>
            <w14:solidFill>
              <w14:schemeClr w14:val="tx1"/>
            </w14:solidFill>
          </w14:textFill>
        </w:rPr>
        <w:t>日    期：</w:t>
      </w:r>
      <w:r>
        <w:rPr>
          <w:rFonts w:hint="eastAsia" w:asciiTheme="minorEastAsia" w:hAnsiTheme="minorEastAsia" w:eastAsiaTheme="minorEastAsia"/>
          <w:b/>
          <w:color w:val="000000" w:themeColor="text1"/>
          <w:spacing w:val="24"/>
          <w:sz w:val="30"/>
          <w:szCs w:val="30"/>
          <w:highlight w:val="none"/>
          <w:u w:val="single"/>
          <w14:textFill>
            <w14:solidFill>
              <w14:schemeClr w14:val="tx1"/>
            </w14:solidFill>
          </w14:textFill>
        </w:rPr>
        <w:t xml:space="preserve">    </w:t>
      </w:r>
      <w:r>
        <w:rPr>
          <w:rFonts w:hint="eastAsia" w:asciiTheme="minorEastAsia" w:hAnsiTheme="minorEastAsia" w:eastAsiaTheme="minorEastAsia"/>
          <w:b/>
          <w:color w:val="000000" w:themeColor="text1"/>
          <w:spacing w:val="24"/>
          <w:sz w:val="30"/>
          <w:szCs w:val="30"/>
          <w:highlight w:val="none"/>
          <w14:textFill>
            <w14:solidFill>
              <w14:schemeClr w14:val="tx1"/>
            </w14:solidFill>
          </w14:textFill>
        </w:rPr>
        <w:t>年</w:t>
      </w:r>
      <w:r>
        <w:rPr>
          <w:rFonts w:hint="eastAsia" w:asciiTheme="minorEastAsia" w:hAnsiTheme="minorEastAsia" w:eastAsiaTheme="minorEastAsia"/>
          <w:b/>
          <w:color w:val="000000" w:themeColor="text1"/>
          <w:spacing w:val="24"/>
          <w:sz w:val="30"/>
          <w:szCs w:val="30"/>
          <w:highlight w:val="none"/>
          <w:u w:val="single"/>
          <w14:textFill>
            <w14:solidFill>
              <w14:schemeClr w14:val="tx1"/>
            </w14:solidFill>
          </w14:textFill>
        </w:rPr>
        <w:t xml:space="preserve">   </w:t>
      </w:r>
      <w:r>
        <w:rPr>
          <w:rFonts w:hint="eastAsia" w:asciiTheme="minorEastAsia" w:hAnsiTheme="minorEastAsia" w:eastAsiaTheme="minorEastAsia"/>
          <w:b/>
          <w:color w:val="000000" w:themeColor="text1"/>
          <w:spacing w:val="24"/>
          <w:sz w:val="30"/>
          <w:szCs w:val="30"/>
          <w:highlight w:val="none"/>
          <w14:textFill>
            <w14:solidFill>
              <w14:schemeClr w14:val="tx1"/>
            </w14:solidFill>
          </w14:textFill>
        </w:rPr>
        <w:t>月</w:t>
      </w:r>
      <w:r>
        <w:rPr>
          <w:rFonts w:hint="eastAsia" w:asciiTheme="minorEastAsia" w:hAnsiTheme="minorEastAsia" w:eastAsiaTheme="minorEastAsia"/>
          <w:b/>
          <w:color w:val="000000" w:themeColor="text1"/>
          <w:spacing w:val="24"/>
          <w:sz w:val="30"/>
          <w:szCs w:val="30"/>
          <w:highlight w:val="none"/>
          <w:u w:val="single"/>
          <w14:textFill>
            <w14:solidFill>
              <w14:schemeClr w14:val="tx1"/>
            </w14:solidFill>
          </w14:textFill>
        </w:rPr>
        <w:t xml:space="preserve">   </w:t>
      </w:r>
      <w:r>
        <w:rPr>
          <w:rFonts w:hint="eastAsia" w:asciiTheme="minorEastAsia" w:hAnsiTheme="minorEastAsia" w:eastAsiaTheme="minorEastAsia"/>
          <w:b/>
          <w:color w:val="000000" w:themeColor="text1"/>
          <w:spacing w:val="24"/>
          <w:sz w:val="30"/>
          <w:szCs w:val="30"/>
          <w:highlight w:val="none"/>
          <w14:textFill>
            <w14:solidFill>
              <w14:schemeClr w14:val="tx1"/>
            </w14:solidFill>
          </w14:textFill>
        </w:rPr>
        <w:t>日</w:t>
      </w:r>
    </w:p>
    <w:p w14:paraId="11D4A8C8">
      <w:pPr>
        <w:spacing w:line="360" w:lineRule="auto"/>
        <w:ind w:right="452" w:firstLine="1427" w:firstLineChars="450"/>
        <w:rPr>
          <w:rFonts w:cs="宋体" w:asciiTheme="minorEastAsia" w:hAnsiTheme="minorEastAsia" w:eastAsiaTheme="minorEastAsia"/>
          <w:b/>
          <w:color w:val="000000" w:themeColor="text1"/>
          <w:spacing w:val="8"/>
          <w:sz w:val="30"/>
          <w:szCs w:val="30"/>
          <w:highlight w:val="none"/>
          <w14:textFill>
            <w14:solidFill>
              <w14:schemeClr w14:val="tx1"/>
            </w14:solidFill>
          </w14:textFill>
        </w:rPr>
      </w:pPr>
    </w:p>
    <w:p w14:paraId="7EE967B6">
      <w:pPr>
        <w:pStyle w:val="16"/>
        <w:ind w:firstLine="200"/>
        <w:rPr>
          <w:color w:val="000000" w:themeColor="text1"/>
          <w:highlight w:val="none"/>
          <w14:textFill>
            <w14:solidFill>
              <w14:schemeClr w14:val="tx1"/>
            </w14:solidFill>
          </w14:textFill>
        </w:rPr>
      </w:pPr>
    </w:p>
    <w:p w14:paraId="729CEC60">
      <w:pPr>
        <w:autoSpaceDE w:val="0"/>
        <w:autoSpaceDN w:val="0"/>
        <w:adjustRightInd w:val="0"/>
        <w:spacing w:line="420" w:lineRule="exact"/>
        <w:jc w:val="center"/>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6"/>
          <w:szCs w:val="36"/>
          <w:highlight w:val="none"/>
          <w14:textFill>
            <w14:solidFill>
              <w14:schemeClr w14:val="tx1"/>
            </w14:solidFill>
          </w14:textFill>
        </w:rPr>
        <w:t>目    录</w:t>
      </w:r>
    </w:p>
    <w:p w14:paraId="704F3B64">
      <w:pPr>
        <w:autoSpaceDE w:val="0"/>
        <w:autoSpaceDN w:val="0"/>
        <w:adjustRightInd w:val="0"/>
        <w:spacing w:line="420" w:lineRule="exact"/>
        <w:jc w:val="center"/>
        <w:rPr>
          <w:rFonts w:cs="宋体" w:asciiTheme="minorEastAsia" w:hAnsiTheme="minorEastAsia" w:eastAsiaTheme="minorEastAsia"/>
          <w:color w:val="000000" w:themeColor="text1"/>
          <w:kern w:val="0"/>
          <w:sz w:val="28"/>
          <w:szCs w:val="28"/>
          <w:highlight w:val="none"/>
          <w14:textFill>
            <w14:solidFill>
              <w14:schemeClr w14:val="tx1"/>
            </w14:solidFill>
          </w14:textFill>
        </w:rPr>
      </w:pPr>
    </w:p>
    <w:p w14:paraId="2039B183">
      <w:pPr>
        <w:pStyle w:val="16"/>
        <w:spacing w:line="480" w:lineRule="auto"/>
        <w:ind w:firstLine="240"/>
        <w:rPr>
          <w:rFonts w:cs="宋体-PUA" w:asciiTheme="minorEastAsia" w:hAnsiTheme="minorEastAsia" w:eastAsiaTheme="minorEastAsia"/>
          <w:bCs/>
          <w:color w:val="000000" w:themeColor="text1"/>
          <w:kern w:val="2"/>
          <w:sz w:val="24"/>
          <w:szCs w:val="24"/>
          <w:highlight w:val="none"/>
          <w14:textFill>
            <w14:solidFill>
              <w14:schemeClr w14:val="tx1"/>
            </w14:solidFill>
          </w14:textFill>
        </w:rPr>
      </w:pPr>
      <w:bookmarkStart w:id="225" w:name="_Toc246997099"/>
      <w:bookmarkStart w:id="226" w:name="_Toc296602602"/>
      <w:bookmarkStart w:id="227" w:name="_Toc246996356"/>
      <w:bookmarkStart w:id="228" w:name="_Toc144974857"/>
      <w:bookmarkStart w:id="229" w:name="_Toc152045788"/>
      <w:bookmarkStart w:id="230" w:name="_Toc6295"/>
      <w:bookmarkStart w:id="231" w:name="_Toc179632808"/>
      <w:bookmarkStart w:id="232" w:name="_Toc247085874"/>
      <w:bookmarkStart w:id="233" w:name="_Toc152042577"/>
      <w:bookmarkStart w:id="234" w:name="_Toc101344076"/>
      <w:bookmarkStart w:id="235" w:name="_Toc68710942"/>
      <w:r>
        <w:rPr>
          <w:rFonts w:hint="eastAsia" w:cs="宋体-PUA" w:asciiTheme="minorEastAsia" w:hAnsiTheme="minorEastAsia" w:eastAsiaTheme="minorEastAsia"/>
          <w:bCs/>
          <w:color w:val="000000" w:themeColor="text1"/>
          <w:kern w:val="2"/>
          <w:sz w:val="24"/>
          <w:szCs w:val="24"/>
          <w:highlight w:val="none"/>
          <w14:textFill>
            <w14:solidFill>
              <w14:schemeClr w14:val="tx1"/>
            </w14:solidFill>
          </w14:textFill>
        </w:rPr>
        <w:t>一、报价函及报价函附表</w:t>
      </w:r>
    </w:p>
    <w:p w14:paraId="499FF906">
      <w:pPr>
        <w:pStyle w:val="16"/>
        <w:spacing w:line="480" w:lineRule="auto"/>
        <w:ind w:firstLine="240"/>
        <w:rPr>
          <w:rFonts w:cs="宋体-PUA" w:asciiTheme="minorEastAsia" w:hAnsiTheme="minorEastAsia" w:eastAsiaTheme="minorEastAsia"/>
          <w:bCs/>
          <w:color w:val="000000" w:themeColor="text1"/>
          <w:kern w:val="2"/>
          <w:sz w:val="24"/>
          <w:szCs w:val="24"/>
          <w:highlight w:val="none"/>
          <w14:textFill>
            <w14:solidFill>
              <w14:schemeClr w14:val="tx1"/>
            </w14:solidFill>
          </w14:textFill>
        </w:rPr>
      </w:pPr>
      <w:r>
        <w:rPr>
          <w:rFonts w:hint="eastAsia" w:cs="宋体-PUA" w:asciiTheme="minorEastAsia" w:hAnsiTheme="minorEastAsia" w:eastAsiaTheme="minorEastAsia"/>
          <w:bCs/>
          <w:color w:val="000000" w:themeColor="text1"/>
          <w:kern w:val="2"/>
          <w:sz w:val="24"/>
          <w:szCs w:val="24"/>
          <w:highlight w:val="none"/>
          <w14:textFill>
            <w14:solidFill>
              <w14:schemeClr w14:val="tx1"/>
            </w14:solidFill>
          </w14:textFill>
        </w:rPr>
        <w:t>二、法定代表人身份证明及授权委托书</w:t>
      </w:r>
    </w:p>
    <w:p w14:paraId="2F124F80">
      <w:pPr>
        <w:pStyle w:val="16"/>
        <w:spacing w:line="480" w:lineRule="auto"/>
        <w:ind w:firstLine="240"/>
        <w:rPr>
          <w:rFonts w:cs="宋体-PUA" w:asciiTheme="minorEastAsia" w:hAnsiTheme="minorEastAsia" w:eastAsiaTheme="minorEastAsia"/>
          <w:bCs/>
          <w:color w:val="000000" w:themeColor="text1"/>
          <w:kern w:val="2"/>
          <w:sz w:val="24"/>
          <w:szCs w:val="24"/>
          <w:highlight w:val="none"/>
          <w14:textFill>
            <w14:solidFill>
              <w14:schemeClr w14:val="tx1"/>
            </w14:solidFill>
          </w14:textFill>
        </w:rPr>
      </w:pPr>
      <w:r>
        <w:rPr>
          <w:rFonts w:hint="eastAsia" w:cs="宋体-PUA" w:asciiTheme="minorEastAsia" w:hAnsiTheme="minorEastAsia" w:eastAsiaTheme="minorEastAsia"/>
          <w:bCs/>
          <w:color w:val="000000" w:themeColor="text1"/>
          <w:kern w:val="2"/>
          <w:sz w:val="24"/>
          <w:szCs w:val="24"/>
          <w:highlight w:val="none"/>
          <w14:textFill>
            <w14:solidFill>
              <w14:schemeClr w14:val="tx1"/>
            </w14:solidFill>
          </w14:textFill>
        </w:rPr>
        <w:t>三、磋商承诺函</w:t>
      </w:r>
    </w:p>
    <w:p w14:paraId="33E10B8C">
      <w:pPr>
        <w:pStyle w:val="16"/>
        <w:spacing w:line="480" w:lineRule="auto"/>
        <w:ind w:firstLine="240"/>
        <w:rPr>
          <w:rFonts w:cs="宋体-PUA" w:asciiTheme="minorEastAsia" w:hAnsiTheme="minorEastAsia" w:eastAsiaTheme="minorEastAsia"/>
          <w:bCs/>
          <w:color w:val="000000" w:themeColor="text1"/>
          <w:kern w:val="2"/>
          <w:sz w:val="24"/>
          <w:szCs w:val="24"/>
          <w:highlight w:val="none"/>
          <w14:textFill>
            <w14:solidFill>
              <w14:schemeClr w14:val="tx1"/>
            </w14:solidFill>
          </w14:textFill>
        </w:rPr>
      </w:pPr>
      <w:r>
        <w:rPr>
          <w:rFonts w:hint="eastAsia" w:cs="宋体-PUA" w:asciiTheme="minorEastAsia" w:hAnsiTheme="minorEastAsia" w:eastAsiaTheme="minorEastAsia"/>
          <w:bCs/>
          <w:color w:val="000000" w:themeColor="text1"/>
          <w:kern w:val="2"/>
          <w:sz w:val="24"/>
          <w:szCs w:val="24"/>
          <w:highlight w:val="none"/>
          <w14:textFill>
            <w14:solidFill>
              <w14:schemeClr w14:val="tx1"/>
            </w14:solidFill>
          </w14:textFill>
        </w:rPr>
        <w:t>四、资格审查</w:t>
      </w:r>
    </w:p>
    <w:p w14:paraId="10110B4F">
      <w:pPr>
        <w:pStyle w:val="16"/>
        <w:spacing w:line="480" w:lineRule="auto"/>
        <w:ind w:firstLine="240"/>
        <w:rPr>
          <w:rFonts w:hint="eastAsia" w:cs="宋体-PUA" w:asciiTheme="minorEastAsia" w:hAnsiTheme="minorEastAsia" w:eastAsiaTheme="minorEastAsia"/>
          <w:bCs/>
          <w:color w:val="000000" w:themeColor="text1"/>
          <w:kern w:val="2"/>
          <w:sz w:val="24"/>
          <w:szCs w:val="24"/>
          <w:highlight w:val="none"/>
          <w14:textFill>
            <w14:solidFill>
              <w14:schemeClr w14:val="tx1"/>
            </w14:solidFill>
          </w14:textFill>
        </w:rPr>
      </w:pPr>
      <w:r>
        <w:rPr>
          <w:rFonts w:hint="eastAsia" w:cs="宋体-PUA" w:asciiTheme="minorEastAsia" w:hAnsiTheme="minorEastAsia" w:eastAsiaTheme="minorEastAsia"/>
          <w:bCs/>
          <w:color w:val="000000" w:themeColor="text1"/>
          <w:kern w:val="2"/>
          <w:sz w:val="24"/>
          <w:szCs w:val="24"/>
          <w:highlight w:val="none"/>
          <w14:textFill>
            <w14:solidFill>
              <w14:schemeClr w14:val="tx1"/>
            </w14:solidFill>
          </w14:textFill>
        </w:rPr>
        <w:t>五、技术及商务标</w:t>
      </w:r>
    </w:p>
    <w:p w14:paraId="6B9AD595">
      <w:pPr>
        <w:pStyle w:val="16"/>
        <w:spacing w:line="480" w:lineRule="auto"/>
        <w:ind w:firstLine="240"/>
        <w:rPr>
          <w:color w:val="000000" w:themeColor="text1"/>
          <w:sz w:val="24"/>
          <w:szCs w:val="24"/>
          <w:highlight w:val="none"/>
          <w14:textFill>
            <w14:solidFill>
              <w14:schemeClr w14:val="tx1"/>
            </w14:solidFill>
          </w14:textFill>
        </w:rPr>
      </w:pPr>
      <w:r>
        <w:rPr>
          <w:rFonts w:hint="eastAsia" w:cs="宋体-PUA" w:asciiTheme="minorEastAsia" w:hAnsiTheme="minorEastAsia" w:eastAsiaTheme="minorEastAsia"/>
          <w:bCs/>
          <w:color w:val="000000" w:themeColor="text1"/>
          <w:kern w:val="2"/>
          <w:sz w:val="24"/>
          <w:szCs w:val="24"/>
          <w:highlight w:val="none"/>
          <w:lang w:val="en-US" w:eastAsia="zh-CN"/>
          <w14:textFill>
            <w14:solidFill>
              <w14:schemeClr w14:val="tx1"/>
            </w14:solidFill>
          </w14:textFill>
        </w:rPr>
        <w:t>六</w:t>
      </w:r>
      <w:r>
        <w:rPr>
          <w:rFonts w:hint="eastAsia" w:cs="宋体-PUA" w:asciiTheme="minorEastAsia" w:hAnsiTheme="minorEastAsia" w:eastAsiaTheme="minorEastAsia"/>
          <w:bCs/>
          <w:color w:val="000000" w:themeColor="text1"/>
          <w:kern w:val="2"/>
          <w:sz w:val="24"/>
          <w:szCs w:val="24"/>
          <w:highlight w:val="none"/>
          <w14:textFill>
            <w14:solidFill>
              <w14:schemeClr w14:val="tx1"/>
            </w14:solidFill>
          </w14:textFill>
        </w:rPr>
        <w:t>、其他材料</w:t>
      </w:r>
    </w:p>
    <w:p w14:paraId="49B25BBB">
      <w:pPr>
        <w:pStyle w:val="8"/>
        <w:ind w:right="164" w:firstLine="560"/>
        <w:rPr>
          <w:color w:val="000000" w:themeColor="text1"/>
          <w:highlight w:val="none"/>
          <w14:textFill>
            <w14:solidFill>
              <w14:schemeClr w14:val="tx1"/>
            </w14:solidFill>
          </w14:textFill>
        </w:rPr>
      </w:pPr>
    </w:p>
    <w:p w14:paraId="7F881369">
      <w:pPr>
        <w:rPr>
          <w:color w:val="000000" w:themeColor="text1"/>
          <w:highlight w:val="none"/>
          <w14:textFill>
            <w14:solidFill>
              <w14:schemeClr w14:val="tx1"/>
            </w14:solidFill>
          </w14:textFill>
        </w:rPr>
      </w:pPr>
    </w:p>
    <w:p w14:paraId="736DEC91">
      <w:pPr>
        <w:pStyle w:val="16"/>
        <w:ind w:firstLine="200"/>
        <w:rPr>
          <w:color w:val="000000" w:themeColor="text1"/>
          <w:highlight w:val="none"/>
          <w14:textFill>
            <w14:solidFill>
              <w14:schemeClr w14:val="tx1"/>
            </w14:solidFill>
          </w14:textFill>
        </w:rPr>
      </w:pPr>
    </w:p>
    <w:p w14:paraId="5C0D68BE">
      <w:pPr>
        <w:pStyle w:val="8"/>
        <w:ind w:right="164" w:firstLine="560"/>
        <w:rPr>
          <w:color w:val="000000" w:themeColor="text1"/>
          <w:highlight w:val="none"/>
          <w14:textFill>
            <w14:solidFill>
              <w14:schemeClr w14:val="tx1"/>
            </w14:solidFill>
          </w14:textFill>
        </w:rPr>
      </w:pPr>
    </w:p>
    <w:p w14:paraId="3D734945">
      <w:pPr>
        <w:rPr>
          <w:color w:val="000000" w:themeColor="text1"/>
          <w:highlight w:val="none"/>
          <w14:textFill>
            <w14:solidFill>
              <w14:schemeClr w14:val="tx1"/>
            </w14:solidFill>
          </w14:textFill>
        </w:rPr>
      </w:pPr>
    </w:p>
    <w:p w14:paraId="2089A9EA">
      <w:pPr>
        <w:pStyle w:val="16"/>
        <w:ind w:firstLine="200"/>
        <w:rPr>
          <w:color w:val="000000" w:themeColor="text1"/>
          <w:highlight w:val="none"/>
          <w14:textFill>
            <w14:solidFill>
              <w14:schemeClr w14:val="tx1"/>
            </w14:solidFill>
          </w14:textFill>
        </w:rPr>
      </w:pPr>
    </w:p>
    <w:p w14:paraId="4E1E6B31">
      <w:pPr>
        <w:pStyle w:val="8"/>
        <w:ind w:right="164" w:firstLine="560"/>
        <w:rPr>
          <w:color w:val="000000" w:themeColor="text1"/>
          <w:highlight w:val="none"/>
          <w14:textFill>
            <w14:solidFill>
              <w14:schemeClr w14:val="tx1"/>
            </w14:solidFill>
          </w14:textFill>
        </w:rPr>
      </w:pPr>
    </w:p>
    <w:p w14:paraId="0490DB19">
      <w:pPr>
        <w:rPr>
          <w:color w:val="000000" w:themeColor="text1"/>
          <w:highlight w:val="none"/>
          <w14:textFill>
            <w14:solidFill>
              <w14:schemeClr w14:val="tx1"/>
            </w14:solidFill>
          </w14:textFill>
        </w:rPr>
      </w:pPr>
    </w:p>
    <w:p w14:paraId="4A1DD297">
      <w:pPr>
        <w:pStyle w:val="16"/>
        <w:ind w:firstLine="200"/>
        <w:rPr>
          <w:color w:val="000000" w:themeColor="text1"/>
          <w:highlight w:val="none"/>
          <w14:textFill>
            <w14:solidFill>
              <w14:schemeClr w14:val="tx1"/>
            </w14:solidFill>
          </w14:textFill>
        </w:rPr>
      </w:pPr>
    </w:p>
    <w:p w14:paraId="617C399F">
      <w:pPr>
        <w:pStyle w:val="8"/>
        <w:ind w:right="164" w:firstLine="560"/>
        <w:rPr>
          <w:color w:val="000000" w:themeColor="text1"/>
          <w:highlight w:val="none"/>
          <w14:textFill>
            <w14:solidFill>
              <w14:schemeClr w14:val="tx1"/>
            </w14:solidFill>
          </w14:textFill>
        </w:rPr>
      </w:pPr>
    </w:p>
    <w:p w14:paraId="5EDEDD71">
      <w:pPr>
        <w:rPr>
          <w:color w:val="000000" w:themeColor="text1"/>
          <w:highlight w:val="none"/>
          <w14:textFill>
            <w14:solidFill>
              <w14:schemeClr w14:val="tx1"/>
            </w14:solidFill>
          </w14:textFill>
        </w:rPr>
      </w:pPr>
    </w:p>
    <w:p w14:paraId="32B5B2D8">
      <w:pPr>
        <w:pStyle w:val="16"/>
        <w:ind w:firstLine="200"/>
        <w:rPr>
          <w:color w:val="000000" w:themeColor="text1"/>
          <w:highlight w:val="none"/>
          <w14:textFill>
            <w14:solidFill>
              <w14:schemeClr w14:val="tx1"/>
            </w14:solidFill>
          </w14:textFill>
        </w:rPr>
      </w:pPr>
    </w:p>
    <w:p w14:paraId="27DFF27F">
      <w:pPr>
        <w:pStyle w:val="8"/>
        <w:ind w:right="164" w:firstLine="560"/>
        <w:rPr>
          <w:color w:val="000000" w:themeColor="text1"/>
          <w:highlight w:val="none"/>
          <w14:textFill>
            <w14:solidFill>
              <w14:schemeClr w14:val="tx1"/>
            </w14:solidFill>
          </w14:textFill>
        </w:rPr>
      </w:pPr>
    </w:p>
    <w:p w14:paraId="5D5134E5">
      <w:pPr>
        <w:rPr>
          <w:color w:val="000000" w:themeColor="text1"/>
          <w:highlight w:val="none"/>
          <w14:textFill>
            <w14:solidFill>
              <w14:schemeClr w14:val="tx1"/>
            </w14:solidFill>
          </w14:textFill>
        </w:rPr>
      </w:pPr>
    </w:p>
    <w:p w14:paraId="7D045FC4">
      <w:pPr>
        <w:pStyle w:val="16"/>
        <w:ind w:firstLine="200"/>
        <w:rPr>
          <w:color w:val="000000" w:themeColor="text1"/>
          <w:highlight w:val="none"/>
          <w14:textFill>
            <w14:solidFill>
              <w14:schemeClr w14:val="tx1"/>
            </w14:solidFill>
          </w14:textFill>
        </w:rPr>
      </w:pPr>
    </w:p>
    <w:p w14:paraId="3F47DC0A">
      <w:pPr>
        <w:pStyle w:val="8"/>
        <w:ind w:right="164" w:firstLine="560"/>
        <w:rPr>
          <w:color w:val="000000" w:themeColor="text1"/>
          <w:highlight w:val="none"/>
          <w14:textFill>
            <w14:solidFill>
              <w14:schemeClr w14:val="tx1"/>
            </w14:solidFill>
          </w14:textFill>
        </w:rPr>
      </w:pPr>
    </w:p>
    <w:p w14:paraId="7A9DCDDA">
      <w:pPr>
        <w:rPr>
          <w:color w:val="000000" w:themeColor="text1"/>
          <w:highlight w:val="none"/>
          <w14:textFill>
            <w14:solidFill>
              <w14:schemeClr w14:val="tx1"/>
            </w14:solidFill>
          </w14:textFill>
        </w:rPr>
      </w:pPr>
    </w:p>
    <w:p w14:paraId="2CD2F56B">
      <w:pPr>
        <w:pStyle w:val="16"/>
        <w:ind w:firstLine="200"/>
        <w:rPr>
          <w:color w:val="000000" w:themeColor="text1"/>
          <w:highlight w:val="none"/>
          <w14:textFill>
            <w14:solidFill>
              <w14:schemeClr w14:val="tx1"/>
            </w14:solidFill>
          </w14:textFill>
        </w:rPr>
      </w:pPr>
    </w:p>
    <w:p w14:paraId="318CF937">
      <w:pPr>
        <w:pStyle w:val="8"/>
        <w:ind w:right="164" w:firstLine="0" w:firstLineChars="0"/>
        <w:rPr>
          <w:color w:val="000000" w:themeColor="text1"/>
          <w:highlight w:val="none"/>
          <w14:textFill>
            <w14:solidFill>
              <w14:schemeClr w14:val="tx1"/>
            </w14:solidFill>
          </w14:textFill>
        </w:rPr>
      </w:pPr>
    </w:p>
    <w:p w14:paraId="758C8A7C">
      <w:pPr>
        <w:pStyle w:val="3"/>
        <w:spacing w:line="600" w:lineRule="exact"/>
        <w:jc w:val="center"/>
        <w:rPr>
          <w:rFonts w:cs="宋体-PUA" w:asciiTheme="minorEastAsia" w:hAnsiTheme="minorEastAsia" w:eastAsiaTheme="minorEastAsia"/>
          <w:color w:val="000000" w:themeColor="text1"/>
          <w:sz w:val="24"/>
          <w:szCs w:val="24"/>
          <w:highlight w:val="none"/>
          <w14:textFill>
            <w14:solidFill>
              <w14:schemeClr w14:val="tx1"/>
            </w14:solidFill>
          </w14:textFill>
        </w:rPr>
      </w:pPr>
      <w:bookmarkStart w:id="236" w:name="_Toc173510811"/>
      <w:bookmarkStart w:id="237" w:name="_Toc171608868"/>
      <w:bookmarkStart w:id="238" w:name="_Toc23536"/>
      <w:bookmarkStart w:id="239" w:name="_Toc171612798"/>
      <w:r>
        <w:rPr>
          <w:rFonts w:hint="eastAsia" w:cs="宋体-PUA" w:asciiTheme="minorEastAsia" w:hAnsiTheme="minorEastAsia" w:eastAsiaTheme="minorEastAsia"/>
          <w:color w:val="000000" w:themeColor="text1"/>
          <w:szCs w:val="24"/>
          <w:highlight w:val="none"/>
          <w14:textFill>
            <w14:solidFill>
              <w14:schemeClr w14:val="tx1"/>
            </w14:solidFill>
          </w14:textFill>
        </w:rPr>
        <w:t>一、报价函</w:t>
      </w:r>
      <w:bookmarkEnd w:id="225"/>
      <w:bookmarkEnd w:id="226"/>
      <w:bookmarkEnd w:id="227"/>
      <w:bookmarkEnd w:id="228"/>
      <w:bookmarkEnd w:id="229"/>
      <w:bookmarkEnd w:id="230"/>
      <w:bookmarkEnd w:id="231"/>
      <w:bookmarkEnd w:id="232"/>
      <w:bookmarkEnd w:id="233"/>
      <w:r>
        <w:rPr>
          <w:rFonts w:hint="eastAsia" w:cs="宋体-PUA" w:asciiTheme="minorEastAsia" w:hAnsiTheme="minorEastAsia" w:eastAsiaTheme="minorEastAsia"/>
          <w:color w:val="000000" w:themeColor="text1"/>
          <w:szCs w:val="24"/>
          <w:highlight w:val="none"/>
          <w14:textFill>
            <w14:solidFill>
              <w14:schemeClr w14:val="tx1"/>
            </w14:solidFill>
          </w14:textFill>
        </w:rPr>
        <w:t>及报价函附表</w:t>
      </w:r>
      <w:bookmarkEnd w:id="234"/>
      <w:bookmarkEnd w:id="235"/>
      <w:bookmarkEnd w:id="236"/>
      <w:bookmarkEnd w:id="237"/>
      <w:bookmarkEnd w:id="238"/>
      <w:bookmarkEnd w:id="239"/>
    </w:p>
    <w:p w14:paraId="7A5B7F8C">
      <w:pPr>
        <w:jc w:val="center"/>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（一）报价函</w:t>
      </w:r>
    </w:p>
    <w:p w14:paraId="31A48E48">
      <w:pPr>
        <w:spacing w:line="360" w:lineRule="auto"/>
        <w:rPr>
          <w:rFonts w:asciiTheme="minorEastAsia" w:hAnsiTheme="minorEastAsia" w:eastAsiaTheme="minorEastAsia"/>
          <w:color w:val="000000" w:themeColor="text1"/>
          <w:sz w:val="24"/>
          <w:highlight w:val="none"/>
          <w14:textFill>
            <w14:solidFill>
              <w14:schemeClr w14:val="tx1"/>
            </w14:solidFill>
          </w14:textFill>
        </w:rPr>
      </w:pPr>
      <w:bookmarkStart w:id="240" w:name="_Toc246997101"/>
      <w:bookmarkStart w:id="241" w:name="_Toc179632810"/>
      <w:bookmarkStart w:id="242" w:name="_Toc152045790"/>
      <w:bookmarkStart w:id="243" w:name="_Toc246996358"/>
      <w:bookmarkStart w:id="244" w:name="_Toc296602604"/>
      <w:bookmarkStart w:id="245" w:name="_Toc247085876"/>
      <w:bookmarkStart w:id="246" w:name="_Toc144974859"/>
      <w:bookmarkStart w:id="247" w:name="_Toc152042579"/>
      <w:r>
        <w:rPr>
          <w:rFonts w:hint="eastAsia" w:asciiTheme="minorEastAsia" w:hAnsiTheme="minorEastAsia" w:eastAsiaTheme="minorEastAsia"/>
          <w:color w:val="000000" w:themeColor="text1"/>
          <w:sz w:val="24"/>
          <w:highlight w:val="none"/>
          <w14:textFill>
            <w14:solidFill>
              <w14:schemeClr w14:val="tx1"/>
            </w14:solidFill>
          </w14:textFill>
        </w:rPr>
        <w:t xml:space="preserve">致：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 xml:space="preserve"> （采购人名称）</w:t>
      </w:r>
    </w:p>
    <w:p w14:paraId="2E7F4E52">
      <w:pPr>
        <w:spacing w:line="360" w:lineRule="auto"/>
        <w:ind w:firstLine="360" w:firstLineChars="150"/>
        <w:rPr>
          <w:rFonts w:hint="eastAsia" w:ascii="宋体" w:hAnsi="宋体" w:cs="宋体"/>
          <w:kern w:val="0"/>
          <w:sz w:val="24"/>
        </w:rPr>
      </w:pPr>
      <w:r>
        <w:rPr>
          <w:rFonts w:hint="eastAsia" w:asciiTheme="minorEastAsia" w:hAnsiTheme="minorEastAsia" w:eastAsiaTheme="minorEastAsia"/>
          <w:color w:val="000000" w:themeColor="text1"/>
          <w:sz w:val="24"/>
          <w:highlight w:val="none"/>
          <w14:textFill>
            <w14:solidFill>
              <w14:schemeClr w14:val="tx1"/>
            </w14:solidFill>
          </w14:textFill>
        </w:rPr>
        <w:t>1．我方已仔细研究了</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（项目名称）</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（项目编号）竞争性磋商文件的全部内容，我方对该项目首次报价为</w:t>
      </w:r>
      <w:r>
        <w:rPr>
          <w:rFonts w:hint="eastAsia" w:ascii="宋体" w:hAnsi="宋体" w:cs="宋体"/>
          <w:kern w:val="0"/>
          <w:sz w:val="24"/>
        </w:rPr>
        <w:t>人民币（大写）</w:t>
      </w:r>
    </w:p>
    <w:p w14:paraId="58266AB5">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s="宋体"/>
          <w:kern w:val="0"/>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kern w:val="0"/>
          <w:sz w:val="24"/>
        </w:rPr>
        <w:t>（¥</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元</w:t>
      </w:r>
      <w:r>
        <w:rPr>
          <w:rFonts w:hint="eastAsia" w:ascii="宋体" w:hAnsi="宋体" w:cs="宋体"/>
          <w:sz w:val="24"/>
          <w:u w:val="single"/>
          <w:lang w:val="en-US" w:eastAsia="zh-CN"/>
        </w:rPr>
        <w:t xml:space="preserve">  </w:t>
      </w:r>
      <w:r>
        <w:rPr>
          <w:rFonts w:hint="eastAsia" w:ascii="宋体" w:hAnsi="宋体" w:cs="宋体"/>
          <w:kern w:val="0"/>
          <w:sz w:val="24"/>
        </w:rPr>
        <w:t>）</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服务期限</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服务标准：</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依据采购人制定的安全抽样检验计划，承担采购人委托区域、服务范围内的抽样、检验，按时、如实出具报送检测报告及相关伴随服务</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068D5DE7">
      <w:pPr>
        <w:spacing w:line="360" w:lineRule="auto"/>
        <w:ind w:firstLine="240" w:firstLineChars="1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2．我方承诺在磋商响应文件有效期(</w:t>
      </w:r>
      <w:r>
        <w:rPr>
          <w:rFonts w:hint="eastAsia" w:cs="宋体" w:asciiTheme="minorEastAsia" w:hAnsiTheme="minorEastAsia" w:eastAsiaTheme="minorEastAsia"/>
          <w:color w:val="000000" w:themeColor="text1"/>
          <w:sz w:val="24"/>
          <w:highlight w:val="none"/>
          <w14:textFill>
            <w14:solidFill>
              <w14:schemeClr w14:val="tx1"/>
            </w14:solidFill>
          </w14:textFill>
        </w:rPr>
        <w:t>自磋商截止之日起</w:t>
      </w:r>
      <w:r>
        <w:rPr>
          <w:rFonts w:cs="宋体" w:asciiTheme="minorEastAsia" w:hAnsiTheme="minorEastAsia" w:eastAsiaTheme="minorEastAsia"/>
          <w:color w:val="000000" w:themeColor="text1"/>
          <w:sz w:val="24"/>
          <w:highlight w:val="none"/>
          <w14:textFill>
            <w14:solidFill>
              <w14:schemeClr w14:val="tx1"/>
            </w14:solidFill>
          </w14:textFill>
        </w:rPr>
        <w:t>60</w:t>
      </w:r>
      <w:r>
        <w:rPr>
          <w:rFonts w:hint="eastAsia" w:cs="宋体" w:asciiTheme="minorEastAsia" w:hAnsiTheme="minorEastAsia" w:eastAsiaTheme="minorEastAsia"/>
          <w:color w:val="000000" w:themeColor="text1"/>
          <w:sz w:val="24"/>
          <w:highlight w:val="none"/>
          <w14:textFill>
            <w14:solidFill>
              <w14:schemeClr w14:val="tx1"/>
            </w14:solidFill>
          </w14:textFill>
        </w:rPr>
        <w:t>日历天</w:t>
      </w:r>
      <w:r>
        <w:rPr>
          <w:rFonts w:hint="eastAsia" w:asciiTheme="minorEastAsia" w:hAnsiTheme="minorEastAsia" w:eastAsiaTheme="minorEastAsia"/>
          <w:color w:val="000000" w:themeColor="text1"/>
          <w:sz w:val="24"/>
          <w:highlight w:val="none"/>
          <w14:textFill>
            <w14:solidFill>
              <w14:schemeClr w14:val="tx1"/>
            </w14:solidFill>
          </w14:textFill>
        </w:rPr>
        <w:t>)内不修改、撤销磋商响应文件。</w:t>
      </w:r>
    </w:p>
    <w:p w14:paraId="20A285EC">
      <w:pPr>
        <w:spacing w:line="360" w:lineRule="auto"/>
        <w:ind w:firstLine="240" w:firstLineChars="1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3．我方完全理解贵方不一定接受报价最低的供应商为成交供应商的行为。</w:t>
      </w:r>
    </w:p>
    <w:p w14:paraId="66FBD939">
      <w:pPr>
        <w:spacing w:line="360" w:lineRule="auto"/>
        <w:ind w:firstLine="240" w:firstLineChars="1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4.我们同意本磋商文件中有关有效期的规定。如果成交，有效期延长至合同终止日止。</w:t>
      </w:r>
    </w:p>
    <w:p w14:paraId="6CE7E1ED">
      <w:pPr>
        <w:spacing w:line="360" w:lineRule="auto"/>
        <w:ind w:firstLine="240" w:firstLineChars="1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 我们愿按《中华人民共和国合同法》履行自己的全部责任。</w:t>
      </w:r>
    </w:p>
    <w:p w14:paraId="0CA1C968">
      <w:pPr>
        <w:spacing w:line="360" w:lineRule="auto"/>
        <w:ind w:firstLine="240" w:firstLineChars="1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 如我方成交：</w:t>
      </w:r>
    </w:p>
    <w:p w14:paraId="274E1827">
      <w:pPr>
        <w:spacing w:line="360" w:lineRule="auto"/>
        <w:ind w:firstLine="240" w:firstLineChars="1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（1）我方承诺在收到成交通知书后，在成交通知书规定的期限内与你方签订合同。</w:t>
      </w:r>
    </w:p>
    <w:p w14:paraId="09E0A05A">
      <w:pPr>
        <w:spacing w:line="360" w:lineRule="auto"/>
        <w:ind w:firstLine="240" w:firstLineChars="1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（2）除非另外达成协议并生效，成交通知书和本竞争性磋商文件、磋商响应文件将成为约束双方的合同文件的组成部分。</w:t>
      </w:r>
    </w:p>
    <w:p w14:paraId="0527ACBD">
      <w:pPr>
        <w:spacing w:line="360" w:lineRule="auto"/>
        <w:ind w:firstLine="240" w:firstLineChars="1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 投标总报价包含履行本项目合同范围内的检测费、人工费、测试费及有关部门规定必须缴纳的强制性费用、管理费、税金、各种风险等本磋商文件虽未提及但在完成本项目过程中必须支付的与本项目相关的其他一切费用。</w:t>
      </w:r>
    </w:p>
    <w:p w14:paraId="66C4ADE0">
      <w:pPr>
        <w:spacing w:line="360" w:lineRule="auto"/>
        <w:ind w:firstLine="240" w:firstLineChars="1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8. 我方在此声明，所递交的磋商响应文件及有关资料内容完整、真实和准确。</w:t>
      </w:r>
    </w:p>
    <w:p w14:paraId="026EE1F2">
      <w:pPr>
        <w:spacing w:line="360" w:lineRule="auto"/>
        <w:ind w:firstLine="2612" w:firstLineChars="907"/>
        <w:rPr>
          <w:rFonts w:hint="eastAsia" w:asciiTheme="minorEastAsia" w:hAnsiTheme="minorEastAsia" w:eastAsiaTheme="minorEastAsia"/>
          <w:color w:val="000000" w:themeColor="text1"/>
          <w:spacing w:val="24"/>
          <w:sz w:val="24"/>
          <w:highlight w:val="none"/>
          <w14:textFill>
            <w14:solidFill>
              <w14:schemeClr w14:val="tx1"/>
            </w14:solidFill>
          </w14:textFill>
        </w:rPr>
      </w:pPr>
    </w:p>
    <w:p w14:paraId="5D042181">
      <w:pPr>
        <w:spacing w:line="360" w:lineRule="auto"/>
        <w:ind w:firstLine="2612" w:firstLineChars="907"/>
        <w:rPr>
          <w:rFonts w:asciiTheme="minorEastAsia" w:hAnsiTheme="minorEastAsia" w:eastAsiaTheme="minorEastAsia"/>
          <w:color w:val="000000" w:themeColor="text1"/>
          <w:spacing w:val="24"/>
          <w:sz w:val="24"/>
          <w:highlight w:val="none"/>
          <w14:textFill>
            <w14:solidFill>
              <w14:schemeClr w14:val="tx1"/>
            </w14:solidFill>
          </w14:textFill>
        </w:rPr>
      </w:pPr>
      <w:r>
        <w:rPr>
          <w:rFonts w:hint="eastAsia" w:asciiTheme="minorEastAsia" w:hAnsiTheme="minorEastAsia" w:eastAsiaTheme="minorEastAsia"/>
          <w:color w:val="000000" w:themeColor="text1"/>
          <w:spacing w:val="24"/>
          <w:sz w:val="24"/>
          <w:highlight w:val="none"/>
          <w14:textFill>
            <w14:solidFill>
              <w14:schemeClr w14:val="tx1"/>
            </w14:solidFill>
          </w14:textFill>
        </w:rPr>
        <w:t>磋商供应商：</w:t>
      </w:r>
      <w:r>
        <w:rPr>
          <w:rFonts w:hint="eastAsia" w:asciiTheme="minorEastAsia" w:hAnsiTheme="minorEastAsia" w:eastAsiaTheme="minorEastAsia"/>
          <w:color w:val="000000" w:themeColor="text1"/>
          <w:spacing w:val="24"/>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lang w:val="zh-CN" w:bidi="zh-CN"/>
          <w14:textFill>
            <w14:solidFill>
              <w14:schemeClr w14:val="tx1"/>
            </w14:solidFill>
          </w14:textFill>
        </w:rPr>
        <w:t>单位电子签章</w:t>
      </w:r>
      <w:r>
        <w:rPr>
          <w:rFonts w:hint="eastAsia" w:asciiTheme="minorEastAsia" w:hAnsiTheme="minorEastAsia" w:eastAsiaTheme="minorEastAsia"/>
          <w:color w:val="000000" w:themeColor="text1"/>
          <w:spacing w:val="24"/>
          <w:sz w:val="24"/>
          <w:highlight w:val="none"/>
          <w14:textFill>
            <w14:solidFill>
              <w14:schemeClr w14:val="tx1"/>
            </w14:solidFill>
          </w14:textFill>
        </w:rPr>
        <w:t>）</w:t>
      </w:r>
    </w:p>
    <w:p w14:paraId="4AE41ADA">
      <w:pPr>
        <w:spacing w:line="360" w:lineRule="auto"/>
        <w:ind w:firstLine="2612" w:firstLineChars="907"/>
        <w:rPr>
          <w:rFonts w:asciiTheme="minorEastAsia" w:hAnsiTheme="minorEastAsia" w:eastAsiaTheme="minorEastAsia"/>
          <w:color w:val="000000" w:themeColor="text1"/>
          <w:spacing w:val="24"/>
          <w:sz w:val="24"/>
          <w:highlight w:val="none"/>
          <w14:textFill>
            <w14:solidFill>
              <w14:schemeClr w14:val="tx1"/>
            </w14:solidFill>
          </w14:textFill>
        </w:rPr>
      </w:pPr>
      <w:r>
        <w:rPr>
          <w:rFonts w:hint="eastAsia" w:asciiTheme="minorEastAsia" w:hAnsiTheme="minorEastAsia" w:eastAsiaTheme="minorEastAsia"/>
          <w:color w:val="000000" w:themeColor="text1"/>
          <w:spacing w:val="24"/>
          <w:sz w:val="24"/>
          <w:highlight w:val="none"/>
          <w14:textFill>
            <w14:solidFill>
              <w14:schemeClr w14:val="tx1"/>
            </w14:solidFill>
          </w14:textFill>
        </w:rPr>
        <w:t xml:space="preserve">法定代表人： </w:t>
      </w:r>
      <w:r>
        <w:rPr>
          <w:rFonts w:hint="eastAsia" w:asciiTheme="minorEastAsia" w:hAnsiTheme="minorEastAsia" w:eastAsiaTheme="minorEastAsia"/>
          <w:color w:val="000000" w:themeColor="text1"/>
          <w:spacing w:val="24"/>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highlight w:val="none"/>
          <w14:textFill>
            <w14:solidFill>
              <w14:schemeClr w14:val="tx1"/>
            </w14:solidFill>
          </w14:textFill>
        </w:rPr>
        <w:t>（</w:t>
      </w:r>
      <w:r>
        <w:rPr>
          <w:rFonts w:hint="eastAsia" w:asciiTheme="minorEastAsia" w:hAnsiTheme="minorEastAsia" w:eastAsiaTheme="minorEastAsia"/>
          <w:color w:val="000000" w:themeColor="text1"/>
          <w:spacing w:val="24"/>
          <w:sz w:val="24"/>
          <w:highlight w:val="none"/>
          <w:lang w:val="zh-CN"/>
          <w14:textFill>
            <w14:solidFill>
              <w14:schemeClr w14:val="tx1"/>
            </w14:solidFill>
          </w14:textFill>
        </w:rPr>
        <w:t>法人电子签章</w:t>
      </w:r>
      <w:r>
        <w:rPr>
          <w:rFonts w:hint="eastAsia" w:asciiTheme="minorEastAsia" w:hAnsiTheme="minorEastAsia" w:eastAsiaTheme="minorEastAsia"/>
          <w:color w:val="000000" w:themeColor="text1"/>
          <w:spacing w:val="24"/>
          <w:sz w:val="24"/>
          <w:highlight w:val="none"/>
          <w14:textFill>
            <w14:solidFill>
              <w14:schemeClr w14:val="tx1"/>
            </w14:solidFill>
          </w14:textFill>
        </w:rPr>
        <w:t>）</w:t>
      </w:r>
    </w:p>
    <w:p w14:paraId="4C67415D">
      <w:pPr>
        <w:spacing w:line="360" w:lineRule="auto"/>
        <w:ind w:firstLine="2612" w:firstLineChars="907"/>
        <w:rPr>
          <w:rFonts w:asciiTheme="minorEastAsia" w:hAnsiTheme="minorEastAsia" w:eastAsiaTheme="minorEastAsia"/>
          <w:color w:val="000000" w:themeColor="text1"/>
          <w:spacing w:val="24"/>
          <w:sz w:val="24"/>
          <w:highlight w:val="none"/>
          <w14:textFill>
            <w14:solidFill>
              <w14:schemeClr w14:val="tx1"/>
            </w14:solidFill>
          </w14:textFill>
        </w:rPr>
      </w:pPr>
      <w:r>
        <w:rPr>
          <w:rFonts w:hint="eastAsia" w:asciiTheme="minorEastAsia" w:hAnsiTheme="minorEastAsia" w:eastAsiaTheme="minorEastAsia"/>
          <w:color w:val="000000" w:themeColor="text1"/>
          <w:spacing w:val="24"/>
          <w:sz w:val="24"/>
          <w:highlight w:val="none"/>
          <w14:textFill>
            <w14:solidFill>
              <w14:schemeClr w14:val="tx1"/>
            </w14:solidFill>
          </w14:textFill>
        </w:rPr>
        <w:t xml:space="preserve">地     址： </w:t>
      </w:r>
      <w:r>
        <w:rPr>
          <w:rFonts w:hint="eastAsia" w:asciiTheme="minorEastAsia" w:hAnsiTheme="minorEastAsia" w:eastAsiaTheme="minorEastAsia"/>
          <w:color w:val="000000" w:themeColor="text1"/>
          <w:spacing w:val="24"/>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highlight w:val="none"/>
          <w14:textFill>
            <w14:solidFill>
              <w14:schemeClr w14:val="tx1"/>
            </w14:solidFill>
          </w14:textFill>
        </w:rPr>
        <w:t xml:space="preserve">      </w:t>
      </w:r>
    </w:p>
    <w:p w14:paraId="7D7A6C74">
      <w:pPr>
        <w:spacing w:line="360" w:lineRule="auto"/>
        <w:ind w:firstLine="2612" w:firstLineChars="907"/>
        <w:rPr>
          <w:rFonts w:asciiTheme="minorEastAsia" w:hAnsiTheme="minorEastAsia" w:eastAsiaTheme="minorEastAsia"/>
          <w:color w:val="000000" w:themeColor="text1"/>
          <w:spacing w:val="24"/>
          <w:sz w:val="24"/>
          <w:highlight w:val="none"/>
          <w14:textFill>
            <w14:solidFill>
              <w14:schemeClr w14:val="tx1"/>
            </w14:solidFill>
          </w14:textFill>
        </w:rPr>
      </w:pPr>
      <w:r>
        <w:rPr>
          <w:rFonts w:hint="eastAsia" w:asciiTheme="minorEastAsia" w:hAnsiTheme="minorEastAsia" w:eastAsiaTheme="minorEastAsia"/>
          <w:color w:val="000000" w:themeColor="text1"/>
          <w:spacing w:val="24"/>
          <w:sz w:val="24"/>
          <w:highlight w:val="none"/>
          <w14:textFill>
            <w14:solidFill>
              <w14:schemeClr w14:val="tx1"/>
            </w14:solidFill>
          </w14:textFill>
        </w:rPr>
        <w:t>日    期：    年   月   日</w:t>
      </w:r>
    </w:p>
    <w:p w14:paraId="5B0DF1BB">
      <w:pPr>
        <w:pStyle w:val="16"/>
        <w:ind w:firstLine="200"/>
        <w:rPr>
          <w:color w:val="000000" w:themeColor="text1"/>
          <w:highlight w:val="none"/>
          <w14:textFill>
            <w14:solidFill>
              <w14:schemeClr w14:val="tx1"/>
            </w14:solidFill>
          </w14:textFill>
        </w:rPr>
      </w:pPr>
    </w:p>
    <w:p w14:paraId="0E2FD478">
      <w:pPr>
        <w:pStyle w:val="8"/>
        <w:ind w:right="164" w:firstLine="560"/>
        <w:rPr>
          <w:color w:val="000000" w:themeColor="text1"/>
          <w:highlight w:val="none"/>
          <w14:textFill>
            <w14:solidFill>
              <w14:schemeClr w14:val="tx1"/>
            </w14:solidFill>
          </w14:textFill>
        </w:rPr>
      </w:pPr>
    </w:p>
    <w:p w14:paraId="5769AF0B">
      <w:pPr>
        <w:rPr>
          <w:color w:val="000000" w:themeColor="text1"/>
          <w:highlight w:val="none"/>
          <w14:textFill>
            <w14:solidFill>
              <w14:schemeClr w14:val="tx1"/>
            </w14:solidFill>
          </w14:textFill>
        </w:rPr>
      </w:pPr>
    </w:p>
    <w:p w14:paraId="256B9AA7">
      <w:pPr>
        <w:jc w:val="center"/>
        <w:rPr>
          <w:rFonts w:asciiTheme="minorEastAsia" w:hAnsiTheme="minorEastAsia" w:eastAsiaTheme="minorEastAsia"/>
          <w:b/>
          <w:color w:val="000000" w:themeColor="text1"/>
          <w:sz w:val="30"/>
          <w:szCs w:val="30"/>
          <w:highlight w:val="none"/>
          <w14:textFill>
            <w14:solidFill>
              <w14:schemeClr w14:val="tx1"/>
            </w14:solidFill>
          </w14:textFill>
        </w:rPr>
      </w:pPr>
      <w:bookmarkStart w:id="248" w:name="_Toc24879"/>
      <w:r>
        <w:rPr>
          <w:rFonts w:hint="eastAsia" w:asciiTheme="minorEastAsia" w:hAnsiTheme="minorEastAsia" w:eastAsiaTheme="minorEastAsia"/>
          <w:b/>
          <w:color w:val="000000" w:themeColor="text1"/>
          <w:sz w:val="30"/>
          <w:szCs w:val="30"/>
          <w:highlight w:val="none"/>
          <w14:textFill>
            <w14:solidFill>
              <w14:schemeClr w14:val="tx1"/>
            </w14:solidFill>
          </w14:textFill>
        </w:rPr>
        <w:t>（二）</w:t>
      </w:r>
      <w:bookmarkEnd w:id="240"/>
      <w:bookmarkEnd w:id="241"/>
      <w:bookmarkEnd w:id="242"/>
      <w:bookmarkEnd w:id="243"/>
      <w:bookmarkEnd w:id="244"/>
      <w:bookmarkEnd w:id="245"/>
      <w:bookmarkEnd w:id="246"/>
      <w:bookmarkEnd w:id="247"/>
      <w:bookmarkEnd w:id="248"/>
      <w:r>
        <w:rPr>
          <w:rFonts w:hint="eastAsia" w:asciiTheme="minorEastAsia" w:hAnsiTheme="minorEastAsia" w:eastAsiaTheme="minorEastAsia"/>
          <w:b/>
          <w:color w:val="000000" w:themeColor="text1"/>
          <w:sz w:val="30"/>
          <w:szCs w:val="30"/>
          <w:highlight w:val="none"/>
          <w14:textFill>
            <w14:solidFill>
              <w14:schemeClr w14:val="tx1"/>
            </w14:solidFill>
          </w14:textFill>
        </w:rPr>
        <w:t>报价</w:t>
      </w:r>
      <w:r>
        <w:rPr>
          <w:rFonts w:asciiTheme="minorEastAsia" w:hAnsiTheme="minorEastAsia" w:eastAsiaTheme="minorEastAsia"/>
          <w:b/>
          <w:color w:val="000000" w:themeColor="text1"/>
          <w:sz w:val="30"/>
          <w:szCs w:val="30"/>
          <w:highlight w:val="none"/>
          <w14:textFill>
            <w14:solidFill>
              <w14:schemeClr w14:val="tx1"/>
            </w14:solidFill>
          </w14:textFill>
        </w:rPr>
        <w:t>函附</w:t>
      </w:r>
      <w:r>
        <w:rPr>
          <w:rFonts w:hint="eastAsia" w:asciiTheme="minorEastAsia" w:hAnsiTheme="minorEastAsia" w:eastAsiaTheme="minorEastAsia"/>
          <w:b/>
          <w:color w:val="000000" w:themeColor="text1"/>
          <w:sz w:val="30"/>
          <w:szCs w:val="30"/>
          <w:highlight w:val="none"/>
          <w14:textFill>
            <w14:solidFill>
              <w14:schemeClr w14:val="tx1"/>
            </w14:solidFill>
          </w14:textFill>
        </w:rPr>
        <w:t>表</w:t>
      </w:r>
    </w:p>
    <w:p w14:paraId="27811755">
      <w:pPr>
        <w:jc w:val="center"/>
        <w:rPr>
          <w:rFonts w:asciiTheme="minorEastAsia" w:hAnsiTheme="minorEastAsia" w:eastAsiaTheme="minorEastAsia"/>
          <w:b/>
          <w:color w:val="000000" w:themeColor="text1"/>
          <w:sz w:val="30"/>
          <w:szCs w:val="30"/>
          <w:highlight w:val="none"/>
          <w14:textFill>
            <w14:solidFill>
              <w14:schemeClr w14:val="tx1"/>
            </w14:solidFill>
          </w14:textFill>
        </w:rPr>
      </w:pPr>
    </w:p>
    <w:tbl>
      <w:tblPr>
        <w:tblStyle w:val="17"/>
        <w:tblpPr w:leftFromText="180" w:rightFromText="180" w:vertAnchor="text" w:horzAnchor="margin" w:tblpXSpec="center" w:tblpY="180"/>
        <w:tblOverlap w:val="never"/>
        <w:tblW w:w="91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81"/>
        <w:gridCol w:w="2282"/>
        <w:gridCol w:w="2282"/>
      </w:tblGrid>
      <w:tr w14:paraId="1E6CF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2268" w:type="dxa"/>
            <w:tcBorders>
              <w:bottom w:val="single" w:color="auto" w:sz="4" w:space="0"/>
            </w:tcBorders>
            <w:vAlign w:val="center"/>
          </w:tcPr>
          <w:p w14:paraId="314E9F35">
            <w:pPr>
              <w:spacing w:line="360" w:lineRule="exact"/>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项目名称</w:t>
            </w:r>
          </w:p>
        </w:tc>
        <w:tc>
          <w:tcPr>
            <w:tcW w:w="6845" w:type="dxa"/>
            <w:gridSpan w:val="3"/>
            <w:tcBorders>
              <w:bottom w:val="single" w:color="auto" w:sz="4" w:space="0"/>
            </w:tcBorders>
            <w:vAlign w:val="center"/>
          </w:tcPr>
          <w:p w14:paraId="6CD41B1C">
            <w:pPr>
              <w:spacing w:line="360" w:lineRule="exact"/>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14:paraId="4019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268" w:type="dxa"/>
            <w:tcBorders>
              <w:bottom w:val="single" w:color="auto" w:sz="4" w:space="0"/>
            </w:tcBorders>
            <w:vAlign w:val="center"/>
          </w:tcPr>
          <w:p w14:paraId="4C03DFBF">
            <w:pPr>
              <w:spacing w:line="360" w:lineRule="exact"/>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供应商名称</w:t>
            </w:r>
          </w:p>
        </w:tc>
        <w:tc>
          <w:tcPr>
            <w:tcW w:w="6845" w:type="dxa"/>
            <w:gridSpan w:val="3"/>
            <w:tcBorders>
              <w:bottom w:val="single" w:color="auto" w:sz="4" w:space="0"/>
            </w:tcBorders>
          </w:tcPr>
          <w:p w14:paraId="11C12250">
            <w:pPr>
              <w:spacing w:line="360" w:lineRule="exact"/>
              <w:rPr>
                <w:rFonts w:cs="宋体" w:asciiTheme="minorEastAsia" w:hAnsiTheme="minorEastAsia" w:eastAsiaTheme="minorEastAsia"/>
                <w:color w:val="000000" w:themeColor="text1"/>
                <w:sz w:val="24"/>
                <w:highlight w:val="none"/>
                <w14:textFill>
                  <w14:solidFill>
                    <w14:schemeClr w14:val="tx1"/>
                  </w14:solidFill>
                </w14:textFill>
              </w:rPr>
            </w:pPr>
          </w:p>
        </w:tc>
      </w:tr>
      <w:tr w14:paraId="1975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2268" w:type="dxa"/>
            <w:tcBorders>
              <w:bottom w:val="single" w:color="auto" w:sz="4" w:space="0"/>
            </w:tcBorders>
            <w:vAlign w:val="center"/>
          </w:tcPr>
          <w:p w14:paraId="79E12845">
            <w:pPr>
              <w:spacing w:line="360" w:lineRule="exact"/>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项目负责人</w:t>
            </w:r>
          </w:p>
        </w:tc>
        <w:tc>
          <w:tcPr>
            <w:tcW w:w="2281" w:type="dxa"/>
            <w:tcBorders>
              <w:bottom w:val="single" w:color="auto" w:sz="4" w:space="0"/>
            </w:tcBorders>
            <w:vAlign w:val="center"/>
          </w:tcPr>
          <w:p w14:paraId="73F5BA32">
            <w:pPr>
              <w:spacing w:line="360" w:lineRule="exact"/>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282" w:type="dxa"/>
            <w:tcBorders>
              <w:bottom w:val="single" w:color="auto" w:sz="4" w:space="0"/>
            </w:tcBorders>
            <w:vAlign w:val="center"/>
          </w:tcPr>
          <w:p w14:paraId="769394E9">
            <w:pPr>
              <w:spacing w:line="360" w:lineRule="exact"/>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联系电话（手机号）</w:t>
            </w:r>
          </w:p>
        </w:tc>
        <w:tc>
          <w:tcPr>
            <w:tcW w:w="2282" w:type="dxa"/>
            <w:tcBorders>
              <w:bottom w:val="single" w:color="auto" w:sz="4" w:space="0"/>
            </w:tcBorders>
            <w:vAlign w:val="center"/>
          </w:tcPr>
          <w:p w14:paraId="11859136">
            <w:pPr>
              <w:spacing w:line="360" w:lineRule="exact"/>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14:paraId="78BEE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2268" w:type="dxa"/>
            <w:tcBorders>
              <w:bottom w:val="single" w:color="auto" w:sz="4" w:space="0"/>
            </w:tcBorders>
            <w:vAlign w:val="center"/>
          </w:tcPr>
          <w:p w14:paraId="17054A53">
            <w:pPr>
              <w:spacing w:line="360" w:lineRule="exact"/>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服务内容</w:t>
            </w:r>
          </w:p>
        </w:tc>
        <w:tc>
          <w:tcPr>
            <w:tcW w:w="6845" w:type="dxa"/>
            <w:gridSpan w:val="3"/>
            <w:tcBorders>
              <w:bottom w:val="single" w:color="auto" w:sz="4" w:space="0"/>
            </w:tcBorders>
          </w:tcPr>
          <w:p w14:paraId="57498EC6">
            <w:pPr>
              <w:spacing w:line="360" w:lineRule="exact"/>
              <w:rPr>
                <w:rFonts w:cs="宋体" w:asciiTheme="minorEastAsia" w:hAnsiTheme="minorEastAsia" w:eastAsiaTheme="minorEastAsia"/>
                <w:color w:val="000000" w:themeColor="text1"/>
                <w:sz w:val="24"/>
                <w:highlight w:val="none"/>
                <w14:textFill>
                  <w14:solidFill>
                    <w14:schemeClr w14:val="tx1"/>
                  </w14:solidFill>
                </w14:textFill>
              </w:rPr>
            </w:pPr>
          </w:p>
        </w:tc>
      </w:tr>
      <w:tr w14:paraId="44ED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2268" w:type="dxa"/>
            <w:vAlign w:val="center"/>
          </w:tcPr>
          <w:p w14:paraId="29D05D81">
            <w:pPr>
              <w:overflowPunct w:val="0"/>
              <w:topLinePunct/>
              <w:adjustRightInd w:val="0"/>
              <w:spacing w:line="360" w:lineRule="exact"/>
              <w:jc w:val="center"/>
              <w:textAlignment w:val="top"/>
              <w:rPr>
                <w:rFonts w:cs="宋体" w:asciiTheme="minorEastAsia" w:hAnsiTheme="minorEastAsia" w:eastAsiaTheme="minorEastAsia"/>
                <w:color w:val="000000" w:themeColor="text1"/>
                <w:kern w:val="24"/>
                <w:sz w:val="24"/>
                <w:highlight w:val="none"/>
                <w14:textFill>
                  <w14:solidFill>
                    <w14:schemeClr w14:val="tx1"/>
                  </w14:solidFill>
                </w14:textFill>
              </w:rPr>
            </w:pPr>
            <w:r>
              <w:rPr>
                <w:rFonts w:hint="eastAsia" w:cs="宋体" w:asciiTheme="minorEastAsia" w:hAnsiTheme="minorEastAsia" w:eastAsiaTheme="minorEastAsia"/>
                <w:color w:val="000000" w:themeColor="text1"/>
                <w:kern w:val="24"/>
                <w:sz w:val="24"/>
                <w:highlight w:val="none"/>
                <w14:textFill>
                  <w14:solidFill>
                    <w14:schemeClr w14:val="tx1"/>
                  </w14:solidFill>
                </w14:textFill>
              </w:rPr>
              <w:t>一次报价（元）</w:t>
            </w:r>
          </w:p>
        </w:tc>
        <w:tc>
          <w:tcPr>
            <w:tcW w:w="6845" w:type="dxa"/>
            <w:gridSpan w:val="3"/>
            <w:tcBorders>
              <w:bottom w:val="single" w:color="auto" w:sz="4" w:space="0"/>
            </w:tcBorders>
            <w:vAlign w:val="center"/>
          </w:tcPr>
          <w:p w14:paraId="4E8D39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asciiTheme="minorEastAsia" w:hAnsiTheme="minorEastAsia" w:eastAsiaTheme="minorEastAsia"/>
                <w:color w:val="000000" w:themeColor="text1"/>
                <w:sz w:val="24"/>
                <w:highlight w:val="none"/>
                <w14:textFill>
                  <w14:solidFill>
                    <w14:schemeClr w14:val="tx1"/>
                  </w14:solidFill>
                </w14:textFill>
              </w:rPr>
            </w:pPr>
          </w:p>
          <w:p w14:paraId="5D74A6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asciiTheme="minorEastAsia" w:hAnsiTheme="minorEastAsia" w:eastAsiaTheme="minorEastAsia"/>
                <w:color w:val="000000" w:themeColor="text1"/>
                <w:sz w:val="24"/>
                <w:highlight w:val="none"/>
                <w:u w:val="singl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大写：</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元</w:t>
            </w:r>
          </w:p>
          <w:p w14:paraId="0D126E81">
            <w:pPr>
              <w:pStyle w:val="16"/>
              <w:rPr>
                <w:rFonts w:hint="eastAsia"/>
              </w:rPr>
            </w:pPr>
          </w:p>
          <w:p w14:paraId="382534E0">
            <w:pPr>
              <w:keepNext w:val="0"/>
              <w:keepLines w:val="0"/>
              <w:pageBreakBefore w:val="0"/>
              <w:widowControl w:val="0"/>
              <w:kinsoku/>
              <w:wordWrap/>
              <w:overflowPunct/>
              <w:topLinePunct w:val="0"/>
              <w:autoSpaceDE/>
              <w:autoSpaceDN/>
              <w:bidi w:val="0"/>
              <w:adjustRightInd/>
              <w:snapToGrid/>
              <w:spacing w:line="360" w:lineRule="auto"/>
              <w:textAlignment w:val="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小写：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元</w:t>
            </w:r>
          </w:p>
        </w:tc>
      </w:tr>
      <w:tr w14:paraId="59396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2268" w:type="dxa"/>
            <w:tcBorders>
              <w:bottom w:val="single" w:color="auto" w:sz="4" w:space="0"/>
            </w:tcBorders>
            <w:vAlign w:val="center"/>
          </w:tcPr>
          <w:p w14:paraId="6A9913B8">
            <w:pPr>
              <w:snapToGrid w:val="0"/>
              <w:spacing w:line="360" w:lineRule="exact"/>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服务期限</w:t>
            </w:r>
          </w:p>
        </w:tc>
        <w:tc>
          <w:tcPr>
            <w:tcW w:w="6845" w:type="dxa"/>
            <w:gridSpan w:val="3"/>
            <w:tcBorders>
              <w:bottom w:val="single" w:color="auto" w:sz="4" w:space="0"/>
            </w:tcBorders>
            <w:vAlign w:val="center"/>
          </w:tcPr>
          <w:p w14:paraId="5A0971E1">
            <w:pPr>
              <w:spacing w:line="360" w:lineRule="exact"/>
              <w:rPr>
                <w:rFonts w:cs="宋体" w:asciiTheme="minorEastAsia" w:hAnsiTheme="minorEastAsia" w:eastAsiaTheme="minorEastAsia"/>
                <w:color w:val="000000" w:themeColor="text1"/>
                <w:sz w:val="24"/>
                <w:highlight w:val="none"/>
                <w14:textFill>
                  <w14:solidFill>
                    <w14:schemeClr w14:val="tx1"/>
                  </w14:solidFill>
                </w14:textFill>
              </w:rPr>
            </w:pPr>
          </w:p>
        </w:tc>
      </w:tr>
      <w:tr w14:paraId="15AF3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2268" w:type="dxa"/>
            <w:tcBorders>
              <w:bottom w:val="single" w:color="auto" w:sz="4" w:space="0"/>
            </w:tcBorders>
            <w:vAlign w:val="center"/>
          </w:tcPr>
          <w:p w14:paraId="41CD6C56">
            <w:pPr>
              <w:spacing w:line="360" w:lineRule="exact"/>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服务地点</w:t>
            </w:r>
          </w:p>
        </w:tc>
        <w:tc>
          <w:tcPr>
            <w:tcW w:w="6845" w:type="dxa"/>
            <w:gridSpan w:val="3"/>
            <w:tcBorders>
              <w:bottom w:val="single" w:color="auto" w:sz="4" w:space="0"/>
            </w:tcBorders>
            <w:vAlign w:val="center"/>
          </w:tcPr>
          <w:p w14:paraId="118D6D95">
            <w:pPr>
              <w:spacing w:line="360" w:lineRule="exact"/>
              <w:rPr>
                <w:rFonts w:cs="宋体" w:asciiTheme="minorEastAsia" w:hAnsiTheme="minorEastAsia" w:eastAsiaTheme="minorEastAsia"/>
                <w:color w:val="000000" w:themeColor="text1"/>
                <w:sz w:val="24"/>
                <w:highlight w:val="none"/>
                <w14:textFill>
                  <w14:solidFill>
                    <w14:schemeClr w14:val="tx1"/>
                  </w14:solidFill>
                </w14:textFill>
              </w:rPr>
            </w:pPr>
          </w:p>
        </w:tc>
      </w:tr>
      <w:tr w14:paraId="56BD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2268" w:type="dxa"/>
            <w:tcBorders>
              <w:bottom w:val="single" w:color="auto" w:sz="4" w:space="0"/>
            </w:tcBorders>
            <w:vAlign w:val="center"/>
          </w:tcPr>
          <w:p w14:paraId="3DFAC444">
            <w:pPr>
              <w:spacing w:line="360" w:lineRule="exact"/>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服务标准</w:t>
            </w:r>
          </w:p>
        </w:tc>
        <w:tc>
          <w:tcPr>
            <w:tcW w:w="6845" w:type="dxa"/>
            <w:gridSpan w:val="3"/>
            <w:tcBorders>
              <w:bottom w:val="single" w:color="auto" w:sz="4" w:space="0"/>
            </w:tcBorders>
            <w:vAlign w:val="center"/>
          </w:tcPr>
          <w:p w14:paraId="10449851">
            <w:pPr>
              <w:spacing w:line="360" w:lineRule="exact"/>
              <w:rPr>
                <w:rFonts w:cs="宋体" w:asciiTheme="minorEastAsia" w:hAnsiTheme="minorEastAsia" w:eastAsiaTheme="minorEastAsia"/>
                <w:color w:val="000000" w:themeColor="text1"/>
                <w:sz w:val="24"/>
                <w:highlight w:val="none"/>
                <w14:textFill>
                  <w14:solidFill>
                    <w14:schemeClr w14:val="tx1"/>
                  </w14:solidFill>
                </w14:textFill>
              </w:rPr>
            </w:pPr>
          </w:p>
        </w:tc>
      </w:tr>
      <w:tr w14:paraId="5858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2268" w:type="dxa"/>
            <w:tcBorders>
              <w:bottom w:val="single" w:color="auto" w:sz="4" w:space="0"/>
            </w:tcBorders>
            <w:vAlign w:val="center"/>
          </w:tcPr>
          <w:p w14:paraId="6C8C0FFA">
            <w:pPr>
              <w:spacing w:line="360" w:lineRule="exact"/>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磋商有效期</w:t>
            </w:r>
          </w:p>
        </w:tc>
        <w:tc>
          <w:tcPr>
            <w:tcW w:w="6845" w:type="dxa"/>
            <w:gridSpan w:val="3"/>
            <w:tcBorders>
              <w:bottom w:val="single" w:color="auto" w:sz="4" w:space="0"/>
            </w:tcBorders>
            <w:vAlign w:val="center"/>
          </w:tcPr>
          <w:p w14:paraId="372FE1FB">
            <w:pPr>
              <w:spacing w:line="360" w:lineRule="exac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自磋商截止之日起</w:t>
            </w:r>
            <w:r>
              <w:rPr>
                <w:rFonts w:hint="eastAsia" w:cs="宋体"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日历天</w:t>
            </w:r>
          </w:p>
        </w:tc>
      </w:tr>
      <w:tr w14:paraId="355D5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2268" w:type="dxa"/>
            <w:tcBorders>
              <w:bottom w:val="single" w:color="auto" w:sz="4" w:space="0"/>
            </w:tcBorders>
            <w:vAlign w:val="center"/>
          </w:tcPr>
          <w:p w14:paraId="607CD3F0">
            <w:pPr>
              <w:spacing w:line="360" w:lineRule="exact"/>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备注</w:t>
            </w:r>
          </w:p>
        </w:tc>
        <w:tc>
          <w:tcPr>
            <w:tcW w:w="6845" w:type="dxa"/>
            <w:gridSpan w:val="3"/>
            <w:tcBorders>
              <w:bottom w:val="single" w:color="auto" w:sz="4" w:space="0"/>
            </w:tcBorders>
            <w:vAlign w:val="center"/>
          </w:tcPr>
          <w:p w14:paraId="1102E8E8">
            <w:pPr>
              <w:spacing w:line="360" w:lineRule="exact"/>
              <w:rPr>
                <w:rFonts w:cs="宋体" w:asciiTheme="minorEastAsia" w:hAnsiTheme="minorEastAsia" w:eastAsiaTheme="minorEastAsia"/>
                <w:color w:val="000000" w:themeColor="text1"/>
                <w:sz w:val="24"/>
                <w:highlight w:val="none"/>
                <w14:textFill>
                  <w14:solidFill>
                    <w14:schemeClr w14:val="tx1"/>
                  </w14:solidFill>
                </w14:textFill>
              </w:rPr>
            </w:pPr>
          </w:p>
        </w:tc>
      </w:tr>
    </w:tbl>
    <w:p w14:paraId="3A718CC2">
      <w:pPr>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注：1、投标报价仅且只有一个有效报价，不得出现两个及以上报价，否则作废标处理；</w:t>
      </w:r>
    </w:p>
    <w:p w14:paraId="7536AE32">
      <w:pPr>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2、此处为第一轮报价供磋商小组在评审时参考比较，此时的最低报价并不是成交的条件。</w:t>
      </w:r>
    </w:p>
    <w:p w14:paraId="1F5AB9DD">
      <w:pPr>
        <w:spacing w:line="360" w:lineRule="auto"/>
        <w:jc w:val="both"/>
        <w:rPr>
          <w:rFonts w:asciiTheme="minorEastAsia" w:hAnsiTheme="minorEastAsia" w:eastAsiaTheme="minorEastAsia"/>
          <w:b/>
          <w:color w:val="000000" w:themeColor="text1"/>
          <w:sz w:val="24"/>
          <w:highlight w:val="none"/>
          <w14:textFill>
            <w14:solidFill>
              <w14:schemeClr w14:val="tx1"/>
            </w14:solidFill>
          </w14:textFill>
        </w:rPr>
      </w:pPr>
    </w:p>
    <w:p w14:paraId="25FC387D">
      <w:pPr>
        <w:spacing w:line="360" w:lineRule="auto"/>
        <w:ind w:firstLine="2710" w:firstLineChars="941"/>
        <w:rPr>
          <w:rFonts w:asciiTheme="minorEastAsia" w:hAnsiTheme="minorEastAsia" w:eastAsiaTheme="minorEastAsia"/>
          <w:color w:val="000000" w:themeColor="text1"/>
          <w:spacing w:val="24"/>
          <w:sz w:val="24"/>
          <w:szCs w:val="24"/>
          <w:highlight w:val="none"/>
          <w14:textFill>
            <w14:solidFill>
              <w14:schemeClr w14:val="tx1"/>
            </w14:solidFill>
          </w14:textFill>
        </w:rPr>
      </w:pPr>
      <w:r>
        <w:rPr>
          <w:rFonts w:hint="eastAsia" w:asciiTheme="minorEastAsia" w:hAnsiTheme="minorEastAsia" w:eastAsiaTheme="minorEastAsia"/>
          <w:color w:val="000000" w:themeColor="text1"/>
          <w:spacing w:val="24"/>
          <w:sz w:val="24"/>
          <w:szCs w:val="24"/>
          <w:highlight w:val="none"/>
          <w14:textFill>
            <w14:solidFill>
              <w14:schemeClr w14:val="tx1"/>
            </w14:solidFill>
          </w14:textFill>
        </w:rPr>
        <w:t>磋商供应商：</w:t>
      </w:r>
      <w:r>
        <w:rPr>
          <w:rFonts w:hint="eastAsia" w:asciiTheme="minorEastAsia" w:hAnsiTheme="minorEastAsia" w:eastAsiaTheme="minorEastAsia"/>
          <w:color w:val="000000" w:themeColor="text1"/>
          <w:spacing w:val="24"/>
          <w:sz w:val="24"/>
          <w:szCs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szCs w:val="24"/>
          <w:highlight w:val="none"/>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lang w:val="zh-CN" w:bidi="zh-CN"/>
          <w14:textFill>
            <w14:solidFill>
              <w14:schemeClr w14:val="tx1"/>
            </w14:solidFill>
          </w14:textFill>
        </w:rPr>
        <w:t>单位电子签章</w:t>
      </w:r>
      <w:r>
        <w:rPr>
          <w:rFonts w:hint="eastAsia" w:asciiTheme="minorEastAsia" w:hAnsiTheme="minorEastAsia" w:eastAsiaTheme="minorEastAsia"/>
          <w:color w:val="000000" w:themeColor="text1"/>
          <w:spacing w:val="24"/>
          <w:sz w:val="24"/>
          <w:szCs w:val="24"/>
          <w:highlight w:val="none"/>
          <w14:textFill>
            <w14:solidFill>
              <w14:schemeClr w14:val="tx1"/>
            </w14:solidFill>
          </w14:textFill>
        </w:rPr>
        <w:t>）</w:t>
      </w:r>
    </w:p>
    <w:p w14:paraId="38AA6E9E">
      <w:pPr>
        <w:spacing w:line="360" w:lineRule="auto"/>
        <w:ind w:firstLine="2710" w:firstLineChars="941"/>
        <w:rPr>
          <w:rFonts w:asciiTheme="minorEastAsia" w:hAnsiTheme="minorEastAsia" w:eastAsiaTheme="minorEastAsia"/>
          <w:color w:val="000000" w:themeColor="text1"/>
          <w:spacing w:val="24"/>
          <w:sz w:val="24"/>
          <w:szCs w:val="24"/>
          <w:highlight w:val="none"/>
          <w14:textFill>
            <w14:solidFill>
              <w14:schemeClr w14:val="tx1"/>
            </w14:solidFill>
          </w14:textFill>
        </w:rPr>
      </w:pPr>
      <w:r>
        <w:rPr>
          <w:rFonts w:hint="eastAsia" w:asciiTheme="minorEastAsia" w:hAnsiTheme="minorEastAsia" w:eastAsiaTheme="minorEastAsia"/>
          <w:color w:val="000000" w:themeColor="text1"/>
          <w:spacing w:val="24"/>
          <w:sz w:val="24"/>
          <w:szCs w:val="24"/>
          <w:highlight w:val="none"/>
          <w14:textFill>
            <w14:solidFill>
              <w14:schemeClr w14:val="tx1"/>
            </w14:solidFill>
          </w14:textFill>
        </w:rPr>
        <w:t>法定代表人：</w:t>
      </w:r>
      <w:r>
        <w:rPr>
          <w:rFonts w:hint="eastAsia" w:asciiTheme="minorEastAsia" w:hAnsiTheme="minorEastAsia" w:eastAsiaTheme="minorEastAsia"/>
          <w:color w:val="000000" w:themeColor="text1"/>
          <w:spacing w:val="24"/>
          <w:sz w:val="24"/>
          <w:szCs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szCs w:val="24"/>
          <w:highlight w:val="none"/>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lang w:val="zh-CN" w:bidi="zh-CN"/>
          <w14:textFill>
            <w14:solidFill>
              <w14:schemeClr w14:val="tx1"/>
            </w14:solidFill>
          </w14:textFill>
        </w:rPr>
        <w:t>法人电子签章</w:t>
      </w:r>
      <w:r>
        <w:rPr>
          <w:rFonts w:hint="eastAsia" w:asciiTheme="minorEastAsia" w:hAnsiTheme="minorEastAsia" w:eastAsiaTheme="minorEastAsia"/>
          <w:color w:val="000000" w:themeColor="text1"/>
          <w:spacing w:val="24"/>
          <w:sz w:val="24"/>
          <w:szCs w:val="24"/>
          <w:highlight w:val="none"/>
          <w14:textFill>
            <w14:solidFill>
              <w14:schemeClr w14:val="tx1"/>
            </w14:solidFill>
          </w14:textFill>
        </w:rPr>
        <w:t>）</w:t>
      </w:r>
    </w:p>
    <w:p w14:paraId="0F0602E3">
      <w:pPr>
        <w:spacing w:line="360" w:lineRule="auto"/>
        <w:ind w:left="-199" w:leftChars="-95" w:right="452" w:firstLine="2710" w:firstLineChars="941"/>
        <w:jc w:val="center"/>
        <w:rPr>
          <w:rFonts w:cs="宋体" w:asciiTheme="minorEastAsia" w:hAnsiTheme="minorEastAsia" w:eastAsiaTheme="minorEastAsia"/>
          <w:color w:val="000000" w:themeColor="text1"/>
          <w:spacing w:val="8"/>
          <w:sz w:val="28"/>
          <w:szCs w:val="28"/>
          <w:highlight w:val="none"/>
          <w14:textFill>
            <w14:solidFill>
              <w14:schemeClr w14:val="tx1"/>
            </w14:solidFill>
          </w14:textFill>
        </w:rPr>
      </w:pPr>
      <w:r>
        <w:rPr>
          <w:rFonts w:hint="eastAsia" w:asciiTheme="minorEastAsia" w:hAnsiTheme="minorEastAsia" w:eastAsiaTheme="minorEastAsia"/>
          <w:color w:val="000000" w:themeColor="text1"/>
          <w:spacing w:val="24"/>
          <w:sz w:val="24"/>
          <w:szCs w:val="24"/>
          <w:highlight w:val="none"/>
          <w14:textFill>
            <w14:solidFill>
              <w14:schemeClr w14:val="tx1"/>
            </w14:solidFill>
          </w14:textFill>
        </w:rPr>
        <w:t>日    期：</w:t>
      </w:r>
      <w:r>
        <w:rPr>
          <w:rFonts w:hint="eastAsia" w:asciiTheme="minorEastAsia" w:hAnsiTheme="minorEastAsia" w:eastAsiaTheme="minorEastAsia"/>
          <w:color w:val="000000" w:themeColor="text1"/>
          <w:spacing w:val="24"/>
          <w:sz w:val="24"/>
          <w:szCs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szCs w:val="24"/>
          <w:highlight w:val="none"/>
          <w14:textFill>
            <w14:solidFill>
              <w14:schemeClr w14:val="tx1"/>
            </w14:solidFill>
          </w14:textFill>
        </w:rPr>
        <w:t>年</w:t>
      </w:r>
      <w:r>
        <w:rPr>
          <w:rFonts w:hint="eastAsia" w:asciiTheme="minorEastAsia" w:hAnsiTheme="minorEastAsia" w:eastAsiaTheme="minorEastAsia"/>
          <w:color w:val="000000" w:themeColor="text1"/>
          <w:spacing w:val="24"/>
          <w:sz w:val="24"/>
          <w:szCs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szCs w:val="24"/>
          <w:highlight w:val="none"/>
          <w14:textFill>
            <w14:solidFill>
              <w14:schemeClr w14:val="tx1"/>
            </w14:solidFill>
          </w14:textFill>
        </w:rPr>
        <w:t>月</w:t>
      </w:r>
      <w:r>
        <w:rPr>
          <w:rFonts w:hint="eastAsia" w:asciiTheme="minorEastAsia" w:hAnsiTheme="minorEastAsia" w:eastAsiaTheme="minorEastAsia"/>
          <w:color w:val="000000" w:themeColor="text1"/>
          <w:spacing w:val="24"/>
          <w:sz w:val="24"/>
          <w:szCs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szCs w:val="24"/>
          <w:highlight w:val="none"/>
          <w14:textFill>
            <w14:solidFill>
              <w14:schemeClr w14:val="tx1"/>
            </w14:solidFill>
          </w14:textFill>
        </w:rPr>
        <w:t>日</w:t>
      </w:r>
    </w:p>
    <w:p w14:paraId="2B4FB7D4">
      <w:pPr>
        <w:pStyle w:val="3"/>
        <w:spacing w:line="600" w:lineRule="exact"/>
        <w:jc w:val="center"/>
        <w:rPr>
          <w:rFonts w:cs="宋体-PUA" w:asciiTheme="minorEastAsia" w:hAnsiTheme="minorEastAsia" w:eastAsiaTheme="minorEastAsia"/>
          <w:color w:val="000000" w:themeColor="text1"/>
          <w:sz w:val="24"/>
          <w:szCs w:val="24"/>
          <w:highlight w:val="none"/>
          <w14:textFill>
            <w14:solidFill>
              <w14:schemeClr w14:val="tx1"/>
            </w14:solidFill>
          </w14:textFill>
        </w:rPr>
      </w:pPr>
      <w:bookmarkStart w:id="249" w:name="_Toc25680"/>
      <w:bookmarkStart w:id="250" w:name="_Toc68710943"/>
      <w:bookmarkStart w:id="251" w:name="_Toc171612799"/>
      <w:bookmarkStart w:id="252" w:name="_Toc171608869"/>
      <w:bookmarkStart w:id="253" w:name="_Toc101344077"/>
      <w:bookmarkStart w:id="254" w:name="_Toc173510812"/>
      <w:bookmarkStart w:id="255" w:name="_Toc19526"/>
      <w:r>
        <w:rPr>
          <w:rFonts w:hint="eastAsia" w:cs="宋体-PUA" w:asciiTheme="minorEastAsia" w:hAnsiTheme="minorEastAsia" w:eastAsiaTheme="minorEastAsia"/>
          <w:color w:val="000000" w:themeColor="text1"/>
          <w:szCs w:val="24"/>
          <w:highlight w:val="none"/>
          <w14:textFill>
            <w14:solidFill>
              <w14:schemeClr w14:val="tx1"/>
            </w14:solidFill>
          </w14:textFill>
        </w:rPr>
        <w:t>二、</w:t>
      </w:r>
      <w:bookmarkEnd w:id="249"/>
      <w:bookmarkEnd w:id="250"/>
      <w:r>
        <w:rPr>
          <w:rFonts w:hint="eastAsia" w:cs="宋体-PUA" w:asciiTheme="minorEastAsia" w:hAnsiTheme="minorEastAsia" w:eastAsiaTheme="minorEastAsia"/>
          <w:color w:val="000000" w:themeColor="text1"/>
          <w:szCs w:val="24"/>
          <w:highlight w:val="none"/>
          <w14:textFill>
            <w14:solidFill>
              <w14:schemeClr w14:val="tx1"/>
            </w14:solidFill>
          </w14:textFill>
        </w:rPr>
        <w:t>法定代表人身份证明及授权委托书</w:t>
      </w:r>
      <w:bookmarkEnd w:id="251"/>
      <w:bookmarkEnd w:id="252"/>
      <w:bookmarkEnd w:id="253"/>
      <w:bookmarkEnd w:id="254"/>
      <w:bookmarkEnd w:id="255"/>
    </w:p>
    <w:p w14:paraId="7347DDF4">
      <w:pPr>
        <w:spacing w:line="360" w:lineRule="auto"/>
        <w:jc w:val="center"/>
        <w:rPr>
          <w:rFonts w:cs="宋体-PUA" w:asciiTheme="minorEastAsia" w:hAnsiTheme="minorEastAsia" w:eastAsiaTheme="minorEastAsia"/>
          <w:b/>
          <w:color w:val="000000" w:themeColor="text1"/>
          <w:sz w:val="28"/>
          <w:szCs w:val="28"/>
          <w:highlight w:val="none"/>
          <w14:textFill>
            <w14:solidFill>
              <w14:schemeClr w14:val="tx1"/>
            </w14:solidFill>
          </w14:textFill>
        </w:rPr>
      </w:pPr>
    </w:p>
    <w:p w14:paraId="303BF9C9">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PUA" w:asciiTheme="minorEastAsia" w:hAnsiTheme="minorEastAsia" w:eastAsiaTheme="minorEastAsia"/>
          <w:b/>
          <w:color w:val="000000" w:themeColor="text1"/>
          <w:sz w:val="24"/>
          <w:highlight w:val="none"/>
          <w14:textFill>
            <w14:solidFill>
              <w14:schemeClr w14:val="tx1"/>
            </w14:solidFill>
          </w14:textFill>
        </w:rPr>
        <w:t>法定代表人身份证明</w:t>
      </w:r>
    </w:p>
    <w:p w14:paraId="66A5EA92">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p>
    <w:p w14:paraId="18FEF65E">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供应商名称：</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w:t>
      </w:r>
    </w:p>
    <w:p w14:paraId="2F12EF0D">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单位性质：</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w:t>
      </w:r>
    </w:p>
    <w:p w14:paraId="52B8BA97">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地址：</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p>
    <w:p w14:paraId="3F5B7B59">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成立时间：</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年</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月</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日</w:t>
      </w:r>
    </w:p>
    <w:p w14:paraId="1FA81B43">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经营期限：</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p>
    <w:p w14:paraId="4E2EE7B0">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姓名：</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性别：</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年龄：</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职务：</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p>
    <w:p w14:paraId="1DE5A8A7">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系</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（供应商名称）的法定代表人。</w:t>
      </w:r>
    </w:p>
    <w:p w14:paraId="16C7A810">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特此证明。</w:t>
      </w:r>
    </w:p>
    <w:p w14:paraId="7919C91B">
      <w:pPr>
        <w:spacing w:line="440" w:lineRule="exact"/>
        <w:rPr>
          <w:rFonts w:cs="宋体" w:asciiTheme="minorEastAsia" w:hAnsiTheme="minorEastAsia" w:eastAsiaTheme="minorEastAsia"/>
          <w:color w:val="000000" w:themeColor="text1"/>
          <w:sz w:val="24"/>
          <w:highlight w:val="none"/>
          <w14:textFill>
            <w14:solidFill>
              <w14:schemeClr w14:val="tx1"/>
            </w14:solidFill>
          </w14:textFill>
        </w:rPr>
      </w:pPr>
    </w:p>
    <w:p w14:paraId="4BD5F49E">
      <w:pPr>
        <w:spacing w:line="440" w:lineRule="exact"/>
        <w:rPr>
          <w:rFonts w:cs="宋体" w:asciiTheme="minorEastAsia" w:hAnsiTheme="minorEastAsia" w:eastAsiaTheme="minorEastAsia"/>
          <w:color w:val="000000" w:themeColor="text1"/>
          <w:sz w:val="24"/>
          <w:highlight w:val="none"/>
          <w14:textFill>
            <w14:solidFill>
              <w14:schemeClr w14:val="tx1"/>
            </w14:solidFill>
          </w14:textFill>
        </w:rPr>
      </w:pPr>
    </w:p>
    <w:p w14:paraId="55BC5001">
      <w:pPr>
        <w:spacing w:line="360" w:lineRule="auto"/>
        <w:ind w:firstLine="2258" w:firstLineChars="941"/>
        <w:rPr>
          <w:rFonts w:asciiTheme="minorEastAsia" w:hAnsiTheme="minorEastAsia" w:eastAsiaTheme="minorEastAsia"/>
          <w:color w:val="000000" w:themeColor="text1"/>
          <w:spacing w:val="24"/>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spacing w:val="24"/>
          <w:sz w:val="24"/>
          <w:highlight w:val="none"/>
          <w14:textFill>
            <w14:solidFill>
              <w14:schemeClr w14:val="tx1"/>
            </w14:solidFill>
          </w14:textFill>
        </w:rPr>
        <w:t>磋商供应商：</w:t>
      </w:r>
      <w:r>
        <w:rPr>
          <w:rFonts w:hint="eastAsia" w:asciiTheme="minorEastAsia" w:hAnsiTheme="minorEastAsia" w:eastAsiaTheme="minorEastAsia"/>
          <w:color w:val="000000" w:themeColor="text1"/>
          <w:spacing w:val="24"/>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lang w:val="zh-CN" w:bidi="zh-CN"/>
          <w14:textFill>
            <w14:solidFill>
              <w14:schemeClr w14:val="tx1"/>
            </w14:solidFill>
          </w14:textFill>
        </w:rPr>
        <w:t>单位电子签章</w:t>
      </w:r>
      <w:r>
        <w:rPr>
          <w:rFonts w:hint="eastAsia" w:asciiTheme="minorEastAsia" w:hAnsiTheme="minorEastAsia" w:eastAsiaTheme="minorEastAsia"/>
          <w:color w:val="000000" w:themeColor="text1"/>
          <w:spacing w:val="24"/>
          <w:sz w:val="24"/>
          <w:highlight w:val="none"/>
          <w14:textFill>
            <w14:solidFill>
              <w14:schemeClr w14:val="tx1"/>
            </w14:solidFill>
          </w14:textFill>
        </w:rPr>
        <w:t>）</w:t>
      </w:r>
    </w:p>
    <w:p w14:paraId="1FD186D8">
      <w:pPr>
        <w:spacing w:line="360" w:lineRule="auto"/>
        <w:ind w:firstLine="2710" w:firstLineChars="941"/>
        <w:rPr>
          <w:rFonts w:asciiTheme="minorEastAsia" w:hAnsiTheme="minorEastAsia" w:eastAsiaTheme="minorEastAsia"/>
          <w:color w:val="000000" w:themeColor="text1"/>
          <w:spacing w:val="24"/>
          <w:sz w:val="24"/>
          <w:highlight w:val="none"/>
          <w14:textFill>
            <w14:solidFill>
              <w14:schemeClr w14:val="tx1"/>
            </w14:solidFill>
          </w14:textFill>
        </w:rPr>
      </w:pPr>
      <w:r>
        <w:rPr>
          <w:rFonts w:hint="eastAsia" w:asciiTheme="minorEastAsia" w:hAnsiTheme="minorEastAsia" w:eastAsiaTheme="minorEastAsia"/>
          <w:color w:val="000000" w:themeColor="text1"/>
          <w:spacing w:val="24"/>
          <w:sz w:val="24"/>
          <w:highlight w:val="none"/>
          <w14:textFill>
            <w14:solidFill>
              <w14:schemeClr w14:val="tx1"/>
            </w14:solidFill>
          </w14:textFill>
        </w:rPr>
        <w:t>法定代表人：</w:t>
      </w:r>
      <w:r>
        <w:rPr>
          <w:rFonts w:hint="eastAsia" w:asciiTheme="minorEastAsia" w:hAnsiTheme="minorEastAsia" w:eastAsiaTheme="minorEastAsia"/>
          <w:color w:val="000000" w:themeColor="text1"/>
          <w:spacing w:val="24"/>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lang w:val="zh-CN" w:bidi="zh-CN"/>
          <w14:textFill>
            <w14:solidFill>
              <w14:schemeClr w14:val="tx1"/>
            </w14:solidFill>
          </w14:textFill>
        </w:rPr>
        <w:t>法人电子签章</w:t>
      </w:r>
      <w:r>
        <w:rPr>
          <w:rFonts w:hint="eastAsia" w:asciiTheme="minorEastAsia" w:hAnsiTheme="minorEastAsia" w:eastAsiaTheme="minorEastAsia"/>
          <w:color w:val="000000" w:themeColor="text1"/>
          <w:spacing w:val="24"/>
          <w:sz w:val="24"/>
          <w:highlight w:val="none"/>
          <w14:textFill>
            <w14:solidFill>
              <w14:schemeClr w14:val="tx1"/>
            </w14:solidFill>
          </w14:textFill>
        </w:rPr>
        <w:t>）</w:t>
      </w:r>
    </w:p>
    <w:p w14:paraId="4A3782B7">
      <w:pPr>
        <w:spacing w:line="360" w:lineRule="auto"/>
        <w:ind w:left="-199" w:leftChars="-95" w:right="452" w:firstLine="2995" w:firstLineChars="1040"/>
        <w:rPr>
          <w:rFonts w:cs="宋体" w:asciiTheme="minorEastAsia" w:hAnsiTheme="minorEastAsia" w:eastAsiaTheme="minorEastAsia"/>
          <w:color w:val="000000" w:themeColor="text1"/>
          <w:spacing w:val="8"/>
          <w:sz w:val="24"/>
          <w:highlight w:val="none"/>
          <w14:textFill>
            <w14:solidFill>
              <w14:schemeClr w14:val="tx1"/>
            </w14:solidFill>
          </w14:textFill>
        </w:rPr>
      </w:pPr>
      <w:r>
        <w:rPr>
          <w:rFonts w:hint="eastAsia" w:asciiTheme="minorEastAsia" w:hAnsiTheme="minorEastAsia" w:eastAsiaTheme="minorEastAsia"/>
          <w:color w:val="000000" w:themeColor="text1"/>
          <w:spacing w:val="24"/>
          <w:sz w:val="24"/>
          <w:highlight w:val="none"/>
          <w14:textFill>
            <w14:solidFill>
              <w14:schemeClr w14:val="tx1"/>
            </w14:solidFill>
          </w14:textFill>
        </w:rPr>
        <w:t>日    期：</w:t>
      </w:r>
      <w:r>
        <w:rPr>
          <w:rFonts w:hint="eastAsia" w:asciiTheme="minorEastAsia" w:hAnsiTheme="minorEastAsia" w:eastAsiaTheme="minorEastAsia"/>
          <w:color w:val="000000" w:themeColor="text1"/>
          <w:spacing w:val="24"/>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highlight w:val="none"/>
          <w14:textFill>
            <w14:solidFill>
              <w14:schemeClr w14:val="tx1"/>
            </w14:solidFill>
          </w14:textFill>
        </w:rPr>
        <w:t>年</w:t>
      </w:r>
      <w:r>
        <w:rPr>
          <w:rFonts w:hint="eastAsia" w:asciiTheme="minorEastAsia" w:hAnsiTheme="minorEastAsia" w:eastAsiaTheme="minorEastAsia"/>
          <w:color w:val="000000" w:themeColor="text1"/>
          <w:spacing w:val="24"/>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highlight w:val="none"/>
          <w14:textFill>
            <w14:solidFill>
              <w14:schemeClr w14:val="tx1"/>
            </w14:solidFill>
          </w14:textFill>
        </w:rPr>
        <w:t>月</w:t>
      </w:r>
      <w:r>
        <w:rPr>
          <w:rFonts w:hint="eastAsia" w:asciiTheme="minorEastAsia" w:hAnsiTheme="minorEastAsia" w:eastAsiaTheme="minorEastAsia"/>
          <w:color w:val="000000" w:themeColor="text1"/>
          <w:spacing w:val="24"/>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highlight w:val="none"/>
          <w14:textFill>
            <w14:solidFill>
              <w14:schemeClr w14:val="tx1"/>
            </w14:solidFill>
          </w14:textFill>
        </w:rPr>
        <w:t>日</w:t>
      </w:r>
    </w:p>
    <w:p w14:paraId="53D3DE74">
      <w:pPr>
        <w:spacing w:line="480" w:lineRule="auto"/>
        <w:rPr>
          <w:rFonts w:cs="宋体" w:asciiTheme="minorEastAsia" w:hAnsiTheme="minorEastAsia" w:eastAsiaTheme="minorEastAsia"/>
          <w:color w:val="000000" w:themeColor="text1"/>
          <w:sz w:val="24"/>
          <w:highlight w:val="none"/>
          <w14:textFill>
            <w14:solidFill>
              <w14:schemeClr w14:val="tx1"/>
            </w14:solidFill>
          </w14:textFill>
        </w:rPr>
      </w:pPr>
    </w:p>
    <w:p w14:paraId="32C323C5">
      <w:pPr>
        <w:spacing w:line="480" w:lineRule="auto"/>
        <w:rPr>
          <w:rFonts w:asciiTheme="minorEastAsia" w:hAnsiTheme="minorEastAsia" w:eastAsiaTheme="minorEastAsia"/>
          <w:color w:val="000000" w:themeColor="text1"/>
          <w:sz w:val="24"/>
          <w:highlight w:val="none"/>
          <w14:textFill>
            <w14:solidFill>
              <w14:schemeClr w14:val="tx1"/>
            </w14:solidFill>
          </w14:textFill>
        </w:rPr>
      </w:pPr>
    </w:p>
    <w:p w14:paraId="672547AA">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14:paraId="746B244A">
      <w:pPr>
        <w:pStyle w:val="16"/>
        <w:ind w:firstLine="200"/>
        <w:rPr>
          <w:color w:val="000000" w:themeColor="text1"/>
          <w:highlight w:val="none"/>
          <w14:textFill>
            <w14:solidFill>
              <w14:schemeClr w14:val="tx1"/>
            </w14:solidFill>
          </w14:textFill>
        </w:rPr>
      </w:pPr>
    </w:p>
    <w:p w14:paraId="2AD9FBB5">
      <w:pPr>
        <w:pStyle w:val="8"/>
        <w:ind w:right="164" w:firstLine="560"/>
        <w:rPr>
          <w:color w:val="000000" w:themeColor="text1"/>
          <w:highlight w:val="none"/>
          <w14:textFill>
            <w14:solidFill>
              <w14:schemeClr w14:val="tx1"/>
            </w14:solidFill>
          </w14:textFill>
        </w:rPr>
      </w:pPr>
    </w:p>
    <w:p w14:paraId="01E4C383">
      <w:pPr>
        <w:rPr>
          <w:color w:val="000000" w:themeColor="text1"/>
          <w:highlight w:val="none"/>
          <w14:textFill>
            <w14:solidFill>
              <w14:schemeClr w14:val="tx1"/>
            </w14:solidFill>
          </w14:textFill>
        </w:rPr>
      </w:pPr>
    </w:p>
    <w:p w14:paraId="3CC73127">
      <w:pPr>
        <w:pStyle w:val="16"/>
        <w:ind w:firstLine="200"/>
        <w:rPr>
          <w:color w:val="000000" w:themeColor="text1"/>
          <w:highlight w:val="none"/>
          <w14:textFill>
            <w14:solidFill>
              <w14:schemeClr w14:val="tx1"/>
            </w14:solidFill>
          </w14:textFill>
        </w:rPr>
      </w:pPr>
    </w:p>
    <w:p w14:paraId="536FBDD1">
      <w:pPr>
        <w:pStyle w:val="8"/>
        <w:ind w:right="164" w:firstLine="560"/>
        <w:rPr>
          <w:color w:val="000000" w:themeColor="text1"/>
          <w:highlight w:val="none"/>
          <w14:textFill>
            <w14:solidFill>
              <w14:schemeClr w14:val="tx1"/>
            </w14:solidFill>
          </w14:textFill>
        </w:rPr>
      </w:pPr>
    </w:p>
    <w:p w14:paraId="73FC1479">
      <w:pPr>
        <w:rPr>
          <w:color w:val="000000" w:themeColor="text1"/>
          <w:highlight w:val="none"/>
          <w14:textFill>
            <w14:solidFill>
              <w14:schemeClr w14:val="tx1"/>
            </w14:solidFill>
          </w14:textFill>
        </w:rPr>
      </w:pPr>
    </w:p>
    <w:p w14:paraId="2401BB2F">
      <w:pPr>
        <w:pStyle w:val="16"/>
        <w:ind w:firstLine="200"/>
        <w:rPr>
          <w:color w:val="000000" w:themeColor="text1"/>
          <w:highlight w:val="none"/>
          <w14:textFill>
            <w14:solidFill>
              <w14:schemeClr w14:val="tx1"/>
            </w14:solidFill>
          </w14:textFill>
        </w:rPr>
      </w:pPr>
    </w:p>
    <w:p w14:paraId="533888D0">
      <w:pPr>
        <w:pStyle w:val="8"/>
        <w:ind w:right="164" w:firstLine="560"/>
        <w:rPr>
          <w:color w:val="000000" w:themeColor="text1"/>
          <w:highlight w:val="none"/>
          <w14:textFill>
            <w14:solidFill>
              <w14:schemeClr w14:val="tx1"/>
            </w14:solidFill>
          </w14:textFill>
        </w:rPr>
      </w:pPr>
    </w:p>
    <w:p w14:paraId="10505E9F">
      <w:pPr>
        <w:spacing w:line="360" w:lineRule="auto"/>
        <w:rPr>
          <w:rFonts w:asciiTheme="minorEastAsia" w:hAnsiTheme="minorEastAsia" w:eastAsiaTheme="minorEastAsia"/>
          <w:b/>
          <w:bCs/>
          <w:color w:val="000000" w:themeColor="text1"/>
          <w:sz w:val="24"/>
          <w:highlight w:val="none"/>
          <w14:textFill>
            <w14:solidFill>
              <w14:schemeClr w14:val="tx1"/>
            </w14:solidFill>
          </w14:textFill>
        </w:rPr>
      </w:pPr>
    </w:p>
    <w:p w14:paraId="30FF76B6">
      <w:pPr>
        <w:spacing w:line="440" w:lineRule="exact"/>
        <w:ind w:firstLine="482"/>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授权委托书</w:t>
      </w:r>
    </w:p>
    <w:p w14:paraId="2C10A860">
      <w:pPr>
        <w:spacing w:line="360" w:lineRule="auto"/>
        <w:rPr>
          <w:rFonts w:asciiTheme="minorEastAsia" w:hAnsiTheme="minorEastAsia" w:eastAsiaTheme="minorEastAsia"/>
          <w:b/>
          <w:bCs/>
          <w:color w:val="000000" w:themeColor="text1"/>
          <w:sz w:val="24"/>
          <w:highlight w:val="none"/>
          <w14:textFill>
            <w14:solidFill>
              <w14:schemeClr w14:val="tx1"/>
            </w14:solidFill>
          </w14:textFill>
        </w:rPr>
      </w:pPr>
    </w:p>
    <w:p w14:paraId="28219027">
      <w:pPr>
        <w:spacing w:line="360" w:lineRule="auto"/>
        <w:ind w:firstLine="600" w:firstLineChars="250"/>
        <w:jc w:val="left"/>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本人</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14:textFill>
            <w14:solidFill>
              <w14:schemeClr w14:val="tx1"/>
            </w14:solidFill>
          </w14:textFill>
        </w:rPr>
        <w:t>（姓名）系</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14:textFill>
            <w14:solidFill>
              <w14:schemeClr w14:val="tx1"/>
            </w14:solidFill>
          </w14:textFill>
        </w:rPr>
        <w:t xml:space="preserve">（供应商名称）的法定代表人，现委托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14:textFill>
            <w14:solidFill>
              <w14:schemeClr w14:val="tx1"/>
            </w14:solidFill>
          </w14:textFill>
        </w:rPr>
        <w:t>（姓名）为我方代理人。代理人根据授权，以我方名义签署、澄清、说明、补正、提交、撤回、修改</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14:textFill>
            <w14:solidFill>
              <w14:schemeClr w14:val="tx1"/>
            </w14:solidFill>
          </w14:textFill>
        </w:rPr>
        <w:t>（项目名称）响应文件、签订合同和处理有关事宜，其法律后果由我方承担。</w:t>
      </w:r>
    </w:p>
    <w:p w14:paraId="61F9D755">
      <w:pPr>
        <w:spacing w:line="360" w:lineRule="auto"/>
        <w:jc w:val="left"/>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 xml:space="preserve">委托期限：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14:textFill>
            <w14:solidFill>
              <w14:schemeClr w14:val="tx1"/>
            </w14:solidFill>
          </w14:textFill>
        </w:rPr>
        <w:t>。</w:t>
      </w:r>
    </w:p>
    <w:p w14:paraId="5DA4F930">
      <w:pPr>
        <w:spacing w:line="360" w:lineRule="auto"/>
        <w:jc w:val="left"/>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代理人无转委托权</w:t>
      </w:r>
      <w:r>
        <w:rPr>
          <w:rFonts w:hint="eastAsia" w:asciiTheme="minorEastAsia" w:hAnsiTheme="minorEastAsia" w:eastAsiaTheme="minorEastAsia"/>
          <w:color w:val="000000" w:themeColor="text1"/>
          <w:sz w:val="24"/>
          <w:highlight w:val="none"/>
          <w14:textFill>
            <w14:solidFill>
              <w14:schemeClr w14:val="tx1"/>
            </w14:solidFill>
          </w14:textFill>
        </w:rPr>
        <w:t>，特此委托。</w:t>
      </w:r>
    </w:p>
    <w:p w14:paraId="0FD2C7CB">
      <w:pPr>
        <w:spacing w:line="360" w:lineRule="auto"/>
        <w:jc w:val="left"/>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附：法定代表人、被授权人身份证</w:t>
      </w:r>
      <w:r>
        <w:rPr>
          <w:rFonts w:hint="eastAsia" w:cs="宋体" w:asciiTheme="minorEastAsia" w:hAnsiTheme="minorEastAsia" w:eastAsiaTheme="minorEastAsia"/>
          <w:color w:val="000000" w:themeColor="text1"/>
          <w:sz w:val="24"/>
          <w:highlight w:val="none"/>
          <w14:textFill>
            <w14:solidFill>
              <w14:schemeClr w14:val="tx1"/>
            </w14:solidFill>
          </w14:textFill>
        </w:rPr>
        <w:t>正反面</w:t>
      </w:r>
      <w:r>
        <w:rPr>
          <w:rFonts w:hint="eastAsia" w:asciiTheme="minorEastAsia" w:hAnsiTheme="minorEastAsia" w:eastAsiaTheme="minorEastAsia"/>
          <w:bCs/>
          <w:color w:val="000000" w:themeColor="text1"/>
          <w:sz w:val="24"/>
          <w:highlight w:val="none"/>
          <w14:textFill>
            <w14:solidFill>
              <w14:schemeClr w14:val="tx1"/>
            </w14:solidFill>
          </w14:textFill>
        </w:rPr>
        <w:t>扫描件。</w:t>
      </w:r>
    </w:p>
    <w:p w14:paraId="6B0B13D8">
      <w:pPr>
        <w:spacing w:line="360" w:lineRule="auto"/>
        <w:rPr>
          <w:rFonts w:asciiTheme="minorEastAsia" w:hAnsiTheme="minorEastAsia" w:eastAsiaTheme="minorEastAsia"/>
          <w:b/>
          <w:bCs/>
          <w:color w:val="000000" w:themeColor="text1"/>
          <w:sz w:val="24"/>
          <w:highlight w:val="none"/>
          <w14:textFill>
            <w14:solidFill>
              <w14:schemeClr w14:val="tx1"/>
            </w14:solidFill>
          </w14:textFill>
        </w:rPr>
      </w:pPr>
    </w:p>
    <w:p w14:paraId="2ED3AFEB">
      <w:pPr>
        <w:spacing w:line="360" w:lineRule="auto"/>
        <w:rPr>
          <w:rFonts w:asciiTheme="minorEastAsia" w:hAnsiTheme="minorEastAsia" w:eastAsiaTheme="minorEastAsia"/>
          <w:b/>
          <w:bCs/>
          <w:color w:val="000000" w:themeColor="text1"/>
          <w:sz w:val="24"/>
          <w:highlight w:val="none"/>
          <w14:textFill>
            <w14:solidFill>
              <w14:schemeClr w14:val="tx1"/>
            </w14:solidFill>
          </w14:textFill>
        </w:rPr>
      </w:pPr>
    </w:p>
    <w:p w14:paraId="6EB6C5D7">
      <w:pPr>
        <w:autoSpaceDE w:val="0"/>
        <w:autoSpaceDN w:val="0"/>
        <w:adjustRightInd w:val="0"/>
        <w:spacing w:line="480" w:lineRule="auto"/>
        <w:ind w:firstLine="2428" w:firstLineChars="1012"/>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磋商供应商： </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lang w:val="zh-CN" w:bidi="zh-CN"/>
          <w14:textFill>
            <w14:solidFill>
              <w14:schemeClr w14:val="tx1"/>
            </w14:solidFill>
          </w14:textFill>
        </w:rPr>
        <w:t>单位电子签章</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w:t>
      </w:r>
    </w:p>
    <w:p w14:paraId="15E248A4">
      <w:pPr>
        <w:autoSpaceDE w:val="0"/>
        <w:autoSpaceDN w:val="0"/>
        <w:adjustRightInd w:val="0"/>
        <w:spacing w:line="480" w:lineRule="auto"/>
        <w:ind w:firstLine="2428" w:firstLineChars="1012"/>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法定代表人：</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lang w:val="zh-CN" w:bidi="zh-CN"/>
          <w14:textFill>
            <w14:solidFill>
              <w14:schemeClr w14:val="tx1"/>
            </w14:solidFill>
          </w14:textFill>
        </w:rPr>
        <w:t>法人电子签章</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w:t>
      </w:r>
    </w:p>
    <w:p w14:paraId="080E8371">
      <w:pPr>
        <w:autoSpaceDE w:val="0"/>
        <w:autoSpaceDN w:val="0"/>
        <w:adjustRightInd w:val="0"/>
        <w:spacing w:line="480" w:lineRule="auto"/>
        <w:ind w:firstLine="2428" w:firstLineChars="1012"/>
        <w:jc w:val="left"/>
        <w:rPr>
          <w:rFonts w:cs="宋体" w:asciiTheme="minorEastAsia" w:hAnsiTheme="minorEastAsia" w:eastAsiaTheme="minorEastAsia"/>
          <w:color w:val="000000" w:themeColor="text1"/>
          <w:kern w:val="0"/>
          <w:sz w:val="24"/>
          <w:highlight w:val="none"/>
          <w:u w:val="singl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身份证号码： </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 xml:space="preserve">                        </w:t>
      </w:r>
    </w:p>
    <w:p w14:paraId="3ADB8815">
      <w:pPr>
        <w:autoSpaceDE w:val="0"/>
        <w:autoSpaceDN w:val="0"/>
        <w:adjustRightInd w:val="0"/>
        <w:spacing w:line="480" w:lineRule="auto"/>
        <w:ind w:firstLine="2428" w:firstLineChars="1012"/>
        <w:jc w:val="left"/>
        <w:rPr>
          <w:rFonts w:cs="宋体" w:asciiTheme="minorEastAsia" w:hAnsiTheme="minorEastAsia" w:eastAsiaTheme="minorEastAsia"/>
          <w:color w:val="000000" w:themeColor="text1"/>
          <w:kern w:val="0"/>
          <w:sz w:val="24"/>
          <w:highlight w:val="none"/>
          <w:u w:val="singl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被授权人身份证号码： </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 xml:space="preserve">                </w:t>
      </w:r>
    </w:p>
    <w:p w14:paraId="13180051">
      <w:pPr>
        <w:spacing w:line="480" w:lineRule="auto"/>
        <w:ind w:right="944" w:firstLine="2592" w:firstLineChars="900"/>
        <w:rPr>
          <w:rFonts w:asciiTheme="minorEastAsia" w:hAnsiTheme="minorEastAsia" w:eastAsiaTheme="minorEastAsia"/>
          <w:color w:val="000000" w:themeColor="text1"/>
          <w:spacing w:val="24"/>
          <w:sz w:val="24"/>
          <w:highlight w:val="none"/>
          <w14:textFill>
            <w14:solidFill>
              <w14:schemeClr w14:val="tx1"/>
            </w14:solidFill>
          </w14:textFill>
        </w:rPr>
      </w:pPr>
      <w:r>
        <w:rPr>
          <w:rFonts w:hint="eastAsia" w:asciiTheme="minorEastAsia" w:hAnsiTheme="minorEastAsia" w:eastAsiaTheme="minorEastAsia"/>
          <w:color w:val="000000" w:themeColor="text1"/>
          <w:spacing w:val="24"/>
          <w:sz w:val="24"/>
          <w:highlight w:val="none"/>
          <w14:textFill>
            <w14:solidFill>
              <w14:schemeClr w14:val="tx1"/>
            </w14:solidFill>
          </w14:textFill>
        </w:rPr>
        <w:t>日    期：</w:t>
      </w:r>
      <w:r>
        <w:rPr>
          <w:rFonts w:hint="eastAsia" w:asciiTheme="minorEastAsia" w:hAnsiTheme="minorEastAsia" w:eastAsiaTheme="minorEastAsia"/>
          <w:color w:val="000000" w:themeColor="text1"/>
          <w:spacing w:val="24"/>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highlight w:val="none"/>
          <w14:textFill>
            <w14:solidFill>
              <w14:schemeClr w14:val="tx1"/>
            </w14:solidFill>
          </w14:textFill>
        </w:rPr>
        <w:t>年</w:t>
      </w:r>
      <w:r>
        <w:rPr>
          <w:rFonts w:hint="eastAsia" w:asciiTheme="minorEastAsia" w:hAnsiTheme="minorEastAsia" w:eastAsiaTheme="minorEastAsia"/>
          <w:color w:val="000000" w:themeColor="text1"/>
          <w:spacing w:val="24"/>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highlight w:val="none"/>
          <w14:textFill>
            <w14:solidFill>
              <w14:schemeClr w14:val="tx1"/>
            </w14:solidFill>
          </w14:textFill>
        </w:rPr>
        <w:t>月</w:t>
      </w:r>
      <w:r>
        <w:rPr>
          <w:rFonts w:hint="eastAsia" w:asciiTheme="minorEastAsia" w:hAnsiTheme="minorEastAsia" w:eastAsiaTheme="minorEastAsia"/>
          <w:color w:val="000000" w:themeColor="text1"/>
          <w:spacing w:val="24"/>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highlight w:val="none"/>
          <w14:textFill>
            <w14:solidFill>
              <w14:schemeClr w14:val="tx1"/>
            </w14:solidFill>
          </w14:textFill>
        </w:rPr>
        <w:t>日</w:t>
      </w:r>
    </w:p>
    <w:p w14:paraId="5DC76D25">
      <w:pPr>
        <w:pStyle w:val="16"/>
        <w:ind w:firstLine="200"/>
        <w:rPr>
          <w:color w:val="000000" w:themeColor="text1"/>
          <w:highlight w:val="none"/>
          <w14:textFill>
            <w14:solidFill>
              <w14:schemeClr w14:val="tx1"/>
            </w14:solidFill>
          </w14:textFill>
        </w:rPr>
      </w:pPr>
    </w:p>
    <w:p w14:paraId="6364E18D">
      <w:pPr>
        <w:pStyle w:val="8"/>
        <w:ind w:right="164" w:firstLine="560"/>
        <w:rPr>
          <w:color w:val="000000" w:themeColor="text1"/>
          <w:highlight w:val="none"/>
          <w14:textFill>
            <w14:solidFill>
              <w14:schemeClr w14:val="tx1"/>
            </w14:solidFill>
          </w14:textFill>
        </w:rPr>
      </w:pPr>
    </w:p>
    <w:p w14:paraId="1C67F82E">
      <w:pPr>
        <w:rPr>
          <w:color w:val="000000" w:themeColor="text1"/>
          <w:highlight w:val="none"/>
          <w14:textFill>
            <w14:solidFill>
              <w14:schemeClr w14:val="tx1"/>
            </w14:solidFill>
          </w14:textFill>
        </w:rPr>
      </w:pPr>
    </w:p>
    <w:p w14:paraId="1DC0AAC0">
      <w:pPr>
        <w:pStyle w:val="16"/>
        <w:ind w:firstLine="200"/>
        <w:rPr>
          <w:color w:val="000000" w:themeColor="text1"/>
          <w:highlight w:val="none"/>
          <w14:textFill>
            <w14:solidFill>
              <w14:schemeClr w14:val="tx1"/>
            </w14:solidFill>
          </w14:textFill>
        </w:rPr>
      </w:pPr>
    </w:p>
    <w:p w14:paraId="0DA74B76">
      <w:pPr>
        <w:pStyle w:val="8"/>
        <w:ind w:right="164" w:firstLine="560"/>
        <w:rPr>
          <w:color w:val="000000" w:themeColor="text1"/>
          <w:highlight w:val="none"/>
          <w14:textFill>
            <w14:solidFill>
              <w14:schemeClr w14:val="tx1"/>
            </w14:solidFill>
          </w14:textFill>
        </w:rPr>
      </w:pPr>
    </w:p>
    <w:p w14:paraId="2F77AB82">
      <w:pPr>
        <w:rPr>
          <w:color w:val="000000" w:themeColor="text1"/>
          <w:highlight w:val="none"/>
          <w14:textFill>
            <w14:solidFill>
              <w14:schemeClr w14:val="tx1"/>
            </w14:solidFill>
          </w14:textFill>
        </w:rPr>
      </w:pPr>
    </w:p>
    <w:p w14:paraId="1DAAF7A4">
      <w:pPr>
        <w:pStyle w:val="16"/>
        <w:ind w:firstLine="200"/>
        <w:rPr>
          <w:color w:val="000000" w:themeColor="text1"/>
          <w:highlight w:val="none"/>
          <w14:textFill>
            <w14:solidFill>
              <w14:schemeClr w14:val="tx1"/>
            </w14:solidFill>
          </w14:textFill>
        </w:rPr>
      </w:pPr>
    </w:p>
    <w:p w14:paraId="005F9FFC">
      <w:pPr>
        <w:pStyle w:val="8"/>
        <w:ind w:right="164" w:firstLine="560"/>
        <w:rPr>
          <w:color w:val="000000" w:themeColor="text1"/>
          <w:highlight w:val="none"/>
          <w14:textFill>
            <w14:solidFill>
              <w14:schemeClr w14:val="tx1"/>
            </w14:solidFill>
          </w14:textFill>
        </w:rPr>
      </w:pPr>
    </w:p>
    <w:p w14:paraId="63A5FF0E">
      <w:pPr>
        <w:rPr>
          <w:color w:val="000000" w:themeColor="text1"/>
          <w:highlight w:val="none"/>
          <w14:textFill>
            <w14:solidFill>
              <w14:schemeClr w14:val="tx1"/>
            </w14:solidFill>
          </w14:textFill>
        </w:rPr>
      </w:pPr>
    </w:p>
    <w:p w14:paraId="58A0889B">
      <w:pPr>
        <w:pStyle w:val="16"/>
        <w:ind w:firstLine="200"/>
        <w:rPr>
          <w:color w:val="000000" w:themeColor="text1"/>
          <w:highlight w:val="none"/>
          <w14:textFill>
            <w14:solidFill>
              <w14:schemeClr w14:val="tx1"/>
            </w14:solidFill>
          </w14:textFill>
        </w:rPr>
      </w:pPr>
    </w:p>
    <w:p w14:paraId="32691D80">
      <w:pPr>
        <w:pStyle w:val="8"/>
        <w:ind w:right="164" w:firstLine="560"/>
        <w:rPr>
          <w:color w:val="000000" w:themeColor="text1"/>
          <w:highlight w:val="none"/>
          <w14:textFill>
            <w14:solidFill>
              <w14:schemeClr w14:val="tx1"/>
            </w14:solidFill>
          </w14:textFill>
        </w:rPr>
      </w:pPr>
    </w:p>
    <w:p w14:paraId="78D1A93F">
      <w:pPr>
        <w:rPr>
          <w:color w:val="000000" w:themeColor="text1"/>
          <w:highlight w:val="none"/>
          <w14:textFill>
            <w14:solidFill>
              <w14:schemeClr w14:val="tx1"/>
            </w14:solidFill>
          </w14:textFill>
        </w:rPr>
      </w:pPr>
    </w:p>
    <w:p w14:paraId="603B0B3E">
      <w:pPr>
        <w:pStyle w:val="3"/>
        <w:spacing w:line="600" w:lineRule="exact"/>
        <w:jc w:val="center"/>
        <w:rPr>
          <w:rFonts w:hint="eastAsia" w:cs="宋体-PUA" w:asciiTheme="minorEastAsia" w:hAnsiTheme="minorEastAsia" w:eastAsiaTheme="minorEastAsia"/>
          <w:color w:val="000000" w:themeColor="text1"/>
          <w:szCs w:val="24"/>
          <w:highlight w:val="none"/>
          <w14:textFill>
            <w14:solidFill>
              <w14:schemeClr w14:val="tx1"/>
            </w14:solidFill>
          </w14:textFill>
        </w:rPr>
      </w:pPr>
      <w:bookmarkStart w:id="256" w:name="_Toc173510813"/>
      <w:bookmarkStart w:id="257" w:name="_Toc101344078"/>
      <w:bookmarkStart w:id="258" w:name="_Toc19716"/>
      <w:bookmarkStart w:id="259" w:name="_Toc171608870"/>
      <w:bookmarkStart w:id="260" w:name="_Toc68710945"/>
      <w:bookmarkStart w:id="261" w:name="_Toc171612800"/>
      <w:bookmarkStart w:id="262" w:name="_Toc25249224"/>
      <w:r>
        <w:rPr>
          <w:rFonts w:hint="eastAsia" w:cs="宋体-PUA" w:asciiTheme="minorEastAsia" w:hAnsiTheme="minorEastAsia" w:eastAsiaTheme="minorEastAsia"/>
          <w:color w:val="000000" w:themeColor="text1"/>
          <w:szCs w:val="24"/>
          <w:highlight w:val="none"/>
          <w14:textFill>
            <w14:solidFill>
              <w14:schemeClr w14:val="tx1"/>
            </w14:solidFill>
          </w14:textFill>
        </w:rPr>
        <w:t>三、磋商承诺函</w:t>
      </w:r>
      <w:bookmarkEnd w:id="256"/>
      <w:bookmarkEnd w:id="257"/>
      <w:bookmarkEnd w:id="258"/>
      <w:bookmarkEnd w:id="259"/>
      <w:bookmarkEnd w:id="260"/>
      <w:bookmarkEnd w:id="261"/>
      <w:bookmarkEnd w:id="262"/>
    </w:p>
    <w:p w14:paraId="1A51144A">
      <w:pPr>
        <w:spacing w:line="480" w:lineRule="exact"/>
        <w:jc w:val="left"/>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致：（采购人）</w:t>
      </w:r>
    </w:p>
    <w:p w14:paraId="63C10275">
      <w:pPr>
        <w:autoSpaceDE w:val="0"/>
        <w:autoSpaceDN w:val="0"/>
        <w:adjustRightInd w:val="0"/>
        <w:spacing w:line="480" w:lineRule="exact"/>
        <w:ind w:firstLine="564" w:firstLineChars="235"/>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我方已充分了解了</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ab/>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ab/>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（项目名称）</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ab/>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（项目编号）的竞争性磋商文件，愿意遵照本项目《竞争性磋商文件》、《中华人民共和国政府采购法》等有关规定参与竞标，并承诺如下：</w:t>
      </w:r>
    </w:p>
    <w:p w14:paraId="33736468">
      <w:pPr>
        <w:autoSpaceDE w:val="0"/>
        <w:autoSpaceDN w:val="0"/>
        <w:adjustRightInd w:val="0"/>
        <w:spacing w:line="480" w:lineRule="exact"/>
        <w:ind w:firstLine="564" w:firstLineChars="235"/>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1、我方承诺将严格按照“公开、公平、公正和诚实信用原则”参与本项目竞标活动。</w:t>
      </w:r>
    </w:p>
    <w:p w14:paraId="661A8D6C">
      <w:pPr>
        <w:autoSpaceDE w:val="0"/>
        <w:autoSpaceDN w:val="0"/>
        <w:adjustRightInd w:val="0"/>
        <w:spacing w:line="480" w:lineRule="exact"/>
        <w:ind w:firstLine="564" w:firstLineChars="235"/>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2、我方承诺在投标有效期内不撤销响应性文件；</w:t>
      </w:r>
    </w:p>
    <w:p w14:paraId="4226575F">
      <w:pPr>
        <w:autoSpaceDE w:val="0"/>
        <w:autoSpaceDN w:val="0"/>
        <w:adjustRightInd w:val="0"/>
        <w:spacing w:line="480" w:lineRule="exact"/>
        <w:ind w:firstLine="564" w:firstLineChars="235"/>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3、我方承诺在响应性文件及对三门峡市公共资源交易供应商主体信息库中提供的材料真实有效；</w:t>
      </w:r>
    </w:p>
    <w:p w14:paraId="67E66CC2">
      <w:pPr>
        <w:autoSpaceDE w:val="0"/>
        <w:autoSpaceDN w:val="0"/>
        <w:adjustRightInd w:val="0"/>
        <w:spacing w:line="480" w:lineRule="exact"/>
        <w:ind w:firstLine="564" w:firstLineChars="235"/>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4、我方承诺绝不与采购人、其他投标供应商或者代理机构恶意串通的投标；</w:t>
      </w:r>
    </w:p>
    <w:p w14:paraId="0DDEB2EF">
      <w:pPr>
        <w:autoSpaceDE w:val="0"/>
        <w:autoSpaceDN w:val="0"/>
        <w:adjustRightInd w:val="0"/>
        <w:spacing w:line="480" w:lineRule="exact"/>
        <w:ind w:firstLine="564" w:firstLineChars="235"/>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5、我方承诺绝不以他人的名义投标、串通投标、以行贿手段谋取中标或者以其他弄虚作假方式投标；</w:t>
      </w:r>
    </w:p>
    <w:p w14:paraId="7C6A6437">
      <w:pPr>
        <w:autoSpaceDE w:val="0"/>
        <w:autoSpaceDN w:val="0"/>
        <w:adjustRightInd w:val="0"/>
        <w:spacing w:line="480" w:lineRule="exact"/>
        <w:ind w:firstLine="564" w:firstLineChars="235"/>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6、我方承诺绝不采取不正当手段谋取中标；</w:t>
      </w:r>
    </w:p>
    <w:p w14:paraId="12686393">
      <w:pPr>
        <w:autoSpaceDE w:val="0"/>
        <w:autoSpaceDN w:val="0"/>
        <w:adjustRightInd w:val="0"/>
        <w:spacing w:line="480" w:lineRule="exact"/>
        <w:ind w:firstLine="564" w:firstLineChars="235"/>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7、如我方中标，我方承诺在收到成交通知书后，在成交通知书规定的期限内，根据磋商文件、我方的磋商响应文件及有关澄清承诺书的要求，与采购人订立书面合同，并按照合同约定承担完成合同的责任和义务；</w:t>
      </w:r>
    </w:p>
    <w:p w14:paraId="0B690FC4">
      <w:pPr>
        <w:autoSpaceDE w:val="0"/>
        <w:autoSpaceDN w:val="0"/>
        <w:adjustRightInd w:val="0"/>
        <w:spacing w:line="480" w:lineRule="exact"/>
        <w:ind w:firstLine="564" w:firstLineChars="235"/>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8、如我方违反此约定，愿意承担对本项目造成的一切经济损失，并同时依法承担相应法律责任。</w:t>
      </w:r>
    </w:p>
    <w:p w14:paraId="74E2683A">
      <w:pPr>
        <w:topLinePunct/>
        <w:spacing w:line="480" w:lineRule="exact"/>
        <w:ind w:firstLine="480"/>
        <w:rPr>
          <w:rFonts w:asciiTheme="minorEastAsia" w:hAnsiTheme="minorEastAsia" w:eastAsiaTheme="minorEastAsia"/>
          <w:bCs/>
          <w:color w:val="000000" w:themeColor="text1"/>
          <w:sz w:val="24"/>
          <w:highlight w:val="none"/>
          <w14:textFill>
            <w14:solidFill>
              <w14:schemeClr w14:val="tx1"/>
            </w14:solidFill>
          </w14:textFill>
        </w:rPr>
      </w:pPr>
    </w:p>
    <w:p w14:paraId="2DF89483">
      <w:pPr>
        <w:spacing w:line="480" w:lineRule="exact"/>
        <w:ind w:firstLine="2612" w:firstLineChars="907"/>
        <w:rPr>
          <w:rFonts w:asciiTheme="minorEastAsia" w:hAnsiTheme="minorEastAsia" w:eastAsiaTheme="minorEastAsia"/>
          <w:color w:val="000000" w:themeColor="text1"/>
          <w:spacing w:val="24"/>
          <w:sz w:val="24"/>
          <w:highlight w:val="none"/>
          <w14:textFill>
            <w14:solidFill>
              <w14:schemeClr w14:val="tx1"/>
            </w14:solidFill>
          </w14:textFill>
        </w:rPr>
      </w:pPr>
      <w:r>
        <w:rPr>
          <w:rFonts w:hint="eastAsia" w:asciiTheme="minorEastAsia" w:hAnsiTheme="minorEastAsia" w:eastAsiaTheme="minorEastAsia"/>
          <w:color w:val="000000" w:themeColor="text1"/>
          <w:spacing w:val="24"/>
          <w:sz w:val="24"/>
          <w:highlight w:val="none"/>
          <w14:textFill>
            <w14:solidFill>
              <w14:schemeClr w14:val="tx1"/>
            </w14:solidFill>
          </w14:textFill>
        </w:rPr>
        <w:t>磋商供应商：</w:t>
      </w:r>
      <w:r>
        <w:rPr>
          <w:rFonts w:hint="eastAsia" w:asciiTheme="minorEastAsia" w:hAnsiTheme="minorEastAsia" w:eastAsiaTheme="minorEastAsia"/>
          <w:color w:val="000000" w:themeColor="text1"/>
          <w:spacing w:val="24"/>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lang w:val="zh-CN" w:bidi="zh-CN"/>
          <w14:textFill>
            <w14:solidFill>
              <w14:schemeClr w14:val="tx1"/>
            </w14:solidFill>
          </w14:textFill>
        </w:rPr>
        <w:t>单位电子签章</w:t>
      </w:r>
      <w:r>
        <w:rPr>
          <w:rFonts w:hint="eastAsia" w:asciiTheme="minorEastAsia" w:hAnsiTheme="minorEastAsia" w:eastAsiaTheme="minorEastAsia"/>
          <w:color w:val="000000" w:themeColor="text1"/>
          <w:spacing w:val="24"/>
          <w:sz w:val="24"/>
          <w:highlight w:val="none"/>
          <w14:textFill>
            <w14:solidFill>
              <w14:schemeClr w14:val="tx1"/>
            </w14:solidFill>
          </w14:textFill>
        </w:rPr>
        <w:t>）</w:t>
      </w:r>
    </w:p>
    <w:p w14:paraId="19B8B0DE">
      <w:pPr>
        <w:spacing w:line="480" w:lineRule="exact"/>
        <w:ind w:firstLine="2612" w:firstLineChars="907"/>
        <w:rPr>
          <w:rFonts w:asciiTheme="minorEastAsia" w:hAnsiTheme="minorEastAsia" w:eastAsiaTheme="minorEastAsia"/>
          <w:color w:val="000000" w:themeColor="text1"/>
          <w:spacing w:val="24"/>
          <w:sz w:val="24"/>
          <w:highlight w:val="none"/>
          <w14:textFill>
            <w14:solidFill>
              <w14:schemeClr w14:val="tx1"/>
            </w14:solidFill>
          </w14:textFill>
        </w:rPr>
      </w:pPr>
      <w:r>
        <w:rPr>
          <w:rFonts w:hint="eastAsia" w:asciiTheme="minorEastAsia" w:hAnsiTheme="minorEastAsia" w:eastAsiaTheme="minorEastAsia"/>
          <w:color w:val="000000" w:themeColor="text1"/>
          <w:spacing w:val="24"/>
          <w:sz w:val="24"/>
          <w:highlight w:val="none"/>
          <w14:textFill>
            <w14:solidFill>
              <w14:schemeClr w14:val="tx1"/>
            </w14:solidFill>
          </w14:textFill>
        </w:rPr>
        <w:t>法定代表人：</w:t>
      </w:r>
      <w:r>
        <w:rPr>
          <w:rFonts w:hint="eastAsia" w:asciiTheme="minorEastAsia" w:hAnsiTheme="minorEastAsia" w:eastAsiaTheme="minorEastAsia"/>
          <w:color w:val="000000" w:themeColor="text1"/>
          <w:spacing w:val="24"/>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lang w:val="zh-CN" w:bidi="zh-CN"/>
          <w14:textFill>
            <w14:solidFill>
              <w14:schemeClr w14:val="tx1"/>
            </w14:solidFill>
          </w14:textFill>
        </w:rPr>
        <w:t>法人电子签章</w:t>
      </w:r>
      <w:r>
        <w:rPr>
          <w:rFonts w:hint="eastAsia" w:asciiTheme="minorEastAsia" w:hAnsiTheme="minorEastAsia" w:eastAsiaTheme="minorEastAsia"/>
          <w:color w:val="000000" w:themeColor="text1"/>
          <w:spacing w:val="24"/>
          <w:sz w:val="24"/>
          <w:highlight w:val="none"/>
          <w14:textFill>
            <w14:solidFill>
              <w14:schemeClr w14:val="tx1"/>
            </w14:solidFill>
          </w14:textFill>
        </w:rPr>
        <w:t>）</w:t>
      </w:r>
    </w:p>
    <w:p w14:paraId="640A98C5">
      <w:pPr>
        <w:spacing w:line="480" w:lineRule="exact"/>
        <w:ind w:left="-199" w:leftChars="-95" w:right="452" w:firstLine="2612" w:firstLineChars="907"/>
        <w:jc w:val="center"/>
        <w:rPr>
          <w:rFonts w:asciiTheme="minorEastAsia" w:hAnsiTheme="minorEastAsia" w:eastAsiaTheme="minorEastAsia"/>
          <w:color w:val="000000" w:themeColor="text1"/>
          <w:spacing w:val="24"/>
          <w:sz w:val="24"/>
          <w:highlight w:val="none"/>
          <w:u w:val="single"/>
          <w14:textFill>
            <w14:solidFill>
              <w14:schemeClr w14:val="tx1"/>
            </w14:solidFill>
          </w14:textFill>
        </w:rPr>
      </w:pPr>
      <w:r>
        <w:rPr>
          <w:rFonts w:hint="eastAsia" w:asciiTheme="minorEastAsia" w:hAnsiTheme="minorEastAsia" w:eastAsiaTheme="minorEastAsia"/>
          <w:color w:val="000000" w:themeColor="text1"/>
          <w:spacing w:val="24"/>
          <w:sz w:val="24"/>
          <w:highlight w:val="none"/>
          <w14:textFill>
            <w14:solidFill>
              <w14:schemeClr w14:val="tx1"/>
            </w14:solidFill>
          </w14:textFill>
        </w:rPr>
        <w:t>日    期：</w:t>
      </w:r>
      <w:r>
        <w:rPr>
          <w:rFonts w:hint="eastAsia" w:asciiTheme="minorEastAsia" w:hAnsiTheme="minorEastAsia" w:eastAsiaTheme="minorEastAsia"/>
          <w:color w:val="000000" w:themeColor="text1"/>
          <w:spacing w:val="24"/>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highlight w:val="none"/>
          <w14:textFill>
            <w14:solidFill>
              <w14:schemeClr w14:val="tx1"/>
            </w14:solidFill>
          </w14:textFill>
        </w:rPr>
        <w:t>年</w:t>
      </w:r>
      <w:r>
        <w:rPr>
          <w:rFonts w:hint="eastAsia" w:asciiTheme="minorEastAsia" w:hAnsiTheme="minorEastAsia" w:eastAsiaTheme="minorEastAsia"/>
          <w:color w:val="000000" w:themeColor="text1"/>
          <w:spacing w:val="24"/>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highlight w:val="none"/>
          <w14:textFill>
            <w14:solidFill>
              <w14:schemeClr w14:val="tx1"/>
            </w14:solidFill>
          </w14:textFill>
        </w:rPr>
        <w:t>月</w:t>
      </w:r>
      <w:r>
        <w:rPr>
          <w:rFonts w:hint="eastAsia" w:asciiTheme="minorEastAsia" w:hAnsiTheme="minorEastAsia" w:eastAsiaTheme="minorEastAsia"/>
          <w:color w:val="000000" w:themeColor="text1"/>
          <w:spacing w:val="24"/>
          <w:sz w:val="24"/>
          <w:highlight w:val="none"/>
          <w:u w:val="single"/>
          <w14:textFill>
            <w14:solidFill>
              <w14:schemeClr w14:val="tx1"/>
            </w14:solidFill>
          </w14:textFill>
        </w:rPr>
        <w:t xml:space="preserve">  </w:t>
      </w:r>
    </w:p>
    <w:p w14:paraId="0C6CA970">
      <w:pPr>
        <w:pStyle w:val="16"/>
        <w:ind w:firstLine="200"/>
        <w:rPr>
          <w:color w:val="000000" w:themeColor="text1"/>
          <w:highlight w:val="none"/>
          <w14:textFill>
            <w14:solidFill>
              <w14:schemeClr w14:val="tx1"/>
            </w14:solidFill>
          </w14:textFill>
        </w:rPr>
        <w:sectPr>
          <w:pgSz w:w="11906" w:h="16838"/>
          <w:pgMar w:top="1418" w:right="1418" w:bottom="1418" w:left="1588" w:header="851" w:footer="771" w:gutter="0"/>
          <w:cols w:space="720" w:num="1"/>
          <w:docGrid w:linePitch="326" w:charSpace="0"/>
        </w:sectPr>
      </w:pPr>
    </w:p>
    <w:p w14:paraId="68C38AC9">
      <w:pPr>
        <w:pStyle w:val="3"/>
        <w:spacing w:line="600" w:lineRule="exact"/>
        <w:jc w:val="center"/>
        <w:rPr>
          <w:rFonts w:hint="eastAsia" w:cs="宋体-PUA" w:asciiTheme="minorEastAsia" w:hAnsiTheme="minorEastAsia" w:eastAsiaTheme="minorEastAsia"/>
          <w:color w:val="000000" w:themeColor="text1"/>
          <w:szCs w:val="24"/>
          <w:highlight w:val="none"/>
          <w14:textFill>
            <w14:solidFill>
              <w14:schemeClr w14:val="tx1"/>
            </w14:solidFill>
          </w14:textFill>
        </w:rPr>
      </w:pPr>
      <w:bookmarkStart w:id="263" w:name="_Toc173510814"/>
      <w:r>
        <w:rPr>
          <w:rFonts w:hint="eastAsia" w:cs="宋体-PUA" w:asciiTheme="minorEastAsia" w:hAnsiTheme="minorEastAsia" w:eastAsiaTheme="minorEastAsia"/>
          <w:color w:val="000000" w:themeColor="text1"/>
          <w:szCs w:val="24"/>
          <w:highlight w:val="none"/>
          <w:lang w:val="en-US" w:eastAsia="zh-CN"/>
          <w14:textFill>
            <w14:solidFill>
              <w14:schemeClr w14:val="tx1"/>
            </w14:solidFill>
          </w14:textFill>
        </w:rPr>
        <w:t>四、</w:t>
      </w:r>
      <w:r>
        <w:rPr>
          <w:rFonts w:hint="eastAsia" w:cs="宋体-PUA" w:asciiTheme="minorEastAsia" w:hAnsiTheme="minorEastAsia" w:eastAsiaTheme="minorEastAsia"/>
          <w:color w:val="000000" w:themeColor="text1"/>
          <w:szCs w:val="24"/>
          <w:highlight w:val="none"/>
          <w14:textFill>
            <w14:solidFill>
              <w14:schemeClr w14:val="tx1"/>
            </w14:solidFill>
          </w14:textFill>
        </w:rPr>
        <w:t>资格审查</w:t>
      </w:r>
      <w:bookmarkEnd w:id="263"/>
    </w:p>
    <w:p w14:paraId="4C6D9584">
      <w:pP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1</w:t>
      </w:r>
      <w:r>
        <w:rPr>
          <w:rFonts w:hint="eastAsia" w:ascii="宋体" w:hAnsi="宋体" w:cs="宋体"/>
          <w:bCs/>
          <w:color w:val="000000" w:themeColor="text1"/>
          <w:sz w:val="24"/>
          <w:highlight w:val="none"/>
          <w14:textFill>
            <w14:solidFill>
              <w14:schemeClr w14:val="tx1"/>
            </w14:solidFill>
          </w14:textFill>
        </w:rPr>
        <w:t>、供应商基本情况一览表</w:t>
      </w:r>
    </w:p>
    <w:p w14:paraId="0071ECCD">
      <w:pPr>
        <w:rPr>
          <w:rFonts w:ascii="宋体" w:hAnsi="宋体" w:cs="宋体"/>
          <w:color w:val="000000" w:themeColor="text1"/>
          <w:sz w:val="24"/>
          <w:highlight w:val="none"/>
          <w14:textFill>
            <w14:solidFill>
              <w14:schemeClr w14:val="tx1"/>
            </w14:solidFill>
          </w14:textFill>
        </w:rPr>
      </w:pP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2"/>
        <w:gridCol w:w="3909"/>
        <w:gridCol w:w="1318"/>
        <w:gridCol w:w="1357"/>
      </w:tblGrid>
      <w:tr w14:paraId="1457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389" w:type="pct"/>
            <w:vAlign w:val="center"/>
          </w:tcPr>
          <w:p w14:paraId="3FC2C828">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供应商全称</w:t>
            </w:r>
          </w:p>
        </w:tc>
        <w:tc>
          <w:tcPr>
            <w:tcW w:w="3611" w:type="pct"/>
            <w:gridSpan w:val="3"/>
            <w:vAlign w:val="center"/>
          </w:tcPr>
          <w:p w14:paraId="6D8980E1">
            <w:pPr>
              <w:jc w:val="center"/>
              <w:rPr>
                <w:rFonts w:ascii="宋体" w:hAnsi="宋体" w:cs="宋体"/>
                <w:b/>
                <w:color w:val="000000" w:themeColor="text1"/>
                <w:sz w:val="24"/>
                <w:highlight w:val="none"/>
                <w14:textFill>
                  <w14:solidFill>
                    <w14:schemeClr w14:val="tx1"/>
                  </w14:solidFill>
                </w14:textFill>
              </w:rPr>
            </w:pPr>
          </w:p>
        </w:tc>
      </w:tr>
      <w:tr w14:paraId="1325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389" w:type="pct"/>
            <w:vAlign w:val="center"/>
          </w:tcPr>
          <w:p w14:paraId="7051ADF7">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资质证书</w:t>
            </w:r>
          </w:p>
        </w:tc>
        <w:tc>
          <w:tcPr>
            <w:tcW w:w="3611" w:type="pct"/>
            <w:gridSpan w:val="3"/>
            <w:vAlign w:val="center"/>
          </w:tcPr>
          <w:p w14:paraId="33FADCD5">
            <w:pPr>
              <w:jc w:val="center"/>
              <w:rPr>
                <w:rFonts w:ascii="宋体" w:hAnsi="宋体" w:cs="宋体"/>
                <w:b/>
                <w:color w:val="000000" w:themeColor="text1"/>
                <w:sz w:val="24"/>
                <w:highlight w:val="none"/>
                <w14:textFill>
                  <w14:solidFill>
                    <w14:schemeClr w14:val="tx1"/>
                  </w14:solidFill>
                </w14:textFill>
              </w:rPr>
            </w:pPr>
          </w:p>
        </w:tc>
      </w:tr>
      <w:tr w14:paraId="1616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389" w:type="pct"/>
            <w:vAlign w:val="center"/>
          </w:tcPr>
          <w:p w14:paraId="33ACE529">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主要业务范围</w:t>
            </w:r>
          </w:p>
        </w:tc>
        <w:tc>
          <w:tcPr>
            <w:tcW w:w="3611" w:type="pct"/>
            <w:gridSpan w:val="3"/>
            <w:vAlign w:val="center"/>
          </w:tcPr>
          <w:p w14:paraId="2D2A60FB">
            <w:pPr>
              <w:jc w:val="center"/>
              <w:rPr>
                <w:rFonts w:ascii="宋体" w:hAnsi="宋体" w:cs="宋体"/>
                <w:b/>
                <w:color w:val="000000" w:themeColor="text1"/>
                <w:sz w:val="24"/>
                <w:highlight w:val="none"/>
                <w14:textFill>
                  <w14:solidFill>
                    <w14:schemeClr w14:val="tx1"/>
                  </w14:solidFill>
                </w14:textFill>
              </w:rPr>
            </w:pPr>
          </w:p>
        </w:tc>
      </w:tr>
      <w:tr w14:paraId="59AD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389" w:type="pct"/>
            <w:vAlign w:val="center"/>
          </w:tcPr>
          <w:p w14:paraId="430436A4">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法定代表人姓名</w:t>
            </w:r>
          </w:p>
        </w:tc>
        <w:tc>
          <w:tcPr>
            <w:tcW w:w="2144" w:type="pct"/>
            <w:vAlign w:val="center"/>
          </w:tcPr>
          <w:p w14:paraId="068BD66C">
            <w:pPr>
              <w:jc w:val="center"/>
              <w:rPr>
                <w:rFonts w:ascii="宋体" w:hAnsi="宋体" w:cs="宋体"/>
                <w:b/>
                <w:color w:val="000000" w:themeColor="text1"/>
                <w:sz w:val="24"/>
                <w:highlight w:val="none"/>
                <w14:textFill>
                  <w14:solidFill>
                    <w14:schemeClr w14:val="tx1"/>
                  </w14:solidFill>
                </w14:textFill>
              </w:rPr>
            </w:pPr>
          </w:p>
        </w:tc>
        <w:tc>
          <w:tcPr>
            <w:tcW w:w="723" w:type="pct"/>
            <w:vAlign w:val="center"/>
          </w:tcPr>
          <w:p w14:paraId="5E453CF3">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tc>
        <w:tc>
          <w:tcPr>
            <w:tcW w:w="744" w:type="pct"/>
            <w:vAlign w:val="center"/>
          </w:tcPr>
          <w:p w14:paraId="4B8D7BBC">
            <w:pPr>
              <w:jc w:val="center"/>
              <w:rPr>
                <w:rFonts w:ascii="宋体" w:hAnsi="宋体" w:cs="宋体"/>
                <w:b/>
                <w:color w:val="000000" w:themeColor="text1"/>
                <w:sz w:val="24"/>
                <w:highlight w:val="none"/>
                <w14:textFill>
                  <w14:solidFill>
                    <w14:schemeClr w14:val="tx1"/>
                  </w14:solidFill>
                </w14:textFill>
              </w:rPr>
            </w:pPr>
          </w:p>
        </w:tc>
      </w:tr>
      <w:tr w14:paraId="7B2F7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389" w:type="pct"/>
            <w:vAlign w:val="center"/>
          </w:tcPr>
          <w:p w14:paraId="74C9FF97">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供应商地址</w:t>
            </w:r>
          </w:p>
        </w:tc>
        <w:tc>
          <w:tcPr>
            <w:tcW w:w="2144" w:type="pct"/>
            <w:vAlign w:val="center"/>
          </w:tcPr>
          <w:p w14:paraId="464971E1">
            <w:pPr>
              <w:jc w:val="center"/>
              <w:rPr>
                <w:rFonts w:ascii="宋体" w:hAnsi="宋体" w:cs="宋体"/>
                <w:b/>
                <w:color w:val="000000" w:themeColor="text1"/>
                <w:sz w:val="24"/>
                <w:highlight w:val="none"/>
                <w14:textFill>
                  <w14:solidFill>
                    <w14:schemeClr w14:val="tx1"/>
                  </w14:solidFill>
                </w14:textFill>
              </w:rPr>
            </w:pPr>
          </w:p>
        </w:tc>
        <w:tc>
          <w:tcPr>
            <w:tcW w:w="723" w:type="pct"/>
            <w:vAlign w:val="center"/>
          </w:tcPr>
          <w:p w14:paraId="511B10E8">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w:t>
            </w:r>
          </w:p>
        </w:tc>
        <w:tc>
          <w:tcPr>
            <w:tcW w:w="744" w:type="pct"/>
            <w:vAlign w:val="center"/>
          </w:tcPr>
          <w:p w14:paraId="3F413A6F">
            <w:pPr>
              <w:jc w:val="center"/>
              <w:rPr>
                <w:rFonts w:ascii="宋体" w:hAnsi="宋体" w:cs="宋体"/>
                <w:b/>
                <w:color w:val="000000" w:themeColor="text1"/>
                <w:sz w:val="24"/>
                <w:highlight w:val="none"/>
                <w14:textFill>
                  <w14:solidFill>
                    <w14:schemeClr w14:val="tx1"/>
                  </w14:solidFill>
                </w14:textFill>
              </w:rPr>
            </w:pPr>
          </w:p>
        </w:tc>
      </w:tr>
      <w:tr w14:paraId="6C3CE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389" w:type="pct"/>
            <w:vAlign w:val="center"/>
          </w:tcPr>
          <w:p w14:paraId="1AA8C7D0">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w:t>
            </w:r>
          </w:p>
        </w:tc>
        <w:tc>
          <w:tcPr>
            <w:tcW w:w="2144" w:type="pct"/>
            <w:vAlign w:val="center"/>
          </w:tcPr>
          <w:p w14:paraId="527AD8DC">
            <w:pPr>
              <w:jc w:val="center"/>
              <w:rPr>
                <w:rFonts w:ascii="宋体" w:hAnsi="宋体" w:cs="宋体"/>
                <w:b/>
                <w:color w:val="000000" w:themeColor="text1"/>
                <w:sz w:val="24"/>
                <w:highlight w:val="none"/>
                <w14:textFill>
                  <w14:solidFill>
                    <w14:schemeClr w14:val="tx1"/>
                  </w14:solidFill>
                </w14:textFill>
              </w:rPr>
            </w:pPr>
          </w:p>
        </w:tc>
        <w:tc>
          <w:tcPr>
            <w:tcW w:w="723" w:type="pct"/>
            <w:vAlign w:val="center"/>
          </w:tcPr>
          <w:p w14:paraId="6E848E47">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p>
        </w:tc>
        <w:tc>
          <w:tcPr>
            <w:tcW w:w="744" w:type="pct"/>
            <w:vAlign w:val="center"/>
          </w:tcPr>
          <w:p w14:paraId="6C0D1614">
            <w:pPr>
              <w:jc w:val="center"/>
              <w:rPr>
                <w:rFonts w:ascii="宋体" w:hAnsi="宋体" w:cs="宋体"/>
                <w:b/>
                <w:color w:val="000000" w:themeColor="text1"/>
                <w:sz w:val="24"/>
                <w:highlight w:val="none"/>
                <w14:textFill>
                  <w14:solidFill>
                    <w14:schemeClr w14:val="tx1"/>
                  </w14:solidFill>
                </w14:textFill>
              </w:rPr>
            </w:pPr>
          </w:p>
        </w:tc>
      </w:tr>
      <w:tr w14:paraId="1CF8F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389" w:type="pct"/>
            <w:vAlign w:val="center"/>
          </w:tcPr>
          <w:p w14:paraId="1035D2A5">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  立  日  期</w:t>
            </w:r>
          </w:p>
        </w:tc>
        <w:tc>
          <w:tcPr>
            <w:tcW w:w="2144" w:type="pct"/>
            <w:vAlign w:val="center"/>
          </w:tcPr>
          <w:p w14:paraId="19B89E3C">
            <w:pPr>
              <w:jc w:val="center"/>
              <w:rPr>
                <w:rFonts w:ascii="宋体" w:hAnsi="宋体" w:cs="宋体"/>
                <w:b/>
                <w:color w:val="000000" w:themeColor="text1"/>
                <w:sz w:val="24"/>
                <w:highlight w:val="none"/>
                <w14:textFill>
                  <w14:solidFill>
                    <w14:schemeClr w14:val="tx1"/>
                  </w14:solidFill>
                </w14:textFill>
              </w:rPr>
            </w:pPr>
          </w:p>
        </w:tc>
        <w:tc>
          <w:tcPr>
            <w:tcW w:w="723" w:type="pct"/>
            <w:vAlign w:val="center"/>
          </w:tcPr>
          <w:p w14:paraId="0B4E0E39">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现 有 职</w:t>
            </w:r>
          </w:p>
          <w:p w14:paraId="07098E17">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 人 数</w:t>
            </w:r>
          </w:p>
        </w:tc>
        <w:tc>
          <w:tcPr>
            <w:tcW w:w="744" w:type="pct"/>
            <w:vAlign w:val="center"/>
          </w:tcPr>
          <w:p w14:paraId="6BFBFEB5">
            <w:pPr>
              <w:jc w:val="center"/>
              <w:rPr>
                <w:rFonts w:ascii="宋体" w:hAnsi="宋体" w:cs="宋体"/>
                <w:b/>
                <w:color w:val="000000" w:themeColor="text1"/>
                <w:sz w:val="24"/>
                <w:highlight w:val="none"/>
                <w14:textFill>
                  <w14:solidFill>
                    <w14:schemeClr w14:val="tx1"/>
                  </w14:solidFill>
                </w14:textFill>
              </w:rPr>
            </w:pPr>
          </w:p>
        </w:tc>
      </w:tr>
    </w:tbl>
    <w:p w14:paraId="209D1E81">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注：供应商需随此表附上营业执照</w:t>
      </w:r>
      <w:r>
        <w:rPr>
          <w:rFonts w:hint="eastAsia" w:ascii="宋体" w:hAnsi="宋体" w:cs="宋体"/>
          <w:color w:val="000000" w:themeColor="text1"/>
          <w:sz w:val="24"/>
          <w:highlight w:val="none"/>
          <w:lang w:val="en-US" w:eastAsia="zh-CN"/>
          <w14:textFill>
            <w14:solidFill>
              <w14:schemeClr w14:val="tx1"/>
            </w14:solidFill>
          </w14:textFill>
        </w:rPr>
        <w:t>资质证书</w:t>
      </w:r>
      <w:r>
        <w:rPr>
          <w:rFonts w:hint="eastAsia" w:ascii="宋体" w:hAnsi="宋体" w:cs="宋体"/>
          <w:color w:val="000000" w:themeColor="text1"/>
          <w:sz w:val="24"/>
          <w:highlight w:val="none"/>
          <w14:textFill>
            <w14:solidFill>
              <w14:schemeClr w14:val="tx1"/>
            </w14:solidFill>
          </w14:textFill>
        </w:rPr>
        <w:t>等文件的复印件。</w:t>
      </w:r>
    </w:p>
    <w:p w14:paraId="10728FB5">
      <w:pPr>
        <w:spacing w:line="480" w:lineRule="auto"/>
        <w:rPr>
          <w:rFonts w:ascii="宋体" w:hAnsi="宋体" w:cs="宋体"/>
          <w:bCs/>
          <w:color w:val="000000" w:themeColor="text1"/>
          <w:sz w:val="24"/>
          <w:highlight w:val="none"/>
          <w14:textFill>
            <w14:solidFill>
              <w14:schemeClr w14:val="tx1"/>
            </w14:solidFill>
          </w14:textFill>
        </w:rPr>
      </w:pPr>
    </w:p>
    <w:p w14:paraId="1A23F659">
      <w:pPr>
        <w:spacing w:line="480" w:lineRule="auto"/>
        <w:rPr>
          <w:rFonts w:ascii="宋体" w:hAnsi="宋体" w:cs="宋体"/>
          <w:bCs/>
          <w:color w:val="000000" w:themeColor="text1"/>
          <w:sz w:val="24"/>
          <w:highlight w:val="none"/>
          <w14:textFill>
            <w14:solidFill>
              <w14:schemeClr w14:val="tx1"/>
            </w14:solidFill>
          </w14:textFill>
        </w:rPr>
      </w:pPr>
    </w:p>
    <w:p w14:paraId="6C6BA7B0">
      <w:pPr>
        <w:spacing w:line="480" w:lineRule="auto"/>
        <w:rPr>
          <w:rFonts w:ascii="宋体" w:hAnsi="宋体" w:cs="宋体"/>
          <w:bCs/>
          <w:color w:val="000000" w:themeColor="text1"/>
          <w:sz w:val="24"/>
          <w:highlight w:val="none"/>
          <w14:textFill>
            <w14:solidFill>
              <w14:schemeClr w14:val="tx1"/>
            </w14:solidFill>
          </w14:textFill>
        </w:rPr>
      </w:pPr>
    </w:p>
    <w:p w14:paraId="6D004FCB">
      <w:pPr>
        <w:spacing w:line="480" w:lineRule="auto"/>
        <w:rPr>
          <w:rFonts w:ascii="宋体" w:hAnsi="宋体" w:cs="宋体"/>
          <w:bCs/>
          <w:color w:val="000000" w:themeColor="text1"/>
          <w:sz w:val="24"/>
          <w:highlight w:val="none"/>
          <w14:textFill>
            <w14:solidFill>
              <w14:schemeClr w14:val="tx1"/>
            </w14:solidFill>
          </w14:textFill>
        </w:rPr>
      </w:pPr>
    </w:p>
    <w:p w14:paraId="55093CCB">
      <w:pPr>
        <w:spacing w:line="480" w:lineRule="auto"/>
        <w:rPr>
          <w:rFonts w:ascii="宋体" w:hAnsi="宋体" w:cs="宋体"/>
          <w:bCs/>
          <w:color w:val="000000" w:themeColor="text1"/>
          <w:sz w:val="24"/>
          <w:highlight w:val="none"/>
          <w14:textFill>
            <w14:solidFill>
              <w14:schemeClr w14:val="tx1"/>
            </w14:solidFill>
          </w14:textFill>
        </w:rPr>
      </w:pPr>
    </w:p>
    <w:p w14:paraId="2FBCE0DD">
      <w:pPr>
        <w:spacing w:line="480" w:lineRule="auto"/>
        <w:rPr>
          <w:rFonts w:ascii="宋体" w:hAnsi="宋体" w:cs="宋体"/>
          <w:bCs/>
          <w:color w:val="000000" w:themeColor="text1"/>
          <w:sz w:val="24"/>
          <w:highlight w:val="none"/>
          <w14:textFill>
            <w14:solidFill>
              <w14:schemeClr w14:val="tx1"/>
            </w14:solidFill>
          </w14:textFill>
        </w:rPr>
      </w:pPr>
    </w:p>
    <w:p w14:paraId="4D9503DB">
      <w:pPr>
        <w:spacing w:line="480" w:lineRule="auto"/>
        <w:rPr>
          <w:rFonts w:ascii="宋体" w:hAnsi="宋体" w:cs="宋体"/>
          <w:bCs/>
          <w:color w:val="000000" w:themeColor="text1"/>
          <w:sz w:val="24"/>
          <w:highlight w:val="none"/>
          <w14:textFill>
            <w14:solidFill>
              <w14:schemeClr w14:val="tx1"/>
            </w14:solidFill>
          </w14:textFill>
        </w:rPr>
      </w:pPr>
    </w:p>
    <w:p w14:paraId="391FEA71">
      <w:pPr>
        <w:spacing w:line="480" w:lineRule="auto"/>
        <w:rPr>
          <w:rFonts w:ascii="宋体" w:hAnsi="宋体" w:cs="宋体"/>
          <w:bCs/>
          <w:color w:val="000000" w:themeColor="text1"/>
          <w:sz w:val="24"/>
          <w:highlight w:val="none"/>
          <w14:textFill>
            <w14:solidFill>
              <w14:schemeClr w14:val="tx1"/>
            </w14:solidFill>
          </w14:textFill>
        </w:rPr>
      </w:pPr>
    </w:p>
    <w:p w14:paraId="17C78EEA">
      <w:pPr>
        <w:spacing w:line="480" w:lineRule="auto"/>
        <w:rPr>
          <w:rFonts w:ascii="宋体" w:hAnsi="宋体" w:cs="宋体"/>
          <w:bCs/>
          <w:color w:val="000000" w:themeColor="text1"/>
          <w:sz w:val="24"/>
          <w:highlight w:val="none"/>
          <w14:textFill>
            <w14:solidFill>
              <w14:schemeClr w14:val="tx1"/>
            </w14:solidFill>
          </w14:textFill>
        </w:rPr>
      </w:pPr>
    </w:p>
    <w:p w14:paraId="30DB785E">
      <w:pPr>
        <w:spacing w:line="480" w:lineRule="auto"/>
        <w:rPr>
          <w:rFonts w:ascii="宋体" w:hAnsi="宋体" w:cs="宋体"/>
          <w:bCs/>
          <w:color w:val="000000" w:themeColor="text1"/>
          <w:sz w:val="24"/>
          <w:highlight w:val="none"/>
          <w14:textFill>
            <w14:solidFill>
              <w14:schemeClr w14:val="tx1"/>
            </w14:solidFill>
          </w14:textFill>
        </w:rPr>
      </w:pPr>
    </w:p>
    <w:p w14:paraId="3AE9BEF7">
      <w:pPr>
        <w:spacing w:line="48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 xml:space="preserve"> 致：</w:t>
      </w:r>
      <w:r>
        <w:rPr>
          <w:rFonts w:hint="eastAsia" w:ascii="宋体" w:hAnsi="宋体" w:cs="宋体"/>
          <w:bCs/>
          <w:color w:val="000000" w:themeColor="text1"/>
          <w:sz w:val="24"/>
          <w:highlight w:val="none"/>
          <w:u w:val="single"/>
          <w14:textFill>
            <w14:solidFill>
              <w14:schemeClr w14:val="tx1"/>
            </w14:solidFill>
          </w14:textFill>
        </w:rPr>
        <w:t xml:space="preserve">            （采购人）</w:t>
      </w:r>
      <w:r>
        <w:rPr>
          <w:rFonts w:hint="eastAsia" w:ascii="宋体" w:hAnsi="宋体" w:cs="宋体"/>
          <w:bCs/>
          <w:color w:val="000000" w:themeColor="text1"/>
          <w:sz w:val="24"/>
          <w:highlight w:val="none"/>
          <w14:textFill>
            <w14:solidFill>
              <w14:schemeClr w14:val="tx1"/>
            </w14:solidFill>
          </w14:textFill>
        </w:rPr>
        <w:t>：</w:t>
      </w:r>
    </w:p>
    <w:p w14:paraId="59E6E3E1">
      <w:pPr>
        <w:spacing w:line="48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我公司未被列入失信被执行人、税收违法黑名单，“政府采购严重违法失信行为记录名单”，且符合《中华人民共和国政府采购法》第二十二条规定条件。</w:t>
      </w:r>
    </w:p>
    <w:p w14:paraId="34239CCF">
      <w:pPr>
        <w:spacing w:line="48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特此告知。     </w:t>
      </w:r>
    </w:p>
    <w:p w14:paraId="5C57FBCE">
      <w:pPr>
        <w:spacing w:line="48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我公司声明以上内容属实，如若不实则承担因我方就此弄虚作假所引起的一切法律后果。</w:t>
      </w:r>
    </w:p>
    <w:p w14:paraId="303F227B">
      <w:pPr>
        <w:spacing w:line="48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投标供应商（公章）：</w:t>
      </w:r>
    </w:p>
    <w:p w14:paraId="796315C1">
      <w:pPr>
        <w:spacing w:line="480" w:lineRule="auto"/>
        <w:jc w:val="righ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法定代表人或委托代理人：（签字或盖章） </w:t>
      </w:r>
    </w:p>
    <w:p w14:paraId="671FA9CA">
      <w:pPr>
        <w:spacing w:line="480" w:lineRule="auto"/>
        <w:jc w:val="righ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年    月    日</w:t>
      </w:r>
    </w:p>
    <w:p w14:paraId="2E7F9DE9">
      <w:pPr>
        <w:spacing w:line="480" w:lineRule="auto"/>
        <w:rPr>
          <w:rFonts w:ascii="宋体" w:hAnsi="宋体" w:cs="宋体"/>
          <w:bCs/>
          <w:color w:val="000000" w:themeColor="text1"/>
          <w:sz w:val="24"/>
          <w:highlight w:val="none"/>
          <w14:textFill>
            <w14:solidFill>
              <w14:schemeClr w14:val="tx1"/>
            </w14:solidFill>
          </w14:textFill>
        </w:rPr>
      </w:pPr>
    </w:p>
    <w:p w14:paraId="6270C7C2">
      <w:pPr>
        <w:spacing w:line="360" w:lineRule="auto"/>
        <w:ind w:firstLine="480" w:firstLineChars="200"/>
        <w:jc w:val="left"/>
        <w:rPr>
          <w:rFonts w:asciiTheme="minorEastAsia" w:hAnsiTheme="minorEastAsia" w:eastAsiaTheme="minorEastAsia"/>
          <w:color w:val="000000" w:themeColor="text1"/>
          <w:sz w:val="24"/>
          <w:highlight w:val="none"/>
          <w:c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、具有履行本项目采购内容所必须的设备和专业技术服务能力(提供证明材料或承诺书)；</w:t>
      </w:r>
    </w:p>
    <w:p w14:paraId="091ABE45">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、具有依法缴纳税收（提供202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 w:val="24"/>
          <w:highlight w:val="none"/>
          <w14:textFill>
            <w14:solidFill>
              <w14:schemeClr w14:val="tx1"/>
            </w14:solidFill>
          </w14:textFill>
        </w:rPr>
        <w:t>年01月以来</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任意一个</w:t>
      </w:r>
      <w:r>
        <w:rPr>
          <w:rFonts w:hint="eastAsia" w:asciiTheme="minorEastAsia" w:hAnsiTheme="minorEastAsia" w:eastAsiaTheme="minorEastAsia"/>
          <w:color w:val="000000" w:themeColor="text1"/>
          <w:sz w:val="24"/>
          <w:highlight w:val="none"/>
          <w14:textFill>
            <w14:solidFill>
              <w14:schemeClr w14:val="tx1"/>
            </w14:solidFill>
          </w14:textFill>
        </w:rPr>
        <w:t>月的税收缴纳证明材料；注：依法免税的，应提供税务部门出具的依法免税证明材料）和社会保障资金（提供</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2025</w:t>
      </w:r>
      <w:r>
        <w:rPr>
          <w:rFonts w:hint="eastAsia" w:asciiTheme="minorEastAsia" w:hAnsiTheme="minorEastAsia" w:eastAsiaTheme="minorEastAsia"/>
          <w:color w:val="000000" w:themeColor="text1"/>
          <w:sz w:val="24"/>
          <w:highlight w:val="none"/>
          <w14:textFill>
            <w14:solidFill>
              <w14:schemeClr w14:val="tx1"/>
            </w14:solidFill>
          </w14:textFill>
        </w:rPr>
        <w:t>年01月以来项目负责人</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任意一个月</w:t>
      </w:r>
      <w:r>
        <w:rPr>
          <w:rFonts w:hint="eastAsia" w:asciiTheme="minorEastAsia" w:hAnsiTheme="minorEastAsia" w:eastAsiaTheme="minorEastAsia"/>
          <w:color w:val="000000" w:themeColor="text1"/>
          <w:sz w:val="24"/>
          <w:highlight w:val="none"/>
          <w14:textFill>
            <w14:solidFill>
              <w14:schemeClr w14:val="tx1"/>
            </w14:solidFill>
          </w14:textFill>
        </w:rPr>
        <w:t>的社保证明材料）；</w:t>
      </w:r>
    </w:p>
    <w:p w14:paraId="028BE248">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 w:val="24"/>
          <w:highlight w:val="none"/>
          <w14:textFill>
            <w14:solidFill>
              <w14:schemeClr w14:val="tx1"/>
            </w14:solidFill>
          </w14:textFill>
        </w:rPr>
        <w:t>、具有良好的商业信誉和健全的财务会计制度，提供近三年经审计的财务报告（或财务报表）</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新成立公司无审计报告应附最新的财务报表说明；</w:t>
      </w:r>
    </w:p>
    <w:p w14:paraId="4BE85646">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4"/>
          <w:highlight w:val="none"/>
          <w14:textFill>
            <w14:solidFill>
              <w14:schemeClr w14:val="tx1"/>
            </w14:solidFill>
          </w14:textFill>
        </w:rPr>
        <w:t>、参加政府采购活动前3年内无行贿犯罪记录；（提供《中国裁判文书网》查询结果网页截图或企业自行承诺的无行贿犯罪承诺书，查询&lt;承诺&gt;对象为“企业，法定代表人，项目负责人”）；</w:t>
      </w:r>
    </w:p>
    <w:p w14:paraId="5AAE9488">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z w:val="24"/>
          <w:highlight w:val="none"/>
          <w14:textFill>
            <w14:solidFill>
              <w14:schemeClr w14:val="tx1"/>
            </w14:solidFill>
          </w14:textFill>
        </w:rPr>
        <w:t>、参加政府采购活动前3年内无商业贿赂、不正当竞争行为、骗取中标、严重违约及重大质量等问题，（供应商须自行出具承诺书）；</w:t>
      </w:r>
    </w:p>
    <w:p w14:paraId="11D34E0B">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8</w:t>
      </w:r>
      <w:r>
        <w:rPr>
          <w:rFonts w:hint="eastAsia" w:asciiTheme="minorEastAsia" w:hAnsiTheme="minorEastAsia" w:eastAsiaTheme="minorEastAsia"/>
          <w:color w:val="000000" w:themeColor="text1"/>
          <w:sz w:val="24"/>
          <w:highlight w:val="none"/>
          <w14:textFill>
            <w14:solidFill>
              <w14:schemeClr w14:val="tx1"/>
            </w14:solidFill>
          </w14:textFill>
        </w:rPr>
        <w:t>、根据《关于在政府采购活动中查询及使用信用记录有关问题的通知》(财库[2016]125号) 和豫财购【2016】15号的规定，企业没有被列入“信用中国”网站的“失信被执行人”、“重大税收违法失信主体”及“中国政府采购网”网站的“政府采购严重违法失信行为记录名单”的投标供应商；（查询渠道：“信用中国”网站（www.creditchina.gov.cn）、中国政府采购网（www.ccgp.gov.cn）提供网站的查询信息截图；(注：査询时间必须是磋商公告发布以后开标时间以前并提供网站查询网页截图，查询结果清晰可见)；</w:t>
      </w:r>
    </w:p>
    <w:p w14:paraId="5D8022F3">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9</w:t>
      </w:r>
      <w:r>
        <w:rPr>
          <w:rFonts w:hint="eastAsia" w:asciiTheme="minorEastAsia" w:hAnsiTheme="minorEastAsia" w:eastAsiaTheme="minorEastAsia"/>
          <w:color w:val="000000" w:themeColor="text1"/>
          <w:sz w:val="24"/>
          <w:highlight w:val="none"/>
          <w14:textFill>
            <w14:solidFill>
              <w14:schemeClr w14:val="tx1"/>
            </w14:solidFill>
          </w14:textFill>
        </w:rPr>
        <w:t>、单位负责人为同一人或者存在控股、管理关系的不同单位，不得参加同一标段投标或者未划分标段的同一招标项目投标,提供投标企业在“国家企业信用信息公示系统”中公示的公司信息、股东或投资人信息”。</w:t>
      </w:r>
    </w:p>
    <w:p w14:paraId="21DB8A5E">
      <w:pPr>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10</w:t>
      </w:r>
      <w:r>
        <w:rPr>
          <w:rFonts w:hint="eastAsia" w:asciiTheme="minorEastAsia" w:hAnsiTheme="minorEastAsia" w:eastAsiaTheme="minorEastAsia"/>
          <w:color w:val="000000" w:themeColor="text1"/>
          <w:sz w:val="24"/>
          <w:highlight w:val="none"/>
          <w14:textFill>
            <w14:solidFill>
              <w14:schemeClr w14:val="tx1"/>
            </w14:solidFill>
          </w14:textFill>
        </w:rPr>
        <w:t>、本项目不接受联合体投标；</w:t>
      </w:r>
    </w:p>
    <w:p w14:paraId="614D8598">
      <w:pPr>
        <w:pStyle w:val="16"/>
        <w:keepNext w:val="0"/>
        <w:keepLines w:val="0"/>
        <w:pageBreakBefore w:val="0"/>
        <w:widowControl/>
        <w:tabs>
          <w:tab w:val="left" w:pos="219"/>
        </w:tabs>
        <w:kinsoku/>
        <w:wordWrap/>
        <w:overflowPunct/>
        <w:topLinePunct w:val="0"/>
        <w:autoSpaceDE/>
        <w:autoSpaceDN/>
        <w:bidi w:val="0"/>
        <w:adjustRightInd/>
        <w:snapToGrid/>
        <w:spacing w:line="360" w:lineRule="auto"/>
        <w:ind w:firstLine="400" w:firstLineChars="200"/>
        <w:textAlignment w:val="auto"/>
        <w:rPr>
          <w:color w:val="000000" w:themeColor="text1"/>
          <w:highlight w:val="none"/>
          <w14:textFill>
            <w14:solidFill>
              <w14:schemeClr w14:val="tx1"/>
            </w14:solidFill>
          </w14:textFill>
        </w:rPr>
      </w:pPr>
    </w:p>
    <w:p w14:paraId="5997CD4D">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w:t>
      </w:r>
    </w:p>
    <w:p w14:paraId="42B0C33B">
      <w:pPr>
        <w:pStyle w:val="16"/>
        <w:tabs>
          <w:tab w:val="left" w:pos="219"/>
        </w:tabs>
        <w:ind w:firstLine="240"/>
        <w:rPr>
          <w:rFonts w:ascii="宋体" w:hAnsi="宋体" w:cs="宋体"/>
          <w:bCs/>
          <w:color w:val="000000" w:themeColor="text1"/>
          <w:sz w:val="24"/>
          <w:highlight w:val="none"/>
          <w14:textFill>
            <w14:solidFill>
              <w14:schemeClr w14:val="tx1"/>
            </w14:solidFill>
          </w14:textFill>
        </w:rPr>
      </w:pPr>
    </w:p>
    <w:p w14:paraId="639C6C5D">
      <w:pPr>
        <w:pStyle w:val="8"/>
        <w:tabs>
          <w:tab w:val="left" w:pos="945"/>
          <w:tab w:val="left" w:pos="1155"/>
        </w:tabs>
        <w:ind w:right="164" w:firstLine="480"/>
        <w:rPr>
          <w:rFonts w:hAnsi="宋体" w:eastAsia="宋体"/>
          <w:bCs/>
          <w:color w:val="000000" w:themeColor="text1"/>
          <w:sz w:val="24"/>
          <w:highlight w:val="none"/>
          <w14:textFill>
            <w14:solidFill>
              <w14:schemeClr w14:val="tx1"/>
            </w14:solidFill>
          </w14:textFill>
        </w:rPr>
      </w:pPr>
    </w:p>
    <w:p w14:paraId="4B5EADA2">
      <w:pPr>
        <w:rPr>
          <w:rFonts w:ascii="宋体" w:hAnsi="宋体" w:cs="宋体"/>
          <w:bCs/>
          <w:color w:val="000000" w:themeColor="text1"/>
          <w:sz w:val="24"/>
          <w:highlight w:val="none"/>
          <w14:textFill>
            <w14:solidFill>
              <w14:schemeClr w14:val="tx1"/>
            </w14:solidFill>
          </w14:textFill>
        </w:rPr>
      </w:pPr>
    </w:p>
    <w:p w14:paraId="47DC1C35">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14:paraId="30E83E8A">
      <w:pPr>
        <w:pStyle w:val="3"/>
        <w:spacing w:line="600" w:lineRule="exact"/>
        <w:jc w:val="center"/>
        <w:rPr>
          <w:rFonts w:hint="eastAsia" w:cs="宋体-PUA" w:asciiTheme="minorEastAsia" w:hAnsiTheme="minorEastAsia" w:eastAsiaTheme="minorEastAsia"/>
          <w:color w:val="000000" w:themeColor="text1"/>
          <w:szCs w:val="24"/>
          <w:highlight w:val="none"/>
          <w:lang w:val="en-US" w:eastAsia="zh-CN"/>
          <w14:textFill>
            <w14:solidFill>
              <w14:schemeClr w14:val="tx1"/>
            </w14:solidFill>
          </w14:textFill>
        </w:rPr>
      </w:pPr>
      <w:bookmarkStart w:id="264" w:name="_Toc27686"/>
      <w:bookmarkStart w:id="265" w:name="_Toc101344080"/>
      <w:bookmarkStart w:id="266" w:name="_Toc171608872"/>
      <w:bookmarkStart w:id="267" w:name="_Toc171612802"/>
      <w:bookmarkStart w:id="268" w:name="_Toc173510815"/>
      <w:bookmarkStart w:id="269" w:name="_Toc152045807"/>
      <w:bookmarkStart w:id="270" w:name="_Toc152042596"/>
      <w:bookmarkStart w:id="271" w:name="_Toc246997115"/>
      <w:bookmarkStart w:id="272" w:name="_Toc247085890"/>
      <w:bookmarkStart w:id="273" w:name="_Toc179632827"/>
      <w:bookmarkStart w:id="274" w:name="_Toc144974875"/>
      <w:bookmarkStart w:id="275" w:name="_Toc246996372"/>
      <w:bookmarkStart w:id="276" w:name="_Toc68710948"/>
      <w:bookmarkStart w:id="277" w:name="_Toc3714"/>
      <w:bookmarkStart w:id="278" w:name="_Toc296602617"/>
      <w:r>
        <w:rPr>
          <w:rFonts w:hint="eastAsia" w:cs="宋体-PUA" w:asciiTheme="minorEastAsia" w:hAnsiTheme="minorEastAsia" w:eastAsiaTheme="minorEastAsia"/>
          <w:color w:val="000000" w:themeColor="text1"/>
          <w:szCs w:val="24"/>
          <w:highlight w:val="none"/>
          <w:lang w:val="en-US" w:eastAsia="zh-CN"/>
          <w14:textFill>
            <w14:solidFill>
              <w14:schemeClr w14:val="tx1"/>
            </w14:solidFill>
          </w14:textFill>
        </w:rPr>
        <w:t>五、技术</w:t>
      </w:r>
      <w:bookmarkEnd w:id="264"/>
      <w:bookmarkEnd w:id="265"/>
      <w:bookmarkEnd w:id="266"/>
      <w:bookmarkEnd w:id="267"/>
      <w:r>
        <w:rPr>
          <w:rFonts w:hint="eastAsia" w:cs="宋体-PUA" w:asciiTheme="minorEastAsia" w:hAnsiTheme="minorEastAsia" w:eastAsiaTheme="minorEastAsia"/>
          <w:color w:val="000000" w:themeColor="text1"/>
          <w:szCs w:val="24"/>
          <w:highlight w:val="none"/>
          <w:lang w:val="en-US" w:eastAsia="zh-CN"/>
          <w14:textFill>
            <w14:solidFill>
              <w14:schemeClr w14:val="tx1"/>
            </w14:solidFill>
          </w14:textFill>
        </w:rPr>
        <w:t>及商务标</w:t>
      </w:r>
      <w:bookmarkEnd w:id="268"/>
    </w:p>
    <w:p w14:paraId="045A13C7">
      <w:pPr>
        <w:pStyle w:val="16"/>
        <w:spacing w:line="360" w:lineRule="auto"/>
        <w:ind w:firstLine="0" w:firstLineChars="0"/>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1.仪器设备一览表</w:t>
      </w:r>
    </w:p>
    <w:tbl>
      <w:tblPr>
        <w:tblStyle w:val="17"/>
        <w:tblW w:w="50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1771"/>
        <w:gridCol w:w="1771"/>
        <w:gridCol w:w="1626"/>
        <w:gridCol w:w="1771"/>
        <w:gridCol w:w="1375"/>
      </w:tblGrid>
      <w:tr w14:paraId="41FB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528" w:type="pct"/>
            <w:vAlign w:val="center"/>
          </w:tcPr>
          <w:p w14:paraId="6E2EC6F6">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r>
              <w:rPr>
                <w:rFonts w:hint="eastAsia" w:cs="新宋体" w:asciiTheme="minorEastAsia" w:hAnsiTheme="minorEastAsia" w:eastAsiaTheme="minorEastAsia"/>
                <w:bCs/>
                <w:color w:val="000000" w:themeColor="text1"/>
                <w:sz w:val="24"/>
                <w:highlight w:val="none"/>
                <w14:textFill>
                  <w14:solidFill>
                    <w14:schemeClr w14:val="tx1"/>
                  </w14:solidFill>
                </w14:textFill>
              </w:rPr>
              <w:t>序号</w:t>
            </w:r>
          </w:p>
        </w:tc>
        <w:tc>
          <w:tcPr>
            <w:tcW w:w="952" w:type="pct"/>
            <w:vAlign w:val="center"/>
          </w:tcPr>
          <w:p w14:paraId="5F3EF1D9">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cs="新宋体" w:asciiTheme="minorEastAsia" w:hAnsiTheme="minorEastAsia" w:eastAsiaTheme="minorEastAsia"/>
                <w:color w:val="000000" w:themeColor="text1"/>
                <w:sz w:val="24"/>
                <w:highlight w:val="none"/>
                <w14:textFill>
                  <w14:solidFill>
                    <w14:schemeClr w14:val="tx1"/>
                  </w14:solidFill>
                </w14:textFill>
              </w:rPr>
              <w:t>设备名称</w:t>
            </w:r>
          </w:p>
        </w:tc>
        <w:tc>
          <w:tcPr>
            <w:tcW w:w="952" w:type="pct"/>
            <w:vAlign w:val="center"/>
          </w:tcPr>
          <w:p w14:paraId="21018C1F">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cs="新宋体" w:asciiTheme="minorEastAsia" w:hAnsiTheme="minorEastAsia" w:eastAsiaTheme="minorEastAsia"/>
                <w:color w:val="000000" w:themeColor="text1"/>
                <w:sz w:val="24"/>
                <w:highlight w:val="none"/>
                <w14:textFill>
                  <w14:solidFill>
                    <w14:schemeClr w14:val="tx1"/>
                  </w14:solidFill>
                </w14:textFill>
              </w:rPr>
              <w:t>品牌型号</w:t>
            </w:r>
          </w:p>
        </w:tc>
        <w:tc>
          <w:tcPr>
            <w:tcW w:w="874" w:type="pct"/>
            <w:vAlign w:val="center"/>
          </w:tcPr>
          <w:p w14:paraId="15A12BD6">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cs="新宋体" w:asciiTheme="minorEastAsia" w:hAnsiTheme="minorEastAsia" w:eastAsiaTheme="minorEastAsia"/>
                <w:color w:val="000000" w:themeColor="text1"/>
                <w:sz w:val="24"/>
                <w:highlight w:val="none"/>
                <w14:textFill>
                  <w14:solidFill>
                    <w14:schemeClr w14:val="tx1"/>
                  </w14:solidFill>
                </w14:textFill>
              </w:rPr>
              <w:t>功能及用途</w:t>
            </w:r>
          </w:p>
        </w:tc>
        <w:tc>
          <w:tcPr>
            <w:tcW w:w="952" w:type="pct"/>
            <w:vAlign w:val="center"/>
          </w:tcPr>
          <w:p w14:paraId="6C584490">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cs="新宋体" w:asciiTheme="minorEastAsia" w:hAnsiTheme="minorEastAsia" w:eastAsiaTheme="minorEastAsia"/>
                <w:color w:val="000000" w:themeColor="text1"/>
                <w:sz w:val="24"/>
                <w:highlight w:val="none"/>
                <w14:textFill>
                  <w14:solidFill>
                    <w14:schemeClr w14:val="tx1"/>
                  </w14:solidFill>
                </w14:textFill>
              </w:rPr>
              <w:t>来源渠道</w:t>
            </w:r>
          </w:p>
        </w:tc>
        <w:tc>
          <w:tcPr>
            <w:tcW w:w="739" w:type="pct"/>
            <w:vAlign w:val="center"/>
          </w:tcPr>
          <w:p w14:paraId="16669CC2">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cs="新宋体" w:asciiTheme="minorEastAsia" w:hAnsiTheme="minorEastAsia" w:eastAsiaTheme="minorEastAsia"/>
                <w:color w:val="000000" w:themeColor="text1"/>
                <w:sz w:val="24"/>
                <w:highlight w:val="none"/>
                <w14:textFill>
                  <w14:solidFill>
                    <w14:schemeClr w14:val="tx1"/>
                  </w14:solidFill>
                </w14:textFill>
              </w:rPr>
              <w:t>投入使用日期</w:t>
            </w:r>
          </w:p>
        </w:tc>
      </w:tr>
      <w:tr w14:paraId="5009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28" w:type="pct"/>
          </w:tcPr>
          <w:p w14:paraId="01A45416">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952" w:type="pct"/>
          </w:tcPr>
          <w:p w14:paraId="1B205225">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952" w:type="pct"/>
          </w:tcPr>
          <w:p w14:paraId="08D28F50">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874" w:type="pct"/>
          </w:tcPr>
          <w:p w14:paraId="28CE8B3D">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952" w:type="pct"/>
          </w:tcPr>
          <w:p w14:paraId="72A06903">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739" w:type="pct"/>
          </w:tcPr>
          <w:p w14:paraId="6AF08DD6">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r>
      <w:tr w14:paraId="2D94A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28" w:type="pct"/>
          </w:tcPr>
          <w:p w14:paraId="1F74D432">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952" w:type="pct"/>
          </w:tcPr>
          <w:p w14:paraId="0E0A7AF2">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952" w:type="pct"/>
          </w:tcPr>
          <w:p w14:paraId="67291249">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874" w:type="pct"/>
          </w:tcPr>
          <w:p w14:paraId="2ACB6F24">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952" w:type="pct"/>
          </w:tcPr>
          <w:p w14:paraId="43B32E53">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739" w:type="pct"/>
          </w:tcPr>
          <w:p w14:paraId="1EC396D5">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r>
      <w:tr w14:paraId="2E47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28" w:type="pct"/>
          </w:tcPr>
          <w:p w14:paraId="44E16DF1">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952" w:type="pct"/>
          </w:tcPr>
          <w:p w14:paraId="4702504E">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952" w:type="pct"/>
          </w:tcPr>
          <w:p w14:paraId="71A2016D">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874" w:type="pct"/>
          </w:tcPr>
          <w:p w14:paraId="6514D753">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952" w:type="pct"/>
          </w:tcPr>
          <w:p w14:paraId="7D563076">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739" w:type="pct"/>
          </w:tcPr>
          <w:p w14:paraId="4402F526">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r>
      <w:tr w14:paraId="49E8A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28" w:type="pct"/>
          </w:tcPr>
          <w:p w14:paraId="6E402C91">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952" w:type="pct"/>
          </w:tcPr>
          <w:p w14:paraId="5700EB7F">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952" w:type="pct"/>
          </w:tcPr>
          <w:p w14:paraId="72DDD5B8">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874" w:type="pct"/>
          </w:tcPr>
          <w:p w14:paraId="5CFAA3AE">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952" w:type="pct"/>
          </w:tcPr>
          <w:p w14:paraId="5B5F9CF5">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739" w:type="pct"/>
          </w:tcPr>
          <w:p w14:paraId="5A6AB18B">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r>
      <w:tr w14:paraId="1AA6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28" w:type="pct"/>
          </w:tcPr>
          <w:p w14:paraId="0EBC3C0D">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952" w:type="pct"/>
          </w:tcPr>
          <w:p w14:paraId="3E457B5D">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952" w:type="pct"/>
          </w:tcPr>
          <w:p w14:paraId="2FB114BD">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874" w:type="pct"/>
          </w:tcPr>
          <w:p w14:paraId="087F8929">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952" w:type="pct"/>
          </w:tcPr>
          <w:p w14:paraId="5B0B5A9D">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739" w:type="pct"/>
          </w:tcPr>
          <w:p w14:paraId="572247E2">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r>
      <w:tr w14:paraId="6A74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28" w:type="pct"/>
          </w:tcPr>
          <w:p w14:paraId="619F5C1D">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952" w:type="pct"/>
          </w:tcPr>
          <w:p w14:paraId="6B145E71">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952" w:type="pct"/>
          </w:tcPr>
          <w:p w14:paraId="088953A8">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874" w:type="pct"/>
          </w:tcPr>
          <w:p w14:paraId="67DDCDD5">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952" w:type="pct"/>
          </w:tcPr>
          <w:p w14:paraId="3F4281E8">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739" w:type="pct"/>
          </w:tcPr>
          <w:p w14:paraId="33FB0AE2">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r>
      <w:tr w14:paraId="4B5D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28" w:type="pct"/>
          </w:tcPr>
          <w:p w14:paraId="76A5B249">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952" w:type="pct"/>
          </w:tcPr>
          <w:p w14:paraId="39E5F6C4">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952" w:type="pct"/>
          </w:tcPr>
          <w:p w14:paraId="5BA9BF4A">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874" w:type="pct"/>
          </w:tcPr>
          <w:p w14:paraId="45A97DD2">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952" w:type="pct"/>
          </w:tcPr>
          <w:p w14:paraId="5E44BABB">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739" w:type="pct"/>
          </w:tcPr>
          <w:p w14:paraId="337F9C3C">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r>
      <w:tr w14:paraId="587C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28" w:type="pct"/>
          </w:tcPr>
          <w:p w14:paraId="70989932">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952" w:type="pct"/>
          </w:tcPr>
          <w:p w14:paraId="1D0CED47">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952" w:type="pct"/>
          </w:tcPr>
          <w:p w14:paraId="5B92EC10">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874" w:type="pct"/>
          </w:tcPr>
          <w:p w14:paraId="396C942D">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952" w:type="pct"/>
          </w:tcPr>
          <w:p w14:paraId="1DA11869">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739" w:type="pct"/>
          </w:tcPr>
          <w:p w14:paraId="6995EAA3">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r>
      <w:tr w14:paraId="705D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28" w:type="pct"/>
          </w:tcPr>
          <w:p w14:paraId="4E760AF8">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952" w:type="pct"/>
          </w:tcPr>
          <w:p w14:paraId="1B896492">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952" w:type="pct"/>
          </w:tcPr>
          <w:p w14:paraId="74FD0A83">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874" w:type="pct"/>
          </w:tcPr>
          <w:p w14:paraId="679F980E">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952" w:type="pct"/>
          </w:tcPr>
          <w:p w14:paraId="5FE36371">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739" w:type="pct"/>
          </w:tcPr>
          <w:p w14:paraId="73ABB3C9">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r>
    </w:tbl>
    <w:p w14:paraId="3B1D7536">
      <w:pPr>
        <w:spacing w:line="360" w:lineRule="auto"/>
        <w:rPr>
          <w:rFonts w:cs="新宋体" w:asciiTheme="minorEastAsia" w:hAnsiTheme="minorEastAsia" w:eastAsiaTheme="minorEastAsia"/>
          <w:bCs/>
          <w:color w:val="000000" w:themeColor="text1"/>
          <w:sz w:val="24"/>
          <w:highlight w:val="none"/>
          <w14:textFill>
            <w14:solidFill>
              <w14:schemeClr w14:val="tx1"/>
            </w14:solidFill>
          </w14:textFill>
        </w:rPr>
      </w:pPr>
      <w:r>
        <w:rPr>
          <w:rFonts w:hint="eastAsia" w:cs="新宋体" w:asciiTheme="minorEastAsia" w:hAnsiTheme="minorEastAsia" w:eastAsiaTheme="minorEastAsia"/>
          <w:bCs/>
          <w:color w:val="000000" w:themeColor="text1"/>
          <w:sz w:val="24"/>
          <w:highlight w:val="none"/>
          <w14:textFill>
            <w14:solidFill>
              <w14:schemeClr w14:val="tx1"/>
            </w14:solidFill>
          </w14:textFill>
        </w:rPr>
        <w:t>注：</w:t>
      </w:r>
    </w:p>
    <w:p w14:paraId="78E83333">
      <w:pPr>
        <w:spacing w:line="360" w:lineRule="auto"/>
        <w:rPr>
          <w:rFonts w:cs="新宋体" w:asciiTheme="minorEastAsia" w:hAnsiTheme="minorEastAsia" w:eastAsiaTheme="minorEastAsia"/>
          <w:bCs/>
          <w:color w:val="000000" w:themeColor="text1"/>
          <w:sz w:val="24"/>
          <w:highlight w:val="none"/>
          <w14:textFill>
            <w14:solidFill>
              <w14:schemeClr w14:val="tx1"/>
            </w14:solidFill>
          </w14:textFill>
        </w:rPr>
      </w:pPr>
      <w:r>
        <w:rPr>
          <w:rFonts w:cs="新宋体" w:asciiTheme="minorEastAsia" w:hAnsiTheme="minorEastAsia" w:eastAsiaTheme="minorEastAsia"/>
          <w:bCs/>
          <w:color w:val="000000" w:themeColor="text1"/>
          <w:sz w:val="24"/>
          <w:highlight w:val="none"/>
          <w14:textFill>
            <w14:solidFill>
              <w14:schemeClr w14:val="tx1"/>
            </w14:solidFill>
          </w14:textFill>
        </w:rPr>
        <w:t>1</w:t>
      </w:r>
      <w:r>
        <w:rPr>
          <w:rFonts w:hint="eastAsia" w:cs="新宋体" w:asciiTheme="minorEastAsia" w:hAnsiTheme="minorEastAsia" w:eastAsiaTheme="minorEastAsia"/>
          <w:bCs/>
          <w:color w:val="000000" w:themeColor="text1"/>
          <w:sz w:val="24"/>
          <w:highlight w:val="none"/>
          <w14:textFill>
            <w14:solidFill>
              <w14:schemeClr w14:val="tx1"/>
            </w14:solidFill>
          </w14:textFill>
        </w:rPr>
        <w:t>、上述设备有实物照片，并与所提供的内容一致，如不一致，将导致磋商被拒绝。</w:t>
      </w:r>
    </w:p>
    <w:p w14:paraId="1962CB1F">
      <w:pPr>
        <w:spacing w:line="360" w:lineRule="auto"/>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p w14:paraId="613CE5C2">
      <w:pPr>
        <w:spacing w:line="360" w:lineRule="auto"/>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p w14:paraId="360DE56E">
      <w:pPr>
        <w:spacing w:line="360" w:lineRule="auto"/>
        <w:ind w:firstLine="3600" w:firstLineChars="1250"/>
        <w:rPr>
          <w:rFonts w:asciiTheme="minorEastAsia" w:hAnsiTheme="minorEastAsia" w:eastAsiaTheme="minorEastAsia"/>
          <w:color w:val="000000" w:themeColor="text1"/>
          <w:spacing w:val="24"/>
          <w:sz w:val="24"/>
          <w:highlight w:val="none"/>
          <w14:textFill>
            <w14:solidFill>
              <w14:schemeClr w14:val="tx1"/>
            </w14:solidFill>
          </w14:textFill>
        </w:rPr>
      </w:pPr>
      <w:r>
        <w:rPr>
          <w:rFonts w:hint="eastAsia" w:asciiTheme="minorEastAsia" w:hAnsiTheme="minorEastAsia" w:eastAsiaTheme="minorEastAsia"/>
          <w:color w:val="000000" w:themeColor="text1"/>
          <w:spacing w:val="24"/>
          <w:sz w:val="24"/>
          <w:highlight w:val="none"/>
          <w14:textFill>
            <w14:solidFill>
              <w14:schemeClr w14:val="tx1"/>
            </w14:solidFill>
          </w14:textFill>
        </w:rPr>
        <w:t>磋商供应商：</w:t>
      </w:r>
      <w:r>
        <w:rPr>
          <w:rFonts w:hint="eastAsia" w:asciiTheme="minorEastAsia" w:hAnsiTheme="minorEastAsia" w:eastAsiaTheme="minorEastAsia"/>
          <w:color w:val="000000" w:themeColor="text1"/>
          <w:spacing w:val="24"/>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lang w:val="zh-CN" w:bidi="zh-CN"/>
          <w14:textFill>
            <w14:solidFill>
              <w14:schemeClr w14:val="tx1"/>
            </w14:solidFill>
          </w14:textFill>
        </w:rPr>
        <w:t>单位电子签章</w:t>
      </w:r>
      <w:r>
        <w:rPr>
          <w:rFonts w:hint="eastAsia" w:asciiTheme="minorEastAsia" w:hAnsiTheme="minorEastAsia" w:eastAsiaTheme="minorEastAsia"/>
          <w:color w:val="000000" w:themeColor="text1"/>
          <w:spacing w:val="24"/>
          <w:sz w:val="24"/>
          <w:highlight w:val="none"/>
          <w14:textFill>
            <w14:solidFill>
              <w14:schemeClr w14:val="tx1"/>
            </w14:solidFill>
          </w14:textFill>
        </w:rPr>
        <w:t>）</w:t>
      </w:r>
    </w:p>
    <w:p w14:paraId="318EF814">
      <w:pPr>
        <w:spacing w:line="360" w:lineRule="auto"/>
        <w:ind w:firstLine="3600" w:firstLineChars="1250"/>
        <w:rPr>
          <w:rFonts w:asciiTheme="minorEastAsia" w:hAnsiTheme="minorEastAsia" w:eastAsiaTheme="minorEastAsia"/>
          <w:color w:val="000000" w:themeColor="text1"/>
          <w:spacing w:val="24"/>
          <w:sz w:val="24"/>
          <w:highlight w:val="none"/>
          <w14:textFill>
            <w14:solidFill>
              <w14:schemeClr w14:val="tx1"/>
            </w14:solidFill>
          </w14:textFill>
        </w:rPr>
      </w:pPr>
      <w:r>
        <w:rPr>
          <w:rFonts w:hint="eastAsia" w:asciiTheme="minorEastAsia" w:hAnsiTheme="minorEastAsia" w:eastAsiaTheme="minorEastAsia"/>
          <w:color w:val="000000" w:themeColor="text1"/>
          <w:spacing w:val="24"/>
          <w:sz w:val="24"/>
          <w:highlight w:val="none"/>
          <w14:textFill>
            <w14:solidFill>
              <w14:schemeClr w14:val="tx1"/>
            </w14:solidFill>
          </w14:textFill>
        </w:rPr>
        <w:t>法定代表人：</w:t>
      </w:r>
      <w:r>
        <w:rPr>
          <w:rFonts w:hint="eastAsia" w:asciiTheme="minorEastAsia" w:hAnsiTheme="minorEastAsia" w:eastAsiaTheme="minorEastAsia"/>
          <w:color w:val="000000" w:themeColor="text1"/>
          <w:spacing w:val="24"/>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lang w:val="zh-CN" w:bidi="zh-CN"/>
          <w14:textFill>
            <w14:solidFill>
              <w14:schemeClr w14:val="tx1"/>
            </w14:solidFill>
          </w14:textFill>
        </w:rPr>
        <w:t>法人电子签章</w:t>
      </w:r>
      <w:r>
        <w:rPr>
          <w:rFonts w:hint="eastAsia" w:asciiTheme="minorEastAsia" w:hAnsiTheme="minorEastAsia" w:eastAsiaTheme="minorEastAsia"/>
          <w:color w:val="000000" w:themeColor="text1"/>
          <w:spacing w:val="24"/>
          <w:sz w:val="24"/>
          <w:highlight w:val="none"/>
          <w14:textFill>
            <w14:solidFill>
              <w14:schemeClr w14:val="tx1"/>
            </w14:solidFill>
          </w14:textFill>
        </w:rPr>
        <w:t>）</w:t>
      </w:r>
    </w:p>
    <w:p w14:paraId="45FD4E01">
      <w:pPr>
        <w:spacing w:line="480" w:lineRule="auto"/>
        <w:ind w:left="-7" w:leftChars="-95" w:right="452" w:hanging="192" w:hangingChars="67"/>
        <w:jc w:val="center"/>
        <w:rPr>
          <w:rFonts w:asciiTheme="minorEastAsia" w:hAnsiTheme="minorEastAsia" w:eastAsiaTheme="minorEastAsia"/>
          <w:color w:val="000000" w:themeColor="text1"/>
          <w:spacing w:val="24"/>
          <w:sz w:val="24"/>
          <w:highlight w:val="none"/>
          <w14:textFill>
            <w14:solidFill>
              <w14:schemeClr w14:val="tx1"/>
            </w14:solidFill>
          </w14:textFill>
        </w:rPr>
      </w:pPr>
      <w:r>
        <w:rPr>
          <w:rFonts w:hint="eastAsia" w:asciiTheme="minorEastAsia" w:hAnsiTheme="minorEastAsia" w:eastAsiaTheme="minorEastAsia"/>
          <w:color w:val="000000" w:themeColor="text1"/>
          <w:spacing w:val="24"/>
          <w:sz w:val="24"/>
          <w:highlight w:val="none"/>
          <w14:textFill>
            <w14:solidFill>
              <w14:schemeClr w14:val="tx1"/>
            </w14:solidFill>
          </w14:textFill>
        </w:rPr>
        <w:t xml:space="preserve">                  日    期：</w:t>
      </w:r>
      <w:r>
        <w:rPr>
          <w:rFonts w:hint="eastAsia" w:asciiTheme="minorEastAsia" w:hAnsiTheme="minorEastAsia" w:eastAsiaTheme="minorEastAsia"/>
          <w:color w:val="000000" w:themeColor="text1"/>
          <w:spacing w:val="24"/>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highlight w:val="none"/>
          <w14:textFill>
            <w14:solidFill>
              <w14:schemeClr w14:val="tx1"/>
            </w14:solidFill>
          </w14:textFill>
        </w:rPr>
        <w:t>年</w:t>
      </w:r>
      <w:r>
        <w:rPr>
          <w:rFonts w:hint="eastAsia" w:asciiTheme="minorEastAsia" w:hAnsiTheme="minorEastAsia" w:eastAsiaTheme="minorEastAsia"/>
          <w:color w:val="000000" w:themeColor="text1"/>
          <w:spacing w:val="24"/>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highlight w:val="none"/>
          <w14:textFill>
            <w14:solidFill>
              <w14:schemeClr w14:val="tx1"/>
            </w14:solidFill>
          </w14:textFill>
        </w:rPr>
        <w:t>月</w:t>
      </w:r>
      <w:r>
        <w:rPr>
          <w:rFonts w:hint="eastAsia" w:asciiTheme="minorEastAsia" w:hAnsiTheme="minorEastAsia" w:eastAsiaTheme="minorEastAsia"/>
          <w:color w:val="000000" w:themeColor="text1"/>
          <w:spacing w:val="24"/>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highlight w:val="none"/>
          <w14:textFill>
            <w14:solidFill>
              <w14:schemeClr w14:val="tx1"/>
            </w14:solidFill>
          </w14:textFill>
        </w:rPr>
        <w:t>日</w:t>
      </w:r>
    </w:p>
    <w:p w14:paraId="021744F7">
      <w:pPr>
        <w:pStyle w:val="16"/>
        <w:ind w:firstLine="200"/>
        <w:rPr>
          <w:color w:val="000000" w:themeColor="text1"/>
          <w:highlight w:val="none"/>
          <w14:textFill>
            <w14:solidFill>
              <w14:schemeClr w14:val="tx1"/>
            </w14:solidFill>
          </w14:textFill>
        </w:rPr>
      </w:pPr>
    </w:p>
    <w:p w14:paraId="7DF019E8">
      <w:pPr>
        <w:pStyle w:val="8"/>
        <w:ind w:right="164" w:firstLine="560"/>
        <w:rPr>
          <w:color w:val="000000" w:themeColor="text1"/>
          <w:highlight w:val="none"/>
          <w14:textFill>
            <w14:solidFill>
              <w14:schemeClr w14:val="tx1"/>
            </w14:solidFill>
          </w14:textFill>
        </w:rPr>
      </w:pPr>
    </w:p>
    <w:p w14:paraId="12A3E67B">
      <w:pPr>
        <w:rPr>
          <w:color w:val="000000" w:themeColor="text1"/>
          <w:highlight w:val="none"/>
          <w14:textFill>
            <w14:solidFill>
              <w14:schemeClr w14:val="tx1"/>
            </w14:solidFill>
          </w14:textFill>
        </w:rPr>
      </w:pPr>
    </w:p>
    <w:p w14:paraId="2717D227">
      <w:pPr>
        <w:pStyle w:val="16"/>
        <w:ind w:firstLine="200"/>
        <w:rPr>
          <w:color w:val="000000" w:themeColor="text1"/>
          <w:highlight w:val="none"/>
          <w14:textFill>
            <w14:solidFill>
              <w14:schemeClr w14:val="tx1"/>
            </w14:solidFill>
          </w14:textFill>
        </w:rPr>
      </w:pPr>
    </w:p>
    <w:p w14:paraId="5282A11B">
      <w:pPr>
        <w:pStyle w:val="8"/>
        <w:ind w:right="164" w:firstLine="560"/>
        <w:rPr>
          <w:color w:val="000000" w:themeColor="text1"/>
          <w:highlight w:val="none"/>
          <w14:textFill>
            <w14:solidFill>
              <w14:schemeClr w14:val="tx1"/>
            </w14:solidFill>
          </w14:textFill>
        </w:rPr>
      </w:pPr>
    </w:p>
    <w:p w14:paraId="611D9AF0">
      <w:pPr>
        <w:spacing w:line="360" w:lineRule="auto"/>
        <w:rPr>
          <w:rFonts w:cs="宋体" w:asciiTheme="minorEastAsia" w:hAnsiTheme="minorEastAsia" w:eastAsiaTheme="minorEastAsia"/>
          <w:b/>
          <w:color w:val="000000" w:themeColor="text1"/>
          <w:kern w:val="0"/>
          <w:sz w:val="24"/>
          <w:szCs w:val="20"/>
          <w:highlight w:val="none"/>
          <w14:textFill>
            <w14:solidFill>
              <w14:schemeClr w14:val="tx1"/>
            </w14:solidFill>
          </w14:textFill>
        </w:rPr>
      </w:pPr>
    </w:p>
    <w:p w14:paraId="7999DB4C">
      <w:pPr>
        <w:pStyle w:val="16"/>
        <w:rPr>
          <w:color w:val="000000" w:themeColor="text1"/>
          <w:highlight w:val="none"/>
          <w14:textFill>
            <w14:solidFill>
              <w14:schemeClr w14:val="tx1"/>
            </w14:solidFill>
          </w14:textFill>
        </w:rPr>
      </w:pPr>
    </w:p>
    <w:p w14:paraId="1C95665C">
      <w:pPr>
        <w:spacing w:line="360" w:lineRule="auto"/>
        <w:rPr>
          <w:rFonts w:cs="宋体" w:asciiTheme="minorEastAsia" w:hAnsiTheme="minorEastAsia" w:eastAsiaTheme="minorEastAsia"/>
          <w:b/>
          <w:color w:val="000000" w:themeColor="text1"/>
          <w:kern w:val="0"/>
          <w:sz w:val="24"/>
          <w:szCs w:val="20"/>
          <w:highlight w:val="none"/>
          <w14:textFill>
            <w14:solidFill>
              <w14:schemeClr w14:val="tx1"/>
            </w14:solidFill>
          </w14:textFill>
        </w:rPr>
      </w:pPr>
    </w:p>
    <w:p w14:paraId="59D04E9F">
      <w:pPr>
        <w:pStyle w:val="5"/>
      </w:pPr>
    </w:p>
    <w:p w14:paraId="138863C5">
      <w:pPr>
        <w:spacing w:line="360" w:lineRule="auto"/>
        <w:rPr>
          <w:rFonts w:cs="宋体" w:asciiTheme="minorEastAsia" w:hAnsiTheme="minorEastAsia" w:eastAsiaTheme="minorEastAsia"/>
          <w:b/>
          <w:color w:val="000000" w:themeColor="text1"/>
          <w:kern w:val="0"/>
          <w:sz w:val="24"/>
          <w:szCs w:val="20"/>
          <w:highlight w:val="none"/>
          <w14:textFill>
            <w14:solidFill>
              <w14:schemeClr w14:val="tx1"/>
            </w14:solidFill>
          </w14:textFill>
        </w:rPr>
      </w:pPr>
    </w:p>
    <w:p w14:paraId="562E91F0">
      <w:pPr>
        <w:spacing w:line="360" w:lineRule="auto"/>
        <w:rPr>
          <w:rFonts w:cs="宋体" w:asciiTheme="minorEastAsia" w:hAnsiTheme="minorEastAsia" w:eastAsiaTheme="minorEastAsia"/>
          <w:b/>
          <w:color w:val="000000" w:themeColor="text1"/>
          <w:kern w:val="0"/>
          <w:sz w:val="24"/>
          <w:szCs w:val="20"/>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4"/>
          <w:szCs w:val="20"/>
          <w:highlight w:val="none"/>
          <w14:textFill>
            <w14:solidFill>
              <w14:schemeClr w14:val="tx1"/>
            </w14:solidFill>
          </w14:textFill>
        </w:rPr>
        <w:t>2.检验从业人员一览表</w:t>
      </w:r>
    </w:p>
    <w:p w14:paraId="09E14D58">
      <w:pPr>
        <w:jc w:val="center"/>
        <w:rPr>
          <w:rFonts w:cs="新宋体" w:asciiTheme="minorEastAsia" w:hAnsiTheme="minorEastAsia" w:eastAsiaTheme="minorEastAsia"/>
          <w:bCs/>
          <w:color w:val="000000" w:themeColor="text1"/>
          <w:sz w:val="28"/>
          <w:highlight w:val="none"/>
          <w14:textFill>
            <w14:solidFill>
              <w14:schemeClr w14:val="tx1"/>
            </w14:solidFill>
          </w14:textFill>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789"/>
        <w:gridCol w:w="746"/>
        <w:gridCol w:w="596"/>
        <w:gridCol w:w="686"/>
        <w:gridCol w:w="954"/>
        <w:gridCol w:w="746"/>
        <w:gridCol w:w="1340"/>
        <w:gridCol w:w="1508"/>
        <w:gridCol w:w="1170"/>
      </w:tblGrid>
      <w:tr w14:paraId="426A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19" w:type="pct"/>
            <w:vAlign w:val="center"/>
          </w:tcPr>
          <w:p w14:paraId="60173611">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r>
              <w:rPr>
                <w:rFonts w:hint="eastAsia" w:cs="新宋体" w:asciiTheme="minorEastAsia" w:hAnsiTheme="minorEastAsia" w:eastAsiaTheme="minorEastAsia"/>
                <w:color w:val="000000" w:themeColor="text1"/>
                <w:sz w:val="24"/>
                <w:highlight w:val="none"/>
                <w14:textFill>
                  <w14:solidFill>
                    <w14:schemeClr w14:val="tx1"/>
                  </w14:solidFill>
                </w14:textFill>
              </w:rPr>
              <w:t>序号</w:t>
            </w:r>
          </w:p>
        </w:tc>
        <w:tc>
          <w:tcPr>
            <w:tcW w:w="433" w:type="pct"/>
            <w:vAlign w:val="center"/>
          </w:tcPr>
          <w:p w14:paraId="217C8295">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r>
              <w:rPr>
                <w:rFonts w:hint="eastAsia" w:cs="新宋体" w:asciiTheme="minorEastAsia" w:hAnsiTheme="minorEastAsia" w:eastAsiaTheme="minorEastAsia"/>
                <w:color w:val="000000" w:themeColor="text1"/>
                <w:sz w:val="24"/>
                <w:highlight w:val="none"/>
                <w14:textFill>
                  <w14:solidFill>
                    <w14:schemeClr w14:val="tx1"/>
                  </w14:solidFill>
                </w14:textFill>
              </w:rPr>
              <w:t>姓名</w:t>
            </w:r>
          </w:p>
        </w:tc>
        <w:tc>
          <w:tcPr>
            <w:tcW w:w="409" w:type="pct"/>
            <w:vAlign w:val="center"/>
          </w:tcPr>
          <w:p w14:paraId="6B6A15A3">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r>
              <w:rPr>
                <w:rFonts w:hint="eastAsia" w:cs="新宋体" w:asciiTheme="minorEastAsia" w:hAnsiTheme="minorEastAsia" w:eastAsiaTheme="minorEastAsia"/>
                <w:color w:val="000000" w:themeColor="text1"/>
                <w:sz w:val="24"/>
                <w:highlight w:val="none"/>
                <w14:textFill>
                  <w14:solidFill>
                    <w14:schemeClr w14:val="tx1"/>
                  </w14:solidFill>
                </w14:textFill>
              </w:rPr>
              <w:t>性别</w:t>
            </w:r>
          </w:p>
        </w:tc>
        <w:tc>
          <w:tcPr>
            <w:tcW w:w="327" w:type="pct"/>
            <w:vAlign w:val="center"/>
          </w:tcPr>
          <w:p w14:paraId="29DF4081">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r>
              <w:rPr>
                <w:rFonts w:hint="eastAsia" w:cs="新宋体" w:asciiTheme="minorEastAsia" w:hAnsiTheme="minorEastAsia" w:eastAsiaTheme="minorEastAsia"/>
                <w:color w:val="000000" w:themeColor="text1"/>
                <w:sz w:val="24"/>
                <w:highlight w:val="none"/>
                <w14:textFill>
                  <w14:solidFill>
                    <w14:schemeClr w14:val="tx1"/>
                  </w14:solidFill>
                </w14:textFill>
              </w:rPr>
              <w:t>年龄</w:t>
            </w:r>
          </w:p>
        </w:tc>
        <w:tc>
          <w:tcPr>
            <w:tcW w:w="376" w:type="pct"/>
            <w:vAlign w:val="center"/>
          </w:tcPr>
          <w:p w14:paraId="2B17E535">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r>
              <w:rPr>
                <w:rFonts w:hint="eastAsia" w:cs="新宋体" w:asciiTheme="minorEastAsia" w:hAnsiTheme="minorEastAsia" w:eastAsiaTheme="minorEastAsia"/>
                <w:color w:val="000000" w:themeColor="text1"/>
                <w:sz w:val="24"/>
                <w:highlight w:val="none"/>
                <w14:textFill>
                  <w14:solidFill>
                    <w14:schemeClr w14:val="tx1"/>
                  </w14:solidFill>
                </w14:textFill>
              </w:rPr>
              <w:t>学历</w:t>
            </w:r>
          </w:p>
        </w:tc>
        <w:tc>
          <w:tcPr>
            <w:tcW w:w="523" w:type="pct"/>
            <w:vAlign w:val="center"/>
          </w:tcPr>
          <w:p w14:paraId="0CBB3093">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r>
              <w:rPr>
                <w:rFonts w:hint="eastAsia" w:cs="新宋体" w:asciiTheme="minorEastAsia" w:hAnsiTheme="minorEastAsia" w:eastAsiaTheme="minorEastAsia"/>
                <w:bCs/>
                <w:color w:val="000000" w:themeColor="text1"/>
                <w:sz w:val="24"/>
                <w:highlight w:val="none"/>
                <w14:textFill>
                  <w14:solidFill>
                    <w14:schemeClr w14:val="tx1"/>
                  </w14:solidFill>
                </w14:textFill>
              </w:rPr>
              <w:t>所学专业</w:t>
            </w:r>
          </w:p>
        </w:tc>
        <w:tc>
          <w:tcPr>
            <w:tcW w:w="409" w:type="pct"/>
            <w:vAlign w:val="center"/>
          </w:tcPr>
          <w:p w14:paraId="2065B33F">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r>
              <w:rPr>
                <w:rFonts w:hint="eastAsia" w:cs="新宋体" w:asciiTheme="minorEastAsia" w:hAnsiTheme="minorEastAsia" w:eastAsiaTheme="minorEastAsia"/>
                <w:bCs/>
                <w:color w:val="000000" w:themeColor="text1"/>
                <w:sz w:val="24"/>
                <w:highlight w:val="none"/>
                <w14:textFill>
                  <w14:solidFill>
                    <w14:schemeClr w14:val="tx1"/>
                  </w14:solidFill>
                </w14:textFill>
              </w:rPr>
              <w:t>职称</w:t>
            </w:r>
          </w:p>
        </w:tc>
        <w:tc>
          <w:tcPr>
            <w:tcW w:w="735" w:type="pct"/>
            <w:vAlign w:val="center"/>
          </w:tcPr>
          <w:p w14:paraId="349A573C">
            <w:pPr>
              <w:jc w:val="center"/>
              <w:rPr>
                <w:rFonts w:cs="新宋体" w:asciiTheme="minorEastAsia" w:hAnsiTheme="minorEastAsia" w:eastAsiaTheme="minorEastAsia"/>
                <w:color w:val="000000" w:themeColor="text1"/>
                <w:sz w:val="24"/>
                <w:highlight w:val="none"/>
                <w14:textFill>
                  <w14:solidFill>
                    <w14:schemeClr w14:val="tx1"/>
                  </w14:solidFill>
                </w14:textFill>
              </w:rPr>
            </w:pPr>
            <w:r>
              <w:rPr>
                <w:rFonts w:hint="eastAsia" w:cs="新宋体" w:asciiTheme="minorEastAsia" w:hAnsiTheme="minorEastAsia" w:eastAsiaTheme="minorEastAsia"/>
                <w:color w:val="000000" w:themeColor="text1"/>
                <w:sz w:val="24"/>
                <w:highlight w:val="none"/>
                <w14:textFill>
                  <w14:solidFill>
                    <w14:schemeClr w14:val="tx1"/>
                  </w14:solidFill>
                </w14:textFill>
              </w:rPr>
              <w:t>从事食品</w:t>
            </w:r>
          </w:p>
          <w:p w14:paraId="42481983">
            <w:pPr>
              <w:jc w:val="center"/>
              <w:rPr>
                <w:rFonts w:cs="新宋体" w:asciiTheme="minorEastAsia" w:hAnsiTheme="minorEastAsia" w:eastAsiaTheme="minorEastAsia"/>
                <w:b/>
                <w:bCs/>
                <w:color w:val="000000" w:themeColor="text1"/>
                <w:sz w:val="24"/>
                <w:highlight w:val="none"/>
                <w14:textFill>
                  <w14:solidFill>
                    <w14:schemeClr w14:val="tx1"/>
                  </w14:solidFill>
                </w14:textFill>
              </w:rPr>
            </w:pPr>
            <w:r>
              <w:rPr>
                <w:rFonts w:hint="eastAsia" w:cs="新宋体" w:asciiTheme="minorEastAsia" w:hAnsiTheme="minorEastAsia" w:eastAsiaTheme="minorEastAsia"/>
                <w:color w:val="000000" w:themeColor="text1"/>
                <w:sz w:val="24"/>
                <w:highlight w:val="none"/>
                <w14:textFill>
                  <w14:solidFill>
                    <w14:schemeClr w14:val="tx1"/>
                  </w14:solidFill>
                </w14:textFill>
              </w:rPr>
              <w:t>检验时间</w:t>
            </w:r>
          </w:p>
        </w:tc>
        <w:tc>
          <w:tcPr>
            <w:tcW w:w="827" w:type="pct"/>
            <w:vAlign w:val="center"/>
          </w:tcPr>
          <w:p w14:paraId="44DCC48C">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r>
              <w:rPr>
                <w:rFonts w:hint="eastAsia" w:cs="新宋体" w:asciiTheme="minorEastAsia" w:hAnsiTheme="minorEastAsia" w:eastAsiaTheme="minorEastAsia"/>
                <w:color w:val="000000" w:themeColor="text1"/>
                <w:sz w:val="24"/>
                <w:highlight w:val="none"/>
                <w14:textFill>
                  <w14:solidFill>
                    <w14:schemeClr w14:val="tx1"/>
                  </w14:solidFill>
                </w14:textFill>
              </w:rPr>
              <w:t>接受培训情况</w:t>
            </w:r>
          </w:p>
        </w:tc>
        <w:tc>
          <w:tcPr>
            <w:tcW w:w="642" w:type="pct"/>
            <w:vAlign w:val="center"/>
          </w:tcPr>
          <w:p w14:paraId="25D4C8A6">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r>
              <w:rPr>
                <w:rFonts w:hint="eastAsia" w:cs="新宋体" w:asciiTheme="minorEastAsia" w:hAnsiTheme="minorEastAsia" w:eastAsiaTheme="minorEastAsia"/>
                <w:bCs/>
                <w:color w:val="000000" w:themeColor="text1"/>
                <w:sz w:val="24"/>
                <w:highlight w:val="none"/>
                <w14:textFill>
                  <w14:solidFill>
                    <w14:schemeClr w14:val="tx1"/>
                  </w14:solidFill>
                </w14:textFill>
              </w:rPr>
              <w:t>其他</w:t>
            </w:r>
          </w:p>
        </w:tc>
      </w:tr>
      <w:tr w14:paraId="74998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319" w:type="pct"/>
          </w:tcPr>
          <w:p w14:paraId="5EA3FF02">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433" w:type="pct"/>
          </w:tcPr>
          <w:p w14:paraId="74379144">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409" w:type="pct"/>
          </w:tcPr>
          <w:p w14:paraId="0C2C57E0">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327" w:type="pct"/>
          </w:tcPr>
          <w:p w14:paraId="22D57365">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376" w:type="pct"/>
          </w:tcPr>
          <w:p w14:paraId="1684B745">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523" w:type="pct"/>
          </w:tcPr>
          <w:p w14:paraId="4D30CD1D">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409" w:type="pct"/>
          </w:tcPr>
          <w:p w14:paraId="1D92B243">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735" w:type="pct"/>
          </w:tcPr>
          <w:p w14:paraId="727D14A2">
            <w:pPr>
              <w:jc w:val="center"/>
              <w:rPr>
                <w:rFonts w:cs="新宋体" w:asciiTheme="minorEastAsia" w:hAnsiTheme="minorEastAsia" w:eastAsiaTheme="minorEastAsia"/>
                <w:b/>
                <w:bCs/>
                <w:color w:val="000000" w:themeColor="text1"/>
                <w:sz w:val="24"/>
                <w:highlight w:val="none"/>
                <w14:textFill>
                  <w14:solidFill>
                    <w14:schemeClr w14:val="tx1"/>
                  </w14:solidFill>
                </w14:textFill>
              </w:rPr>
            </w:pPr>
          </w:p>
        </w:tc>
        <w:tc>
          <w:tcPr>
            <w:tcW w:w="827" w:type="pct"/>
          </w:tcPr>
          <w:p w14:paraId="73A04B5C">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642" w:type="pct"/>
          </w:tcPr>
          <w:p w14:paraId="2526C290">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r>
      <w:tr w14:paraId="46FC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19" w:type="pct"/>
          </w:tcPr>
          <w:p w14:paraId="232CAD6B">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433" w:type="pct"/>
          </w:tcPr>
          <w:p w14:paraId="5FE599C2">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409" w:type="pct"/>
          </w:tcPr>
          <w:p w14:paraId="5D6AB82E">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327" w:type="pct"/>
          </w:tcPr>
          <w:p w14:paraId="71C8721B">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376" w:type="pct"/>
          </w:tcPr>
          <w:p w14:paraId="235C7263">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523" w:type="pct"/>
          </w:tcPr>
          <w:p w14:paraId="100A6E9F">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409" w:type="pct"/>
          </w:tcPr>
          <w:p w14:paraId="61D80AE7">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735" w:type="pct"/>
          </w:tcPr>
          <w:p w14:paraId="5AF05487">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827" w:type="pct"/>
          </w:tcPr>
          <w:p w14:paraId="3275695F">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642" w:type="pct"/>
          </w:tcPr>
          <w:p w14:paraId="6437C903">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r>
      <w:tr w14:paraId="165E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19" w:type="pct"/>
          </w:tcPr>
          <w:p w14:paraId="06B6A6F0">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433" w:type="pct"/>
          </w:tcPr>
          <w:p w14:paraId="5E68E997">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409" w:type="pct"/>
          </w:tcPr>
          <w:p w14:paraId="5ED0BD62">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327" w:type="pct"/>
          </w:tcPr>
          <w:p w14:paraId="43922B53">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376" w:type="pct"/>
          </w:tcPr>
          <w:p w14:paraId="25D2B21A">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523" w:type="pct"/>
          </w:tcPr>
          <w:p w14:paraId="6FDB4D30">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409" w:type="pct"/>
          </w:tcPr>
          <w:p w14:paraId="25E50442">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735" w:type="pct"/>
          </w:tcPr>
          <w:p w14:paraId="768B20B5">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827" w:type="pct"/>
          </w:tcPr>
          <w:p w14:paraId="5277D9DE">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642" w:type="pct"/>
          </w:tcPr>
          <w:p w14:paraId="61B5FA8D">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r>
      <w:tr w14:paraId="208BB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19" w:type="pct"/>
          </w:tcPr>
          <w:p w14:paraId="72BCFCC3">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433" w:type="pct"/>
          </w:tcPr>
          <w:p w14:paraId="3B7D7947">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409" w:type="pct"/>
          </w:tcPr>
          <w:p w14:paraId="508FFBD0">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327" w:type="pct"/>
          </w:tcPr>
          <w:p w14:paraId="0A525EA8">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376" w:type="pct"/>
          </w:tcPr>
          <w:p w14:paraId="0E2D0BF7">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523" w:type="pct"/>
          </w:tcPr>
          <w:p w14:paraId="7C0C0E6D">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409" w:type="pct"/>
          </w:tcPr>
          <w:p w14:paraId="502511E7">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735" w:type="pct"/>
          </w:tcPr>
          <w:p w14:paraId="309B4A72">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827" w:type="pct"/>
          </w:tcPr>
          <w:p w14:paraId="4A8AA633">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642" w:type="pct"/>
          </w:tcPr>
          <w:p w14:paraId="5638AD80">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r>
      <w:tr w14:paraId="2C78F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19" w:type="pct"/>
          </w:tcPr>
          <w:p w14:paraId="057653EA">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433" w:type="pct"/>
          </w:tcPr>
          <w:p w14:paraId="12C41294">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409" w:type="pct"/>
          </w:tcPr>
          <w:p w14:paraId="5E6AE20E">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327" w:type="pct"/>
          </w:tcPr>
          <w:p w14:paraId="1DC86A35">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376" w:type="pct"/>
          </w:tcPr>
          <w:p w14:paraId="0CFAE8F1">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523" w:type="pct"/>
          </w:tcPr>
          <w:p w14:paraId="010430DC">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409" w:type="pct"/>
          </w:tcPr>
          <w:p w14:paraId="3FC6CB5E">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735" w:type="pct"/>
          </w:tcPr>
          <w:p w14:paraId="006C8C46">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827" w:type="pct"/>
          </w:tcPr>
          <w:p w14:paraId="4BA7EA44">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642" w:type="pct"/>
          </w:tcPr>
          <w:p w14:paraId="7C5D8F27">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r>
      <w:tr w14:paraId="42D37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19" w:type="pct"/>
          </w:tcPr>
          <w:p w14:paraId="2E0D0565">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433" w:type="pct"/>
          </w:tcPr>
          <w:p w14:paraId="57FEB136">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409" w:type="pct"/>
          </w:tcPr>
          <w:p w14:paraId="0171539B">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327" w:type="pct"/>
          </w:tcPr>
          <w:p w14:paraId="5852D7E7">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376" w:type="pct"/>
          </w:tcPr>
          <w:p w14:paraId="425D2B4C">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523" w:type="pct"/>
          </w:tcPr>
          <w:p w14:paraId="32E802C2">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409" w:type="pct"/>
          </w:tcPr>
          <w:p w14:paraId="1331BE98">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735" w:type="pct"/>
          </w:tcPr>
          <w:p w14:paraId="5865EB8B">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827" w:type="pct"/>
          </w:tcPr>
          <w:p w14:paraId="60A47A27">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642" w:type="pct"/>
          </w:tcPr>
          <w:p w14:paraId="76C280E5">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r>
      <w:tr w14:paraId="2E0A0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19" w:type="pct"/>
          </w:tcPr>
          <w:p w14:paraId="1E1E9626">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433" w:type="pct"/>
          </w:tcPr>
          <w:p w14:paraId="3503E208">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409" w:type="pct"/>
          </w:tcPr>
          <w:p w14:paraId="5526CB44">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327" w:type="pct"/>
          </w:tcPr>
          <w:p w14:paraId="71899C74">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376" w:type="pct"/>
          </w:tcPr>
          <w:p w14:paraId="2B3CD86F">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523" w:type="pct"/>
          </w:tcPr>
          <w:p w14:paraId="7C5096E2">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409" w:type="pct"/>
          </w:tcPr>
          <w:p w14:paraId="1949E026">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735" w:type="pct"/>
          </w:tcPr>
          <w:p w14:paraId="234CCBCD">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827" w:type="pct"/>
          </w:tcPr>
          <w:p w14:paraId="5046ABE1">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c>
          <w:tcPr>
            <w:tcW w:w="642" w:type="pct"/>
          </w:tcPr>
          <w:p w14:paraId="6F73BF9D">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p>
        </w:tc>
      </w:tr>
    </w:tbl>
    <w:p w14:paraId="685B7A89">
      <w:pPr>
        <w:rPr>
          <w:rFonts w:cs="新宋体" w:asciiTheme="minorEastAsia" w:hAnsiTheme="minorEastAsia" w:eastAsiaTheme="minorEastAsia"/>
          <w:color w:val="000000" w:themeColor="text1"/>
          <w:sz w:val="24"/>
          <w:highlight w:val="none"/>
          <w14:textFill>
            <w14:solidFill>
              <w14:schemeClr w14:val="tx1"/>
            </w14:solidFill>
          </w14:textFill>
        </w:rPr>
      </w:pPr>
    </w:p>
    <w:p w14:paraId="33707CE0">
      <w:pPr>
        <w:spacing w:line="360" w:lineRule="auto"/>
        <w:rPr>
          <w:rFonts w:cs="新宋体" w:asciiTheme="minorEastAsia" w:hAnsiTheme="minorEastAsia" w:eastAsiaTheme="minorEastAsia"/>
          <w:color w:val="000000" w:themeColor="text1"/>
          <w:sz w:val="24"/>
          <w:highlight w:val="none"/>
          <w14:textFill>
            <w14:solidFill>
              <w14:schemeClr w14:val="tx1"/>
            </w14:solidFill>
          </w14:textFill>
        </w:rPr>
      </w:pPr>
      <w:r>
        <w:rPr>
          <w:rFonts w:hint="eastAsia" w:cs="新宋体" w:asciiTheme="minorEastAsia" w:hAnsiTheme="minorEastAsia" w:eastAsiaTheme="minorEastAsia"/>
          <w:color w:val="000000" w:themeColor="text1"/>
          <w:sz w:val="24"/>
          <w:highlight w:val="none"/>
          <w14:textFill>
            <w14:solidFill>
              <w14:schemeClr w14:val="tx1"/>
            </w14:solidFill>
          </w14:textFill>
        </w:rPr>
        <w:t>后附：</w:t>
      </w:r>
      <w:r>
        <w:rPr>
          <w:rFonts w:hint="eastAsia" w:cs="新宋体" w:asciiTheme="minorEastAsia" w:hAnsiTheme="minorEastAsia" w:eastAsiaTheme="minorEastAsia"/>
          <w:color w:val="000000" w:themeColor="text1"/>
          <w:sz w:val="24"/>
          <w:szCs w:val="22"/>
          <w:highlight w:val="none"/>
          <w14:textFill>
            <w14:solidFill>
              <w14:schemeClr w14:val="tx1"/>
            </w14:solidFill>
          </w14:textFill>
        </w:rPr>
        <w:t>职称证及缴纳社保证明材料扫描件</w:t>
      </w:r>
      <w:r>
        <w:rPr>
          <w:rFonts w:hint="eastAsia" w:cs="新宋体" w:asciiTheme="minorEastAsia" w:hAnsiTheme="minorEastAsia" w:eastAsiaTheme="minorEastAsia"/>
          <w:color w:val="000000" w:themeColor="text1"/>
          <w:sz w:val="24"/>
          <w:highlight w:val="none"/>
          <w14:textFill>
            <w14:solidFill>
              <w14:schemeClr w14:val="tx1"/>
            </w14:solidFill>
          </w14:textFill>
        </w:rPr>
        <w:t>，全部人员均提供国家认可的学历认证证明扫描件及身份证扫描件。</w:t>
      </w:r>
    </w:p>
    <w:p w14:paraId="3872669A">
      <w:pPr>
        <w:spacing w:line="360" w:lineRule="auto"/>
        <w:rPr>
          <w:rFonts w:cs="新宋体" w:asciiTheme="minorEastAsia" w:hAnsiTheme="minorEastAsia" w:eastAsiaTheme="minorEastAsia"/>
          <w:color w:val="000000" w:themeColor="text1"/>
          <w:sz w:val="24"/>
          <w:highlight w:val="none"/>
          <w14:textFill>
            <w14:solidFill>
              <w14:schemeClr w14:val="tx1"/>
            </w14:solidFill>
          </w14:textFill>
        </w:rPr>
      </w:pPr>
    </w:p>
    <w:p w14:paraId="4BE74D73">
      <w:pPr>
        <w:spacing w:line="360" w:lineRule="auto"/>
        <w:rPr>
          <w:rFonts w:cs="新宋体" w:asciiTheme="minorEastAsia" w:hAnsiTheme="minorEastAsia" w:eastAsiaTheme="minorEastAsia"/>
          <w:color w:val="000000" w:themeColor="text1"/>
          <w:sz w:val="24"/>
          <w:highlight w:val="none"/>
          <w14:textFill>
            <w14:solidFill>
              <w14:schemeClr w14:val="tx1"/>
            </w14:solidFill>
          </w14:textFill>
        </w:rPr>
      </w:pPr>
    </w:p>
    <w:p w14:paraId="2D13A6BD">
      <w:pPr>
        <w:spacing w:line="360" w:lineRule="auto"/>
        <w:ind w:firstLine="3600" w:firstLineChars="1250"/>
        <w:rPr>
          <w:rFonts w:asciiTheme="minorEastAsia" w:hAnsiTheme="minorEastAsia" w:eastAsiaTheme="minorEastAsia"/>
          <w:color w:val="000000" w:themeColor="text1"/>
          <w:spacing w:val="24"/>
          <w:sz w:val="24"/>
          <w:highlight w:val="none"/>
          <w14:textFill>
            <w14:solidFill>
              <w14:schemeClr w14:val="tx1"/>
            </w14:solidFill>
          </w14:textFill>
        </w:rPr>
      </w:pPr>
      <w:r>
        <w:rPr>
          <w:rFonts w:hint="eastAsia" w:asciiTheme="minorEastAsia" w:hAnsiTheme="minorEastAsia" w:eastAsiaTheme="minorEastAsia"/>
          <w:color w:val="000000" w:themeColor="text1"/>
          <w:spacing w:val="24"/>
          <w:sz w:val="24"/>
          <w:highlight w:val="none"/>
          <w14:textFill>
            <w14:solidFill>
              <w14:schemeClr w14:val="tx1"/>
            </w14:solidFill>
          </w14:textFill>
        </w:rPr>
        <w:t>磋商供应商：</w:t>
      </w:r>
      <w:r>
        <w:rPr>
          <w:rFonts w:hint="eastAsia" w:asciiTheme="minorEastAsia" w:hAnsiTheme="minorEastAsia" w:eastAsiaTheme="minorEastAsia"/>
          <w:color w:val="000000" w:themeColor="text1"/>
          <w:spacing w:val="24"/>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lang w:val="zh-CN" w:bidi="zh-CN"/>
          <w14:textFill>
            <w14:solidFill>
              <w14:schemeClr w14:val="tx1"/>
            </w14:solidFill>
          </w14:textFill>
        </w:rPr>
        <w:t>单位电子签章</w:t>
      </w:r>
      <w:r>
        <w:rPr>
          <w:rFonts w:hint="eastAsia" w:asciiTheme="minorEastAsia" w:hAnsiTheme="minorEastAsia" w:eastAsiaTheme="minorEastAsia"/>
          <w:color w:val="000000" w:themeColor="text1"/>
          <w:spacing w:val="24"/>
          <w:sz w:val="24"/>
          <w:highlight w:val="none"/>
          <w14:textFill>
            <w14:solidFill>
              <w14:schemeClr w14:val="tx1"/>
            </w14:solidFill>
          </w14:textFill>
        </w:rPr>
        <w:t>）</w:t>
      </w:r>
    </w:p>
    <w:p w14:paraId="4AD439A6">
      <w:pPr>
        <w:spacing w:line="360" w:lineRule="auto"/>
        <w:ind w:firstLine="3600" w:firstLineChars="1250"/>
        <w:rPr>
          <w:rFonts w:asciiTheme="minorEastAsia" w:hAnsiTheme="minorEastAsia" w:eastAsiaTheme="minorEastAsia"/>
          <w:color w:val="000000" w:themeColor="text1"/>
          <w:spacing w:val="24"/>
          <w:sz w:val="24"/>
          <w:highlight w:val="none"/>
          <w14:textFill>
            <w14:solidFill>
              <w14:schemeClr w14:val="tx1"/>
            </w14:solidFill>
          </w14:textFill>
        </w:rPr>
      </w:pPr>
      <w:r>
        <w:rPr>
          <w:rFonts w:hint="eastAsia" w:asciiTheme="minorEastAsia" w:hAnsiTheme="minorEastAsia" w:eastAsiaTheme="minorEastAsia"/>
          <w:color w:val="000000" w:themeColor="text1"/>
          <w:spacing w:val="24"/>
          <w:sz w:val="24"/>
          <w:highlight w:val="none"/>
          <w14:textFill>
            <w14:solidFill>
              <w14:schemeClr w14:val="tx1"/>
            </w14:solidFill>
          </w14:textFill>
        </w:rPr>
        <w:t>法定代表人：</w:t>
      </w:r>
      <w:r>
        <w:rPr>
          <w:rFonts w:hint="eastAsia" w:asciiTheme="minorEastAsia" w:hAnsiTheme="minorEastAsia" w:eastAsiaTheme="minorEastAsia"/>
          <w:color w:val="000000" w:themeColor="text1"/>
          <w:spacing w:val="24"/>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lang w:val="zh-CN" w:bidi="zh-CN"/>
          <w14:textFill>
            <w14:solidFill>
              <w14:schemeClr w14:val="tx1"/>
            </w14:solidFill>
          </w14:textFill>
        </w:rPr>
        <w:t>法人电子签章</w:t>
      </w:r>
      <w:r>
        <w:rPr>
          <w:rFonts w:hint="eastAsia" w:asciiTheme="minorEastAsia" w:hAnsiTheme="minorEastAsia" w:eastAsiaTheme="minorEastAsia"/>
          <w:color w:val="000000" w:themeColor="text1"/>
          <w:spacing w:val="24"/>
          <w:sz w:val="24"/>
          <w:highlight w:val="none"/>
          <w14:textFill>
            <w14:solidFill>
              <w14:schemeClr w14:val="tx1"/>
            </w14:solidFill>
          </w14:textFill>
        </w:rPr>
        <w:t>）</w:t>
      </w:r>
    </w:p>
    <w:p w14:paraId="2BB68079">
      <w:pPr>
        <w:spacing w:line="480" w:lineRule="auto"/>
        <w:ind w:left="-7" w:leftChars="-95" w:right="452" w:hanging="192" w:hangingChars="67"/>
        <w:jc w:val="center"/>
        <w:rPr>
          <w:rFonts w:asciiTheme="minorEastAsia" w:hAnsiTheme="minorEastAsia" w:eastAsiaTheme="minorEastAsia"/>
          <w:color w:val="000000" w:themeColor="text1"/>
          <w:spacing w:val="24"/>
          <w:sz w:val="24"/>
          <w:highlight w:val="none"/>
          <w14:textFill>
            <w14:solidFill>
              <w14:schemeClr w14:val="tx1"/>
            </w14:solidFill>
          </w14:textFill>
        </w:rPr>
      </w:pPr>
      <w:r>
        <w:rPr>
          <w:rFonts w:hint="eastAsia" w:asciiTheme="minorEastAsia" w:hAnsiTheme="minorEastAsia" w:eastAsiaTheme="minorEastAsia"/>
          <w:color w:val="000000" w:themeColor="text1"/>
          <w:spacing w:val="24"/>
          <w:sz w:val="24"/>
          <w:highlight w:val="none"/>
          <w14:textFill>
            <w14:solidFill>
              <w14:schemeClr w14:val="tx1"/>
            </w14:solidFill>
          </w14:textFill>
        </w:rPr>
        <w:t xml:space="preserve">                  日    期：</w:t>
      </w:r>
      <w:r>
        <w:rPr>
          <w:rFonts w:hint="eastAsia" w:asciiTheme="minorEastAsia" w:hAnsiTheme="minorEastAsia" w:eastAsiaTheme="minorEastAsia"/>
          <w:color w:val="000000" w:themeColor="text1"/>
          <w:spacing w:val="24"/>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highlight w:val="none"/>
          <w14:textFill>
            <w14:solidFill>
              <w14:schemeClr w14:val="tx1"/>
            </w14:solidFill>
          </w14:textFill>
        </w:rPr>
        <w:t>年</w:t>
      </w:r>
      <w:r>
        <w:rPr>
          <w:rFonts w:hint="eastAsia" w:asciiTheme="minorEastAsia" w:hAnsiTheme="minorEastAsia" w:eastAsiaTheme="minorEastAsia"/>
          <w:color w:val="000000" w:themeColor="text1"/>
          <w:spacing w:val="24"/>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highlight w:val="none"/>
          <w14:textFill>
            <w14:solidFill>
              <w14:schemeClr w14:val="tx1"/>
            </w14:solidFill>
          </w14:textFill>
        </w:rPr>
        <w:t>月</w:t>
      </w:r>
      <w:r>
        <w:rPr>
          <w:rFonts w:hint="eastAsia" w:asciiTheme="minorEastAsia" w:hAnsiTheme="minorEastAsia" w:eastAsiaTheme="minorEastAsia"/>
          <w:color w:val="000000" w:themeColor="text1"/>
          <w:spacing w:val="24"/>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highlight w:val="none"/>
          <w14:textFill>
            <w14:solidFill>
              <w14:schemeClr w14:val="tx1"/>
            </w14:solidFill>
          </w14:textFill>
        </w:rPr>
        <w:t>日</w:t>
      </w:r>
    </w:p>
    <w:p w14:paraId="30EB19F2">
      <w:pPr>
        <w:pStyle w:val="16"/>
        <w:ind w:firstLine="200"/>
        <w:rPr>
          <w:color w:val="000000" w:themeColor="text1"/>
          <w:highlight w:val="none"/>
          <w14:textFill>
            <w14:solidFill>
              <w14:schemeClr w14:val="tx1"/>
            </w14:solidFill>
          </w14:textFill>
        </w:rPr>
      </w:pPr>
    </w:p>
    <w:p w14:paraId="7B697364">
      <w:pPr>
        <w:pStyle w:val="16"/>
        <w:spacing w:line="360" w:lineRule="auto"/>
        <w:ind w:firstLine="0" w:firstLineChars="0"/>
        <w:rPr>
          <w:rFonts w:cs="宋体" w:asciiTheme="minorEastAsia" w:hAnsiTheme="minorEastAsia" w:eastAsiaTheme="minorEastAsia"/>
          <w:b/>
          <w:color w:val="000000" w:themeColor="text1"/>
          <w:sz w:val="24"/>
          <w:highlight w:val="none"/>
          <w14:textFill>
            <w14:solidFill>
              <w14:schemeClr w14:val="tx1"/>
            </w14:solidFill>
          </w14:textFill>
        </w:rPr>
      </w:pPr>
    </w:p>
    <w:p w14:paraId="4978E6C9">
      <w:pPr>
        <w:pStyle w:val="16"/>
        <w:spacing w:line="360" w:lineRule="auto"/>
        <w:ind w:firstLine="241"/>
        <w:rPr>
          <w:rFonts w:cs="宋体" w:asciiTheme="minorEastAsia" w:hAnsiTheme="minorEastAsia" w:eastAsiaTheme="minorEastAsia"/>
          <w:b/>
          <w:color w:val="000000" w:themeColor="text1"/>
          <w:sz w:val="24"/>
          <w:highlight w:val="none"/>
          <w14:textFill>
            <w14:solidFill>
              <w14:schemeClr w14:val="tx1"/>
            </w14:solidFill>
          </w14:textFill>
        </w:rPr>
      </w:pPr>
    </w:p>
    <w:p w14:paraId="2C62CD74">
      <w:pPr>
        <w:pStyle w:val="16"/>
        <w:spacing w:line="360" w:lineRule="auto"/>
        <w:ind w:firstLine="241"/>
        <w:rPr>
          <w:rFonts w:cs="宋体" w:asciiTheme="minorEastAsia" w:hAnsiTheme="minorEastAsia" w:eastAsiaTheme="minorEastAsia"/>
          <w:b/>
          <w:color w:val="000000" w:themeColor="text1"/>
          <w:sz w:val="24"/>
          <w:highlight w:val="none"/>
          <w14:textFill>
            <w14:solidFill>
              <w14:schemeClr w14:val="tx1"/>
            </w14:solidFill>
          </w14:textFill>
        </w:rPr>
      </w:pPr>
    </w:p>
    <w:p w14:paraId="7E66ECA7">
      <w:pPr>
        <w:pStyle w:val="16"/>
        <w:spacing w:line="360" w:lineRule="auto"/>
        <w:ind w:firstLine="241"/>
        <w:rPr>
          <w:rFonts w:cs="宋体" w:asciiTheme="minorEastAsia" w:hAnsiTheme="minorEastAsia" w:eastAsiaTheme="minorEastAsia"/>
          <w:b/>
          <w:color w:val="000000" w:themeColor="text1"/>
          <w:sz w:val="24"/>
          <w:highlight w:val="none"/>
          <w14:textFill>
            <w14:solidFill>
              <w14:schemeClr w14:val="tx1"/>
            </w14:solidFill>
          </w14:textFill>
        </w:rPr>
      </w:pPr>
    </w:p>
    <w:p w14:paraId="6FB1FD77">
      <w:pPr>
        <w:pStyle w:val="16"/>
        <w:spacing w:line="360" w:lineRule="auto"/>
        <w:ind w:firstLine="241"/>
        <w:rPr>
          <w:rFonts w:cs="宋体" w:asciiTheme="minorEastAsia" w:hAnsiTheme="minorEastAsia" w:eastAsiaTheme="minorEastAsia"/>
          <w:b/>
          <w:color w:val="000000" w:themeColor="text1"/>
          <w:sz w:val="24"/>
          <w:highlight w:val="none"/>
          <w14:textFill>
            <w14:solidFill>
              <w14:schemeClr w14:val="tx1"/>
            </w14:solidFill>
          </w14:textFill>
        </w:rPr>
      </w:pPr>
    </w:p>
    <w:p w14:paraId="6D916BB7">
      <w:pPr>
        <w:pStyle w:val="16"/>
        <w:spacing w:line="360" w:lineRule="auto"/>
        <w:ind w:firstLine="241"/>
        <w:rPr>
          <w:rFonts w:cs="宋体" w:asciiTheme="minorEastAsia" w:hAnsiTheme="minorEastAsia" w:eastAsiaTheme="minorEastAsia"/>
          <w:b/>
          <w:color w:val="000000" w:themeColor="text1"/>
          <w:sz w:val="24"/>
          <w:highlight w:val="none"/>
          <w14:textFill>
            <w14:solidFill>
              <w14:schemeClr w14:val="tx1"/>
            </w14:solidFill>
          </w14:textFill>
        </w:rPr>
      </w:pPr>
    </w:p>
    <w:p w14:paraId="55312DFF">
      <w:pPr>
        <w:pStyle w:val="16"/>
        <w:spacing w:line="360" w:lineRule="auto"/>
        <w:ind w:firstLine="241"/>
        <w:rPr>
          <w:rFonts w:cs="宋体" w:asciiTheme="minorEastAsia" w:hAnsiTheme="minorEastAsia" w:eastAsiaTheme="minorEastAsia"/>
          <w:b/>
          <w:color w:val="000000" w:themeColor="text1"/>
          <w:sz w:val="24"/>
          <w:highlight w:val="none"/>
          <w14:textFill>
            <w14:solidFill>
              <w14:schemeClr w14:val="tx1"/>
            </w14:solidFill>
          </w14:textFill>
        </w:rPr>
      </w:pPr>
    </w:p>
    <w:p w14:paraId="54A9ECB6">
      <w:pPr>
        <w:pStyle w:val="16"/>
        <w:spacing w:line="360" w:lineRule="auto"/>
        <w:ind w:firstLine="241"/>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3.场地情况</w:t>
      </w:r>
    </w:p>
    <w:p w14:paraId="291604B4">
      <w:pPr>
        <w:pStyle w:val="8"/>
        <w:ind w:right="164" w:firstLine="560"/>
        <w:rPr>
          <w:color w:val="000000" w:themeColor="text1"/>
          <w:highlight w:val="none"/>
          <w14:textFill>
            <w14:solidFill>
              <w14:schemeClr w14:val="tx1"/>
            </w14:solidFill>
          </w14:textFill>
        </w:rPr>
      </w:pPr>
    </w:p>
    <w:p w14:paraId="3FAC8AA3">
      <w:pPr>
        <w:spacing w:line="360" w:lineRule="auto"/>
        <w:ind w:firstLine="241" w:firstLineChars="100"/>
        <w:rPr>
          <w:rFonts w:cs="宋体" w:asciiTheme="minorEastAsia" w:hAnsiTheme="minorEastAsia" w:eastAsiaTheme="minorEastAsia"/>
          <w:b/>
          <w:color w:val="000000" w:themeColor="text1"/>
          <w:kern w:val="0"/>
          <w:sz w:val="24"/>
          <w:szCs w:val="20"/>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4"/>
          <w:szCs w:val="20"/>
          <w:highlight w:val="none"/>
          <w14:textFill>
            <w14:solidFill>
              <w14:schemeClr w14:val="tx1"/>
            </w14:solidFill>
          </w14:textFill>
        </w:rPr>
        <w:t>4.样品存放主要设施设备情况一览表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556"/>
        <w:gridCol w:w="1889"/>
        <w:gridCol w:w="3570"/>
      </w:tblGrid>
      <w:tr w14:paraId="427A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vAlign w:val="center"/>
          </w:tcPr>
          <w:p w14:paraId="75D9ECB1">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r>
              <w:rPr>
                <w:rFonts w:hint="eastAsia" w:cs="新宋体" w:asciiTheme="minorEastAsia" w:hAnsiTheme="minorEastAsia" w:eastAsiaTheme="minorEastAsia"/>
                <w:bCs/>
                <w:color w:val="000000" w:themeColor="text1"/>
                <w:sz w:val="24"/>
                <w:highlight w:val="none"/>
                <w14:textFill>
                  <w14:solidFill>
                    <w14:schemeClr w14:val="tx1"/>
                  </w14:solidFill>
                </w14:textFill>
              </w:rPr>
              <w:t>序号</w:t>
            </w:r>
          </w:p>
        </w:tc>
        <w:tc>
          <w:tcPr>
            <w:tcW w:w="1402" w:type="pct"/>
            <w:vAlign w:val="center"/>
          </w:tcPr>
          <w:p w14:paraId="4BE2B77F">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r>
              <w:rPr>
                <w:rFonts w:hint="eastAsia" w:cs="新宋体" w:asciiTheme="minorEastAsia" w:hAnsiTheme="minorEastAsia" w:eastAsiaTheme="minorEastAsia"/>
                <w:bCs/>
                <w:color w:val="000000" w:themeColor="text1"/>
                <w:sz w:val="24"/>
                <w:highlight w:val="none"/>
                <w14:textFill>
                  <w14:solidFill>
                    <w14:schemeClr w14:val="tx1"/>
                  </w14:solidFill>
                </w14:textFill>
              </w:rPr>
              <w:t>设施名称</w:t>
            </w:r>
          </w:p>
        </w:tc>
        <w:tc>
          <w:tcPr>
            <w:tcW w:w="1036" w:type="pct"/>
            <w:tcBorders>
              <w:bottom w:val="single" w:color="auto" w:sz="4" w:space="0"/>
            </w:tcBorders>
            <w:vAlign w:val="center"/>
          </w:tcPr>
          <w:p w14:paraId="0B6804AB">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r>
              <w:rPr>
                <w:rFonts w:hint="eastAsia" w:cs="新宋体" w:asciiTheme="minorEastAsia" w:hAnsiTheme="minorEastAsia" w:eastAsiaTheme="minorEastAsia"/>
                <w:bCs/>
                <w:color w:val="000000" w:themeColor="text1"/>
                <w:sz w:val="24"/>
                <w:highlight w:val="none"/>
                <w14:textFill>
                  <w14:solidFill>
                    <w14:schemeClr w14:val="tx1"/>
                  </w14:solidFill>
                </w14:textFill>
              </w:rPr>
              <w:t>主要功能</w:t>
            </w:r>
          </w:p>
        </w:tc>
        <w:tc>
          <w:tcPr>
            <w:tcW w:w="1958" w:type="pct"/>
            <w:tcBorders>
              <w:bottom w:val="single" w:color="auto" w:sz="4" w:space="0"/>
            </w:tcBorders>
            <w:vAlign w:val="center"/>
          </w:tcPr>
          <w:p w14:paraId="00BD30BB">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r>
              <w:rPr>
                <w:rFonts w:hint="eastAsia" w:cs="新宋体" w:asciiTheme="minorEastAsia" w:hAnsiTheme="minorEastAsia" w:eastAsiaTheme="minorEastAsia"/>
                <w:bCs/>
                <w:color w:val="000000" w:themeColor="text1"/>
                <w:sz w:val="24"/>
                <w:highlight w:val="none"/>
                <w14:textFill>
                  <w14:solidFill>
                    <w14:schemeClr w14:val="tx1"/>
                  </w14:solidFill>
                </w14:textFill>
              </w:rPr>
              <w:t>可保存样品的种类、数量</w:t>
            </w:r>
          </w:p>
          <w:p w14:paraId="45CB8DA5">
            <w:pPr>
              <w:jc w:val="center"/>
              <w:rPr>
                <w:rFonts w:cs="新宋体" w:asciiTheme="minorEastAsia" w:hAnsiTheme="minorEastAsia" w:eastAsiaTheme="minorEastAsia"/>
                <w:bCs/>
                <w:color w:val="000000" w:themeColor="text1"/>
                <w:sz w:val="24"/>
                <w:highlight w:val="none"/>
                <w14:textFill>
                  <w14:solidFill>
                    <w14:schemeClr w14:val="tx1"/>
                  </w14:solidFill>
                </w14:textFill>
              </w:rPr>
            </w:pPr>
            <w:r>
              <w:rPr>
                <w:rFonts w:hint="eastAsia" w:cs="新宋体" w:asciiTheme="minorEastAsia" w:hAnsiTheme="minorEastAsia" w:eastAsiaTheme="minorEastAsia"/>
                <w:bCs/>
                <w:color w:val="000000" w:themeColor="text1"/>
                <w:sz w:val="24"/>
                <w:highlight w:val="none"/>
                <w14:textFill>
                  <w14:solidFill>
                    <w14:schemeClr w14:val="tx1"/>
                  </w14:solidFill>
                </w14:textFill>
              </w:rPr>
              <w:t>（以每立方米为计算单位）</w:t>
            </w:r>
          </w:p>
        </w:tc>
      </w:tr>
      <w:tr w14:paraId="511F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tcPr>
          <w:p w14:paraId="06E3A8AA">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1402" w:type="pct"/>
          </w:tcPr>
          <w:p w14:paraId="33750467">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1036" w:type="pct"/>
            <w:tcBorders>
              <w:top w:val="single" w:color="auto" w:sz="4" w:space="0"/>
            </w:tcBorders>
          </w:tcPr>
          <w:p w14:paraId="7F48F33B">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1958" w:type="pct"/>
            <w:tcBorders>
              <w:top w:val="single" w:color="auto" w:sz="4" w:space="0"/>
            </w:tcBorders>
          </w:tcPr>
          <w:p w14:paraId="34683258">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r>
      <w:tr w14:paraId="2F357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tcPr>
          <w:p w14:paraId="7AC9D899">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1402" w:type="pct"/>
          </w:tcPr>
          <w:p w14:paraId="13320210">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1036" w:type="pct"/>
          </w:tcPr>
          <w:p w14:paraId="3ABB15B8">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1958" w:type="pct"/>
          </w:tcPr>
          <w:p w14:paraId="034A336B">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r>
      <w:tr w14:paraId="00B0A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tcPr>
          <w:p w14:paraId="5139A170">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1402" w:type="pct"/>
          </w:tcPr>
          <w:p w14:paraId="32BB4181">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1036" w:type="pct"/>
          </w:tcPr>
          <w:p w14:paraId="30844A59">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1958" w:type="pct"/>
          </w:tcPr>
          <w:p w14:paraId="139CA8C0">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r>
      <w:tr w14:paraId="58B1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tcPr>
          <w:p w14:paraId="5AEA8097">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1402" w:type="pct"/>
          </w:tcPr>
          <w:p w14:paraId="52981CA3">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1036" w:type="pct"/>
          </w:tcPr>
          <w:p w14:paraId="4F85E6B1">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1958" w:type="pct"/>
          </w:tcPr>
          <w:p w14:paraId="763680C0">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r>
      <w:tr w14:paraId="2C84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tcPr>
          <w:p w14:paraId="2CDDBCFD">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1402" w:type="pct"/>
          </w:tcPr>
          <w:p w14:paraId="6D5A5F2C">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1036" w:type="pct"/>
          </w:tcPr>
          <w:p w14:paraId="0D2B6C70">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1958" w:type="pct"/>
          </w:tcPr>
          <w:p w14:paraId="1F3FC99A">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r>
      <w:tr w14:paraId="383C6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tcPr>
          <w:p w14:paraId="43243F05">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1402" w:type="pct"/>
          </w:tcPr>
          <w:p w14:paraId="2EB1C126">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1036" w:type="pct"/>
          </w:tcPr>
          <w:p w14:paraId="0F508F77">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1958" w:type="pct"/>
          </w:tcPr>
          <w:p w14:paraId="2CA0DAD9">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r>
      <w:tr w14:paraId="5DE9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tcPr>
          <w:p w14:paraId="7EA2E6BC">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1402" w:type="pct"/>
          </w:tcPr>
          <w:p w14:paraId="5FE8E518">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1036" w:type="pct"/>
          </w:tcPr>
          <w:p w14:paraId="64177EE6">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1958" w:type="pct"/>
          </w:tcPr>
          <w:p w14:paraId="3AEEB13F">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r>
      <w:tr w14:paraId="1FD4C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tcPr>
          <w:p w14:paraId="226A5DD0">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1402" w:type="pct"/>
          </w:tcPr>
          <w:p w14:paraId="0F0DFF5B">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1036" w:type="pct"/>
          </w:tcPr>
          <w:p w14:paraId="065773D0">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1958" w:type="pct"/>
          </w:tcPr>
          <w:p w14:paraId="7B34CEBB">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r>
      <w:tr w14:paraId="447C4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tcPr>
          <w:p w14:paraId="64081A1B">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1402" w:type="pct"/>
          </w:tcPr>
          <w:p w14:paraId="7AF24113">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1036" w:type="pct"/>
          </w:tcPr>
          <w:p w14:paraId="3D275D79">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1958" w:type="pct"/>
          </w:tcPr>
          <w:p w14:paraId="66521B9E">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r>
      <w:tr w14:paraId="72273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tcPr>
          <w:p w14:paraId="61803AE4">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1402" w:type="pct"/>
          </w:tcPr>
          <w:p w14:paraId="750B514F">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1036" w:type="pct"/>
          </w:tcPr>
          <w:p w14:paraId="1BA50324">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1958" w:type="pct"/>
          </w:tcPr>
          <w:p w14:paraId="5B7317F3">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r>
      <w:tr w14:paraId="6561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tcPr>
          <w:p w14:paraId="32F27A92">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1402" w:type="pct"/>
          </w:tcPr>
          <w:p w14:paraId="04EE80D8">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1036" w:type="pct"/>
          </w:tcPr>
          <w:p w14:paraId="7F569772">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1958" w:type="pct"/>
          </w:tcPr>
          <w:p w14:paraId="0D20AD99">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r>
      <w:tr w14:paraId="4140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tcPr>
          <w:p w14:paraId="64A5605B">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1402" w:type="pct"/>
          </w:tcPr>
          <w:p w14:paraId="1F22BD1D">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1036" w:type="pct"/>
          </w:tcPr>
          <w:p w14:paraId="1F04EAB8">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1958" w:type="pct"/>
          </w:tcPr>
          <w:p w14:paraId="08ED4174">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r>
      <w:tr w14:paraId="0212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tcPr>
          <w:p w14:paraId="15263FAB">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1402" w:type="pct"/>
          </w:tcPr>
          <w:p w14:paraId="681F58B9">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1036" w:type="pct"/>
          </w:tcPr>
          <w:p w14:paraId="0AC8F389">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1958" w:type="pct"/>
          </w:tcPr>
          <w:p w14:paraId="0E317D8A">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r>
      <w:tr w14:paraId="21D6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tcPr>
          <w:p w14:paraId="124BEE1C">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1402" w:type="pct"/>
          </w:tcPr>
          <w:p w14:paraId="5565DCD8">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1036" w:type="pct"/>
          </w:tcPr>
          <w:p w14:paraId="7C6321BA">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c>
          <w:tcPr>
            <w:tcW w:w="1958" w:type="pct"/>
          </w:tcPr>
          <w:p w14:paraId="1B2ADB17">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tc>
      </w:tr>
    </w:tbl>
    <w:p w14:paraId="0755CF4C">
      <w:pPr>
        <w:jc w:val="center"/>
        <w:rPr>
          <w:rFonts w:cs="新宋体" w:asciiTheme="minorEastAsia" w:hAnsiTheme="minorEastAsia" w:eastAsiaTheme="minorEastAsia"/>
          <w:b/>
          <w:bCs/>
          <w:color w:val="000000" w:themeColor="text1"/>
          <w:sz w:val="32"/>
          <w:szCs w:val="32"/>
          <w:highlight w:val="none"/>
          <w14:textFill>
            <w14:solidFill>
              <w14:schemeClr w14:val="tx1"/>
            </w14:solidFill>
          </w14:textFill>
        </w:rPr>
      </w:pPr>
    </w:p>
    <w:p w14:paraId="06C97096">
      <w:pPr>
        <w:spacing w:line="360" w:lineRule="auto"/>
        <w:ind w:firstLine="3600" w:firstLineChars="1250"/>
        <w:rPr>
          <w:rFonts w:asciiTheme="minorEastAsia" w:hAnsiTheme="minorEastAsia" w:eastAsiaTheme="minorEastAsia"/>
          <w:color w:val="000000" w:themeColor="text1"/>
          <w:spacing w:val="24"/>
          <w:sz w:val="24"/>
          <w:highlight w:val="none"/>
          <w14:textFill>
            <w14:solidFill>
              <w14:schemeClr w14:val="tx1"/>
            </w14:solidFill>
          </w14:textFill>
        </w:rPr>
      </w:pPr>
      <w:r>
        <w:rPr>
          <w:rFonts w:hint="eastAsia" w:asciiTheme="minorEastAsia" w:hAnsiTheme="minorEastAsia" w:eastAsiaTheme="minorEastAsia"/>
          <w:color w:val="000000" w:themeColor="text1"/>
          <w:spacing w:val="24"/>
          <w:sz w:val="24"/>
          <w:highlight w:val="none"/>
          <w14:textFill>
            <w14:solidFill>
              <w14:schemeClr w14:val="tx1"/>
            </w14:solidFill>
          </w14:textFill>
        </w:rPr>
        <w:t>磋商供应商：</w:t>
      </w:r>
      <w:r>
        <w:rPr>
          <w:rFonts w:hint="eastAsia" w:asciiTheme="minorEastAsia" w:hAnsiTheme="minorEastAsia" w:eastAsiaTheme="minorEastAsia"/>
          <w:color w:val="000000" w:themeColor="text1"/>
          <w:spacing w:val="24"/>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lang w:val="zh-CN" w:bidi="zh-CN"/>
          <w14:textFill>
            <w14:solidFill>
              <w14:schemeClr w14:val="tx1"/>
            </w14:solidFill>
          </w14:textFill>
        </w:rPr>
        <w:t>单位电子签章</w:t>
      </w:r>
      <w:r>
        <w:rPr>
          <w:rFonts w:hint="eastAsia" w:asciiTheme="minorEastAsia" w:hAnsiTheme="minorEastAsia" w:eastAsiaTheme="minorEastAsia"/>
          <w:color w:val="000000" w:themeColor="text1"/>
          <w:spacing w:val="24"/>
          <w:sz w:val="24"/>
          <w:highlight w:val="none"/>
          <w14:textFill>
            <w14:solidFill>
              <w14:schemeClr w14:val="tx1"/>
            </w14:solidFill>
          </w14:textFill>
        </w:rPr>
        <w:t>）</w:t>
      </w:r>
    </w:p>
    <w:p w14:paraId="442458C6">
      <w:pPr>
        <w:spacing w:line="360" w:lineRule="auto"/>
        <w:ind w:firstLine="3600" w:firstLineChars="1250"/>
        <w:rPr>
          <w:rFonts w:asciiTheme="minorEastAsia" w:hAnsiTheme="minorEastAsia" w:eastAsiaTheme="minorEastAsia"/>
          <w:color w:val="000000" w:themeColor="text1"/>
          <w:spacing w:val="24"/>
          <w:sz w:val="24"/>
          <w:highlight w:val="none"/>
          <w14:textFill>
            <w14:solidFill>
              <w14:schemeClr w14:val="tx1"/>
            </w14:solidFill>
          </w14:textFill>
        </w:rPr>
      </w:pPr>
      <w:r>
        <w:rPr>
          <w:rFonts w:hint="eastAsia" w:asciiTheme="minorEastAsia" w:hAnsiTheme="minorEastAsia" w:eastAsiaTheme="minorEastAsia"/>
          <w:color w:val="000000" w:themeColor="text1"/>
          <w:spacing w:val="24"/>
          <w:sz w:val="24"/>
          <w:highlight w:val="none"/>
          <w14:textFill>
            <w14:solidFill>
              <w14:schemeClr w14:val="tx1"/>
            </w14:solidFill>
          </w14:textFill>
        </w:rPr>
        <w:t>法定代表人：</w:t>
      </w:r>
      <w:r>
        <w:rPr>
          <w:rFonts w:hint="eastAsia" w:asciiTheme="minorEastAsia" w:hAnsiTheme="minorEastAsia" w:eastAsiaTheme="minorEastAsia"/>
          <w:color w:val="000000" w:themeColor="text1"/>
          <w:spacing w:val="24"/>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lang w:val="zh-CN" w:bidi="zh-CN"/>
          <w14:textFill>
            <w14:solidFill>
              <w14:schemeClr w14:val="tx1"/>
            </w14:solidFill>
          </w14:textFill>
        </w:rPr>
        <w:t>法人电子签章</w:t>
      </w:r>
      <w:r>
        <w:rPr>
          <w:rFonts w:hint="eastAsia" w:asciiTheme="minorEastAsia" w:hAnsiTheme="minorEastAsia" w:eastAsiaTheme="minorEastAsia"/>
          <w:color w:val="000000" w:themeColor="text1"/>
          <w:spacing w:val="24"/>
          <w:sz w:val="24"/>
          <w:highlight w:val="none"/>
          <w14:textFill>
            <w14:solidFill>
              <w14:schemeClr w14:val="tx1"/>
            </w14:solidFill>
          </w14:textFill>
        </w:rPr>
        <w:t>）</w:t>
      </w:r>
    </w:p>
    <w:p w14:paraId="0F50CAFE">
      <w:pPr>
        <w:spacing w:line="480" w:lineRule="auto"/>
        <w:ind w:left="-7" w:leftChars="-95" w:right="452" w:hanging="192" w:hangingChars="67"/>
        <w:jc w:val="center"/>
        <w:rPr>
          <w:rFonts w:asciiTheme="minorEastAsia" w:hAnsiTheme="minorEastAsia" w:eastAsiaTheme="minorEastAsia"/>
          <w:color w:val="000000" w:themeColor="text1"/>
          <w:spacing w:val="24"/>
          <w:sz w:val="24"/>
          <w:highlight w:val="none"/>
          <w14:textFill>
            <w14:solidFill>
              <w14:schemeClr w14:val="tx1"/>
            </w14:solidFill>
          </w14:textFill>
        </w:rPr>
      </w:pPr>
      <w:r>
        <w:rPr>
          <w:rFonts w:hint="eastAsia" w:asciiTheme="minorEastAsia" w:hAnsiTheme="minorEastAsia" w:eastAsiaTheme="minorEastAsia"/>
          <w:color w:val="000000" w:themeColor="text1"/>
          <w:spacing w:val="24"/>
          <w:sz w:val="24"/>
          <w:highlight w:val="none"/>
          <w14:textFill>
            <w14:solidFill>
              <w14:schemeClr w14:val="tx1"/>
            </w14:solidFill>
          </w14:textFill>
        </w:rPr>
        <w:t xml:space="preserve">                   日     期：</w:t>
      </w:r>
      <w:r>
        <w:rPr>
          <w:rFonts w:hint="eastAsia" w:asciiTheme="minorEastAsia" w:hAnsiTheme="minorEastAsia" w:eastAsiaTheme="minorEastAsia"/>
          <w:color w:val="000000" w:themeColor="text1"/>
          <w:spacing w:val="24"/>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highlight w:val="none"/>
          <w14:textFill>
            <w14:solidFill>
              <w14:schemeClr w14:val="tx1"/>
            </w14:solidFill>
          </w14:textFill>
        </w:rPr>
        <w:t>年</w:t>
      </w:r>
      <w:r>
        <w:rPr>
          <w:rFonts w:hint="eastAsia" w:asciiTheme="minorEastAsia" w:hAnsiTheme="minorEastAsia" w:eastAsiaTheme="minorEastAsia"/>
          <w:color w:val="000000" w:themeColor="text1"/>
          <w:spacing w:val="24"/>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highlight w:val="none"/>
          <w14:textFill>
            <w14:solidFill>
              <w14:schemeClr w14:val="tx1"/>
            </w14:solidFill>
          </w14:textFill>
        </w:rPr>
        <w:t>月</w:t>
      </w:r>
      <w:r>
        <w:rPr>
          <w:rFonts w:hint="eastAsia" w:asciiTheme="minorEastAsia" w:hAnsiTheme="minorEastAsia" w:eastAsiaTheme="minorEastAsia"/>
          <w:color w:val="000000" w:themeColor="text1"/>
          <w:spacing w:val="24"/>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highlight w:val="none"/>
          <w14:textFill>
            <w14:solidFill>
              <w14:schemeClr w14:val="tx1"/>
            </w14:solidFill>
          </w14:textFill>
        </w:rPr>
        <w:t>日</w:t>
      </w:r>
    </w:p>
    <w:p w14:paraId="08273993">
      <w:pPr>
        <w:pStyle w:val="16"/>
        <w:ind w:firstLine="200"/>
        <w:rPr>
          <w:color w:val="000000" w:themeColor="text1"/>
          <w:highlight w:val="none"/>
          <w14:textFill>
            <w14:solidFill>
              <w14:schemeClr w14:val="tx1"/>
            </w14:solidFill>
          </w14:textFill>
        </w:rPr>
      </w:pPr>
    </w:p>
    <w:p w14:paraId="0BCEE453">
      <w:pPr>
        <w:pStyle w:val="8"/>
        <w:ind w:right="164" w:firstLine="560"/>
        <w:rPr>
          <w:color w:val="000000" w:themeColor="text1"/>
          <w:highlight w:val="none"/>
          <w14:textFill>
            <w14:solidFill>
              <w14:schemeClr w14:val="tx1"/>
            </w14:solidFill>
          </w14:textFill>
        </w:rPr>
      </w:pPr>
    </w:p>
    <w:p w14:paraId="75A260A6">
      <w:pPr>
        <w:rPr>
          <w:color w:val="000000" w:themeColor="text1"/>
          <w:highlight w:val="none"/>
          <w14:textFill>
            <w14:solidFill>
              <w14:schemeClr w14:val="tx1"/>
            </w14:solidFill>
          </w14:textFill>
        </w:rPr>
      </w:pPr>
    </w:p>
    <w:p w14:paraId="6846DFD0">
      <w:pPr>
        <w:pStyle w:val="16"/>
        <w:ind w:firstLine="200"/>
        <w:rPr>
          <w:color w:val="000000" w:themeColor="text1"/>
          <w:highlight w:val="none"/>
          <w14:textFill>
            <w14:solidFill>
              <w14:schemeClr w14:val="tx1"/>
            </w14:solidFill>
          </w14:textFill>
        </w:rPr>
      </w:pPr>
    </w:p>
    <w:p w14:paraId="35E7CAA9">
      <w:pPr>
        <w:pStyle w:val="8"/>
        <w:ind w:right="164" w:firstLine="560"/>
        <w:rPr>
          <w:color w:val="000000" w:themeColor="text1"/>
          <w:highlight w:val="none"/>
          <w14:textFill>
            <w14:solidFill>
              <w14:schemeClr w14:val="tx1"/>
            </w14:solidFill>
          </w14:textFill>
        </w:rPr>
      </w:pPr>
    </w:p>
    <w:p w14:paraId="615ED4F9">
      <w:pPr>
        <w:rPr>
          <w:color w:val="000000" w:themeColor="text1"/>
          <w:highlight w:val="none"/>
          <w14:textFill>
            <w14:solidFill>
              <w14:schemeClr w14:val="tx1"/>
            </w14:solidFill>
          </w14:textFill>
        </w:rPr>
      </w:pPr>
    </w:p>
    <w:p w14:paraId="2F31D0AD">
      <w:pPr>
        <w:pStyle w:val="16"/>
        <w:ind w:firstLine="200"/>
        <w:rPr>
          <w:color w:val="000000" w:themeColor="text1"/>
          <w:highlight w:val="none"/>
          <w14:textFill>
            <w14:solidFill>
              <w14:schemeClr w14:val="tx1"/>
            </w14:solidFill>
          </w14:textFill>
        </w:rPr>
      </w:pPr>
    </w:p>
    <w:p w14:paraId="2B96BB5A">
      <w:pPr>
        <w:pStyle w:val="8"/>
        <w:ind w:right="164" w:firstLine="560"/>
        <w:rPr>
          <w:color w:val="000000" w:themeColor="text1"/>
          <w:highlight w:val="none"/>
          <w14:textFill>
            <w14:solidFill>
              <w14:schemeClr w14:val="tx1"/>
            </w14:solidFill>
          </w14:textFill>
        </w:rPr>
      </w:pPr>
    </w:p>
    <w:p w14:paraId="5FFE353E">
      <w:pPr>
        <w:rPr>
          <w:color w:val="000000" w:themeColor="text1"/>
          <w:highlight w:val="none"/>
          <w14:textFill>
            <w14:solidFill>
              <w14:schemeClr w14:val="tx1"/>
            </w14:solidFill>
          </w14:textFill>
        </w:rPr>
      </w:pPr>
    </w:p>
    <w:p w14:paraId="4958ECA1">
      <w:pPr>
        <w:rPr>
          <w:rFonts w:cs="新宋体" w:asciiTheme="minorEastAsia" w:hAnsiTheme="minorEastAsia" w:eastAsiaTheme="minorEastAsia"/>
          <w:bCs/>
          <w:color w:val="000000" w:themeColor="text1"/>
          <w:sz w:val="24"/>
          <w:highlight w:val="none"/>
          <w14:textFill>
            <w14:solidFill>
              <w14:schemeClr w14:val="tx1"/>
            </w14:solidFill>
          </w14:textFill>
        </w:rPr>
      </w:pPr>
    </w:p>
    <w:p w14:paraId="0203FA3A">
      <w:pPr>
        <w:spacing w:line="360" w:lineRule="auto"/>
        <w:rPr>
          <w:rFonts w:cs="宋体" w:asciiTheme="minorEastAsia" w:hAnsiTheme="minorEastAsia" w:eastAsiaTheme="minorEastAsia"/>
          <w:b/>
          <w:color w:val="000000" w:themeColor="text1"/>
          <w:kern w:val="0"/>
          <w:sz w:val="24"/>
          <w:szCs w:val="20"/>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4"/>
          <w:szCs w:val="20"/>
          <w:highlight w:val="none"/>
          <w14:textFill>
            <w14:solidFill>
              <w14:schemeClr w14:val="tx1"/>
            </w14:solidFill>
          </w14:textFill>
        </w:rPr>
        <w:t>5.拟派项目负责人一览表</w:t>
      </w:r>
    </w:p>
    <w:p w14:paraId="606DCAD5">
      <w:pPr>
        <w:rPr>
          <w:rFonts w:cs="新宋体" w:asciiTheme="minorEastAsia" w:hAnsiTheme="minorEastAsia" w:eastAsiaTheme="minorEastAsia"/>
          <w:color w:val="000000" w:themeColor="text1"/>
          <w:highlight w:val="none"/>
          <w14:textFill>
            <w14:solidFill>
              <w14:schemeClr w14:val="tx1"/>
            </w14:solidFill>
          </w14:textFill>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103"/>
        <w:gridCol w:w="2270"/>
        <w:gridCol w:w="2288"/>
        <w:gridCol w:w="2270"/>
      </w:tblGrid>
      <w:tr w14:paraId="1D3B4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55" w:type="pct"/>
            <w:gridSpan w:val="2"/>
            <w:vAlign w:val="center"/>
          </w:tcPr>
          <w:p w14:paraId="1D1A344F">
            <w:pPr>
              <w:jc w:val="center"/>
              <w:rPr>
                <w:rFonts w:cs="新宋体" w:asciiTheme="minorEastAsia" w:hAnsiTheme="minorEastAsia" w:eastAsiaTheme="minorEastAsia"/>
                <w:color w:val="000000" w:themeColor="text1"/>
                <w:sz w:val="24"/>
                <w:highlight w:val="none"/>
                <w14:textFill>
                  <w14:solidFill>
                    <w14:schemeClr w14:val="tx1"/>
                  </w14:solidFill>
                </w14:textFill>
              </w:rPr>
            </w:pPr>
            <w:r>
              <w:rPr>
                <w:rFonts w:hint="eastAsia" w:cs="新宋体" w:asciiTheme="minorEastAsia" w:hAnsiTheme="minorEastAsia" w:eastAsiaTheme="minorEastAsia"/>
                <w:color w:val="000000" w:themeColor="text1"/>
                <w:sz w:val="24"/>
                <w:highlight w:val="none"/>
                <w14:textFill>
                  <w14:solidFill>
                    <w14:schemeClr w14:val="tx1"/>
                  </w14:solidFill>
                </w14:textFill>
              </w:rPr>
              <w:t>姓名</w:t>
            </w:r>
          </w:p>
        </w:tc>
        <w:tc>
          <w:tcPr>
            <w:tcW w:w="1245" w:type="pct"/>
            <w:vAlign w:val="center"/>
          </w:tcPr>
          <w:p w14:paraId="6B72F00E">
            <w:pPr>
              <w:jc w:val="center"/>
              <w:rPr>
                <w:rFonts w:cs="新宋体" w:asciiTheme="minorEastAsia" w:hAnsiTheme="minorEastAsia" w:eastAsiaTheme="minorEastAsia"/>
                <w:color w:val="000000" w:themeColor="text1"/>
                <w:sz w:val="24"/>
                <w:highlight w:val="none"/>
                <w14:textFill>
                  <w14:solidFill>
                    <w14:schemeClr w14:val="tx1"/>
                  </w14:solidFill>
                </w14:textFill>
              </w:rPr>
            </w:pPr>
          </w:p>
        </w:tc>
        <w:tc>
          <w:tcPr>
            <w:tcW w:w="1255" w:type="pct"/>
            <w:vAlign w:val="center"/>
          </w:tcPr>
          <w:p w14:paraId="267B9AA1">
            <w:pPr>
              <w:jc w:val="center"/>
              <w:rPr>
                <w:rFonts w:cs="新宋体" w:asciiTheme="minorEastAsia" w:hAnsiTheme="minorEastAsia" w:eastAsiaTheme="minorEastAsia"/>
                <w:color w:val="000000" w:themeColor="text1"/>
                <w:sz w:val="24"/>
                <w:highlight w:val="none"/>
                <w14:textFill>
                  <w14:solidFill>
                    <w14:schemeClr w14:val="tx1"/>
                  </w14:solidFill>
                </w14:textFill>
              </w:rPr>
            </w:pPr>
            <w:r>
              <w:rPr>
                <w:rFonts w:hint="eastAsia" w:cs="新宋体" w:asciiTheme="minorEastAsia" w:hAnsiTheme="minorEastAsia" w:eastAsiaTheme="minorEastAsia"/>
                <w:color w:val="000000" w:themeColor="text1"/>
                <w:sz w:val="24"/>
                <w:highlight w:val="none"/>
                <w14:textFill>
                  <w14:solidFill>
                    <w14:schemeClr w14:val="tx1"/>
                  </w14:solidFill>
                </w14:textFill>
              </w:rPr>
              <w:t>年龄</w:t>
            </w:r>
          </w:p>
        </w:tc>
        <w:tc>
          <w:tcPr>
            <w:tcW w:w="1245" w:type="pct"/>
            <w:vAlign w:val="center"/>
          </w:tcPr>
          <w:p w14:paraId="426A842B">
            <w:pPr>
              <w:jc w:val="center"/>
              <w:rPr>
                <w:rFonts w:cs="新宋体" w:asciiTheme="minorEastAsia" w:hAnsiTheme="minorEastAsia" w:eastAsiaTheme="minorEastAsia"/>
                <w:color w:val="000000" w:themeColor="text1"/>
                <w:sz w:val="24"/>
                <w:highlight w:val="none"/>
                <w14:textFill>
                  <w14:solidFill>
                    <w14:schemeClr w14:val="tx1"/>
                  </w14:solidFill>
                </w14:textFill>
              </w:rPr>
            </w:pPr>
          </w:p>
        </w:tc>
      </w:tr>
      <w:tr w14:paraId="0045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55" w:type="pct"/>
            <w:gridSpan w:val="2"/>
            <w:vAlign w:val="center"/>
          </w:tcPr>
          <w:p w14:paraId="57E416C1">
            <w:pPr>
              <w:jc w:val="center"/>
              <w:rPr>
                <w:rFonts w:cs="新宋体" w:asciiTheme="minorEastAsia" w:hAnsiTheme="minorEastAsia" w:eastAsiaTheme="minorEastAsia"/>
                <w:color w:val="000000" w:themeColor="text1"/>
                <w:sz w:val="24"/>
                <w:highlight w:val="none"/>
                <w14:textFill>
                  <w14:solidFill>
                    <w14:schemeClr w14:val="tx1"/>
                  </w14:solidFill>
                </w14:textFill>
              </w:rPr>
            </w:pPr>
            <w:r>
              <w:rPr>
                <w:rFonts w:hint="eastAsia" w:cs="新宋体" w:asciiTheme="minorEastAsia" w:hAnsiTheme="minorEastAsia" w:eastAsiaTheme="minorEastAsia"/>
                <w:color w:val="000000" w:themeColor="text1"/>
                <w:sz w:val="24"/>
                <w:highlight w:val="none"/>
                <w14:textFill>
                  <w14:solidFill>
                    <w14:schemeClr w14:val="tx1"/>
                  </w14:solidFill>
                </w14:textFill>
              </w:rPr>
              <w:t>学历</w:t>
            </w:r>
          </w:p>
        </w:tc>
        <w:tc>
          <w:tcPr>
            <w:tcW w:w="1245" w:type="pct"/>
            <w:vAlign w:val="center"/>
          </w:tcPr>
          <w:p w14:paraId="17E229F2">
            <w:pPr>
              <w:jc w:val="center"/>
              <w:rPr>
                <w:rFonts w:cs="新宋体" w:asciiTheme="minorEastAsia" w:hAnsiTheme="minorEastAsia" w:eastAsiaTheme="minorEastAsia"/>
                <w:color w:val="000000" w:themeColor="text1"/>
                <w:sz w:val="24"/>
                <w:highlight w:val="none"/>
                <w14:textFill>
                  <w14:solidFill>
                    <w14:schemeClr w14:val="tx1"/>
                  </w14:solidFill>
                </w14:textFill>
              </w:rPr>
            </w:pPr>
          </w:p>
        </w:tc>
        <w:tc>
          <w:tcPr>
            <w:tcW w:w="1255" w:type="pct"/>
            <w:vAlign w:val="center"/>
          </w:tcPr>
          <w:p w14:paraId="1F46F231">
            <w:pPr>
              <w:jc w:val="center"/>
              <w:rPr>
                <w:rFonts w:cs="新宋体" w:asciiTheme="minorEastAsia" w:hAnsiTheme="minorEastAsia" w:eastAsiaTheme="minorEastAsia"/>
                <w:color w:val="000000" w:themeColor="text1"/>
                <w:sz w:val="24"/>
                <w:highlight w:val="none"/>
                <w14:textFill>
                  <w14:solidFill>
                    <w14:schemeClr w14:val="tx1"/>
                  </w14:solidFill>
                </w14:textFill>
              </w:rPr>
            </w:pPr>
            <w:r>
              <w:rPr>
                <w:rFonts w:hint="eastAsia" w:cs="新宋体" w:asciiTheme="minorEastAsia" w:hAnsiTheme="minorEastAsia" w:eastAsiaTheme="minorEastAsia"/>
                <w:color w:val="000000" w:themeColor="text1"/>
                <w:sz w:val="24"/>
                <w:highlight w:val="none"/>
                <w14:textFill>
                  <w14:solidFill>
                    <w14:schemeClr w14:val="tx1"/>
                  </w14:solidFill>
                </w14:textFill>
              </w:rPr>
              <w:t>专业资质</w:t>
            </w:r>
          </w:p>
        </w:tc>
        <w:tc>
          <w:tcPr>
            <w:tcW w:w="1245" w:type="pct"/>
            <w:vAlign w:val="center"/>
          </w:tcPr>
          <w:p w14:paraId="595915DD">
            <w:pPr>
              <w:jc w:val="center"/>
              <w:rPr>
                <w:rFonts w:cs="新宋体" w:asciiTheme="minorEastAsia" w:hAnsiTheme="minorEastAsia" w:eastAsiaTheme="minorEastAsia"/>
                <w:color w:val="000000" w:themeColor="text1"/>
                <w:sz w:val="24"/>
                <w:highlight w:val="none"/>
                <w14:textFill>
                  <w14:solidFill>
                    <w14:schemeClr w14:val="tx1"/>
                  </w14:solidFill>
                </w14:textFill>
              </w:rPr>
            </w:pPr>
          </w:p>
        </w:tc>
      </w:tr>
      <w:tr w14:paraId="4D222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55" w:type="pct"/>
            <w:gridSpan w:val="2"/>
            <w:vAlign w:val="center"/>
          </w:tcPr>
          <w:p w14:paraId="14D8B7DA">
            <w:pPr>
              <w:jc w:val="center"/>
              <w:rPr>
                <w:rFonts w:cs="新宋体" w:asciiTheme="minorEastAsia" w:hAnsiTheme="minorEastAsia" w:eastAsiaTheme="minorEastAsia"/>
                <w:color w:val="000000" w:themeColor="text1"/>
                <w:sz w:val="24"/>
                <w:highlight w:val="none"/>
                <w14:textFill>
                  <w14:solidFill>
                    <w14:schemeClr w14:val="tx1"/>
                  </w14:solidFill>
                </w14:textFill>
              </w:rPr>
            </w:pPr>
            <w:r>
              <w:rPr>
                <w:rFonts w:hint="eastAsia" w:cs="新宋体" w:asciiTheme="minorEastAsia" w:hAnsiTheme="minorEastAsia" w:eastAsiaTheme="minorEastAsia"/>
                <w:color w:val="000000" w:themeColor="text1"/>
                <w:sz w:val="24"/>
                <w:highlight w:val="none"/>
                <w14:textFill>
                  <w14:solidFill>
                    <w14:schemeClr w14:val="tx1"/>
                  </w14:solidFill>
                </w14:textFill>
              </w:rPr>
              <w:t>职务</w:t>
            </w:r>
          </w:p>
        </w:tc>
        <w:tc>
          <w:tcPr>
            <w:tcW w:w="1245" w:type="pct"/>
            <w:vAlign w:val="center"/>
          </w:tcPr>
          <w:p w14:paraId="1C3A59CB">
            <w:pPr>
              <w:jc w:val="center"/>
              <w:rPr>
                <w:rFonts w:cs="新宋体" w:asciiTheme="minorEastAsia" w:hAnsiTheme="minorEastAsia" w:eastAsiaTheme="minorEastAsia"/>
                <w:color w:val="000000" w:themeColor="text1"/>
                <w:sz w:val="24"/>
                <w:highlight w:val="none"/>
                <w14:textFill>
                  <w14:solidFill>
                    <w14:schemeClr w14:val="tx1"/>
                  </w14:solidFill>
                </w14:textFill>
              </w:rPr>
            </w:pPr>
          </w:p>
        </w:tc>
        <w:tc>
          <w:tcPr>
            <w:tcW w:w="1255" w:type="pct"/>
            <w:vAlign w:val="center"/>
          </w:tcPr>
          <w:p w14:paraId="14EF00BD">
            <w:pPr>
              <w:jc w:val="center"/>
              <w:rPr>
                <w:rFonts w:cs="新宋体" w:asciiTheme="minorEastAsia" w:hAnsiTheme="minorEastAsia" w:eastAsiaTheme="minorEastAsia"/>
                <w:color w:val="000000" w:themeColor="text1"/>
                <w:sz w:val="24"/>
                <w:highlight w:val="none"/>
                <w14:textFill>
                  <w14:solidFill>
                    <w14:schemeClr w14:val="tx1"/>
                  </w14:solidFill>
                </w14:textFill>
              </w:rPr>
            </w:pPr>
            <w:r>
              <w:rPr>
                <w:rFonts w:hint="eastAsia" w:cs="新宋体" w:asciiTheme="minorEastAsia" w:hAnsiTheme="minorEastAsia" w:eastAsiaTheme="minorEastAsia"/>
                <w:color w:val="000000" w:themeColor="text1"/>
                <w:sz w:val="24"/>
                <w:highlight w:val="none"/>
                <w14:textFill>
                  <w14:solidFill>
                    <w14:schemeClr w14:val="tx1"/>
                  </w14:solidFill>
                </w14:textFill>
              </w:rPr>
              <w:t>职称</w:t>
            </w:r>
          </w:p>
        </w:tc>
        <w:tc>
          <w:tcPr>
            <w:tcW w:w="1245" w:type="pct"/>
            <w:vAlign w:val="center"/>
          </w:tcPr>
          <w:p w14:paraId="2C394F06">
            <w:pPr>
              <w:jc w:val="center"/>
              <w:rPr>
                <w:rFonts w:cs="新宋体" w:asciiTheme="minorEastAsia" w:hAnsiTheme="minorEastAsia" w:eastAsiaTheme="minorEastAsia"/>
                <w:color w:val="000000" w:themeColor="text1"/>
                <w:sz w:val="24"/>
                <w:highlight w:val="none"/>
                <w14:textFill>
                  <w14:solidFill>
                    <w14:schemeClr w14:val="tx1"/>
                  </w14:solidFill>
                </w14:textFill>
              </w:rPr>
            </w:pPr>
          </w:p>
        </w:tc>
      </w:tr>
      <w:tr w14:paraId="1A735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500" w:type="pct"/>
            <w:gridSpan w:val="3"/>
            <w:vAlign w:val="center"/>
          </w:tcPr>
          <w:p w14:paraId="6C93FE69">
            <w:pPr>
              <w:jc w:val="center"/>
              <w:rPr>
                <w:rFonts w:cs="新宋体" w:asciiTheme="minorEastAsia" w:hAnsiTheme="minorEastAsia" w:eastAsiaTheme="minorEastAsia"/>
                <w:color w:val="000000" w:themeColor="text1"/>
                <w:sz w:val="24"/>
                <w:highlight w:val="none"/>
                <w14:textFill>
                  <w14:solidFill>
                    <w14:schemeClr w14:val="tx1"/>
                  </w14:solidFill>
                </w14:textFill>
              </w:rPr>
            </w:pPr>
            <w:r>
              <w:rPr>
                <w:rFonts w:hint="eastAsia" w:cs="新宋体" w:asciiTheme="minorEastAsia" w:hAnsiTheme="minorEastAsia" w:eastAsiaTheme="minorEastAsia"/>
                <w:color w:val="000000" w:themeColor="text1"/>
                <w:sz w:val="24"/>
                <w:highlight w:val="none"/>
                <w14:textFill>
                  <w14:solidFill>
                    <w14:schemeClr w14:val="tx1"/>
                  </w14:solidFill>
                </w14:textFill>
              </w:rPr>
              <w:t>从事检验工作年限</w:t>
            </w:r>
          </w:p>
        </w:tc>
        <w:tc>
          <w:tcPr>
            <w:tcW w:w="2500" w:type="pct"/>
            <w:gridSpan w:val="2"/>
            <w:vAlign w:val="center"/>
          </w:tcPr>
          <w:p w14:paraId="4254ED47">
            <w:pPr>
              <w:jc w:val="center"/>
              <w:rPr>
                <w:rFonts w:cs="新宋体" w:asciiTheme="minorEastAsia" w:hAnsiTheme="minorEastAsia" w:eastAsiaTheme="minorEastAsia"/>
                <w:color w:val="000000" w:themeColor="text1"/>
                <w:sz w:val="24"/>
                <w:highlight w:val="none"/>
                <w14:textFill>
                  <w14:solidFill>
                    <w14:schemeClr w14:val="tx1"/>
                  </w14:solidFill>
                </w14:textFill>
              </w:rPr>
            </w:pPr>
          </w:p>
        </w:tc>
      </w:tr>
      <w:tr w14:paraId="622AA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00" w:type="pct"/>
            <w:gridSpan w:val="3"/>
            <w:vAlign w:val="center"/>
          </w:tcPr>
          <w:p w14:paraId="4D2F6C43">
            <w:pPr>
              <w:jc w:val="center"/>
              <w:rPr>
                <w:rFonts w:cs="新宋体" w:asciiTheme="minorEastAsia" w:hAnsiTheme="minorEastAsia" w:eastAsiaTheme="minorEastAsia"/>
                <w:color w:val="000000" w:themeColor="text1"/>
                <w:sz w:val="24"/>
                <w:highlight w:val="none"/>
                <w14:textFill>
                  <w14:solidFill>
                    <w14:schemeClr w14:val="tx1"/>
                  </w14:solidFill>
                </w14:textFill>
              </w:rPr>
            </w:pPr>
            <w:r>
              <w:rPr>
                <w:rFonts w:hint="eastAsia" w:cs="新宋体" w:asciiTheme="minorEastAsia" w:hAnsiTheme="minorEastAsia" w:eastAsiaTheme="minorEastAsia"/>
                <w:color w:val="000000" w:themeColor="text1"/>
                <w:sz w:val="24"/>
                <w:highlight w:val="none"/>
                <w14:textFill>
                  <w14:solidFill>
                    <w14:schemeClr w14:val="tx1"/>
                  </w14:solidFill>
                </w14:textFill>
              </w:rPr>
              <w:t>在本项目中拟担任的职务</w:t>
            </w:r>
          </w:p>
        </w:tc>
        <w:tc>
          <w:tcPr>
            <w:tcW w:w="2500" w:type="pct"/>
            <w:gridSpan w:val="2"/>
            <w:vAlign w:val="center"/>
          </w:tcPr>
          <w:p w14:paraId="022CED2B">
            <w:pPr>
              <w:jc w:val="center"/>
              <w:rPr>
                <w:rFonts w:cs="新宋体" w:asciiTheme="minorEastAsia" w:hAnsiTheme="minorEastAsia" w:eastAsiaTheme="minorEastAsia"/>
                <w:color w:val="000000" w:themeColor="text1"/>
                <w:sz w:val="24"/>
                <w:highlight w:val="none"/>
                <w14:textFill>
                  <w14:solidFill>
                    <w14:schemeClr w14:val="tx1"/>
                  </w14:solidFill>
                </w14:textFill>
              </w:rPr>
            </w:pPr>
          </w:p>
        </w:tc>
      </w:tr>
      <w:tr w14:paraId="1B73A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55" w:type="pct"/>
            <w:gridSpan w:val="2"/>
            <w:vAlign w:val="center"/>
          </w:tcPr>
          <w:p w14:paraId="66773BF8">
            <w:pPr>
              <w:jc w:val="center"/>
              <w:rPr>
                <w:rFonts w:cs="新宋体" w:asciiTheme="minorEastAsia" w:hAnsiTheme="minorEastAsia" w:eastAsiaTheme="minorEastAsia"/>
                <w:color w:val="000000" w:themeColor="text1"/>
                <w:sz w:val="24"/>
                <w:highlight w:val="none"/>
                <w14:textFill>
                  <w14:solidFill>
                    <w14:schemeClr w14:val="tx1"/>
                  </w14:solidFill>
                </w14:textFill>
              </w:rPr>
            </w:pPr>
            <w:r>
              <w:rPr>
                <w:rFonts w:hint="eastAsia" w:cs="新宋体" w:asciiTheme="minorEastAsia" w:hAnsiTheme="minorEastAsia" w:eastAsiaTheme="minorEastAsia"/>
                <w:color w:val="000000" w:themeColor="text1"/>
                <w:sz w:val="24"/>
                <w:highlight w:val="none"/>
                <w14:textFill>
                  <w14:solidFill>
                    <w14:schemeClr w14:val="tx1"/>
                  </w14:solidFill>
                </w14:textFill>
              </w:rPr>
              <w:t>联系方式</w:t>
            </w:r>
          </w:p>
        </w:tc>
        <w:tc>
          <w:tcPr>
            <w:tcW w:w="3745" w:type="pct"/>
            <w:gridSpan w:val="3"/>
            <w:vAlign w:val="center"/>
          </w:tcPr>
          <w:p w14:paraId="537DA7CE">
            <w:pPr>
              <w:jc w:val="center"/>
              <w:rPr>
                <w:rFonts w:cs="新宋体" w:asciiTheme="minorEastAsia" w:hAnsiTheme="minorEastAsia" w:eastAsiaTheme="minorEastAsia"/>
                <w:color w:val="000000" w:themeColor="text1"/>
                <w:sz w:val="24"/>
                <w:highlight w:val="none"/>
                <w14:textFill>
                  <w14:solidFill>
                    <w14:schemeClr w14:val="tx1"/>
                  </w14:solidFill>
                </w14:textFill>
              </w:rPr>
            </w:pPr>
          </w:p>
        </w:tc>
      </w:tr>
      <w:tr w14:paraId="7917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000" w:type="pct"/>
            <w:gridSpan w:val="5"/>
            <w:vAlign w:val="center"/>
          </w:tcPr>
          <w:p w14:paraId="1EE36A09">
            <w:pPr>
              <w:jc w:val="center"/>
              <w:rPr>
                <w:rFonts w:cs="新宋体" w:asciiTheme="minorEastAsia" w:hAnsiTheme="minorEastAsia" w:eastAsiaTheme="minorEastAsia"/>
                <w:color w:val="000000" w:themeColor="text1"/>
                <w:sz w:val="24"/>
                <w:highlight w:val="none"/>
                <w14:textFill>
                  <w14:solidFill>
                    <w14:schemeClr w14:val="tx1"/>
                  </w14:solidFill>
                </w14:textFill>
              </w:rPr>
            </w:pPr>
            <w:r>
              <w:rPr>
                <w:rFonts w:hint="eastAsia" w:cs="新宋体" w:asciiTheme="minorEastAsia" w:hAnsiTheme="minorEastAsia" w:eastAsiaTheme="minorEastAsia"/>
                <w:color w:val="000000" w:themeColor="text1"/>
                <w:sz w:val="24"/>
                <w:highlight w:val="none"/>
                <w14:textFill>
                  <w14:solidFill>
                    <w14:schemeClr w14:val="tx1"/>
                  </w14:solidFill>
                </w14:textFill>
              </w:rPr>
              <w:t>主要食品检验工作业绩</w:t>
            </w:r>
          </w:p>
        </w:tc>
      </w:tr>
      <w:tr w14:paraId="00849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50" w:type="pct"/>
            <w:vAlign w:val="center"/>
          </w:tcPr>
          <w:p w14:paraId="34FC40C2">
            <w:pPr>
              <w:jc w:val="center"/>
              <w:rPr>
                <w:rFonts w:cs="新宋体" w:asciiTheme="minorEastAsia" w:hAnsiTheme="minorEastAsia" w:eastAsiaTheme="minorEastAsia"/>
                <w:color w:val="000000" w:themeColor="text1"/>
                <w:sz w:val="24"/>
                <w:highlight w:val="none"/>
                <w14:textFill>
                  <w14:solidFill>
                    <w14:schemeClr w14:val="tx1"/>
                  </w14:solidFill>
                </w14:textFill>
              </w:rPr>
            </w:pPr>
            <w:r>
              <w:rPr>
                <w:rFonts w:hint="eastAsia" w:cs="新宋体" w:asciiTheme="minorEastAsia" w:hAnsiTheme="minorEastAsia" w:eastAsiaTheme="minorEastAsia"/>
                <w:color w:val="000000" w:themeColor="text1"/>
                <w:sz w:val="24"/>
                <w:highlight w:val="none"/>
                <w14:textFill>
                  <w14:solidFill>
                    <w14:schemeClr w14:val="tx1"/>
                  </w14:solidFill>
                </w14:textFill>
              </w:rPr>
              <w:t>时间</w:t>
            </w:r>
          </w:p>
        </w:tc>
        <w:tc>
          <w:tcPr>
            <w:tcW w:w="4350" w:type="pct"/>
            <w:gridSpan w:val="4"/>
            <w:vAlign w:val="center"/>
          </w:tcPr>
          <w:p w14:paraId="652F22D4">
            <w:pPr>
              <w:jc w:val="center"/>
              <w:rPr>
                <w:rFonts w:cs="新宋体" w:asciiTheme="minorEastAsia" w:hAnsiTheme="minorEastAsia" w:eastAsiaTheme="minorEastAsia"/>
                <w:color w:val="000000" w:themeColor="text1"/>
                <w:sz w:val="24"/>
                <w:highlight w:val="none"/>
                <w14:textFill>
                  <w14:solidFill>
                    <w14:schemeClr w14:val="tx1"/>
                  </w14:solidFill>
                </w14:textFill>
              </w:rPr>
            </w:pPr>
            <w:r>
              <w:rPr>
                <w:rFonts w:hint="eastAsia" w:cs="新宋体" w:asciiTheme="minorEastAsia" w:hAnsiTheme="minorEastAsia" w:eastAsiaTheme="minorEastAsia"/>
                <w:color w:val="000000" w:themeColor="text1"/>
                <w:sz w:val="24"/>
                <w:highlight w:val="none"/>
                <w14:textFill>
                  <w14:solidFill>
                    <w14:schemeClr w14:val="tx1"/>
                  </w14:solidFill>
                </w14:textFill>
              </w:rPr>
              <w:t>食品检验工作内容及本人承担工作</w:t>
            </w:r>
          </w:p>
        </w:tc>
      </w:tr>
      <w:tr w14:paraId="665CE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jc w:val="center"/>
        </w:trPr>
        <w:tc>
          <w:tcPr>
            <w:tcW w:w="650" w:type="pct"/>
            <w:vAlign w:val="center"/>
          </w:tcPr>
          <w:p w14:paraId="706E3DC7">
            <w:pPr>
              <w:rPr>
                <w:rFonts w:cs="新宋体"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en-US"/>
                <w14:textFill>
                  <w14:solidFill>
                    <w14:schemeClr w14:val="tx1"/>
                  </w14:solidFill>
                </w14:textFill>
              </w:rPr>
              <w:t xml:space="preserve">近 3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eastAsia="en-US"/>
                <w14:textFill>
                  <w14:solidFill>
                    <w14:schemeClr w14:val="tx1"/>
                  </w14:solidFill>
                </w14:textFill>
              </w:rPr>
              <w:t>（20</w:t>
            </w: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lang w:eastAsia="en-US"/>
                <w14:textFill>
                  <w14:solidFill>
                    <w14:schemeClr w14:val="tx1"/>
                  </w14:solidFill>
                </w14:textFill>
              </w:rPr>
              <w:t>年1月1日至今）</w:t>
            </w:r>
          </w:p>
        </w:tc>
        <w:tc>
          <w:tcPr>
            <w:tcW w:w="4350" w:type="pct"/>
            <w:gridSpan w:val="4"/>
            <w:vAlign w:val="center"/>
          </w:tcPr>
          <w:p w14:paraId="174E3918">
            <w:pPr>
              <w:spacing w:line="500" w:lineRule="exact"/>
              <w:jc w:val="center"/>
              <w:rPr>
                <w:rFonts w:cs="新宋体" w:asciiTheme="minorEastAsia" w:hAnsiTheme="minorEastAsia" w:eastAsiaTheme="minorEastAsia"/>
                <w:color w:val="000000" w:themeColor="text1"/>
                <w:sz w:val="24"/>
                <w:highlight w:val="none"/>
                <w14:textFill>
                  <w14:solidFill>
                    <w14:schemeClr w14:val="tx1"/>
                  </w14:solidFill>
                </w14:textFill>
              </w:rPr>
            </w:pPr>
            <w:r>
              <w:rPr>
                <w:rFonts w:hint="eastAsia" w:cs="新宋体" w:asciiTheme="minorEastAsia" w:hAnsiTheme="minorEastAsia" w:eastAsiaTheme="minorEastAsia"/>
                <w:color w:val="000000" w:themeColor="text1"/>
                <w:sz w:val="24"/>
                <w:highlight w:val="none"/>
                <w14:textFill>
                  <w14:solidFill>
                    <w14:schemeClr w14:val="tx1"/>
                  </w14:solidFill>
                </w14:textFill>
              </w:rPr>
              <w:t>（检验项目细目及证明材料，数量不限）</w:t>
            </w:r>
          </w:p>
        </w:tc>
      </w:tr>
    </w:tbl>
    <w:p w14:paraId="7CFD6DF4">
      <w:pPr>
        <w:pStyle w:val="7"/>
        <w:ind w:left="0" w:leftChars="0"/>
        <w:rPr>
          <w:rFonts w:cs="新宋体" w:asciiTheme="minorEastAsia" w:hAnsiTheme="minorEastAsia" w:eastAsiaTheme="minorEastAsia"/>
          <w:bCs/>
          <w:color w:val="000000" w:themeColor="text1"/>
          <w:sz w:val="24"/>
          <w:highlight w:val="none"/>
          <w14:textFill>
            <w14:solidFill>
              <w14:schemeClr w14:val="tx1"/>
            </w14:solidFill>
          </w14:textFill>
        </w:rPr>
      </w:pPr>
      <w:r>
        <w:rPr>
          <w:rFonts w:hint="eastAsia" w:cs="新宋体" w:asciiTheme="minorEastAsia" w:hAnsiTheme="minorEastAsia" w:eastAsiaTheme="minorEastAsia"/>
          <w:bCs/>
          <w:color w:val="000000" w:themeColor="text1"/>
          <w:sz w:val="24"/>
          <w:highlight w:val="none"/>
          <w14:textFill>
            <w14:solidFill>
              <w14:schemeClr w14:val="tx1"/>
            </w14:solidFill>
          </w14:textFill>
        </w:rPr>
        <w:t>注：应后附项目负责人身份证、劳动合同、社保缴纳证明材料的原件扫描件。</w:t>
      </w:r>
    </w:p>
    <w:p w14:paraId="2249AEC3">
      <w:pPr>
        <w:tabs>
          <w:tab w:val="left" w:pos="4950"/>
          <w:tab w:val="right" w:pos="8306"/>
        </w:tabs>
        <w:rPr>
          <w:rFonts w:cs="新宋体" w:asciiTheme="minorEastAsia" w:hAnsiTheme="minorEastAsia" w:eastAsiaTheme="minorEastAsia"/>
          <w:color w:val="000000" w:themeColor="text1"/>
          <w:sz w:val="28"/>
          <w:szCs w:val="28"/>
          <w:highlight w:val="none"/>
          <w14:textFill>
            <w14:solidFill>
              <w14:schemeClr w14:val="tx1"/>
            </w14:solidFill>
          </w14:textFill>
        </w:rPr>
      </w:pPr>
      <w:r>
        <w:rPr>
          <w:rFonts w:cs="新宋体" w:asciiTheme="minorEastAsia" w:hAnsiTheme="minorEastAsia" w:eastAsiaTheme="minorEastAsia"/>
          <w:color w:val="000000" w:themeColor="text1"/>
          <w:sz w:val="28"/>
          <w:szCs w:val="28"/>
          <w:highlight w:val="none"/>
          <w14:textFill>
            <w14:solidFill>
              <w14:schemeClr w14:val="tx1"/>
            </w14:solidFill>
          </w14:textFill>
        </w:rPr>
        <w:tab/>
      </w:r>
    </w:p>
    <w:p w14:paraId="68AD292C">
      <w:pPr>
        <w:tabs>
          <w:tab w:val="left" w:pos="4950"/>
          <w:tab w:val="right" w:pos="8306"/>
        </w:tabs>
        <w:rPr>
          <w:rFonts w:cs="新宋体" w:asciiTheme="minorEastAsia" w:hAnsiTheme="minorEastAsia" w:eastAsiaTheme="minorEastAsia"/>
          <w:color w:val="000000" w:themeColor="text1"/>
          <w:sz w:val="28"/>
          <w:szCs w:val="28"/>
          <w:highlight w:val="none"/>
          <w14:textFill>
            <w14:solidFill>
              <w14:schemeClr w14:val="tx1"/>
            </w14:solidFill>
          </w14:textFill>
        </w:rPr>
      </w:pPr>
    </w:p>
    <w:p w14:paraId="11DE8599">
      <w:pPr>
        <w:spacing w:line="360" w:lineRule="auto"/>
        <w:ind w:firstLine="3600" w:firstLineChars="1250"/>
        <w:rPr>
          <w:rFonts w:asciiTheme="minorEastAsia" w:hAnsiTheme="minorEastAsia" w:eastAsiaTheme="minorEastAsia"/>
          <w:color w:val="000000" w:themeColor="text1"/>
          <w:spacing w:val="24"/>
          <w:sz w:val="24"/>
          <w:highlight w:val="none"/>
          <w14:textFill>
            <w14:solidFill>
              <w14:schemeClr w14:val="tx1"/>
            </w14:solidFill>
          </w14:textFill>
        </w:rPr>
      </w:pPr>
      <w:r>
        <w:rPr>
          <w:rFonts w:hint="eastAsia" w:asciiTheme="minorEastAsia" w:hAnsiTheme="minorEastAsia" w:eastAsiaTheme="minorEastAsia"/>
          <w:color w:val="000000" w:themeColor="text1"/>
          <w:spacing w:val="24"/>
          <w:sz w:val="24"/>
          <w:highlight w:val="none"/>
          <w14:textFill>
            <w14:solidFill>
              <w14:schemeClr w14:val="tx1"/>
            </w14:solidFill>
          </w14:textFill>
        </w:rPr>
        <w:t>磋商供应商：</w:t>
      </w:r>
      <w:r>
        <w:rPr>
          <w:rFonts w:hint="eastAsia" w:asciiTheme="minorEastAsia" w:hAnsiTheme="minorEastAsia" w:eastAsiaTheme="minorEastAsia"/>
          <w:color w:val="000000" w:themeColor="text1"/>
          <w:spacing w:val="24"/>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lang w:val="zh-CN" w:bidi="zh-CN"/>
          <w14:textFill>
            <w14:solidFill>
              <w14:schemeClr w14:val="tx1"/>
            </w14:solidFill>
          </w14:textFill>
        </w:rPr>
        <w:t>单位电子签章</w:t>
      </w:r>
      <w:r>
        <w:rPr>
          <w:rFonts w:hint="eastAsia" w:asciiTheme="minorEastAsia" w:hAnsiTheme="minorEastAsia" w:eastAsiaTheme="minorEastAsia"/>
          <w:color w:val="000000" w:themeColor="text1"/>
          <w:spacing w:val="24"/>
          <w:sz w:val="24"/>
          <w:highlight w:val="none"/>
          <w14:textFill>
            <w14:solidFill>
              <w14:schemeClr w14:val="tx1"/>
            </w14:solidFill>
          </w14:textFill>
        </w:rPr>
        <w:t>）</w:t>
      </w:r>
    </w:p>
    <w:p w14:paraId="41C194E7">
      <w:pPr>
        <w:spacing w:line="360" w:lineRule="auto"/>
        <w:ind w:firstLine="3600" w:firstLineChars="1250"/>
        <w:rPr>
          <w:rFonts w:asciiTheme="minorEastAsia" w:hAnsiTheme="minorEastAsia" w:eastAsiaTheme="minorEastAsia"/>
          <w:color w:val="000000" w:themeColor="text1"/>
          <w:spacing w:val="24"/>
          <w:sz w:val="24"/>
          <w:highlight w:val="none"/>
          <w14:textFill>
            <w14:solidFill>
              <w14:schemeClr w14:val="tx1"/>
            </w14:solidFill>
          </w14:textFill>
        </w:rPr>
      </w:pPr>
      <w:r>
        <w:rPr>
          <w:rFonts w:hint="eastAsia" w:asciiTheme="minorEastAsia" w:hAnsiTheme="minorEastAsia" w:eastAsiaTheme="minorEastAsia"/>
          <w:color w:val="000000" w:themeColor="text1"/>
          <w:spacing w:val="24"/>
          <w:sz w:val="24"/>
          <w:highlight w:val="none"/>
          <w14:textFill>
            <w14:solidFill>
              <w14:schemeClr w14:val="tx1"/>
            </w14:solidFill>
          </w14:textFill>
        </w:rPr>
        <w:t>法定代表人：</w:t>
      </w:r>
      <w:r>
        <w:rPr>
          <w:rFonts w:hint="eastAsia" w:asciiTheme="minorEastAsia" w:hAnsiTheme="minorEastAsia" w:eastAsiaTheme="minorEastAsia"/>
          <w:color w:val="000000" w:themeColor="text1"/>
          <w:spacing w:val="24"/>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lang w:val="zh-CN" w:bidi="zh-CN"/>
          <w14:textFill>
            <w14:solidFill>
              <w14:schemeClr w14:val="tx1"/>
            </w14:solidFill>
          </w14:textFill>
        </w:rPr>
        <w:t>法人电子签章</w:t>
      </w:r>
      <w:r>
        <w:rPr>
          <w:rFonts w:hint="eastAsia" w:asciiTheme="minorEastAsia" w:hAnsiTheme="minorEastAsia" w:eastAsiaTheme="minorEastAsia"/>
          <w:color w:val="000000" w:themeColor="text1"/>
          <w:spacing w:val="24"/>
          <w:sz w:val="24"/>
          <w:highlight w:val="none"/>
          <w14:textFill>
            <w14:solidFill>
              <w14:schemeClr w14:val="tx1"/>
            </w14:solidFill>
          </w14:textFill>
        </w:rPr>
        <w:t>）</w:t>
      </w:r>
    </w:p>
    <w:p w14:paraId="4AD80964">
      <w:pPr>
        <w:spacing w:line="480" w:lineRule="auto"/>
        <w:ind w:left="-7" w:leftChars="-95" w:right="452" w:hanging="192" w:hangingChars="67"/>
        <w:jc w:val="center"/>
        <w:rPr>
          <w:rFonts w:asciiTheme="minorEastAsia" w:hAnsiTheme="minorEastAsia" w:eastAsiaTheme="minorEastAsia"/>
          <w:color w:val="000000" w:themeColor="text1"/>
          <w:spacing w:val="24"/>
          <w:sz w:val="24"/>
          <w:highlight w:val="none"/>
          <w14:textFill>
            <w14:solidFill>
              <w14:schemeClr w14:val="tx1"/>
            </w14:solidFill>
          </w14:textFill>
        </w:rPr>
      </w:pPr>
      <w:r>
        <w:rPr>
          <w:rFonts w:hint="eastAsia" w:asciiTheme="minorEastAsia" w:hAnsiTheme="minorEastAsia" w:eastAsiaTheme="minorEastAsia"/>
          <w:color w:val="000000" w:themeColor="text1"/>
          <w:spacing w:val="24"/>
          <w:sz w:val="24"/>
          <w:highlight w:val="none"/>
          <w14:textFill>
            <w14:solidFill>
              <w14:schemeClr w14:val="tx1"/>
            </w14:solidFill>
          </w14:textFill>
        </w:rPr>
        <w:t xml:space="preserve">                  日    期：</w:t>
      </w:r>
      <w:r>
        <w:rPr>
          <w:rFonts w:hint="eastAsia" w:asciiTheme="minorEastAsia" w:hAnsiTheme="minorEastAsia" w:eastAsiaTheme="minorEastAsia"/>
          <w:color w:val="000000" w:themeColor="text1"/>
          <w:spacing w:val="24"/>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highlight w:val="none"/>
          <w14:textFill>
            <w14:solidFill>
              <w14:schemeClr w14:val="tx1"/>
            </w14:solidFill>
          </w14:textFill>
        </w:rPr>
        <w:t>年</w:t>
      </w:r>
      <w:r>
        <w:rPr>
          <w:rFonts w:hint="eastAsia" w:asciiTheme="minorEastAsia" w:hAnsiTheme="minorEastAsia" w:eastAsiaTheme="minorEastAsia"/>
          <w:color w:val="000000" w:themeColor="text1"/>
          <w:spacing w:val="24"/>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highlight w:val="none"/>
          <w14:textFill>
            <w14:solidFill>
              <w14:schemeClr w14:val="tx1"/>
            </w14:solidFill>
          </w14:textFill>
        </w:rPr>
        <w:t>月</w:t>
      </w:r>
      <w:r>
        <w:rPr>
          <w:rFonts w:hint="eastAsia" w:asciiTheme="minorEastAsia" w:hAnsiTheme="minorEastAsia" w:eastAsiaTheme="minorEastAsia"/>
          <w:color w:val="000000" w:themeColor="text1"/>
          <w:spacing w:val="24"/>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highlight w:val="none"/>
          <w14:textFill>
            <w14:solidFill>
              <w14:schemeClr w14:val="tx1"/>
            </w14:solidFill>
          </w14:textFill>
        </w:rPr>
        <w:t>日</w:t>
      </w:r>
    </w:p>
    <w:p w14:paraId="08C39D7C">
      <w:pPr>
        <w:pStyle w:val="16"/>
        <w:ind w:firstLine="200"/>
        <w:rPr>
          <w:color w:val="000000" w:themeColor="text1"/>
          <w:highlight w:val="none"/>
          <w14:textFill>
            <w14:solidFill>
              <w14:schemeClr w14:val="tx1"/>
            </w14:solidFill>
          </w14:textFill>
        </w:rPr>
      </w:pPr>
    </w:p>
    <w:p w14:paraId="5BA8904A">
      <w:pPr>
        <w:pStyle w:val="8"/>
        <w:ind w:right="164" w:firstLine="560"/>
        <w:rPr>
          <w:color w:val="000000" w:themeColor="text1"/>
          <w:highlight w:val="none"/>
          <w14:textFill>
            <w14:solidFill>
              <w14:schemeClr w14:val="tx1"/>
            </w14:solidFill>
          </w14:textFill>
        </w:rPr>
      </w:pPr>
    </w:p>
    <w:p w14:paraId="5CC9BE7C">
      <w:pPr>
        <w:rPr>
          <w:color w:val="000000" w:themeColor="text1"/>
          <w:highlight w:val="none"/>
          <w14:textFill>
            <w14:solidFill>
              <w14:schemeClr w14:val="tx1"/>
            </w14:solidFill>
          </w14:textFill>
        </w:rPr>
      </w:pPr>
    </w:p>
    <w:p w14:paraId="63580FC2">
      <w:pPr>
        <w:pStyle w:val="16"/>
        <w:ind w:firstLine="200"/>
        <w:rPr>
          <w:color w:val="000000" w:themeColor="text1"/>
          <w:highlight w:val="none"/>
          <w14:textFill>
            <w14:solidFill>
              <w14:schemeClr w14:val="tx1"/>
            </w14:solidFill>
          </w14:textFill>
        </w:rPr>
      </w:pPr>
    </w:p>
    <w:p w14:paraId="0A04EC1E">
      <w:pPr>
        <w:pStyle w:val="8"/>
        <w:ind w:right="164" w:firstLine="560"/>
        <w:rPr>
          <w:color w:val="000000" w:themeColor="text1"/>
          <w:highlight w:val="none"/>
          <w14:textFill>
            <w14:solidFill>
              <w14:schemeClr w14:val="tx1"/>
            </w14:solidFill>
          </w14:textFill>
        </w:rPr>
      </w:pPr>
    </w:p>
    <w:p w14:paraId="53D16054">
      <w:pPr>
        <w:rPr>
          <w:color w:val="000000" w:themeColor="text1"/>
          <w:highlight w:val="none"/>
          <w14:textFill>
            <w14:solidFill>
              <w14:schemeClr w14:val="tx1"/>
            </w14:solidFill>
          </w14:textFill>
        </w:rPr>
      </w:pPr>
    </w:p>
    <w:p w14:paraId="7417BEBA">
      <w:pPr>
        <w:rPr>
          <w:color w:val="000000" w:themeColor="text1"/>
          <w:kern w:val="0"/>
          <w:sz w:val="20"/>
          <w:szCs w:val="20"/>
          <w:highlight w:val="none"/>
          <w14:textFill>
            <w14:solidFill>
              <w14:schemeClr w14:val="tx1"/>
            </w14:solidFill>
          </w14:textFill>
        </w:rPr>
      </w:pPr>
    </w:p>
    <w:p w14:paraId="3C072D3B">
      <w:pPr>
        <w:pStyle w:val="16"/>
        <w:ind w:firstLine="200"/>
        <w:rPr>
          <w:color w:val="000000" w:themeColor="text1"/>
          <w:highlight w:val="none"/>
          <w14:textFill>
            <w14:solidFill>
              <w14:schemeClr w14:val="tx1"/>
            </w14:solidFill>
          </w14:textFill>
        </w:rPr>
      </w:pPr>
    </w:p>
    <w:p w14:paraId="648CE7F7">
      <w:pPr>
        <w:spacing w:line="360" w:lineRule="auto"/>
        <w:rPr>
          <w:rFonts w:cs="宋体" w:asciiTheme="minorEastAsia" w:hAnsiTheme="minorEastAsia" w:eastAsiaTheme="minorEastAsia"/>
          <w:b/>
          <w:color w:val="000000" w:themeColor="text1"/>
          <w:kern w:val="0"/>
          <w:sz w:val="24"/>
          <w:szCs w:val="20"/>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4"/>
          <w:szCs w:val="20"/>
          <w:highlight w:val="none"/>
          <w14:textFill>
            <w14:solidFill>
              <w14:schemeClr w14:val="tx1"/>
            </w14:solidFill>
          </w14:textFill>
        </w:rPr>
        <w:t>6.202</w:t>
      </w:r>
      <w:r>
        <w:rPr>
          <w:rFonts w:hint="eastAsia" w:cs="宋体" w:asciiTheme="minorEastAsia" w:hAnsiTheme="minorEastAsia" w:eastAsiaTheme="minorEastAsia"/>
          <w:b/>
          <w:color w:val="000000" w:themeColor="text1"/>
          <w:kern w:val="0"/>
          <w:sz w:val="24"/>
          <w:szCs w:val="20"/>
          <w:highlight w:val="none"/>
          <w:lang w:val="en-US" w:eastAsia="zh-CN"/>
          <w14:textFill>
            <w14:solidFill>
              <w14:schemeClr w14:val="tx1"/>
            </w14:solidFill>
          </w14:textFill>
        </w:rPr>
        <w:t>2</w:t>
      </w:r>
      <w:r>
        <w:rPr>
          <w:rFonts w:hint="eastAsia" w:cs="宋体" w:asciiTheme="minorEastAsia" w:hAnsiTheme="minorEastAsia" w:eastAsiaTheme="minorEastAsia"/>
          <w:b/>
          <w:color w:val="000000" w:themeColor="text1"/>
          <w:kern w:val="0"/>
          <w:sz w:val="24"/>
          <w:szCs w:val="20"/>
          <w:highlight w:val="none"/>
          <w14:textFill>
            <w14:solidFill>
              <w14:schemeClr w14:val="tx1"/>
            </w14:solidFill>
          </w14:textFill>
        </w:rPr>
        <w:t>年1月1日以来近成的类似项目情况表</w:t>
      </w:r>
    </w:p>
    <w:tbl>
      <w:tblPr>
        <w:tblStyle w:val="17"/>
        <w:tblW w:w="0" w:type="auto"/>
        <w:jc w:val="center"/>
        <w:tblLayout w:type="fixed"/>
        <w:tblCellMar>
          <w:top w:w="0" w:type="dxa"/>
          <w:left w:w="108" w:type="dxa"/>
          <w:bottom w:w="0" w:type="dxa"/>
          <w:right w:w="108" w:type="dxa"/>
        </w:tblCellMar>
      </w:tblPr>
      <w:tblGrid>
        <w:gridCol w:w="3424"/>
        <w:gridCol w:w="5872"/>
      </w:tblGrid>
      <w:tr w14:paraId="5DDDF2D9">
        <w:tblPrEx>
          <w:tblCellMar>
            <w:top w:w="0" w:type="dxa"/>
            <w:left w:w="108" w:type="dxa"/>
            <w:bottom w:w="0" w:type="dxa"/>
            <w:right w:w="108" w:type="dxa"/>
          </w:tblCellMar>
        </w:tblPrEx>
        <w:trPr>
          <w:trHeight w:val="670" w:hRule="atLeast"/>
          <w:jc w:val="center"/>
        </w:trPr>
        <w:tc>
          <w:tcPr>
            <w:tcW w:w="3424" w:type="dxa"/>
            <w:tcBorders>
              <w:top w:val="single" w:color="auto" w:sz="4" w:space="0"/>
              <w:left w:val="single" w:color="auto" w:sz="4" w:space="0"/>
              <w:bottom w:val="single" w:color="auto" w:sz="4" w:space="0"/>
              <w:right w:val="single" w:color="auto" w:sz="4" w:space="0"/>
            </w:tcBorders>
            <w:vAlign w:val="center"/>
          </w:tcPr>
          <w:p w14:paraId="79B1B99B">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合同名称</w:t>
            </w:r>
          </w:p>
        </w:tc>
        <w:tc>
          <w:tcPr>
            <w:tcW w:w="5872" w:type="dxa"/>
            <w:tcBorders>
              <w:top w:val="single" w:color="auto" w:sz="4" w:space="0"/>
              <w:left w:val="nil"/>
              <w:bottom w:val="single" w:color="auto" w:sz="4" w:space="0"/>
              <w:right w:val="single" w:color="auto" w:sz="4" w:space="0"/>
            </w:tcBorders>
          </w:tcPr>
          <w:p w14:paraId="52F3BB5B">
            <w:pPr>
              <w:spacing w:line="400" w:lineRule="exact"/>
              <w:rPr>
                <w:rFonts w:ascii="宋体" w:hAnsi="宋体" w:cs="宋体"/>
                <w:color w:val="000000" w:themeColor="text1"/>
                <w:sz w:val="24"/>
                <w:highlight w:val="none"/>
                <w14:textFill>
                  <w14:solidFill>
                    <w14:schemeClr w14:val="tx1"/>
                  </w14:solidFill>
                </w14:textFill>
              </w:rPr>
            </w:pPr>
          </w:p>
        </w:tc>
      </w:tr>
      <w:tr w14:paraId="2C98196A">
        <w:tblPrEx>
          <w:tblCellMar>
            <w:top w:w="0" w:type="dxa"/>
            <w:left w:w="108" w:type="dxa"/>
            <w:bottom w:w="0" w:type="dxa"/>
            <w:right w:w="108" w:type="dxa"/>
          </w:tblCellMar>
        </w:tblPrEx>
        <w:trPr>
          <w:trHeight w:val="606" w:hRule="atLeast"/>
          <w:jc w:val="center"/>
        </w:trPr>
        <w:tc>
          <w:tcPr>
            <w:tcW w:w="3424" w:type="dxa"/>
            <w:tcBorders>
              <w:top w:val="single" w:color="auto" w:sz="4" w:space="0"/>
              <w:left w:val="single" w:color="auto" w:sz="4" w:space="0"/>
              <w:bottom w:val="single" w:color="auto" w:sz="4" w:space="0"/>
              <w:right w:val="single" w:color="auto" w:sz="4" w:space="0"/>
            </w:tcBorders>
            <w:vAlign w:val="center"/>
          </w:tcPr>
          <w:p w14:paraId="567C40E3">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合同项目所在地</w:t>
            </w:r>
          </w:p>
        </w:tc>
        <w:tc>
          <w:tcPr>
            <w:tcW w:w="5872" w:type="dxa"/>
            <w:tcBorders>
              <w:top w:val="single" w:color="auto" w:sz="4" w:space="0"/>
              <w:left w:val="nil"/>
              <w:bottom w:val="single" w:color="auto" w:sz="4" w:space="0"/>
              <w:right w:val="single" w:color="auto" w:sz="4" w:space="0"/>
            </w:tcBorders>
          </w:tcPr>
          <w:p w14:paraId="4B20E90E">
            <w:pPr>
              <w:spacing w:line="400" w:lineRule="exact"/>
              <w:rPr>
                <w:rFonts w:ascii="宋体" w:hAnsi="宋体" w:cs="宋体"/>
                <w:color w:val="000000" w:themeColor="text1"/>
                <w:sz w:val="24"/>
                <w:highlight w:val="none"/>
                <w14:textFill>
                  <w14:solidFill>
                    <w14:schemeClr w14:val="tx1"/>
                  </w14:solidFill>
                </w14:textFill>
              </w:rPr>
            </w:pPr>
          </w:p>
        </w:tc>
      </w:tr>
      <w:tr w14:paraId="26AE9695">
        <w:tblPrEx>
          <w:tblCellMar>
            <w:top w:w="0" w:type="dxa"/>
            <w:left w:w="108" w:type="dxa"/>
            <w:bottom w:w="0" w:type="dxa"/>
            <w:right w:w="108" w:type="dxa"/>
          </w:tblCellMar>
        </w:tblPrEx>
        <w:trPr>
          <w:trHeight w:val="614" w:hRule="atLeast"/>
          <w:jc w:val="center"/>
        </w:trPr>
        <w:tc>
          <w:tcPr>
            <w:tcW w:w="3424" w:type="dxa"/>
            <w:tcBorders>
              <w:top w:val="single" w:color="auto" w:sz="4" w:space="0"/>
              <w:left w:val="single" w:color="auto" w:sz="4" w:space="0"/>
              <w:bottom w:val="single" w:color="auto" w:sz="4" w:space="0"/>
              <w:right w:val="single" w:color="auto" w:sz="4" w:space="0"/>
            </w:tcBorders>
            <w:vAlign w:val="center"/>
          </w:tcPr>
          <w:p w14:paraId="614AA4C4">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发包人名称</w:t>
            </w:r>
          </w:p>
        </w:tc>
        <w:tc>
          <w:tcPr>
            <w:tcW w:w="5872" w:type="dxa"/>
            <w:tcBorders>
              <w:top w:val="single" w:color="auto" w:sz="4" w:space="0"/>
              <w:left w:val="nil"/>
              <w:bottom w:val="single" w:color="auto" w:sz="4" w:space="0"/>
              <w:right w:val="single" w:color="auto" w:sz="4" w:space="0"/>
            </w:tcBorders>
          </w:tcPr>
          <w:p w14:paraId="493831C9">
            <w:pPr>
              <w:spacing w:line="400" w:lineRule="exact"/>
              <w:rPr>
                <w:rFonts w:ascii="宋体" w:hAnsi="宋体" w:cs="宋体"/>
                <w:color w:val="000000" w:themeColor="text1"/>
                <w:sz w:val="24"/>
                <w:highlight w:val="none"/>
                <w14:textFill>
                  <w14:solidFill>
                    <w14:schemeClr w14:val="tx1"/>
                  </w14:solidFill>
                </w14:textFill>
              </w:rPr>
            </w:pPr>
          </w:p>
        </w:tc>
      </w:tr>
      <w:tr w14:paraId="3A4BD8B5">
        <w:tblPrEx>
          <w:tblCellMar>
            <w:top w:w="0" w:type="dxa"/>
            <w:left w:w="108" w:type="dxa"/>
            <w:bottom w:w="0" w:type="dxa"/>
            <w:right w:w="108" w:type="dxa"/>
          </w:tblCellMar>
        </w:tblPrEx>
        <w:trPr>
          <w:trHeight w:val="608" w:hRule="atLeast"/>
          <w:jc w:val="center"/>
        </w:trPr>
        <w:tc>
          <w:tcPr>
            <w:tcW w:w="3424" w:type="dxa"/>
            <w:tcBorders>
              <w:top w:val="single" w:color="auto" w:sz="4" w:space="0"/>
              <w:left w:val="single" w:color="auto" w:sz="4" w:space="0"/>
              <w:bottom w:val="single" w:color="auto" w:sz="4" w:space="0"/>
              <w:right w:val="single" w:color="auto" w:sz="4" w:space="0"/>
            </w:tcBorders>
            <w:vAlign w:val="center"/>
          </w:tcPr>
          <w:p w14:paraId="4B8859F9">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发包人地址</w:t>
            </w:r>
          </w:p>
        </w:tc>
        <w:tc>
          <w:tcPr>
            <w:tcW w:w="5872" w:type="dxa"/>
            <w:tcBorders>
              <w:top w:val="single" w:color="auto" w:sz="4" w:space="0"/>
              <w:left w:val="nil"/>
              <w:bottom w:val="single" w:color="auto" w:sz="4" w:space="0"/>
              <w:right w:val="single" w:color="auto" w:sz="4" w:space="0"/>
            </w:tcBorders>
          </w:tcPr>
          <w:p w14:paraId="5C6CAA3D">
            <w:pPr>
              <w:spacing w:line="400" w:lineRule="exact"/>
              <w:rPr>
                <w:rFonts w:ascii="宋体" w:hAnsi="宋体" w:cs="宋体"/>
                <w:color w:val="000000" w:themeColor="text1"/>
                <w:sz w:val="24"/>
                <w:highlight w:val="none"/>
                <w14:textFill>
                  <w14:solidFill>
                    <w14:schemeClr w14:val="tx1"/>
                  </w14:solidFill>
                </w14:textFill>
              </w:rPr>
            </w:pPr>
          </w:p>
        </w:tc>
      </w:tr>
      <w:tr w14:paraId="4351963B">
        <w:tblPrEx>
          <w:tblCellMar>
            <w:top w:w="0" w:type="dxa"/>
            <w:left w:w="108" w:type="dxa"/>
            <w:bottom w:w="0" w:type="dxa"/>
            <w:right w:w="108" w:type="dxa"/>
          </w:tblCellMar>
        </w:tblPrEx>
        <w:trPr>
          <w:trHeight w:val="616" w:hRule="atLeast"/>
          <w:jc w:val="center"/>
        </w:trPr>
        <w:tc>
          <w:tcPr>
            <w:tcW w:w="3424" w:type="dxa"/>
            <w:tcBorders>
              <w:top w:val="single" w:color="auto" w:sz="4" w:space="0"/>
              <w:left w:val="single" w:color="auto" w:sz="4" w:space="0"/>
              <w:bottom w:val="single" w:color="auto" w:sz="4" w:space="0"/>
              <w:right w:val="single" w:color="auto" w:sz="4" w:space="0"/>
            </w:tcBorders>
            <w:vAlign w:val="center"/>
          </w:tcPr>
          <w:p w14:paraId="30EF1A1E">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发包人电话</w:t>
            </w:r>
          </w:p>
        </w:tc>
        <w:tc>
          <w:tcPr>
            <w:tcW w:w="5872" w:type="dxa"/>
            <w:tcBorders>
              <w:top w:val="single" w:color="auto" w:sz="4" w:space="0"/>
              <w:left w:val="nil"/>
              <w:bottom w:val="single" w:color="auto" w:sz="4" w:space="0"/>
              <w:right w:val="single" w:color="auto" w:sz="4" w:space="0"/>
            </w:tcBorders>
          </w:tcPr>
          <w:p w14:paraId="6E769FE4">
            <w:pPr>
              <w:spacing w:line="400" w:lineRule="exact"/>
              <w:rPr>
                <w:rFonts w:ascii="宋体" w:hAnsi="宋体" w:cs="宋体"/>
                <w:color w:val="000000" w:themeColor="text1"/>
                <w:sz w:val="24"/>
                <w:highlight w:val="none"/>
                <w14:textFill>
                  <w14:solidFill>
                    <w14:schemeClr w14:val="tx1"/>
                  </w14:solidFill>
                </w14:textFill>
              </w:rPr>
            </w:pPr>
          </w:p>
        </w:tc>
      </w:tr>
      <w:tr w14:paraId="6FBA1AEE">
        <w:tblPrEx>
          <w:tblCellMar>
            <w:top w:w="0" w:type="dxa"/>
            <w:left w:w="108" w:type="dxa"/>
            <w:bottom w:w="0" w:type="dxa"/>
            <w:right w:w="108" w:type="dxa"/>
          </w:tblCellMar>
        </w:tblPrEx>
        <w:trPr>
          <w:trHeight w:val="610" w:hRule="atLeast"/>
          <w:jc w:val="center"/>
        </w:trPr>
        <w:tc>
          <w:tcPr>
            <w:tcW w:w="3424" w:type="dxa"/>
            <w:tcBorders>
              <w:top w:val="single" w:color="auto" w:sz="4" w:space="0"/>
              <w:left w:val="single" w:color="auto" w:sz="4" w:space="0"/>
              <w:bottom w:val="single" w:color="auto" w:sz="4" w:space="0"/>
              <w:right w:val="single" w:color="auto" w:sz="4" w:space="0"/>
            </w:tcBorders>
            <w:vAlign w:val="center"/>
          </w:tcPr>
          <w:p w14:paraId="51206C5D">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签约合同价</w:t>
            </w:r>
          </w:p>
        </w:tc>
        <w:tc>
          <w:tcPr>
            <w:tcW w:w="5872" w:type="dxa"/>
            <w:tcBorders>
              <w:top w:val="single" w:color="auto" w:sz="4" w:space="0"/>
              <w:left w:val="nil"/>
              <w:bottom w:val="single" w:color="auto" w:sz="4" w:space="0"/>
              <w:right w:val="single" w:color="auto" w:sz="4" w:space="0"/>
            </w:tcBorders>
          </w:tcPr>
          <w:p w14:paraId="00F71F42">
            <w:pPr>
              <w:spacing w:line="400" w:lineRule="exact"/>
              <w:rPr>
                <w:rFonts w:ascii="宋体" w:hAnsi="宋体" w:cs="宋体"/>
                <w:color w:val="000000" w:themeColor="text1"/>
                <w:sz w:val="24"/>
                <w:highlight w:val="none"/>
                <w14:textFill>
                  <w14:solidFill>
                    <w14:schemeClr w14:val="tx1"/>
                  </w14:solidFill>
                </w14:textFill>
              </w:rPr>
            </w:pPr>
          </w:p>
        </w:tc>
      </w:tr>
      <w:tr w14:paraId="04B1C2D8">
        <w:tblPrEx>
          <w:tblCellMar>
            <w:top w:w="0" w:type="dxa"/>
            <w:left w:w="108" w:type="dxa"/>
            <w:bottom w:w="0" w:type="dxa"/>
            <w:right w:w="108" w:type="dxa"/>
          </w:tblCellMar>
        </w:tblPrEx>
        <w:trPr>
          <w:trHeight w:val="604" w:hRule="atLeast"/>
          <w:jc w:val="center"/>
        </w:trPr>
        <w:tc>
          <w:tcPr>
            <w:tcW w:w="3424" w:type="dxa"/>
            <w:tcBorders>
              <w:top w:val="single" w:color="auto" w:sz="4" w:space="0"/>
              <w:left w:val="single" w:color="auto" w:sz="4" w:space="0"/>
              <w:bottom w:val="single" w:color="auto" w:sz="4" w:space="0"/>
              <w:right w:val="single" w:color="auto" w:sz="4" w:space="0"/>
            </w:tcBorders>
            <w:vAlign w:val="center"/>
          </w:tcPr>
          <w:p w14:paraId="340A6A60">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发包日期</w:t>
            </w:r>
          </w:p>
        </w:tc>
        <w:tc>
          <w:tcPr>
            <w:tcW w:w="5872" w:type="dxa"/>
            <w:tcBorders>
              <w:top w:val="single" w:color="auto" w:sz="4" w:space="0"/>
              <w:left w:val="nil"/>
              <w:bottom w:val="single" w:color="auto" w:sz="4" w:space="0"/>
              <w:right w:val="single" w:color="auto" w:sz="4" w:space="0"/>
            </w:tcBorders>
          </w:tcPr>
          <w:p w14:paraId="0F1AA672">
            <w:pPr>
              <w:spacing w:line="400" w:lineRule="exact"/>
              <w:rPr>
                <w:rFonts w:ascii="宋体" w:hAnsi="宋体" w:cs="宋体"/>
                <w:color w:val="000000" w:themeColor="text1"/>
                <w:sz w:val="24"/>
                <w:highlight w:val="none"/>
                <w14:textFill>
                  <w14:solidFill>
                    <w14:schemeClr w14:val="tx1"/>
                  </w14:solidFill>
                </w14:textFill>
              </w:rPr>
            </w:pPr>
          </w:p>
        </w:tc>
      </w:tr>
      <w:tr w14:paraId="165B5143">
        <w:tblPrEx>
          <w:tblCellMar>
            <w:top w:w="0" w:type="dxa"/>
            <w:left w:w="108" w:type="dxa"/>
            <w:bottom w:w="0" w:type="dxa"/>
            <w:right w:w="108" w:type="dxa"/>
          </w:tblCellMar>
        </w:tblPrEx>
        <w:trPr>
          <w:trHeight w:val="627" w:hRule="atLeast"/>
          <w:jc w:val="center"/>
        </w:trPr>
        <w:tc>
          <w:tcPr>
            <w:tcW w:w="3424" w:type="dxa"/>
            <w:tcBorders>
              <w:top w:val="single" w:color="auto" w:sz="4" w:space="0"/>
              <w:left w:val="single" w:color="auto" w:sz="4" w:space="0"/>
              <w:bottom w:val="single" w:color="auto" w:sz="4" w:space="0"/>
              <w:right w:val="single" w:color="auto" w:sz="4" w:space="0"/>
            </w:tcBorders>
            <w:vAlign w:val="center"/>
          </w:tcPr>
          <w:p w14:paraId="7BF6F4CA">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完工日期</w:t>
            </w:r>
          </w:p>
        </w:tc>
        <w:tc>
          <w:tcPr>
            <w:tcW w:w="5872" w:type="dxa"/>
            <w:tcBorders>
              <w:top w:val="single" w:color="auto" w:sz="4" w:space="0"/>
              <w:left w:val="nil"/>
              <w:bottom w:val="single" w:color="auto" w:sz="4" w:space="0"/>
              <w:right w:val="single" w:color="auto" w:sz="4" w:space="0"/>
            </w:tcBorders>
          </w:tcPr>
          <w:p w14:paraId="296E5912">
            <w:pPr>
              <w:spacing w:line="400" w:lineRule="exact"/>
              <w:rPr>
                <w:rFonts w:ascii="宋体" w:hAnsi="宋体" w:cs="宋体"/>
                <w:color w:val="000000" w:themeColor="text1"/>
                <w:sz w:val="24"/>
                <w:highlight w:val="none"/>
                <w14:textFill>
                  <w14:solidFill>
                    <w14:schemeClr w14:val="tx1"/>
                  </w14:solidFill>
                </w14:textFill>
              </w:rPr>
            </w:pPr>
          </w:p>
        </w:tc>
      </w:tr>
      <w:tr w14:paraId="0C5FB009">
        <w:tblPrEx>
          <w:tblCellMar>
            <w:top w:w="0" w:type="dxa"/>
            <w:left w:w="108" w:type="dxa"/>
            <w:bottom w:w="0" w:type="dxa"/>
            <w:right w:w="108" w:type="dxa"/>
          </w:tblCellMar>
        </w:tblPrEx>
        <w:trPr>
          <w:trHeight w:val="607" w:hRule="atLeast"/>
          <w:jc w:val="center"/>
        </w:trPr>
        <w:tc>
          <w:tcPr>
            <w:tcW w:w="3424" w:type="dxa"/>
            <w:tcBorders>
              <w:top w:val="single" w:color="auto" w:sz="4" w:space="0"/>
              <w:left w:val="single" w:color="auto" w:sz="4" w:space="0"/>
              <w:bottom w:val="single" w:color="auto" w:sz="4" w:space="0"/>
              <w:right w:val="single" w:color="auto" w:sz="4" w:space="0"/>
            </w:tcBorders>
            <w:vAlign w:val="center"/>
          </w:tcPr>
          <w:p w14:paraId="7C9246C9">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承担的工作</w:t>
            </w:r>
          </w:p>
        </w:tc>
        <w:tc>
          <w:tcPr>
            <w:tcW w:w="5872" w:type="dxa"/>
            <w:tcBorders>
              <w:top w:val="single" w:color="auto" w:sz="4" w:space="0"/>
              <w:left w:val="nil"/>
              <w:bottom w:val="single" w:color="auto" w:sz="4" w:space="0"/>
              <w:right w:val="single" w:color="auto" w:sz="4" w:space="0"/>
            </w:tcBorders>
          </w:tcPr>
          <w:p w14:paraId="44E662C7">
            <w:pPr>
              <w:spacing w:line="400" w:lineRule="exact"/>
              <w:rPr>
                <w:rFonts w:ascii="宋体" w:hAnsi="宋体" w:cs="宋体"/>
                <w:color w:val="000000" w:themeColor="text1"/>
                <w:sz w:val="24"/>
                <w:highlight w:val="none"/>
                <w14:textFill>
                  <w14:solidFill>
                    <w14:schemeClr w14:val="tx1"/>
                  </w14:solidFill>
                </w14:textFill>
              </w:rPr>
            </w:pPr>
          </w:p>
        </w:tc>
      </w:tr>
      <w:tr w14:paraId="2EB8477C">
        <w:tblPrEx>
          <w:tblCellMar>
            <w:top w:w="0" w:type="dxa"/>
            <w:left w:w="108" w:type="dxa"/>
            <w:bottom w:w="0" w:type="dxa"/>
            <w:right w:w="108" w:type="dxa"/>
          </w:tblCellMar>
        </w:tblPrEx>
        <w:trPr>
          <w:trHeight w:val="615" w:hRule="atLeast"/>
          <w:jc w:val="center"/>
        </w:trPr>
        <w:tc>
          <w:tcPr>
            <w:tcW w:w="3424" w:type="dxa"/>
            <w:tcBorders>
              <w:top w:val="single" w:color="auto" w:sz="4" w:space="0"/>
              <w:left w:val="single" w:color="auto" w:sz="4" w:space="0"/>
              <w:bottom w:val="single" w:color="auto" w:sz="4" w:space="0"/>
              <w:right w:val="single" w:color="auto" w:sz="4" w:space="0"/>
            </w:tcBorders>
            <w:vAlign w:val="center"/>
          </w:tcPr>
          <w:p w14:paraId="01A3BAFD">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质量</w:t>
            </w:r>
          </w:p>
        </w:tc>
        <w:tc>
          <w:tcPr>
            <w:tcW w:w="5872" w:type="dxa"/>
            <w:tcBorders>
              <w:top w:val="single" w:color="auto" w:sz="4" w:space="0"/>
              <w:left w:val="nil"/>
              <w:bottom w:val="single" w:color="auto" w:sz="4" w:space="0"/>
              <w:right w:val="single" w:color="auto" w:sz="4" w:space="0"/>
            </w:tcBorders>
          </w:tcPr>
          <w:p w14:paraId="41496F07">
            <w:pPr>
              <w:spacing w:line="400" w:lineRule="exact"/>
              <w:rPr>
                <w:rFonts w:ascii="宋体" w:hAnsi="宋体" w:cs="宋体"/>
                <w:color w:val="000000" w:themeColor="text1"/>
                <w:sz w:val="24"/>
                <w:highlight w:val="none"/>
                <w14:textFill>
                  <w14:solidFill>
                    <w14:schemeClr w14:val="tx1"/>
                  </w14:solidFill>
                </w14:textFill>
              </w:rPr>
            </w:pPr>
          </w:p>
        </w:tc>
      </w:tr>
      <w:tr w14:paraId="432E0562">
        <w:tblPrEx>
          <w:tblCellMar>
            <w:top w:w="0" w:type="dxa"/>
            <w:left w:w="108" w:type="dxa"/>
            <w:bottom w:w="0" w:type="dxa"/>
            <w:right w:w="108" w:type="dxa"/>
          </w:tblCellMar>
        </w:tblPrEx>
        <w:trPr>
          <w:trHeight w:val="609" w:hRule="atLeast"/>
          <w:jc w:val="center"/>
        </w:trPr>
        <w:tc>
          <w:tcPr>
            <w:tcW w:w="3424" w:type="dxa"/>
            <w:tcBorders>
              <w:top w:val="single" w:color="auto" w:sz="4" w:space="0"/>
              <w:left w:val="single" w:color="auto" w:sz="4" w:space="0"/>
              <w:bottom w:val="single" w:color="auto" w:sz="4" w:space="0"/>
              <w:right w:val="single" w:color="auto" w:sz="4" w:space="0"/>
            </w:tcBorders>
            <w:vAlign w:val="center"/>
          </w:tcPr>
          <w:p w14:paraId="5092C8FF">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项目负责人</w:t>
            </w:r>
          </w:p>
        </w:tc>
        <w:tc>
          <w:tcPr>
            <w:tcW w:w="5872" w:type="dxa"/>
            <w:tcBorders>
              <w:top w:val="single" w:color="auto" w:sz="4" w:space="0"/>
              <w:left w:val="nil"/>
              <w:bottom w:val="single" w:color="auto" w:sz="4" w:space="0"/>
              <w:right w:val="single" w:color="auto" w:sz="4" w:space="0"/>
            </w:tcBorders>
          </w:tcPr>
          <w:p w14:paraId="177789FB">
            <w:pPr>
              <w:spacing w:line="400" w:lineRule="exact"/>
              <w:rPr>
                <w:rFonts w:ascii="宋体" w:hAnsi="宋体" w:cs="宋体"/>
                <w:color w:val="000000" w:themeColor="text1"/>
                <w:sz w:val="24"/>
                <w:highlight w:val="none"/>
                <w14:textFill>
                  <w14:solidFill>
                    <w14:schemeClr w14:val="tx1"/>
                  </w14:solidFill>
                </w14:textFill>
              </w:rPr>
            </w:pPr>
          </w:p>
        </w:tc>
      </w:tr>
      <w:tr w14:paraId="7ABDE234">
        <w:tblPrEx>
          <w:tblCellMar>
            <w:top w:w="0" w:type="dxa"/>
            <w:left w:w="108" w:type="dxa"/>
            <w:bottom w:w="0" w:type="dxa"/>
            <w:right w:w="108" w:type="dxa"/>
          </w:tblCellMar>
        </w:tblPrEx>
        <w:trPr>
          <w:trHeight w:val="617" w:hRule="atLeast"/>
          <w:jc w:val="center"/>
        </w:trPr>
        <w:tc>
          <w:tcPr>
            <w:tcW w:w="3424" w:type="dxa"/>
            <w:tcBorders>
              <w:top w:val="single" w:color="auto" w:sz="4" w:space="0"/>
              <w:left w:val="single" w:color="auto" w:sz="4" w:space="0"/>
              <w:bottom w:val="single" w:color="auto" w:sz="4" w:space="0"/>
              <w:right w:val="single" w:color="auto" w:sz="4" w:space="0"/>
            </w:tcBorders>
            <w:vAlign w:val="center"/>
          </w:tcPr>
          <w:p w14:paraId="5FAA03BE">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技术负责人</w:t>
            </w:r>
          </w:p>
        </w:tc>
        <w:tc>
          <w:tcPr>
            <w:tcW w:w="5872" w:type="dxa"/>
            <w:tcBorders>
              <w:top w:val="single" w:color="auto" w:sz="4" w:space="0"/>
              <w:left w:val="nil"/>
              <w:bottom w:val="single" w:color="auto" w:sz="4" w:space="0"/>
              <w:right w:val="single" w:color="auto" w:sz="4" w:space="0"/>
            </w:tcBorders>
          </w:tcPr>
          <w:p w14:paraId="03C53FFF">
            <w:pPr>
              <w:spacing w:line="400" w:lineRule="exact"/>
              <w:rPr>
                <w:rFonts w:ascii="宋体" w:hAnsi="宋体" w:cs="宋体"/>
                <w:color w:val="000000" w:themeColor="text1"/>
                <w:sz w:val="24"/>
                <w:highlight w:val="none"/>
                <w14:textFill>
                  <w14:solidFill>
                    <w14:schemeClr w14:val="tx1"/>
                  </w14:solidFill>
                </w14:textFill>
              </w:rPr>
            </w:pPr>
          </w:p>
        </w:tc>
      </w:tr>
      <w:tr w14:paraId="3C3E819B">
        <w:tblPrEx>
          <w:tblCellMar>
            <w:top w:w="0" w:type="dxa"/>
            <w:left w:w="108" w:type="dxa"/>
            <w:bottom w:w="0" w:type="dxa"/>
            <w:right w:w="108" w:type="dxa"/>
          </w:tblCellMar>
        </w:tblPrEx>
        <w:trPr>
          <w:trHeight w:val="1834" w:hRule="atLeast"/>
          <w:jc w:val="center"/>
        </w:trPr>
        <w:tc>
          <w:tcPr>
            <w:tcW w:w="3424" w:type="dxa"/>
            <w:tcBorders>
              <w:top w:val="single" w:color="auto" w:sz="4" w:space="0"/>
              <w:left w:val="single" w:color="auto" w:sz="4" w:space="0"/>
              <w:bottom w:val="single" w:color="auto" w:sz="4" w:space="0"/>
              <w:right w:val="single" w:color="auto" w:sz="4" w:space="0"/>
            </w:tcBorders>
            <w:vAlign w:val="center"/>
          </w:tcPr>
          <w:p w14:paraId="22699841">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合同项目描述</w:t>
            </w:r>
          </w:p>
        </w:tc>
        <w:tc>
          <w:tcPr>
            <w:tcW w:w="5872" w:type="dxa"/>
            <w:tcBorders>
              <w:top w:val="single" w:color="auto" w:sz="4" w:space="0"/>
              <w:left w:val="nil"/>
              <w:bottom w:val="single" w:color="auto" w:sz="4" w:space="0"/>
              <w:right w:val="single" w:color="auto" w:sz="4" w:space="0"/>
            </w:tcBorders>
          </w:tcPr>
          <w:p w14:paraId="28C6E8EF">
            <w:pPr>
              <w:spacing w:line="400" w:lineRule="exact"/>
              <w:rPr>
                <w:rFonts w:ascii="宋体" w:hAnsi="宋体" w:cs="宋体"/>
                <w:color w:val="000000" w:themeColor="text1"/>
                <w:sz w:val="24"/>
                <w:highlight w:val="none"/>
                <w14:textFill>
                  <w14:solidFill>
                    <w14:schemeClr w14:val="tx1"/>
                  </w14:solidFill>
                </w14:textFill>
              </w:rPr>
            </w:pPr>
          </w:p>
          <w:p w14:paraId="55A79174">
            <w:pPr>
              <w:spacing w:line="400" w:lineRule="exact"/>
              <w:rPr>
                <w:rFonts w:ascii="宋体" w:hAnsi="宋体" w:cs="宋体"/>
                <w:color w:val="000000" w:themeColor="text1"/>
                <w:sz w:val="24"/>
                <w:highlight w:val="none"/>
                <w14:textFill>
                  <w14:solidFill>
                    <w14:schemeClr w14:val="tx1"/>
                  </w14:solidFill>
                </w14:textFill>
              </w:rPr>
            </w:pPr>
          </w:p>
          <w:p w14:paraId="41A66EDE">
            <w:pPr>
              <w:spacing w:line="400" w:lineRule="exact"/>
              <w:rPr>
                <w:rFonts w:ascii="宋体" w:hAnsi="宋体" w:cs="宋体"/>
                <w:color w:val="000000" w:themeColor="text1"/>
                <w:sz w:val="24"/>
                <w:highlight w:val="none"/>
                <w14:textFill>
                  <w14:solidFill>
                    <w14:schemeClr w14:val="tx1"/>
                  </w14:solidFill>
                </w14:textFill>
              </w:rPr>
            </w:pPr>
          </w:p>
          <w:p w14:paraId="7E70B44F">
            <w:pPr>
              <w:spacing w:line="400" w:lineRule="exact"/>
              <w:rPr>
                <w:rFonts w:ascii="宋体" w:hAnsi="宋体" w:cs="宋体"/>
                <w:color w:val="000000" w:themeColor="text1"/>
                <w:sz w:val="24"/>
                <w:highlight w:val="none"/>
                <w14:textFill>
                  <w14:solidFill>
                    <w14:schemeClr w14:val="tx1"/>
                  </w14:solidFill>
                </w14:textFill>
              </w:rPr>
            </w:pPr>
          </w:p>
        </w:tc>
      </w:tr>
      <w:tr w14:paraId="0DE4D711">
        <w:tblPrEx>
          <w:tblCellMar>
            <w:top w:w="0" w:type="dxa"/>
            <w:left w:w="108" w:type="dxa"/>
            <w:bottom w:w="0" w:type="dxa"/>
            <w:right w:w="108" w:type="dxa"/>
          </w:tblCellMar>
        </w:tblPrEx>
        <w:trPr>
          <w:trHeight w:val="604" w:hRule="atLeast"/>
          <w:jc w:val="center"/>
        </w:trPr>
        <w:tc>
          <w:tcPr>
            <w:tcW w:w="3424" w:type="dxa"/>
            <w:tcBorders>
              <w:top w:val="single" w:color="auto" w:sz="4" w:space="0"/>
              <w:left w:val="single" w:color="auto" w:sz="4" w:space="0"/>
              <w:bottom w:val="single" w:color="auto" w:sz="4" w:space="0"/>
              <w:right w:val="single" w:color="auto" w:sz="4" w:space="0"/>
            </w:tcBorders>
            <w:vAlign w:val="center"/>
          </w:tcPr>
          <w:p w14:paraId="7B804D36">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c>
          <w:tcPr>
            <w:tcW w:w="5872" w:type="dxa"/>
            <w:tcBorders>
              <w:top w:val="single" w:color="auto" w:sz="4" w:space="0"/>
              <w:left w:val="nil"/>
              <w:bottom w:val="single" w:color="auto" w:sz="4" w:space="0"/>
              <w:right w:val="single" w:color="auto" w:sz="4" w:space="0"/>
            </w:tcBorders>
          </w:tcPr>
          <w:p w14:paraId="18901CE2">
            <w:pPr>
              <w:spacing w:line="400" w:lineRule="exact"/>
              <w:rPr>
                <w:rFonts w:ascii="宋体" w:hAnsi="宋体" w:cs="宋体"/>
                <w:color w:val="000000" w:themeColor="text1"/>
                <w:sz w:val="24"/>
                <w:highlight w:val="none"/>
                <w14:textFill>
                  <w14:solidFill>
                    <w14:schemeClr w14:val="tx1"/>
                  </w14:solidFill>
                </w14:textFill>
              </w:rPr>
            </w:pPr>
          </w:p>
        </w:tc>
      </w:tr>
    </w:tbl>
    <w:p w14:paraId="575C162B">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注：相关材料扫描件附后。</w:t>
      </w:r>
    </w:p>
    <w:p w14:paraId="190E0624">
      <w:pPr>
        <w:spacing w:line="360" w:lineRule="auto"/>
        <w:rPr>
          <w:rFonts w:cs="宋体" w:asciiTheme="minorEastAsia" w:hAnsiTheme="minorEastAsia" w:eastAsiaTheme="minorEastAsia"/>
          <w:b/>
          <w:color w:val="000000" w:themeColor="text1"/>
          <w:kern w:val="0"/>
          <w:sz w:val="24"/>
          <w:szCs w:val="20"/>
          <w:highlight w:val="none"/>
          <w14:textFill>
            <w14:solidFill>
              <w14:schemeClr w14:val="tx1"/>
            </w14:solidFill>
          </w14:textFill>
        </w:rPr>
      </w:pPr>
    </w:p>
    <w:p w14:paraId="5848A7A9">
      <w:pPr>
        <w:spacing w:line="360" w:lineRule="auto"/>
        <w:rPr>
          <w:rFonts w:cs="宋体" w:asciiTheme="minorEastAsia" w:hAnsiTheme="minorEastAsia" w:eastAsiaTheme="minorEastAsia"/>
          <w:b/>
          <w:color w:val="000000" w:themeColor="text1"/>
          <w:kern w:val="0"/>
          <w:sz w:val="24"/>
          <w:szCs w:val="20"/>
          <w:highlight w:val="none"/>
          <w14:textFill>
            <w14:solidFill>
              <w14:schemeClr w14:val="tx1"/>
            </w14:solidFill>
          </w14:textFill>
        </w:rPr>
      </w:pPr>
    </w:p>
    <w:p w14:paraId="7D42114A">
      <w:pPr>
        <w:spacing w:line="360" w:lineRule="auto"/>
        <w:rPr>
          <w:rFonts w:cs="宋体" w:asciiTheme="minorEastAsia" w:hAnsiTheme="minorEastAsia" w:eastAsiaTheme="minorEastAsia"/>
          <w:b/>
          <w:color w:val="000000" w:themeColor="text1"/>
          <w:kern w:val="0"/>
          <w:sz w:val="24"/>
          <w:szCs w:val="20"/>
          <w:highlight w:val="none"/>
          <w14:textFill>
            <w14:solidFill>
              <w14:schemeClr w14:val="tx1"/>
            </w14:solidFill>
          </w14:textFill>
        </w:rPr>
      </w:pPr>
    </w:p>
    <w:p w14:paraId="29F71806">
      <w:pPr>
        <w:pStyle w:val="16"/>
        <w:rPr>
          <w:rFonts w:cs="宋体" w:asciiTheme="minorEastAsia" w:hAnsiTheme="minorEastAsia" w:eastAsiaTheme="minorEastAsia"/>
          <w:b/>
          <w:color w:val="000000" w:themeColor="text1"/>
          <w:kern w:val="0"/>
          <w:sz w:val="24"/>
          <w:szCs w:val="20"/>
          <w:highlight w:val="none"/>
          <w14:textFill>
            <w14:solidFill>
              <w14:schemeClr w14:val="tx1"/>
            </w14:solidFill>
          </w14:textFill>
        </w:rPr>
      </w:pPr>
    </w:p>
    <w:p w14:paraId="2F3CE892">
      <w:pPr>
        <w:pStyle w:val="8"/>
        <w:rPr>
          <w:color w:val="000000" w:themeColor="text1"/>
          <w:highlight w:val="none"/>
          <w14:textFill>
            <w14:solidFill>
              <w14:schemeClr w14:val="tx1"/>
            </w14:solidFill>
          </w14:textFill>
        </w:rPr>
      </w:pPr>
    </w:p>
    <w:p w14:paraId="24992A0C">
      <w:pPr>
        <w:spacing w:line="360" w:lineRule="auto"/>
        <w:rPr>
          <w:rFonts w:cs="宋体" w:asciiTheme="minorEastAsia" w:hAnsiTheme="minorEastAsia" w:eastAsiaTheme="minorEastAsia"/>
          <w:b/>
          <w:color w:val="000000" w:themeColor="text1"/>
          <w:kern w:val="0"/>
          <w:sz w:val="24"/>
          <w:szCs w:val="20"/>
          <w:highlight w:val="none"/>
          <w14:textFill>
            <w14:solidFill>
              <w14:schemeClr w14:val="tx1"/>
            </w14:solidFill>
          </w14:textFill>
        </w:rPr>
      </w:pPr>
    </w:p>
    <w:p w14:paraId="329EEB11">
      <w:pPr>
        <w:spacing w:line="360" w:lineRule="auto"/>
        <w:rPr>
          <w:rFonts w:cs="宋体" w:asciiTheme="minorEastAsia" w:hAnsiTheme="minorEastAsia" w:eastAsiaTheme="minorEastAsia"/>
          <w:b/>
          <w:color w:val="000000" w:themeColor="text1"/>
          <w:kern w:val="0"/>
          <w:sz w:val="24"/>
          <w:szCs w:val="20"/>
          <w:highlight w:val="none"/>
          <w14:textFill>
            <w14:solidFill>
              <w14:schemeClr w14:val="tx1"/>
            </w14:solidFill>
          </w14:textFill>
        </w:rPr>
      </w:pPr>
    </w:p>
    <w:p w14:paraId="75600F9C">
      <w:pPr>
        <w:pStyle w:val="16"/>
        <w:ind w:firstLine="200"/>
        <w:rPr>
          <w:rFonts w:hint="eastAsia" w:cs="宋体" w:asciiTheme="minorEastAsia" w:hAnsiTheme="minorEastAsia" w:eastAsiaTheme="minorEastAsia"/>
          <w:b/>
          <w:color w:val="000000" w:themeColor="text1"/>
          <w:kern w:val="0"/>
          <w:sz w:val="24"/>
          <w:szCs w:val="20"/>
          <w:highlight w:val="none"/>
          <w:lang w:val="en-US" w:eastAsia="zh-CN"/>
          <w14:textFill>
            <w14:solidFill>
              <w14:schemeClr w14:val="tx1"/>
            </w14:solidFill>
          </w14:textFill>
        </w:rPr>
      </w:pPr>
      <w:r>
        <w:rPr>
          <w:rFonts w:hint="eastAsia" w:cs="宋体" w:asciiTheme="minorEastAsia" w:hAnsiTheme="minorEastAsia" w:eastAsiaTheme="minorEastAsia"/>
          <w:b/>
          <w:color w:val="000000" w:themeColor="text1"/>
          <w:kern w:val="0"/>
          <w:sz w:val="24"/>
          <w:szCs w:val="20"/>
          <w:highlight w:val="none"/>
          <w:lang w:val="en-US" w:eastAsia="zh-CN"/>
          <w14:textFill>
            <w14:solidFill>
              <w14:schemeClr w14:val="tx1"/>
            </w14:solidFill>
          </w14:textFill>
        </w:rPr>
        <w:t>7、项目整体方案及实施计划</w:t>
      </w:r>
    </w:p>
    <w:p w14:paraId="5BA757A8">
      <w:pPr>
        <w:pStyle w:val="16"/>
        <w:ind w:firstLine="200"/>
        <w:rPr>
          <w:color w:val="000000" w:themeColor="text1"/>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4"/>
          <w:szCs w:val="20"/>
          <w:highlight w:val="none"/>
          <w:lang w:val="en-US" w:eastAsia="zh-CN"/>
          <w14:textFill>
            <w14:solidFill>
              <w14:schemeClr w14:val="tx1"/>
            </w14:solidFill>
          </w14:textFill>
        </w:rPr>
        <w:t>8</w:t>
      </w:r>
      <w:r>
        <w:rPr>
          <w:rFonts w:hint="eastAsia" w:cs="宋体" w:asciiTheme="minorEastAsia" w:hAnsiTheme="minorEastAsia" w:eastAsiaTheme="minorEastAsia"/>
          <w:b/>
          <w:color w:val="000000" w:themeColor="text1"/>
          <w:kern w:val="0"/>
          <w:sz w:val="24"/>
          <w:szCs w:val="20"/>
          <w:highlight w:val="none"/>
          <w14:textFill>
            <w14:solidFill>
              <w14:schemeClr w14:val="tx1"/>
            </w14:solidFill>
          </w14:textFill>
        </w:rPr>
        <w:t>、应急处理方案</w:t>
      </w:r>
    </w:p>
    <w:p w14:paraId="36B09A2A">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供应商根据磋商的要求，结合自身实际情况自行编制，并按磋商文件评分内容编写所需方案（格式自拟）应逐页加盖企业及法人电子签章；</w:t>
      </w:r>
      <w:r>
        <w:rPr>
          <w:rFonts w:hint="eastAsia" w:ascii="宋体" w:hAnsi="宋体" w:cs="宋体"/>
          <w:color w:val="000000" w:themeColor="text1"/>
          <w:sz w:val="24"/>
          <w:highlight w:val="none"/>
          <w14:textFill>
            <w14:solidFill>
              <w14:schemeClr w14:val="tx1"/>
            </w14:solidFill>
          </w14:textFill>
        </w:rPr>
        <w:t>）</w:t>
      </w:r>
    </w:p>
    <w:p w14:paraId="0C8689B8">
      <w:pPr>
        <w:spacing w:line="360" w:lineRule="auto"/>
        <w:jc w:val="center"/>
        <w:rPr>
          <w:rFonts w:ascii="宋体" w:hAnsi="宋体" w:cs="宋体"/>
          <w:color w:val="000000" w:themeColor="text1"/>
          <w:sz w:val="24"/>
          <w:highlight w:val="none"/>
          <w14:textFill>
            <w14:solidFill>
              <w14:schemeClr w14:val="tx1"/>
            </w14:solidFill>
          </w14:textFill>
        </w:rPr>
      </w:pPr>
    </w:p>
    <w:p w14:paraId="5559D305">
      <w:pPr>
        <w:spacing w:line="360" w:lineRule="auto"/>
        <w:jc w:val="center"/>
        <w:rPr>
          <w:rFonts w:ascii="宋体" w:hAnsi="宋体" w:cs="宋体"/>
          <w:color w:val="000000" w:themeColor="text1"/>
          <w:sz w:val="24"/>
          <w:highlight w:val="none"/>
          <w14:textFill>
            <w14:solidFill>
              <w14:schemeClr w14:val="tx1"/>
            </w14:solidFill>
          </w14:textFill>
        </w:rPr>
      </w:pPr>
    </w:p>
    <w:p w14:paraId="2A834488">
      <w:pPr>
        <w:pStyle w:val="16"/>
        <w:ind w:firstLine="200"/>
        <w:rPr>
          <w:color w:val="000000" w:themeColor="text1"/>
          <w:highlight w:val="none"/>
          <w14:textFill>
            <w14:solidFill>
              <w14:schemeClr w14:val="tx1"/>
            </w14:solidFill>
          </w14:textFill>
        </w:rPr>
      </w:pPr>
    </w:p>
    <w:p w14:paraId="79CED20C">
      <w:pPr>
        <w:pStyle w:val="8"/>
        <w:ind w:right="164" w:firstLine="560"/>
        <w:rPr>
          <w:color w:val="000000" w:themeColor="text1"/>
          <w:highlight w:val="none"/>
          <w14:textFill>
            <w14:solidFill>
              <w14:schemeClr w14:val="tx1"/>
            </w14:solidFill>
          </w14:textFill>
        </w:rPr>
      </w:pPr>
    </w:p>
    <w:p w14:paraId="055CD5F3">
      <w:pPr>
        <w:rPr>
          <w:color w:val="000000" w:themeColor="text1"/>
          <w:highlight w:val="none"/>
          <w14:textFill>
            <w14:solidFill>
              <w14:schemeClr w14:val="tx1"/>
            </w14:solidFill>
          </w14:textFill>
        </w:rPr>
      </w:pPr>
    </w:p>
    <w:p w14:paraId="3A7279FE">
      <w:pPr>
        <w:pStyle w:val="16"/>
        <w:ind w:firstLine="200"/>
        <w:rPr>
          <w:color w:val="000000" w:themeColor="text1"/>
          <w:highlight w:val="none"/>
          <w14:textFill>
            <w14:solidFill>
              <w14:schemeClr w14:val="tx1"/>
            </w14:solidFill>
          </w14:textFill>
        </w:rPr>
      </w:pPr>
    </w:p>
    <w:p w14:paraId="0735BB5A">
      <w:pPr>
        <w:pStyle w:val="8"/>
        <w:ind w:right="164" w:firstLine="560"/>
        <w:rPr>
          <w:color w:val="000000" w:themeColor="text1"/>
          <w:highlight w:val="none"/>
          <w14:textFill>
            <w14:solidFill>
              <w14:schemeClr w14:val="tx1"/>
            </w14:solidFill>
          </w14:textFill>
        </w:rPr>
      </w:pPr>
    </w:p>
    <w:p w14:paraId="36B588BF">
      <w:pPr>
        <w:rPr>
          <w:color w:val="000000" w:themeColor="text1"/>
          <w:highlight w:val="none"/>
          <w14:textFill>
            <w14:solidFill>
              <w14:schemeClr w14:val="tx1"/>
            </w14:solidFill>
          </w14:textFill>
        </w:rPr>
      </w:pPr>
    </w:p>
    <w:p w14:paraId="097065A9">
      <w:pPr>
        <w:pStyle w:val="16"/>
        <w:ind w:firstLine="200"/>
        <w:rPr>
          <w:color w:val="000000" w:themeColor="text1"/>
          <w:highlight w:val="none"/>
          <w14:textFill>
            <w14:solidFill>
              <w14:schemeClr w14:val="tx1"/>
            </w14:solidFill>
          </w14:textFill>
        </w:rPr>
      </w:pPr>
    </w:p>
    <w:p w14:paraId="6228F81B">
      <w:pPr>
        <w:pStyle w:val="8"/>
        <w:ind w:right="164" w:firstLine="560"/>
        <w:rPr>
          <w:color w:val="000000" w:themeColor="text1"/>
          <w:highlight w:val="none"/>
          <w14:textFill>
            <w14:solidFill>
              <w14:schemeClr w14:val="tx1"/>
            </w14:solidFill>
          </w14:textFill>
        </w:rPr>
      </w:pPr>
    </w:p>
    <w:p w14:paraId="2DDB2395">
      <w:pPr>
        <w:rPr>
          <w:color w:val="000000" w:themeColor="text1"/>
          <w:highlight w:val="none"/>
          <w14:textFill>
            <w14:solidFill>
              <w14:schemeClr w14:val="tx1"/>
            </w14:solidFill>
          </w14:textFill>
        </w:rPr>
      </w:pPr>
    </w:p>
    <w:p w14:paraId="6FC5446C">
      <w:pPr>
        <w:pStyle w:val="16"/>
        <w:ind w:firstLine="200"/>
        <w:rPr>
          <w:color w:val="000000" w:themeColor="text1"/>
          <w:highlight w:val="none"/>
          <w14:textFill>
            <w14:solidFill>
              <w14:schemeClr w14:val="tx1"/>
            </w14:solidFill>
          </w14:textFill>
        </w:rPr>
      </w:pPr>
    </w:p>
    <w:p w14:paraId="0072E516">
      <w:pPr>
        <w:pStyle w:val="8"/>
        <w:ind w:right="164" w:firstLine="560"/>
        <w:rPr>
          <w:color w:val="000000" w:themeColor="text1"/>
          <w:highlight w:val="none"/>
          <w14:textFill>
            <w14:solidFill>
              <w14:schemeClr w14:val="tx1"/>
            </w14:solidFill>
          </w14:textFill>
        </w:rPr>
      </w:pPr>
    </w:p>
    <w:p w14:paraId="7D4E3754">
      <w:pPr>
        <w:rPr>
          <w:color w:val="000000" w:themeColor="text1"/>
          <w:highlight w:val="none"/>
          <w14:textFill>
            <w14:solidFill>
              <w14:schemeClr w14:val="tx1"/>
            </w14:solidFill>
          </w14:textFill>
        </w:rPr>
      </w:pPr>
    </w:p>
    <w:p w14:paraId="51B6C46A">
      <w:pPr>
        <w:pStyle w:val="16"/>
        <w:ind w:firstLine="200"/>
        <w:rPr>
          <w:color w:val="000000" w:themeColor="text1"/>
          <w:highlight w:val="none"/>
          <w14:textFill>
            <w14:solidFill>
              <w14:schemeClr w14:val="tx1"/>
            </w14:solidFill>
          </w14:textFill>
        </w:rPr>
      </w:pPr>
    </w:p>
    <w:p w14:paraId="5FA1BADE">
      <w:pPr>
        <w:pStyle w:val="8"/>
        <w:ind w:right="164" w:firstLine="560"/>
        <w:rPr>
          <w:color w:val="000000" w:themeColor="text1"/>
          <w:highlight w:val="none"/>
          <w14:textFill>
            <w14:solidFill>
              <w14:schemeClr w14:val="tx1"/>
            </w14:solidFill>
          </w14:textFill>
        </w:rPr>
      </w:pPr>
    </w:p>
    <w:p w14:paraId="0D158F6E">
      <w:pPr>
        <w:rPr>
          <w:color w:val="000000" w:themeColor="text1"/>
          <w:highlight w:val="none"/>
          <w14:textFill>
            <w14:solidFill>
              <w14:schemeClr w14:val="tx1"/>
            </w14:solidFill>
          </w14:textFill>
        </w:rPr>
      </w:pPr>
    </w:p>
    <w:p w14:paraId="742C8F85">
      <w:pPr>
        <w:pStyle w:val="16"/>
        <w:ind w:firstLine="200"/>
        <w:rPr>
          <w:color w:val="000000" w:themeColor="text1"/>
          <w:highlight w:val="none"/>
          <w14:textFill>
            <w14:solidFill>
              <w14:schemeClr w14:val="tx1"/>
            </w14:solidFill>
          </w14:textFill>
        </w:rPr>
      </w:pPr>
    </w:p>
    <w:p w14:paraId="04F7E37A">
      <w:pPr>
        <w:spacing w:line="360" w:lineRule="auto"/>
        <w:jc w:val="center"/>
        <w:rPr>
          <w:rFonts w:ascii="宋体" w:hAnsi="宋体" w:cs="宋体"/>
          <w:color w:val="000000" w:themeColor="text1"/>
          <w:sz w:val="24"/>
          <w:highlight w:val="none"/>
          <w14:textFill>
            <w14:solidFill>
              <w14:schemeClr w14:val="tx1"/>
            </w14:solidFill>
          </w14:textFill>
        </w:rPr>
      </w:pPr>
    </w:p>
    <w:p w14:paraId="09BC5055">
      <w:pPr>
        <w:spacing w:line="360" w:lineRule="auto"/>
        <w:ind w:firstLine="3772" w:firstLineChars="1310"/>
        <w:rPr>
          <w:rFonts w:asciiTheme="minorEastAsia" w:hAnsiTheme="minorEastAsia" w:eastAsiaTheme="minorEastAsia"/>
          <w:color w:val="000000" w:themeColor="text1"/>
          <w:spacing w:val="24"/>
          <w:sz w:val="24"/>
          <w:highlight w:val="none"/>
          <w14:textFill>
            <w14:solidFill>
              <w14:schemeClr w14:val="tx1"/>
            </w14:solidFill>
          </w14:textFill>
        </w:rPr>
      </w:pPr>
      <w:r>
        <w:rPr>
          <w:rFonts w:hint="eastAsia" w:asciiTheme="minorEastAsia" w:hAnsiTheme="minorEastAsia" w:eastAsiaTheme="minorEastAsia"/>
          <w:color w:val="000000" w:themeColor="text1"/>
          <w:spacing w:val="24"/>
          <w:sz w:val="24"/>
          <w:highlight w:val="none"/>
          <w14:textFill>
            <w14:solidFill>
              <w14:schemeClr w14:val="tx1"/>
            </w14:solidFill>
          </w14:textFill>
        </w:rPr>
        <w:t>磋商供应商：</w:t>
      </w:r>
      <w:r>
        <w:rPr>
          <w:rFonts w:hint="eastAsia" w:asciiTheme="minorEastAsia" w:hAnsiTheme="minorEastAsia" w:eastAsiaTheme="minorEastAsia"/>
          <w:color w:val="000000" w:themeColor="text1"/>
          <w:spacing w:val="24"/>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lang w:val="zh-CN" w:bidi="zh-CN"/>
          <w14:textFill>
            <w14:solidFill>
              <w14:schemeClr w14:val="tx1"/>
            </w14:solidFill>
          </w14:textFill>
        </w:rPr>
        <w:t>单位电子签章</w:t>
      </w:r>
      <w:r>
        <w:rPr>
          <w:rFonts w:hint="eastAsia" w:asciiTheme="minorEastAsia" w:hAnsiTheme="minorEastAsia" w:eastAsiaTheme="minorEastAsia"/>
          <w:color w:val="000000" w:themeColor="text1"/>
          <w:spacing w:val="24"/>
          <w:sz w:val="24"/>
          <w:highlight w:val="none"/>
          <w14:textFill>
            <w14:solidFill>
              <w14:schemeClr w14:val="tx1"/>
            </w14:solidFill>
          </w14:textFill>
        </w:rPr>
        <w:t>）</w:t>
      </w:r>
    </w:p>
    <w:p w14:paraId="00448E9E">
      <w:pPr>
        <w:spacing w:line="360" w:lineRule="auto"/>
        <w:ind w:firstLine="3772" w:firstLineChars="1310"/>
        <w:rPr>
          <w:rFonts w:asciiTheme="minorEastAsia" w:hAnsiTheme="minorEastAsia" w:eastAsiaTheme="minorEastAsia"/>
          <w:color w:val="000000" w:themeColor="text1"/>
          <w:spacing w:val="24"/>
          <w:sz w:val="24"/>
          <w:highlight w:val="none"/>
          <w14:textFill>
            <w14:solidFill>
              <w14:schemeClr w14:val="tx1"/>
            </w14:solidFill>
          </w14:textFill>
        </w:rPr>
      </w:pPr>
      <w:r>
        <w:rPr>
          <w:rFonts w:hint="eastAsia" w:asciiTheme="minorEastAsia" w:hAnsiTheme="minorEastAsia" w:eastAsiaTheme="minorEastAsia"/>
          <w:color w:val="000000" w:themeColor="text1"/>
          <w:spacing w:val="24"/>
          <w:sz w:val="24"/>
          <w:highlight w:val="none"/>
          <w14:textFill>
            <w14:solidFill>
              <w14:schemeClr w14:val="tx1"/>
            </w14:solidFill>
          </w14:textFill>
        </w:rPr>
        <w:t>法定代表人：</w:t>
      </w:r>
      <w:r>
        <w:rPr>
          <w:rFonts w:hint="eastAsia" w:asciiTheme="minorEastAsia" w:hAnsiTheme="minorEastAsia" w:eastAsiaTheme="minorEastAsia"/>
          <w:color w:val="000000" w:themeColor="text1"/>
          <w:spacing w:val="24"/>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lang w:val="zh-CN" w:bidi="zh-CN"/>
          <w14:textFill>
            <w14:solidFill>
              <w14:schemeClr w14:val="tx1"/>
            </w14:solidFill>
          </w14:textFill>
        </w:rPr>
        <w:t>法人电子签章</w:t>
      </w:r>
      <w:r>
        <w:rPr>
          <w:rFonts w:hint="eastAsia" w:asciiTheme="minorEastAsia" w:hAnsiTheme="minorEastAsia" w:eastAsiaTheme="minorEastAsia"/>
          <w:color w:val="000000" w:themeColor="text1"/>
          <w:spacing w:val="24"/>
          <w:sz w:val="24"/>
          <w:highlight w:val="none"/>
          <w14:textFill>
            <w14:solidFill>
              <w14:schemeClr w14:val="tx1"/>
            </w14:solidFill>
          </w14:textFill>
        </w:rPr>
        <w:t>）</w:t>
      </w:r>
    </w:p>
    <w:p w14:paraId="56C39EC6">
      <w:pPr>
        <w:spacing w:line="360" w:lineRule="auto"/>
        <w:jc w:val="center"/>
        <w:rPr>
          <w:rFonts w:asciiTheme="minorEastAsia" w:hAnsiTheme="minorEastAsia" w:eastAsiaTheme="minorEastAsia"/>
          <w:color w:val="000000" w:themeColor="text1"/>
          <w:spacing w:val="24"/>
          <w:sz w:val="24"/>
          <w:highlight w:val="none"/>
          <w14:textFill>
            <w14:solidFill>
              <w14:schemeClr w14:val="tx1"/>
            </w14:solidFill>
          </w14:textFill>
        </w:rPr>
      </w:pPr>
      <w:r>
        <w:rPr>
          <w:rFonts w:hint="eastAsia" w:asciiTheme="minorEastAsia" w:hAnsiTheme="minorEastAsia" w:eastAsiaTheme="minorEastAsia"/>
          <w:color w:val="000000" w:themeColor="text1"/>
          <w:spacing w:val="24"/>
          <w:sz w:val="24"/>
          <w:highlight w:val="none"/>
          <w14:textFill>
            <w14:solidFill>
              <w14:schemeClr w14:val="tx1"/>
            </w14:solidFill>
          </w14:textFill>
        </w:rPr>
        <w:t xml:space="preserve">                    日    期：</w:t>
      </w:r>
      <w:r>
        <w:rPr>
          <w:rFonts w:hint="eastAsia" w:asciiTheme="minorEastAsia" w:hAnsiTheme="minorEastAsia" w:eastAsiaTheme="minorEastAsia"/>
          <w:color w:val="000000" w:themeColor="text1"/>
          <w:spacing w:val="24"/>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highlight w:val="none"/>
          <w14:textFill>
            <w14:solidFill>
              <w14:schemeClr w14:val="tx1"/>
            </w14:solidFill>
          </w14:textFill>
        </w:rPr>
        <w:t>年</w:t>
      </w:r>
      <w:r>
        <w:rPr>
          <w:rFonts w:hint="eastAsia" w:asciiTheme="minorEastAsia" w:hAnsiTheme="minorEastAsia" w:eastAsiaTheme="minorEastAsia"/>
          <w:color w:val="000000" w:themeColor="text1"/>
          <w:spacing w:val="24"/>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highlight w:val="none"/>
          <w14:textFill>
            <w14:solidFill>
              <w14:schemeClr w14:val="tx1"/>
            </w14:solidFill>
          </w14:textFill>
        </w:rPr>
        <w:t>月</w:t>
      </w:r>
      <w:r>
        <w:rPr>
          <w:rFonts w:hint="eastAsia" w:asciiTheme="minorEastAsia" w:hAnsiTheme="minorEastAsia" w:eastAsiaTheme="minorEastAsia"/>
          <w:color w:val="000000" w:themeColor="text1"/>
          <w:spacing w:val="24"/>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24"/>
          <w:sz w:val="24"/>
          <w:highlight w:val="none"/>
          <w14:textFill>
            <w14:solidFill>
              <w14:schemeClr w14:val="tx1"/>
            </w14:solidFill>
          </w14:textFill>
        </w:rPr>
        <w:t>日</w:t>
      </w:r>
      <w:bookmarkStart w:id="279" w:name="_Toc101344081"/>
    </w:p>
    <w:p w14:paraId="74AD6BB3">
      <w:pPr>
        <w:pStyle w:val="16"/>
        <w:ind w:firstLine="200"/>
        <w:rPr>
          <w:color w:val="000000" w:themeColor="text1"/>
          <w:highlight w:val="none"/>
          <w14:textFill>
            <w14:solidFill>
              <w14:schemeClr w14:val="tx1"/>
            </w14:solidFill>
          </w14:textFill>
        </w:rPr>
      </w:pPr>
    </w:p>
    <w:p w14:paraId="0A42F735">
      <w:pPr>
        <w:pStyle w:val="8"/>
        <w:ind w:right="164" w:firstLine="560"/>
        <w:rPr>
          <w:color w:val="000000" w:themeColor="text1"/>
          <w:highlight w:val="none"/>
          <w14:textFill>
            <w14:solidFill>
              <w14:schemeClr w14:val="tx1"/>
            </w14:solidFill>
          </w14:textFill>
        </w:rPr>
      </w:pPr>
    </w:p>
    <w:p w14:paraId="6BDDDA35">
      <w:pPr>
        <w:rPr>
          <w:color w:val="000000" w:themeColor="text1"/>
          <w:highlight w:val="none"/>
          <w14:textFill>
            <w14:solidFill>
              <w14:schemeClr w14:val="tx1"/>
            </w14:solidFill>
          </w14:textFill>
        </w:rPr>
      </w:pPr>
    </w:p>
    <w:p w14:paraId="140D1FBD">
      <w:pPr>
        <w:pStyle w:val="16"/>
        <w:ind w:firstLine="200"/>
        <w:rPr>
          <w:color w:val="000000" w:themeColor="text1"/>
          <w:highlight w:val="none"/>
          <w14:textFill>
            <w14:solidFill>
              <w14:schemeClr w14:val="tx1"/>
            </w14:solidFill>
          </w14:textFill>
        </w:rPr>
      </w:pPr>
    </w:p>
    <w:p w14:paraId="2BF18753">
      <w:pPr>
        <w:pStyle w:val="8"/>
        <w:ind w:right="164" w:firstLine="560"/>
        <w:rPr>
          <w:color w:val="000000" w:themeColor="text1"/>
          <w:highlight w:val="none"/>
          <w14:textFill>
            <w14:solidFill>
              <w14:schemeClr w14:val="tx1"/>
            </w14:solidFill>
          </w14:textFill>
        </w:rPr>
      </w:pPr>
    </w:p>
    <w:p w14:paraId="1CEAD61E">
      <w:pPr>
        <w:rPr>
          <w:color w:val="000000" w:themeColor="text1"/>
          <w:highlight w:val="none"/>
          <w14:textFill>
            <w14:solidFill>
              <w14:schemeClr w14:val="tx1"/>
            </w14:solidFill>
          </w14:textFill>
        </w:rPr>
      </w:pPr>
    </w:p>
    <w:p w14:paraId="25F27E78">
      <w:pPr>
        <w:pStyle w:val="16"/>
        <w:ind w:firstLine="200"/>
        <w:rPr>
          <w:color w:val="000000" w:themeColor="text1"/>
          <w:highlight w:val="none"/>
          <w14:textFill>
            <w14:solidFill>
              <w14:schemeClr w14:val="tx1"/>
            </w14:solidFill>
          </w14:textFill>
        </w:rPr>
      </w:pPr>
    </w:p>
    <w:p w14:paraId="15FA8931">
      <w:pPr>
        <w:rPr>
          <w:color w:val="000000" w:themeColor="text1"/>
          <w:highlight w:val="none"/>
          <w14:textFill>
            <w14:solidFill>
              <w14:schemeClr w14:val="tx1"/>
            </w14:solidFill>
          </w14:textFill>
        </w:rPr>
      </w:pPr>
    </w:p>
    <w:p w14:paraId="4B70FE8E">
      <w:pPr>
        <w:pStyle w:val="16"/>
        <w:ind w:firstLine="200"/>
        <w:rPr>
          <w:color w:val="000000" w:themeColor="text1"/>
          <w:highlight w:val="none"/>
          <w14:textFill>
            <w14:solidFill>
              <w14:schemeClr w14:val="tx1"/>
            </w14:solidFill>
          </w14:textFill>
        </w:rPr>
      </w:pPr>
    </w:p>
    <w:p w14:paraId="062C960C">
      <w:pPr>
        <w:rPr>
          <w:color w:val="000000" w:themeColor="text1"/>
          <w:highlight w:val="none"/>
          <w14:textFill>
            <w14:solidFill>
              <w14:schemeClr w14:val="tx1"/>
            </w14:solidFill>
          </w14:textFill>
        </w:rPr>
      </w:pPr>
    </w:p>
    <w:bookmarkEnd w:id="269"/>
    <w:bookmarkEnd w:id="270"/>
    <w:bookmarkEnd w:id="271"/>
    <w:bookmarkEnd w:id="272"/>
    <w:bookmarkEnd w:id="273"/>
    <w:bookmarkEnd w:id="274"/>
    <w:bookmarkEnd w:id="275"/>
    <w:bookmarkEnd w:id="276"/>
    <w:bookmarkEnd w:id="277"/>
    <w:bookmarkEnd w:id="278"/>
    <w:bookmarkEnd w:id="279"/>
    <w:p w14:paraId="740EFAE3">
      <w:pPr>
        <w:pStyle w:val="3"/>
        <w:spacing w:line="600" w:lineRule="exact"/>
        <w:jc w:val="center"/>
        <w:rPr>
          <w:rFonts w:cs="宋体-PUA" w:asciiTheme="minorEastAsia" w:hAnsiTheme="minorEastAsia" w:eastAsiaTheme="minorEastAsia"/>
          <w:color w:val="000000" w:themeColor="text1"/>
          <w:sz w:val="24"/>
          <w:szCs w:val="24"/>
          <w:highlight w:val="none"/>
          <w14:textFill>
            <w14:solidFill>
              <w14:schemeClr w14:val="tx1"/>
            </w14:solidFill>
          </w14:textFill>
        </w:rPr>
      </w:pPr>
      <w:bookmarkStart w:id="280" w:name="_Toc173510816"/>
      <w:bookmarkStart w:id="281" w:name="_Toc135319471"/>
      <w:r>
        <w:rPr>
          <w:rFonts w:hint="eastAsia" w:cs="宋体-PUA" w:asciiTheme="minorEastAsia" w:hAnsiTheme="minorEastAsia" w:eastAsiaTheme="minorEastAsia"/>
          <w:color w:val="000000" w:themeColor="text1"/>
          <w:szCs w:val="24"/>
          <w:highlight w:val="none"/>
          <w14:textFill>
            <w14:solidFill>
              <w14:schemeClr w14:val="tx1"/>
            </w14:solidFill>
          </w14:textFill>
        </w:rPr>
        <w:t>六、其他材料</w:t>
      </w:r>
      <w:bookmarkEnd w:id="280"/>
    </w:p>
    <w:p w14:paraId="3ED548E0">
      <w:pPr>
        <w:pStyle w:val="16"/>
        <w:spacing w:line="360" w:lineRule="auto"/>
        <w:ind w:firstLine="482" w:firstLineChars="200"/>
        <w:jc w:val="center"/>
        <w:rPr>
          <w:color w:val="000000" w:themeColor="text1"/>
          <w:highlight w:val="none"/>
          <w14:textFill>
            <w14:solidFill>
              <w14:schemeClr w14:val="tx1"/>
            </w14:solidFill>
          </w14:textFill>
        </w:rPr>
      </w:pPr>
      <w:bookmarkStart w:id="282" w:name="_Toc31769"/>
      <w:bookmarkStart w:id="283" w:name="_Toc3211"/>
      <w:bookmarkStart w:id="284" w:name="_Toc26496"/>
      <w:r>
        <w:rPr>
          <w:rFonts w:hint="eastAsia" w:ascii="宋体" w:hAnsi="宋体"/>
          <w:b/>
          <w:bCs/>
          <w:color w:val="000000" w:themeColor="text1"/>
          <w:sz w:val="24"/>
          <w:highlight w:val="none"/>
          <w14:textFill>
            <w14:solidFill>
              <w14:schemeClr w14:val="tx1"/>
            </w14:solidFill>
          </w14:textFill>
        </w:rPr>
        <w:t>文件要求或供应商认为需要的其他资料</w:t>
      </w:r>
      <w:bookmarkEnd w:id="282"/>
      <w:bookmarkEnd w:id="283"/>
      <w:bookmarkEnd w:id="284"/>
      <w:bookmarkStart w:id="285" w:name="_Toc22365"/>
      <w:bookmarkStart w:id="286" w:name="_Toc21777"/>
      <w:bookmarkStart w:id="287" w:name="_Toc20333"/>
      <w:r>
        <w:rPr>
          <w:rFonts w:hint="eastAsia" w:ascii="宋体" w:hAnsi="宋体" w:cs="宋体"/>
          <w:color w:val="000000" w:themeColor="text1"/>
          <w:kern w:val="2"/>
          <w:sz w:val="24"/>
          <w:szCs w:val="24"/>
          <w:highlight w:val="none"/>
          <w14:textFill>
            <w14:solidFill>
              <w14:schemeClr w14:val="tx1"/>
            </w14:solidFill>
          </w14:textFill>
        </w:rPr>
        <w:t>（包括但不限于以下内容）</w:t>
      </w:r>
      <w:bookmarkEnd w:id="285"/>
      <w:bookmarkEnd w:id="286"/>
      <w:bookmarkEnd w:id="287"/>
    </w:p>
    <w:p w14:paraId="3E39479B">
      <w:pPr>
        <w:spacing w:line="360" w:lineRule="auto"/>
        <w:ind w:firstLine="562" w:firstLineChars="200"/>
        <w:rPr>
          <w:rFonts w:ascii="宋体" w:hAnsi="宋体" w:cs="宋体"/>
          <w:b/>
          <w:bCs/>
          <w:color w:val="000000" w:themeColor="text1"/>
          <w:kern w:val="10"/>
          <w:sz w:val="28"/>
          <w:szCs w:val="28"/>
          <w:highlight w:val="none"/>
          <w14:textFill>
            <w14:solidFill>
              <w14:schemeClr w14:val="tx1"/>
            </w14:solidFill>
          </w14:textFill>
        </w:rPr>
      </w:pPr>
      <w:r>
        <w:rPr>
          <w:rFonts w:hint="eastAsia" w:ascii="宋体" w:hAnsi="宋体" w:cs="宋体"/>
          <w:b/>
          <w:bCs/>
          <w:color w:val="000000" w:themeColor="text1"/>
          <w:kern w:val="10"/>
          <w:sz w:val="28"/>
          <w:szCs w:val="28"/>
          <w:highlight w:val="none"/>
          <w14:textFill>
            <w14:solidFill>
              <w14:schemeClr w14:val="tx1"/>
            </w14:solidFill>
          </w14:textFill>
        </w:rPr>
        <w:t>（一）声明函</w:t>
      </w:r>
      <w:bookmarkEnd w:id="281"/>
    </w:p>
    <w:p w14:paraId="302EB39E">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1、中小企业声明函（货物）</w:t>
      </w:r>
    </w:p>
    <w:p w14:paraId="0B3C1B0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z w:val="24"/>
          <w:highlight w:val="none"/>
          <w:u w:val="single"/>
          <w14:textFill>
            <w14:solidFill>
              <w14:schemeClr w14:val="tx1"/>
            </w14:solidFill>
          </w14:textFill>
        </w:rPr>
        <w:t>（单位名称）</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3B12E53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 </w:t>
      </w:r>
      <w:r>
        <w:rPr>
          <w:rFonts w:hint="eastAsia" w:ascii="宋体" w:hAnsi="宋体" w:cs="宋体"/>
          <w:color w:val="000000" w:themeColor="text1"/>
          <w:sz w:val="24"/>
          <w:highlight w:val="none"/>
          <w:u w:val="single"/>
          <w14:textFill>
            <w14:solidFill>
              <w14:schemeClr w14:val="tx1"/>
            </w14:solidFill>
          </w14:textFill>
        </w:rPr>
        <w:t xml:space="preserve">（标的名称） </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（采购文件中明确的所属行业）行业</w:t>
      </w:r>
      <w:r>
        <w:rPr>
          <w:rFonts w:hint="eastAsia" w:ascii="宋体" w:hAnsi="宋体" w:cs="宋体"/>
          <w:color w:val="000000" w:themeColor="text1"/>
          <w:sz w:val="24"/>
          <w:highlight w:val="none"/>
          <w14:textFill>
            <w14:solidFill>
              <w14:schemeClr w14:val="tx1"/>
            </w14:solidFill>
          </w14:textFill>
        </w:rPr>
        <w:t>；制造商为</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w:t>
      </w:r>
      <w:r>
        <w:rPr>
          <w:rFonts w:hint="eastAsia" w:ascii="宋体" w:hAnsi="宋体" w:cs="宋体"/>
          <w:color w:val="000000" w:themeColor="text1"/>
          <w:sz w:val="24"/>
          <w:highlight w:val="none"/>
          <w:vertAlign w:val="superscript"/>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（中型企业、小型企业、微型企业）</w:t>
      </w:r>
      <w:r>
        <w:rPr>
          <w:rFonts w:hint="eastAsia" w:ascii="宋体" w:hAnsi="宋体" w:cs="宋体"/>
          <w:color w:val="000000" w:themeColor="text1"/>
          <w:sz w:val="24"/>
          <w:highlight w:val="none"/>
          <w14:textFill>
            <w14:solidFill>
              <w14:schemeClr w14:val="tx1"/>
            </w14:solidFill>
          </w14:textFill>
        </w:rPr>
        <w:t>；</w:t>
      </w:r>
    </w:p>
    <w:p w14:paraId="18EF4C6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 </w:t>
      </w:r>
      <w:r>
        <w:rPr>
          <w:rFonts w:hint="eastAsia" w:ascii="宋体" w:hAnsi="宋体" w:cs="宋体"/>
          <w:color w:val="000000" w:themeColor="text1"/>
          <w:sz w:val="24"/>
          <w:highlight w:val="none"/>
          <w:u w:val="single"/>
          <w14:textFill>
            <w14:solidFill>
              <w14:schemeClr w14:val="tx1"/>
            </w14:solidFill>
          </w14:textFill>
        </w:rPr>
        <w:t xml:space="preserve">（标的名称） </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（采购文件中明确的所属行业）行业</w:t>
      </w:r>
      <w:r>
        <w:rPr>
          <w:rFonts w:hint="eastAsia" w:ascii="宋体" w:hAnsi="宋体" w:cs="宋体"/>
          <w:color w:val="000000" w:themeColor="text1"/>
          <w:sz w:val="24"/>
          <w:highlight w:val="none"/>
          <w14:textFill>
            <w14:solidFill>
              <w14:schemeClr w14:val="tx1"/>
            </w14:solidFill>
          </w14:textFill>
        </w:rPr>
        <w:t>；制造商为</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（中型企业、小型企业、微型企业）</w:t>
      </w:r>
      <w:r>
        <w:rPr>
          <w:rFonts w:hint="eastAsia" w:ascii="宋体" w:hAnsi="宋体" w:cs="宋体"/>
          <w:color w:val="000000" w:themeColor="text1"/>
          <w:sz w:val="24"/>
          <w:highlight w:val="none"/>
          <w14:textFill>
            <w14:solidFill>
              <w14:schemeClr w14:val="tx1"/>
            </w14:solidFill>
          </w14:textFill>
        </w:rPr>
        <w:t>；</w:t>
      </w:r>
    </w:p>
    <w:p w14:paraId="0D21FB7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16C5884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538E225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75ED5A46">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182A7C1">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3F44F0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企业名称（盖章）：</w:t>
      </w:r>
    </w:p>
    <w:p w14:paraId="29D61C1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p>
    <w:p w14:paraId="23D8A311">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注：1、从业人员、营业收入、资产总额填报上一年度数据，无上一年度数据的新成立企业可不填报。</w:t>
      </w:r>
    </w:p>
    <w:p w14:paraId="2F05B168">
      <w:pPr>
        <w:spacing w:line="360" w:lineRule="auto"/>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2、中小企业划分标准见工业和信息化部国家统计局国家发展和改革委员财政部《关于印发中小企业划型标准规定的通知》（工信部联企业【2011】300号）。</w:t>
      </w:r>
    </w:p>
    <w:p w14:paraId="5B10A52C">
      <w:pPr>
        <w:spacing w:line="360" w:lineRule="auto"/>
        <w:ind w:firstLine="482" w:firstLineChars="200"/>
        <w:rPr>
          <w:rFonts w:ascii="宋体" w:hAnsi="宋体" w:cs="宋体"/>
          <w:b/>
          <w:bCs/>
          <w:color w:val="000000" w:themeColor="text1"/>
          <w:kern w:val="0"/>
          <w:sz w:val="24"/>
          <w:highlight w:val="none"/>
          <w14:textFill>
            <w14:solidFill>
              <w14:schemeClr w14:val="tx1"/>
            </w14:solidFill>
          </w14:textFill>
        </w:rPr>
      </w:pPr>
    </w:p>
    <w:p w14:paraId="1A83964F">
      <w:pPr>
        <w:spacing w:line="360" w:lineRule="auto"/>
        <w:ind w:firstLine="482" w:firstLineChars="20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备注：供应商提供声明函内容不实的，属于提供虚假材料谋取中标，依照《中华人民共和国政府采购法》等国家有关规定追究相应责任。</w:t>
      </w:r>
      <w:r>
        <w:rPr>
          <w:rFonts w:ascii="宋体" w:hAnsi="宋体" w:cs="宋体"/>
          <w:color w:val="000000" w:themeColor="text1"/>
          <w:kern w:val="0"/>
          <w:sz w:val="22"/>
          <w:szCs w:val="22"/>
          <w:highlight w:val="none"/>
          <w14:textFill>
            <w14:solidFill>
              <w14:schemeClr w14:val="tx1"/>
            </w14:solidFill>
          </w14:textFill>
        </w:rPr>
        <w:br w:type="page"/>
      </w:r>
    </w:p>
    <w:p w14:paraId="57943610">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2、残疾人福利性单位声明函（如需）</w:t>
      </w:r>
    </w:p>
    <w:p w14:paraId="009EE748">
      <w:pPr>
        <w:spacing w:line="360" w:lineRule="auto"/>
        <w:ind w:firstLine="504" w:firstLineChars="200"/>
        <w:rPr>
          <w:rFonts w:ascii="宋体" w:hAnsi="宋体" w:cs="宋体"/>
          <w:color w:val="000000" w:themeColor="text1"/>
          <w:spacing w:val="6"/>
          <w:kern w:val="0"/>
          <w:sz w:val="24"/>
          <w:highlight w:val="none"/>
          <w14:textFill>
            <w14:solidFill>
              <w14:schemeClr w14:val="tx1"/>
            </w14:solidFill>
          </w14:textFill>
        </w:rPr>
      </w:pPr>
      <w:r>
        <w:rPr>
          <w:rFonts w:hint="eastAsia" w:ascii="宋体" w:hAnsi="宋体" w:cs="宋体"/>
          <w:color w:val="000000" w:themeColor="text1"/>
          <w:spacing w:val="6"/>
          <w:kern w:val="0"/>
          <w:sz w:val="24"/>
          <w:highlight w:val="none"/>
          <w14:textFill>
            <w14:solidFill>
              <w14:schemeClr w14:val="tx1"/>
            </w14:solidFill>
          </w14:textFill>
        </w:rPr>
        <w:t>本单位郑重声明，根据《财政部民政部中国残疾人联合会关于促进残疾人就业政府采购政策的通知》（财库</w:t>
      </w:r>
      <w:r>
        <w:rPr>
          <w:rFonts w:hint="eastAsia" w:ascii="宋体" w:hAnsi="宋体" w:cs="宋体"/>
          <w:color w:val="000000" w:themeColor="text1"/>
          <w:kern w:val="0"/>
          <w:sz w:val="24"/>
          <w:highlight w:val="none"/>
          <w14:textFill>
            <w14:solidFill>
              <w14:schemeClr w14:val="tx1"/>
            </w14:solidFill>
          </w14:textFill>
        </w:rPr>
        <w:t>〔2017〕 141</w:t>
      </w:r>
      <w:r>
        <w:rPr>
          <w:rFonts w:hint="eastAsia" w:ascii="宋体" w:hAnsi="宋体" w:cs="宋体"/>
          <w:color w:val="000000" w:themeColor="text1"/>
          <w:spacing w:val="6"/>
          <w:kern w:val="0"/>
          <w:sz w:val="24"/>
          <w:highlight w:val="none"/>
          <w14:textFill>
            <w14:solidFill>
              <w14:schemeClr w14:val="tx1"/>
            </w14:solidFill>
          </w14:textFill>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E526444">
      <w:pPr>
        <w:spacing w:line="360" w:lineRule="auto"/>
        <w:ind w:firstLine="504" w:firstLineChars="200"/>
        <w:rPr>
          <w:rFonts w:ascii="宋体" w:hAnsi="宋体" w:cs="宋体"/>
          <w:color w:val="000000" w:themeColor="text1"/>
          <w:spacing w:val="6"/>
          <w:kern w:val="0"/>
          <w:sz w:val="24"/>
          <w:highlight w:val="none"/>
          <w14:textFill>
            <w14:solidFill>
              <w14:schemeClr w14:val="tx1"/>
            </w14:solidFill>
          </w14:textFill>
        </w:rPr>
      </w:pPr>
      <w:r>
        <w:rPr>
          <w:rFonts w:hint="eastAsia" w:ascii="宋体" w:hAnsi="宋体" w:cs="宋体"/>
          <w:color w:val="000000" w:themeColor="text1"/>
          <w:spacing w:val="6"/>
          <w:kern w:val="0"/>
          <w:sz w:val="24"/>
          <w:highlight w:val="none"/>
          <w14:textFill>
            <w14:solidFill>
              <w14:schemeClr w14:val="tx1"/>
            </w14:solidFill>
          </w14:textFill>
        </w:rPr>
        <w:t>本单位对上述声明的真实性负责。如有虚假，将依法承担相应责任。</w:t>
      </w:r>
    </w:p>
    <w:p w14:paraId="14888195">
      <w:pPr>
        <w:spacing w:line="360" w:lineRule="auto"/>
        <w:ind w:firstLine="504" w:firstLineChars="200"/>
        <w:rPr>
          <w:rFonts w:ascii="宋体" w:hAnsi="宋体" w:cs="宋体"/>
          <w:color w:val="000000" w:themeColor="text1"/>
          <w:spacing w:val="6"/>
          <w:kern w:val="0"/>
          <w:sz w:val="24"/>
          <w:highlight w:val="none"/>
          <w14:textFill>
            <w14:solidFill>
              <w14:schemeClr w14:val="tx1"/>
            </w14:solidFill>
          </w14:textFill>
        </w:rPr>
      </w:pPr>
    </w:p>
    <w:p w14:paraId="2493275E">
      <w:pPr>
        <w:spacing w:line="360" w:lineRule="auto"/>
        <w:ind w:firstLine="504" w:firstLineChars="200"/>
        <w:rPr>
          <w:rFonts w:ascii="宋体" w:hAnsi="宋体" w:cs="宋体"/>
          <w:color w:val="000000" w:themeColor="text1"/>
          <w:spacing w:val="6"/>
          <w:kern w:val="0"/>
          <w:sz w:val="24"/>
          <w:highlight w:val="none"/>
          <w14:textFill>
            <w14:solidFill>
              <w14:schemeClr w14:val="tx1"/>
            </w14:solidFill>
          </w14:textFill>
        </w:rPr>
      </w:pPr>
      <w:r>
        <w:rPr>
          <w:rFonts w:hint="eastAsia" w:ascii="宋体" w:hAnsi="宋体" w:cs="宋体"/>
          <w:color w:val="000000" w:themeColor="text1"/>
          <w:spacing w:val="6"/>
          <w:kern w:val="0"/>
          <w:sz w:val="24"/>
          <w:highlight w:val="none"/>
          <w14:textFill>
            <w14:solidFill>
              <w14:schemeClr w14:val="tx1"/>
            </w14:solidFill>
          </w14:textFill>
        </w:rPr>
        <w:t>单位名称（盖章）：</w:t>
      </w:r>
    </w:p>
    <w:p w14:paraId="32CE580B">
      <w:pPr>
        <w:spacing w:line="360" w:lineRule="auto"/>
        <w:ind w:firstLine="504" w:firstLineChars="200"/>
        <w:rPr>
          <w:rFonts w:ascii="宋体" w:hAnsi="宋体" w:cs="宋体"/>
          <w:color w:val="000000" w:themeColor="text1"/>
          <w:spacing w:val="6"/>
          <w:kern w:val="0"/>
          <w:sz w:val="24"/>
          <w:highlight w:val="none"/>
          <w14:textFill>
            <w14:solidFill>
              <w14:schemeClr w14:val="tx1"/>
            </w14:solidFill>
          </w14:textFill>
        </w:rPr>
      </w:pPr>
      <w:r>
        <w:rPr>
          <w:rFonts w:hint="eastAsia" w:ascii="宋体" w:hAnsi="宋体" w:cs="宋体"/>
          <w:color w:val="000000" w:themeColor="text1"/>
          <w:spacing w:val="6"/>
          <w:kern w:val="0"/>
          <w:sz w:val="24"/>
          <w:highlight w:val="none"/>
          <w14:textFill>
            <w14:solidFill>
              <w14:schemeClr w14:val="tx1"/>
            </w14:solidFill>
          </w14:textFill>
        </w:rPr>
        <w:t>日期：</w:t>
      </w:r>
    </w:p>
    <w:p w14:paraId="29719C65">
      <w:pPr>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p>
    <w:p w14:paraId="59084E8D">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（提醒：如果供应商</w:t>
      </w:r>
      <w:r>
        <w:rPr>
          <w:rFonts w:hint="eastAsia" w:ascii="宋体" w:hAnsi="宋体" w:cs="宋体"/>
          <w:b/>
          <w:color w:val="000000" w:themeColor="text1"/>
          <w:spacing w:val="10"/>
          <w:kern w:val="0"/>
          <w:sz w:val="24"/>
          <w:highlight w:val="none"/>
          <w14:textFill>
            <w14:solidFill>
              <w14:schemeClr w14:val="tx1"/>
            </w14:solidFill>
          </w14:textFill>
        </w:rPr>
        <w:t>不是残疾人福利性单位</w:t>
      </w:r>
      <w:r>
        <w:rPr>
          <w:rFonts w:hint="eastAsia" w:ascii="宋体" w:hAnsi="宋体" w:cs="宋体"/>
          <w:b/>
          <w:color w:val="000000" w:themeColor="text1"/>
          <w:kern w:val="0"/>
          <w:sz w:val="24"/>
          <w:highlight w:val="none"/>
          <w14:textFill>
            <w14:solidFill>
              <w14:schemeClr w14:val="tx1"/>
            </w14:solidFill>
          </w14:textFill>
        </w:rPr>
        <w:t>，则不需要提供《残疾人福利性单位声明函》。否则，因此导致虚假投标的后果由供应商自行承担。）</w:t>
      </w:r>
    </w:p>
    <w:p w14:paraId="7C6086D3">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《财政部民政部中国残疾人联合会关于促进残疾人就业政府采购政策的通知》（财库（2017〔141〕号）的规定：</w:t>
      </w:r>
    </w:p>
    <w:p w14:paraId="6688B2A2">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 享受政府采购支持政策的残疾人福利性单位应当同时满足以下条件：</w:t>
      </w:r>
    </w:p>
    <w:p w14:paraId="1599C99D">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（1）安置的残疾人占本单位在职职工人数的比例不低于25%（含25%），并且安置的残疾人人数不少于10人（含10人）；</w:t>
      </w:r>
    </w:p>
    <w:p w14:paraId="2FAFC288">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（2）依法与安置的每位残疾人签订了一年以上（含一年）的劳动合同或服务协议；</w:t>
      </w:r>
    </w:p>
    <w:p w14:paraId="2B2C0F6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（3）为安置的每位残疾人按月足额缴纳了基本养老保险、基本医疗保险、失业保险、工伤保险和生育保险等社会保险费；</w:t>
      </w:r>
    </w:p>
    <w:p w14:paraId="34185DBD">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（4）通过银行等金融机构向安置的每位残疾人，按月支付了不低于单位所在区县适用的经省级人民政府批准的月最低工资标准的工资；</w:t>
      </w:r>
    </w:p>
    <w:p w14:paraId="1836195D">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（5）提供本单位制造的货物、承担的工程或者服务（以下简称产品），或者提供其他残疾人福利性单位制造的货物（不包括使用非残疾人福利性单位注册商标的货物）。</w:t>
      </w:r>
    </w:p>
    <w:p w14:paraId="76C5E69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color w:val="000000" w:themeColor="text1"/>
          <w:kern w:val="0"/>
          <w:sz w:val="24"/>
          <w:highlight w:val="none"/>
          <w:lang w:eastAsia="zh-CN"/>
          <w14:textFill>
            <w14:solidFill>
              <w14:schemeClr w14:val="tx1"/>
            </w14:solidFill>
          </w14:textFill>
        </w:rPr>
        <w:t>成交人</w:t>
      </w:r>
      <w:r>
        <w:rPr>
          <w:rFonts w:hint="eastAsia" w:ascii="宋体" w:hAnsi="宋体" w:cs="宋体"/>
          <w:color w:val="000000" w:themeColor="text1"/>
          <w:kern w:val="0"/>
          <w:sz w:val="24"/>
          <w:highlight w:val="none"/>
          <w14:textFill>
            <w14:solidFill>
              <w14:schemeClr w14:val="tx1"/>
            </w14:solidFill>
          </w14:textFill>
        </w:rPr>
        <w:t>为残疾人福利性单位的，采购人或者其委托的采购代理机构应当随中标、成交结果同时公告其《残疾人福利性单位声明函》，接受社会监督。</w:t>
      </w:r>
      <w:r>
        <w:rPr>
          <w:rFonts w:ascii="宋体" w:hAnsi="宋体" w:cs="宋体"/>
          <w:color w:val="000000" w:themeColor="text1"/>
          <w:kern w:val="0"/>
          <w:sz w:val="24"/>
          <w:highlight w:val="none"/>
          <w14:textFill>
            <w14:solidFill>
              <w14:schemeClr w14:val="tx1"/>
            </w14:solidFill>
          </w14:textFill>
        </w:rPr>
        <w:br w:type="page"/>
      </w:r>
    </w:p>
    <w:p w14:paraId="4FD0A8A0">
      <w:pPr>
        <w:spacing w:line="360" w:lineRule="auto"/>
        <w:ind w:firstLine="482" w:firstLineChars="200"/>
        <w:rPr>
          <w:rFonts w:ascii="宋体" w:hAnsi="宋体" w:cs="宋体"/>
          <w:b/>
          <w:bCs/>
          <w:color w:val="000000" w:themeColor="text1"/>
          <w:kern w:val="0"/>
          <w:sz w:val="24"/>
          <w:highlight w:val="none"/>
          <w14:textFill>
            <w14:solidFill>
              <w14:schemeClr w14:val="tx1"/>
            </w14:solidFill>
          </w14:textFill>
        </w:rPr>
      </w:pPr>
      <w:bookmarkStart w:id="288" w:name="二、投标报价"/>
      <w:bookmarkEnd w:id="288"/>
      <w:r>
        <w:rPr>
          <w:rFonts w:hint="eastAsia" w:ascii="宋体" w:hAnsi="宋体" w:cs="宋体"/>
          <w:b/>
          <w:color w:val="000000" w:themeColor="text1"/>
          <w:kern w:val="0"/>
          <w:sz w:val="24"/>
          <w:highlight w:val="none"/>
          <w14:textFill>
            <w14:solidFill>
              <w14:schemeClr w14:val="tx1"/>
            </w14:solidFill>
          </w14:textFill>
        </w:rPr>
        <w:t>3、监狱企业证明文件（如需）</w:t>
      </w:r>
    </w:p>
    <w:p w14:paraId="2403D669">
      <w:pPr>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p>
    <w:p w14:paraId="07868D1D">
      <w:pPr>
        <w:spacing w:line="360" w:lineRule="auto"/>
        <w:ind w:firstLine="480" w:firstLineChars="200"/>
        <w:rPr>
          <w:color w:val="000000" w:themeColor="text1"/>
          <w:highlight w:val="none"/>
          <w14:textFill>
            <w14:solidFill>
              <w14:schemeClr w14:val="tx1"/>
            </w14:solidFill>
          </w14:textFill>
        </w:rPr>
      </w:pPr>
      <w:r>
        <w:rPr>
          <w:rFonts w:hint="eastAsia" w:hAnsi="宋体"/>
          <w:color w:val="000000" w:themeColor="text1"/>
          <w:kern w:val="0"/>
          <w:sz w:val="24"/>
          <w:highlight w:val="none"/>
          <w14:textFill>
            <w14:solidFill>
              <w14:schemeClr w14:val="tx1"/>
            </w14:solidFill>
          </w14:textFill>
        </w:rPr>
        <w:t>（监狱企业参加政府采购活动时，应当提供由省级以上监狱管理局、戒毒管理局(含新疆生产建设兵团)出具的属于监狱企业的证明文件。在</w:t>
      </w:r>
      <w:r>
        <w:rPr>
          <w:rFonts w:hint="eastAsia" w:hAnsi="宋体"/>
          <w:color w:val="000000" w:themeColor="text1"/>
          <w:kern w:val="0"/>
          <w:sz w:val="24"/>
          <w:highlight w:val="none"/>
          <w:lang w:eastAsia="zh-CN"/>
          <w14:textFill>
            <w14:solidFill>
              <w14:schemeClr w14:val="tx1"/>
            </w14:solidFill>
          </w14:textFill>
        </w:rPr>
        <w:t>响应性文件</w:t>
      </w:r>
      <w:r>
        <w:rPr>
          <w:rFonts w:hint="eastAsia" w:hAnsi="宋体"/>
          <w:color w:val="000000" w:themeColor="text1"/>
          <w:kern w:val="0"/>
          <w:sz w:val="24"/>
          <w:highlight w:val="none"/>
          <w14:textFill>
            <w14:solidFill>
              <w14:schemeClr w14:val="tx1"/>
            </w14:solidFill>
          </w14:textFill>
        </w:rPr>
        <w:t>中提供复印件。</w:t>
      </w:r>
    </w:p>
    <w:p w14:paraId="7BF8D947">
      <w:pPr>
        <w:spacing w:line="360" w:lineRule="auto"/>
        <w:ind w:firstLine="482" w:firstLineChars="200"/>
        <w:rPr>
          <w:rFonts w:asciiTheme="minorEastAsia" w:hAnsiTheme="minorEastAsia" w:eastAsiaTheme="minorEastAsia"/>
          <w:b/>
          <w:bCs/>
          <w:color w:val="000000" w:themeColor="text1"/>
          <w:sz w:val="24"/>
          <w:highlight w:val="none"/>
          <w14:textFill>
            <w14:solidFill>
              <w14:schemeClr w14:val="tx1"/>
            </w14:solidFill>
          </w14:textFill>
        </w:rPr>
      </w:pPr>
    </w:p>
    <w:p w14:paraId="3F6B3B87">
      <w:pPr>
        <w:spacing w:line="360" w:lineRule="auto"/>
        <w:ind w:firstLine="482" w:firstLineChars="200"/>
        <w:rPr>
          <w:rFonts w:asciiTheme="minorEastAsia" w:hAnsiTheme="minorEastAsia" w:eastAsiaTheme="minorEastAsia"/>
          <w:b/>
          <w:bCs/>
          <w:color w:val="000000" w:themeColor="text1"/>
          <w:sz w:val="24"/>
          <w:highlight w:val="none"/>
          <w14:textFill>
            <w14:solidFill>
              <w14:schemeClr w14:val="tx1"/>
            </w14:solidFill>
          </w14:textFill>
        </w:rPr>
      </w:pPr>
    </w:p>
    <w:p w14:paraId="556B042B">
      <w:pPr>
        <w:spacing w:line="360" w:lineRule="auto"/>
        <w:ind w:firstLine="482" w:firstLineChars="200"/>
        <w:rPr>
          <w:rFonts w:asciiTheme="minorEastAsia" w:hAnsiTheme="minorEastAsia" w:eastAsiaTheme="minorEastAsia"/>
          <w:b/>
          <w:bCs/>
          <w:color w:val="000000" w:themeColor="text1"/>
          <w:sz w:val="24"/>
          <w:highlight w:val="none"/>
          <w14:textFill>
            <w14:solidFill>
              <w14:schemeClr w14:val="tx1"/>
            </w14:solidFill>
          </w14:textFill>
        </w:rPr>
      </w:pPr>
    </w:p>
    <w:p w14:paraId="100B5C19">
      <w:pPr>
        <w:spacing w:line="360" w:lineRule="auto"/>
        <w:ind w:firstLine="482" w:firstLineChars="200"/>
        <w:rPr>
          <w:rFonts w:asciiTheme="minorEastAsia" w:hAnsiTheme="minorEastAsia" w:eastAsiaTheme="minorEastAsia"/>
          <w:b/>
          <w:bCs/>
          <w:color w:val="000000" w:themeColor="text1"/>
          <w:sz w:val="24"/>
          <w:highlight w:val="none"/>
          <w14:textFill>
            <w14:solidFill>
              <w14:schemeClr w14:val="tx1"/>
            </w14:solidFill>
          </w14:textFill>
        </w:rPr>
      </w:pPr>
    </w:p>
    <w:p w14:paraId="6436EA79">
      <w:pPr>
        <w:spacing w:line="360" w:lineRule="auto"/>
        <w:ind w:firstLine="482" w:firstLineChars="200"/>
        <w:rPr>
          <w:rFonts w:asciiTheme="minorEastAsia" w:hAnsiTheme="minorEastAsia" w:eastAsiaTheme="minorEastAsia"/>
          <w:b/>
          <w:bCs/>
          <w:color w:val="000000" w:themeColor="text1"/>
          <w:sz w:val="24"/>
          <w:highlight w:val="none"/>
          <w14:textFill>
            <w14:solidFill>
              <w14:schemeClr w14:val="tx1"/>
            </w14:solidFill>
          </w14:textFill>
        </w:rPr>
      </w:pPr>
    </w:p>
    <w:p w14:paraId="189476A1">
      <w:pPr>
        <w:spacing w:line="360" w:lineRule="auto"/>
        <w:ind w:firstLine="482" w:firstLineChars="200"/>
        <w:rPr>
          <w:rFonts w:asciiTheme="minorEastAsia" w:hAnsiTheme="minorEastAsia" w:eastAsiaTheme="minorEastAsia"/>
          <w:b/>
          <w:bCs/>
          <w:color w:val="000000" w:themeColor="text1"/>
          <w:sz w:val="24"/>
          <w:highlight w:val="none"/>
          <w14:textFill>
            <w14:solidFill>
              <w14:schemeClr w14:val="tx1"/>
            </w14:solidFill>
          </w14:textFill>
        </w:rPr>
      </w:pPr>
    </w:p>
    <w:p w14:paraId="41FCFA5F">
      <w:pPr>
        <w:spacing w:line="360" w:lineRule="auto"/>
        <w:ind w:firstLine="420" w:firstLineChars="200"/>
        <w:rPr>
          <w:color w:val="000000" w:themeColor="text1"/>
          <w:highlight w:val="none"/>
          <w14:textFill>
            <w14:solidFill>
              <w14:schemeClr w14:val="tx1"/>
            </w14:solidFill>
          </w14:textFill>
        </w:rPr>
      </w:pPr>
    </w:p>
    <w:p w14:paraId="0C9AF998">
      <w:pPr>
        <w:spacing w:line="360" w:lineRule="auto"/>
        <w:ind w:firstLine="420" w:firstLineChars="200"/>
        <w:rPr>
          <w:color w:val="000000" w:themeColor="text1"/>
          <w:highlight w:val="none"/>
          <w14:textFill>
            <w14:solidFill>
              <w14:schemeClr w14:val="tx1"/>
            </w14:solidFill>
          </w14:textFill>
        </w:rPr>
      </w:pPr>
    </w:p>
    <w:p w14:paraId="2609B274">
      <w:pPr>
        <w:spacing w:line="360" w:lineRule="auto"/>
        <w:ind w:firstLine="420" w:firstLineChars="200"/>
        <w:rPr>
          <w:color w:val="000000" w:themeColor="text1"/>
          <w:highlight w:val="none"/>
          <w14:textFill>
            <w14:solidFill>
              <w14:schemeClr w14:val="tx1"/>
            </w14:solidFill>
          </w14:textFill>
        </w:rPr>
      </w:pPr>
    </w:p>
    <w:p w14:paraId="34E6F7A3">
      <w:pPr>
        <w:spacing w:line="360" w:lineRule="auto"/>
        <w:ind w:firstLine="420" w:firstLineChars="200"/>
        <w:rPr>
          <w:color w:val="000000" w:themeColor="text1"/>
          <w:highlight w:val="none"/>
          <w14:textFill>
            <w14:solidFill>
              <w14:schemeClr w14:val="tx1"/>
            </w14:solidFill>
          </w14:textFill>
        </w:rPr>
      </w:pPr>
    </w:p>
    <w:p w14:paraId="308C3C13">
      <w:pPr>
        <w:spacing w:line="360" w:lineRule="auto"/>
        <w:ind w:firstLine="420" w:firstLineChars="200"/>
        <w:rPr>
          <w:color w:val="000000" w:themeColor="text1"/>
          <w:highlight w:val="none"/>
          <w14:textFill>
            <w14:solidFill>
              <w14:schemeClr w14:val="tx1"/>
            </w14:solidFill>
          </w14:textFill>
        </w:rPr>
      </w:pPr>
    </w:p>
    <w:p w14:paraId="7EA94AC3">
      <w:pPr>
        <w:spacing w:line="360" w:lineRule="auto"/>
        <w:ind w:firstLine="420" w:firstLineChars="200"/>
        <w:rPr>
          <w:color w:val="000000" w:themeColor="text1"/>
          <w:highlight w:val="none"/>
          <w14:textFill>
            <w14:solidFill>
              <w14:schemeClr w14:val="tx1"/>
            </w14:solidFill>
          </w14:textFill>
        </w:rPr>
      </w:pPr>
    </w:p>
    <w:p w14:paraId="650427B1">
      <w:pPr>
        <w:spacing w:line="360" w:lineRule="auto"/>
        <w:ind w:firstLine="420" w:firstLineChars="200"/>
        <w:rPr>
          <w:color w:val="000000" w:themeColor="text1"/>
          <w:highlight w:val="none"/>
          <w14:textFill>
            <w14:solidFill>
              <w14:schemeClr w14:val="tx1"/>
            </w14:solidFill>
          </w14:textFill>
        </w:rPr>
      </w:pPr>
    </w:p>
    <w:p w14:paraId="470126A3">
      <w:pPr>
        <w:spacing w:line="360" w:lineRule="auto"/>
        <w:ind w:firstLine="420" w:firstLineChars="200"/>
        <w:rPr>
          <w:color w:val="000000" w:themeColor="text1"/>
          <w:highlight w:val="none"/>
          <w14:textFill>
            <w14:solidFill>
              <w14:schemeClr w14:val="tx1"/>
            </w14:solidFill>
          </w14:textFill>
        </w:rPr>
      </w:pPr>
    </w:p>
    <w:p w14:paraId="1D19F843">
      <w:pPr>
        <w:spacing w:line="360" w:lineRule="auto"/>
        <w:ind w:firstLine="420" w:firstLineChars="200"/>
        <w:rPr>
          <w:color w:val="000000" w:themeColor="text1"/>
          <w:highlight w:val="none"/>
          <w14:textFill>
            <w14:solidFill>
              <w14:schemeClr w14:val="tx1"/>
            </w14:solidFill>
          </w14:textFill>
        </w:rPr>
      </w:pPr>
    </w:p>
    <w:p w14:paraId="78368EE0">
      <w:pPr>
        <w:spacing w:line="360" w:lineRule="auto"/>
        <w:ind w:firstLine="420" w:firstLineChars="200"/>
        <w:rPr>
          <w:color w:val="000000" w:themeColor="text1"/>
          <w:highlight w:val="none"/>
          <w14:textFill>
            <w14:solidFill>
              <w14:schemeClr w14:val="tx1"/>
            </w14:solidFill>
          </w14:textFill>
        </w:rPr>
      </w:pPr>
    </w:p>
    <w:p w14:paraId="02C4BEFE">
      <w:pPr>
        <w:spacing w:line="360" w:lineRule="auto"/>
        <w:ind w:firstLine="420" w:firstLineChars="200"/>
        <w:rPr>
          <w:color w:val="000000" w:themeColor="text1"/>
          <w:highlight w:val="none"/>
          <w14:textFill>
            <w14:solidFill>
              <w14:schemeClr w14:val="tx1"/>
            </w14:solidFill>
          </w14:textFill>
        </w:rPr>
      </w:pPr>
    </w:p>
    <w:p w14:paraId="406200E8">
      <w:pPr>
        <w:spacing w:line="360" w:lineRule="auto"/>
        <w:ind w:firstLine="420" w:firstLineChars="200"/>
        <w:rPr>
          <w:color w:val="000000" w:themeColor="text1"/>
          <w:highlight w:val="none"/>
          <w14:textFill>
            <w14:solidFill>
              <w14:schemeClr w14:val="tx1"/>
            </w14:solidFill>
          </w14:textFill>
        </w:rPr>
      </w:pPr>
    </w:p>
    <w:p w14:paraId="1F7B3AD6">
      <w:pPr>
        <w:spacing w:line="360" w:lineRule="auto"/>
        <w:ind w:firstLine="420" w:firstLineChars="200"/>
        <w:rPr>
          <w:color w:val="000000" w:themeColor="text1"/>
          <w:highlight w:val="none"/>
          <w14:textFill>
            <w14:solidFill>
              <w14:schemeClr w14:val="tx1"/>
            </w14:solidFill>
          </w14:textFill>
        </w:rPr>
      </w:pPr>
    </w:p>
    <w:p w14:paraId="5A02B4C0">
      <w:pPr>
        <w:spacing w:line="360" w:lineRule="auto"/>
        <w:ind w:firstLine="420" w:firstLineChars="200"/>
        <w:rPr>
          <w:color w:val="000000" w:themeColor="text1"/>
          <w:highlight w:val="none"/>
          <w14:textFill>
            <w14:solidFill>
              <w14:schemeClr w14:val="tx1"/>
            </w14:solidFill>
          </w14:textFill>
        </w:rPr>
      </w:pPr>
    </w:p>
    <w:p w14:paraId="668ACBC1">
      <w:pPr>
        <w:spacing w:line="360" w:lineRule="auto"/>
        <w:ind w:firstLine="420" w:firstLineChars="200"/>
        <w:rPr>
          <w:color w:val="000000" w:themeColor="text1"/>
          <w:highlight w:val="none"/>
          <w14:textFill>
            <w14:solidFill>
              <w14:schemeClr w14:val="tx1"/>
            </w14:solidFill>
          </w14:textFill>
        </w:rPr>
      </w:pPr>
    </w:p>
    <w:p w14:paraId="4D013DDE">
      <w:pPr>
        <w:spacing w:line="360" w:lineRule="auto"/>
        <w:ind w:firstLine="420" w:firstLineChars="200"/>
        <w:rPr>
          <w:color w:val="000000" w:themeColor="text1"/>
          <w:highlight w:val="none"/>
          <w14:textFill>
            <w14:solidFill>
              <w14:schemeClr w14:val="tx1"/>
            </w14:solidFill>
          </w14:textFill>
        </w:rPr>
      </w:pPr>
    </w:p>
    <w:p w14:paraId="31D95943">
      <w:pPr>
        <w:spacing w:line="360" w:lineRule="auto"/>
        <w:ind w:firstLine="420" w:firstLineChars="200"/>
        <w:rPr>
          <w:color w:val="000000" w:themeColor="text1"/>
          <w:highlight w:val="none"/>
          <w14:textFill>
            <w14:solidFill>
              <w14:schemeClr w14:val="tx1"/>
            </w14:solidFill>
          </w14:textFill>
        </w:rPr>
      </w:pPr>
    </w:p>
    <w:p w14:paraId="7AE91B3D">
      <w:pPr>
        <w:spacing w:line="360" w:lineRule="auto"/>
        <w:ind w:firstLine="420" w:firstLineChars="200"/>
        <w:rPr>
          <w:color w:val="000000" w:themeColor="text1"/>
          <w:highlight w:val="none"/>
          <w14:textFill>
            <w14:solidFill>
              <w14:schemeClr w14:val="tx1"/>
            </w14:solidFill>
          </w14:textFill>
        </w:rPr>
      </w:pPr>
    </w:p>
    <w:p w14:paraId="6D6C9437">
      <w:pPr>
        <w:spacing w:line="360" w:lineRule="auto"/>
        <w:ind w:firstLine="420" w:firstLineChars="200"/>
        <w:rPr>
          <w:color w:val="000000" w:themeColor="text1"/>
          <w:highlight w:val="none"/>
          <w14:textFill>
            <w14:solidFill>
              <w14:schemeClr w14:val="tx1"/>
            </w14:solidFill>
          </w14:textFill>
        </w:rPr>
      </w:pPr>
    </w:p>
    <w:p w14:paraId="7649F1ED">
      <w:pPr>
        <w:spacing w:line="360" w:lineRule="auto"/>
        <w:ind w:firstLine="420" w:firstLineChars="200"/>
        <w:rPr>
          <w:color w:val="000000" w:themeColor="text1"/>
          <w:highlight w:val="none"/>
          <w14:textFill>
            <w14:solidFill>
              <w14:schemeClr w14:val="tx1"/>
            </w14:solidFill>
          </w14:textFill>
        </w:rPr>
      </w:pPr>
    </w:p>
    <w:p w14:paraId="5F49DAB6">
      <w:pPr>
        <w:spacing w:line="360" w:lineRule="auto"/>
        <w:ind w:firstLine="512" w:firstLineChars="200"/>
        <w:rPr>
          <w:rFonts w:cs="宋体" w:asciiTheme="minorEastAsia" w:hAnsiTheme="minorEastAsia" w:eastAsiaTheme="minorEastAsia"/>
          <w:color w:val="000000" w:themeColor="text1"/>
          <w:spacing w:val="8"/>
          <w:sz w:val="24"/>
          <w:highlight w:val="none"/>
          <w14:textFill>
            <w14:solidFill>
              <w14:schemeClr w14:val="tx1"/>
            </w14:solidFill>
          </w14:textFill>
        </w:rPr>
      </w:pPr>
    </w:p>
    <w:p w14:paraId="73658012">
      <w:pPr>
        <w:spacing w:line="360" w:lineRule="auto"/>
        <w:ind w:firstLine="420" w:firstLineChars="200"/>
        <w:rPr>
          <w:color w:val="000000" w:themeColor="text1"/>
          <w:highlight w:val="none"/>
          <w14:textFill>
            <w14:solidFill>
              <w14:schemeClr w14:val="tx1"/>
            </w14:solidFill>
          </w14:textFill>
        </w:rPr>
      </w:pPr>
    </w:p>
    <w:p w14:paraId="6292E89E">
      <w:pPr>
        <w:pStyle w:val="16"/>
        <w:ind w:firstLine="200"/>
        <w:rPr>
          <w:color w:val="000000" w:themeColor="text1"/>
          <w:highlight w:val="none"/>
          <w14:textFill>
            <w14:solidFill>
              <w14:schemeClr w14:val="tx1"/>
            </w14:solidFill>
          </w14:textFill>
        </w:rPr>
      </w:pPr>
    </w:p>
    <w:p w14:paraId="12DDFC4A">
      <w:pPr>
        <w:pStyle w:val="8"/>
        <w:ind w:right="164" w:firstLine="560"/>
        <w:rPr>
          <w:color w:val="000000" w:themeColor="text1"/>
          <w:highlight w:val="none"/>
          <w14:textFill>
            <w14:solidFill>
              <w14:schemeClr w14:val="tx1"/>
            </w14:solidFill>
          </w14:textFill>
        </w:rPr>
      </w:pPr>
    </w:p>
    <w:p w14:paraId="4F29C0D8">
      <w:pPr>
        <w:spacing w:line="360" w:lineRule="auto"/>
        <w:ind w:firstLine="420" w:firstLineChars="200"/>
        <w:rPr>
          <w:color w:val="000000" w:themeColor="text1"/>
          <w:highlight w:val="none"/>
          <w14:textFill>
            <w14:solidFill>
              <w14:schemeClr w14:val="tx1"/>
            </w14:solidFill>
          </w14:textFill>
        </w:rPr>
      </w:pPr>
    </w:p>
    <w:p w14:paraId="65684D5D">
      <w:pPr>
        <w:spacing w:line="360" w:lineRule="auto"/>
        <w:ind w:firstLine="482" w:firstLineChars="200"/>
        <w:rPr>
          <w:rFonts w:ascii="宋体" w:hAnsi="宋体" w:cs="Calibri"/>
          <w:b/>
          <w:bCs/>
          <w:color w:val="000000" w:themeColor="text1"/>
          <w:sz w:val="24"/>
          <w:highlight w:val="none"/>
          <w14:textFill>
            <w14:solidFill>
              <w14:schemeClr w14:val="tx1"/>
            </w14:solidFill>
          </w14:textFill>
        </w:rPr>
      </w:pPr>
      <w:r>
        <w:rPr>
          <w:rFonts w:hint="eastAsia" w:ascii="宋体" w:hAnsi="宋体" w:cs="Calibri"/>
          <w:b/>
          <w:bCs/>
          <w:color w:val="000000" w:themeColor="text1"/>
          <w:sz w:val="24"/>
          <w:highlight w:val="none"/>
          <w14:textFill>
            <w14:solidFill>
              <w14:schemeClr w14:val="tx1"/>
            </w14:solidFill>
          </w14:textFill>
        </w:rPr>
        <w:t>（二）</w:t>
      </w:r>
      <w:r>
        <w:rPr>
          <w:rFonts w:hint="eastAsia" w:ascii="宋体" w:hAnsi="宋体" w:cs="宋体"/>
          <w:b/>
          <w:bCs/>
          <w:color w:val="000000" w:themeColor="text1"/>
          <w:kern w:val="10"/>
          <w:sz w:val="24"/>
          <w:highlight w:val="none"/>
          <w14:textFill>
            <w14:solidFill>
              <w14:schemeClr w14:val="tx1"/>
            </w14:solidFill>
          </w14:textFill>
        </w:rPr>
        <w:t>供应商认为需要提供的其他资料</w:t>
      </w:r>
      <w:r>
        <w:rPr>
          <w:rFonts w:hint="eastAsia" w:ascii="宋体" w:hAnsi="宋体"/>
          <w:b/>
          <w:bCs/>
          <w:color w:val="000000" w:themeColor="text1"/>
          <w:kern w:val="0"/>
          <w:sz w:val="24"/>
          <w:highlight w:val="none"/>
          <w14:textFill>
            <w14:solidFill>
              <w14:schemeClr w14:val="tx1"/>
            </w14:solidFill>
          </w14:textFill>
        </w:rPr>
        <w:t>（如有）；</w:t>
      </w:r>
    </w:p>
    <w:p w14:paraId="07F090EF">
      <w:pPr>
        <w:spacing w:line="360" w:lineRule="auto"/>
        <w:ind w:firstLine="420" w:firstLineChars="200"/>
        <w:rPr>
          <w:color w:val="000000" w:themeColor="text1"/>
          <w:highlight w:val="none"/>
          <w14:textFill>
            <w14:solidFill>
              <w14:schemeClr w14:val="tx1"/>
            </w14:solidFill>
          </w14:textFill>
        </w:rPr>
      </w:pPr>
    </w:p>
    <w:sectPr>
      <w:pgSz w:w="11906" w:h="16838"/>
      <w:pgMar w:top="1418" w:right="1418" w:bottom="1418" w:left="1588" w:header="851" w:footer="77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文星仿宋">
    <w:altName w:val="仿宋"/>
    <w:panose1 w:val="00000000000000000000"/>
    <w:charset w:val="00"/>
    <w:family w:val="auto"/>
    <w:pitch w:val="default"/>
    <w:sig w:usb0="00000000" w:usb1="00000000" w:usb2="00000000" w:usb3="00000000" w:csb0="00040001" w:csb1="00000000"/>
  </w:font>
  <w:font w:name="宋体-PUA">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思源黑体 CN">
    <w:altName w:val="黑体"/>
    <w:panose1 w:val="00000000000000000000"/>
    <w:charset w:val="80"/>
    <w:family w:val="swiss"/>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E686C">
    <w:pPr>
      <w:pStyle w:val="11"/>
      <w:jc w:val="center"/>
    </w:pPr>
    <w:r>
      <w:fldChar w:fldCharType="begin"/>
    </w:r>
    <w:r>
      <w:instrText xml:space="preserve"> PAGE   \* MERGEFORMAT </w:instrText>
    </w:r>
    <w:r>
      <w:fldChar w:fldCharType="separate"/>
    </w:r>
    <w:r>
      <w:rPr>
        <w:lang w:val="zh-CN"/>
      </w:rPr>
      <w:t>62</w:t>
    </w:r>
    <w:r>
      <w:fldChar w:fldCharType="end"/>
    </w:r>
  </w:p>
  <w:p w14:paraId="083419FF">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0EA88">
    <w:pPr>
      <w:pStyle w:val="6"/>
      <w:spacing w:line="14" w:lineRule="auto"/>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7498D2">
                          <w:pPr>
                            <w:pStyle w:val="11"/>
                            <w:ind w:left="420" w:leftChars="200" w:right="420" w:rightChars="200"/>
                            <w:rPr>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xyWcyAgAAYwQAAA4AAABkcnMvZTJvRG9jLnhtbK1UzY7TMBC+I/EO&#10;lu80aYFV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R/HJZzICAABjBAAADgAAAAAAAAABACAAAAAfAQAAZHJzL2Uyb0RvYy54bWxQSwUG&#10;AAAAAAYABgBZAQAAwwUAAAAA&#10;">
              <v:fill on="f" focussize="0,0"/>
              <v:stroke on="f" weight="0.5pt"/>
              <v:imagedata o:title=""/>
              <o:lock v:ext="edit" aspectratio="f"/>
              <v:textbox inset="0mm,0mm,0mm,0mm" style="mso-fit-shape-to-text:t;">
                <w:txbxContent>
                  <w:p w14:paraId="367498D2">
                    <w:pPr>
                      <w:pStyle w:val="11"/>
                      <w:ind w:left="420" w:leftChars="200" w:right="420" w:rightChars="200"/>
                      <w:rPr>
                        <w:sz w:val="28"/>
                        <w:szCs w:val="28"/>
                      </w:rPr>
                    </w:pPr>
                  </w:p>
                </w:txbxContent>
              </v:textbox>
            </v:shap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24E0D6">
                          <w:pPr>
                            <w:pStyle w:val="11"/>
                          </w:pP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mCSaMkBAACb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19mgPkCNfQ8BO9Nw5wdsnvOAyax7UNHmNyoiWEes89VeOSQi8kfr1XpdYUlgbT4gPnv8PERIb6W3&#10;JAcNjbi/Yis/vYc0ts4teZrz99qYskPj/kogZs6wzH3kmKM07IdJ0N63Z9TT4+ob6vCmU2LeOXQW&#10;+aU5iHOwn4NjiPrQIbVl4QXh9piQROGWJ4yw02DcWVE33a98Kf48l67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CYJJoyQEAAJsDAAAOAAAAAAAAAAEAIAAAAB4BAABkcnMvZTJvRG9j&#10;LnhtbFBLBQYAAAAABgAGAFkBAABZBQAAAAA=&#10;">
              <v:fill on="f" focussize="0,0"/>
              <v:stroke on="f"/>
              <v:imagedata o:title=""/>
              <o:lock v:ext="edit" aspectratio="f"/>
              <v:textbox inset="0mm,0mm,0mm,0mm" style="mso-fit-shape-to-text:t;">
                <w:txbxContent>
                  <w:p w14:paraId="3C24E0D6">
                    <w:pPr>
                      <w:pStyle w:val="11"/>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DE655">
    <w:pPr>
      <w:pStyle w:val="6"/>
      <w:spacing w:line="14" w:lineRule="auto"/>
      <w:rPr>
        <w:sz w:val="12"/>
      </w:rPr>
    </w:pPr>
  </w:p>
  <w:p w14:paraId="7FEC0235">
    <w:pPr>
      <w:pStyle w:val="6"/>
      <w:spacing w:line="14" w:lineRule="auto"/>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9AC4385">
                          <w:pPr>
                            <w:pStyle w:val="11"/>
                          </w:pPr>
                          <w:r>
                            <w:fldChar w:fldCharType="begin"/>
                          </w:r>
                          <w:r>
                            <w:instrText xml:space="preserve"> PAGE  \* MERGEFORMAT </w:instrText>
                          </w:r>
                          <w:r>
                            <w:fldChar w:fldCharType="separate"/>
                          </w:r>
                          <w:r>
                            <w:t>29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19AC4385">
                    <w:pPr>
                      <w:pStyle w:val="11"/>
                    </w:pPr>
                    <w:r>
                      <w:fldChar w:fldCharType="begin"/>
                    </w:r>
                    <w:r>
                      <w:instrText xml:space="preserve"> PAGE  \* MERGEFORMAT </w:instrText>
                    </w:r>
                    <w:r>
                      <w:fldChar w:fldCharType="separate"/>
                    </w:r>
                    <w:r>
                      <w:t>29</w:t>
                    </w:r>
                    <w:r>
                      <w:fldChar w:fldCharType="end"/>
                    </w:r>
                  </w:p>
                </w:txbxContent>
              </v:textbox>
            </v:shape>
          </w:pict>
        </mc:Fallback>
      </mc:AlternateContent>
    </w:r>
    <w:r>
      <w:rPr>
        <w:rFonts w:hint="eastAsia"/>
        <w:sz w:val="12"/>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E5C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21AD7"/>
    <w:multiLevelType w:val="singleLevel"/>
    <w:tmpl w:val="9E121AD7"/>
    <w:lvl w:ilvl="0" w:tentative="0">
      <w:start w:val="9"/>
      <w:numFmt w:val="chineseCounting"/>
      <w:suff w:val="nothing"/>
      <w:lvlText w:val="%1、"/>
      <w:lvlJc w:val="left"/>
      <w:rPr>
        <w:rFonts w:hint="eastAsia"/>
      </w:rPr>
    </w:lvl>
  </w:abstractNum>
  <w:abstractNum w:abstractNumId="1">
    <w:nsid w:val="37C0B371"/>
    <w:multiLevelType w:val="singleLevel"/>
    <w:tmpl w:val="37C0B37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4Gt3D1rvhUKZrNzFhk8fc+hQrok=" w:salt="sQNf63e6XavPCatvYAQXy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MzM4M2JiYjVlMWQwOThjZDBjNzEzOWNiYzVjMmMifQ=="/>
  </w:docVars>
  <w:rsids>
    <w:rsidRoot w:val="2AE479AD"/>
    <w:rsid w:val="00055AB3"/>
    <w:rsid w:val="000734DD"/>
    <w:rsid w:val="00087B48"/>
    <w:rsid w:val="00105814"/>
    <w:rsid w:val="00115E33"/>
    <w:rsid w:val="00137E26"/>
    <w:rsid w:val="00151B85"/>
    <w:rsid w:val="00152182"/>
    <w:rsid w:val="00185283"/>
    <w:rsid w:val="00186A0C"/>
    <w:rsid w:val="001E3E5A"/>
    <w:rsid w:val="001E7C0C"/>
    <w:rsid w:val="001F1E8A"/>
    <w:rsid w:val="00241A5B"/>
    <w:rsid w:val="00244DE0"/>
    <w:rsid w:val="002718C6"/>
    <w:rsid w:val="00272D3E"/>
    <w:rsid w:val="002B7BF4"/>
    <w:rsid w:val="0030255B"/>
    <w:rsid w:val="0031596A"/>
    <w:rsid w:val="003625D1"/>
    <w:rsid w:val="00364A8E"/>
    <w:rsid w:val="003D609F"/>
    <w:rsid w:val="004149E5"/>
    <w:rsid w:val="00416BE5"/>
    <w:rsid w:val="00427C20"/>
    <w:rsid w:val="004649D5"/>
    <w:rsid w:val="00471002"/>
    <w:rsid w:val="0047204D"/>
    <w:rsid w:val="00496B14"/>
    <w:rsid w:val="00496E39"/>
    <w:rsid w:val="004A6234"/>
    <w:rsid w:val="004D619E"/>
    <w:rsid w:val="00515FDD"/>
    <w:rsid w:val="00542C34"/>
    <w:rsid w:val="00552964"/>
    <w:rsid w:val="0055413F"/>
    <w:rsid w:val="0055422E"/>
    <w:rsid w:val="005670C3"/>
    <w:rsid w:val="0057257C"/>
    <w:rsid w:val="00590117"/>
    <w:rsid w:val="00596688"/>
    <w:rsid w:val="005A7690"/>
    <w:rsid w:val="005B0788"/>
    <w:rsid w:val="005C6030"/>
    <w:rsid w:val="005E2030"/>
    <w:rsid w:val="005E3832"/>
    <w:rsid w:val="00606F17"/>
    <w:rsid w:val="00651E71"/>
    <w:rsid w:val="006730E2"/>
    <w:rsid w:val="00691F98"/>
    <w:rsid w:val="006C2898"/>
    <w:rsid w:val="006E5A06"/>
    <w:rsid w:val="00714A79"/>
    <w:rsid w:val="00771B68"/>
    <w:rsid w:val="007D7637"/>
    <w:rsid w:val="007E6BDB"/>
    <w:rsid w:val="007F4517"/>
    <w:rsid w:val="00821C04"/>
    <w:rsid w:val="00837AB0"/>
    <w:rsid w:val="00844C54"/>
    <w:rsid w:val="008553E5"/>
    <w:rsid w:val="0089400D"/>
    <w:rsid w:val="00896081"/>
    <w:rsid w:val="009468C1"/>
    <w:rsid w:val="0096091B"/>
    <w:rsid w:val="00967201"/>
    <w:rsid w:val="0097408D"/>
    <w:rsid w:val="00974E76"/>
    <w:rsid w:val="00991B04"/>
    <w:rsid w:val="009C4109"/>
    <w:rsid w:val="00A07952"/>
    <w:rsid w:val="00A13234"/>
    <w:rsid w:val="00A23A93"/>
    <w:rsid w:val="00A267E8"/>
    <w:rsid w:val="00A316D6"/>
    <w:rsid w:val="00A55AFF"/>
    <w:rsid w:val="00A7229E"/>
    <w:rsid w:val="00AC43AB"/>
    <w:rsid w:val="00B06D7F"/>
    <w:rsid w:val="00B20C61"/>
    <w:rsid w:val="00B312EB"/>
    <w:rsid w:val="00B40F77"/>
    <w:rsid w:val="00B52E96"/>
    <w:rsid w:val="00B535FF"/>
    <w:rsid w:val="00B926B5"/>
    <w:rsid w:val="00BC2052"/>
    <w:rsid w:val="00BE7499"/>
    <w:rsid w:val="00C04EB4"/>
    <w:rsid w:val="00C11000"/>
    <w:rsid w:val="00C27DA8"/>
    <w:rsid w:val="00C31AB2"/>
    <w:rsid w:val="00C31C93"/>
    <w:rsid w:val="00C91787"/>
    <w:rsid w:val="00CA09C7"/>
    <w:rsid w:val="00CA3A04"/>
    <w:rsid w:val="00CA422A"/>
    <w:rsid w:val="00CA7C8C"/>
    <w:rsid w:val="00D178A5"/>
    <w:rsid w:val="00D55BB0"/>
    <w:rsid w:val="00D767A3"/>
    <w:rsid w:val="00D94BF9"/>
    <w:rsid w:val="00D95646"/>
    <w:rsid w:val="00DC484A"/>
    <w:rsid w:val="00DE7F7D"/>
    <w:rsid w:val="00DF0051"/>
    <w:rsid w:val="00E026C5"/>
    <w:rsid w:val="00E33B10"/>
    <w:rsid w:val="00E6064D"/>
    <w:rsid w:val="00E67B2D"/>
    <w:rsid w:val="00E70846"/>
    <w:rsid w:val="00E83C9F"/>
    <w:rsid w:val="00ED221D"/>
    <w:rsid w:val="00ED5EC1"/>
    <w:rsid w:val="00F66F6A"/>
    <w:rsid w:val="00FB3D49"/>
    <w:rsid w:val="00FC7E33"/>
    <w:rsid w:val="00FE3C35"/>
    <w:rsid w:val="019978BC"/>
    <w:rsid w:val="03586909"/>
    <w:rsid w:val="03887BE8"/>
    <w:rsid w:val="04A62A1C"/>
    <w:rsid w:val="04A647CA"/>
    <w:rsid w:val="052851DF"/>
    <w:rsid w:val="063D1400"/>
    <w:rsid w:val="06954AF6"/>
    <w:rsid w:val="06EE2A04"/>
    <w:rsid w:val="083A179A"/>
    <w:rsid w:val="087F5A5E"/>
    <w:rsid w:val="089B03BE"/>
    <w:rsid w:val="08D4505C"/>
    <w:rsid w:val="091D7025"/>
    <w:rsid w:val="096B1B3E"/>
    <w:rsid w:val="09CF031F"/>
    <w:rsid w:val="0A96175F"/>
    <w:rsid w:val="0B3643CE"/>
    <w:rsid w:val="0B725406"/>
    <w:rsid w:val="0CBB102F"/>
    <w:rsid w:val="0CD53711"/>
    <w:rsid w:val="0D6105AF"/>
    <w:rsid w:val="0E252C04"/>
    <w:rsid w:val="0E6A6868"/>
    <w:rsid w:val="0EEC3721"/>
    <w:rsid w:val="0FEE5277"/>
    <w:rsid w:val="0FFA7DE5"/>
    <w:rsid w:val="11603F53"/>
    <w:rsid w:val="11A16A45"/>
    <w:rsid w:val="11A538F1"/>
    <w:rsid w:val="120E1C01"/>
    <w:rsid w:val="12276949"/>
    <w:rsid w:val="12CD1B61"/>
    <w:rsid w:val="12EB3CF0"/>
    <w:rsid w:val="13423FA8"/>
    <w:rsid w:val="13D749A0"/>
    <w:rsid w:val="142C45C0"/>
    <w:rsid w:val="147D2729"/>
    <w:rsid w:val="14B22D62"/>
    <w:rsid w:val="14EA0703"/>
    <w:rsid w:val="153B1306"/>
    <w:rsid w:val="15802E15"/>
    <w:rsid w:val="1606156C"/>
    <w:rsid w:val="16094BB9"/>
    <w:rsid w:val="165C73DE"/>
    <w:rsid w:val="166167A3"/>
    <w:rsid w:val="166B7621"/>
    <w:rsid w:val="16AA269B"/>
    <w:rsid w:val="17742506"/>
    <w:rsid w:val="17FB2C27"/>
    <w:rsid w:val="18C4126B"/>
    <w:rsid w:val="194128BC"/>
    <w:rsid w:val="1A450189"/>
    <w:rsid w:val="1A7D7923"/>
    <w:rsid w:val="1A9829AF"/>
    <w:rsid w:val="1ABC044C"/>
    <w:rsid w:val="1B650AE3"/>
    <w:rsid w:val="1C694603"/>
    <w:rsid w:val="1C797376"/>
    <w:rsid w:val="1CC63804"/>
    <w:rsid w:val="1D12234E"/>
    <w:rsid w:val="1D142E25"/>
    <w:rsid w:val="1D570900"/>
    <w:rsid w:val="1DBB0E8E"/>
    <w:rsid w:val="1E075E82"/>
    <w:rsid w:val="1E650B61"/>
    <w:rsid w:val="1E733517"/>
    <w:rsid w:val="1F0C74C8"/>
    <w:rsid w:val="1F5D7D23"/>
    <w:rsid w:val="20987265"/>
    <w:rsid w:val="20A200E4"/>
    <w:rsid w:val="20AA6F98"/>
    <w:rsid w:val="21521B0A"/>
    <w:rsid w:val="216B497A"/>
    <w:rsid w:val="21B46321"/>
    <w:rsid w:val="21CB6F86"/>
    <w:rsid w:val="222B119F"/>
    <w:rsid w:val="22947F00"/>
    <w:rsid w:val="22E449E3"/>
    <w:rsid w:val="232D4D03"/>
    <w:rsid w:val="23D20CE0"/>
    <w:rsid w:val="23D74548"/>
    <w:rsid w:val="23F944BF"/>
    <w:rsid w:val="242D23BA"/>
    <w:rsid w:val="24AF1021"/>
    <w:rsid w:val="24DB3BC4"/>
    <w:rsid w:val="24FC41FD"/>
    <w:rsid w:val="25DE1BBE"/>
    <w:rsid w:val="26307F40"/>
    <w:rsid w:val="26C32B62"/>
    <w:rsid w:val="27181100"/>
    <w:rsid w:val="27F21951"/>
    <w:rsid w:val="28A12B3E"/>
    <w:rsid w:val="295E4DC4"/>
    <w:rsid w:val="299B1B74"/>
    <w:rsid w:val="29C410CB"/>
    <w:rsid w:val="2AAB5DE7"/>
    <w:rsid w:val="2AE479AD"/>
    <w:rsid w:val="2AE82B97"/>
    <w:rsid w:val="2B560448"/>
    <w:rsid w:val="2B940F71"/>
    <w:rsid w:val="2BBB1E7D"/>
    <w:rsid w:val="2BDD7858"/>
    <w:rsid w:val="2C6F6465"/>
    <w:rsid w:val="2CB90F23"/>
    <w:rsid w:val="2D2D43CA"/>
    <w:rsid w:val="2D3A16A4"/>
    <w:rsid w:val="2DEF248E"/>
    <w:rsid w:val="2E2E745B"/>
    <w:rsid w:val="2E334E31"/>
    <w:rsid w:val="2F627DD2"/>
    <w:rsid w:val="2F7E1D1C"/>
    <w:rsid w:val="2FB614B6"/>
    <w:rsid w:val="30075A70"/>
    <w:rsid w:val="307130B4"/>
    <w:rsid w:val="31BC4D7D"/>
    <w:rsid w:val="32A55811"/>
    <w:rsid w:val="32BA750F"/>
    <w:rsid w:val="32E7407C"/>
    <w:rsid w:val="32E75E2A"/>
    <w:rsid w:val="344572AC"/>
    <w:rsid w:val="34AE2158"/>
    <w:rsid w:val="3518688A"/>
    <w:rsid w:val="35286EED"/>
    <w:rsid w:val="35700359"/>
    <w:rsid w:val="35C12962"/>
    <w:rsid w:val="35F67F15"/>
    <w:rsid w:val="36D36DF1"/>
    <w:rsid w:val="37533A8E"/>
    <w:rsid w:val="37C404E8"/>
    <w:rsid w:val="37C8447C"/>
    <w:rsid w:val="3899146F"/>
    <w:rsid w:val="397523E2"/>
    <w:rsid w:val="39E44E71"/>
    <w:rsid w:val="3AA52853"/>
    <w:rsid w:val="3B9F3746"/>
    <w:rsid w:val="3BC608D8"/>
    <w:rsid w:val="3BD31641"/>
    <w:rsid w:val="3BE865A1"/>
    <w:rsid w:val="3C0D06AF"/>
    <w:rsid w:val="3D801355"/>
    <w:rsid w:val="3DA912E1"/>
    <w:rsid w:val="3EFE4C27"/>
    <w:rsid w:val="3F3A354A"/>
    <w:rsid w:val="3F7D5B4C"/>
    <w:rsid w:val="409D2998"/>
    <w:rsid w:val="41847666"/>
    <w:rsid w:val="41F45E6E"/>
    <w:rsid w:val="41FD11C6"/>
    <w:rsid w:val="42660B19"/>
    <w:rsid w:val="42DA1507"/>
    <w:rsid w:val="43A0005B"/>
    <w:rsid w:val="43BE4F6F"/>
    <w:rsid w:val="44623562"/>
    <w:rsid w:val="44B43423"/>
    <w:rsid w:val="45C44084"/>
    <w:rsid w:val="465D2233"/>
    <w:rsid w:val="46D36999"/>
    <w:rsid w:val="470E352E"/>
    <w:rsid w:val="473531B0"/>
    <w:rsid w:val="48C97E3D"/>
    <w:rsid w:val="48D662CD"/>
    <w:rsid w:val="48F0738F"/>
    <w:rsid w:val="493A4AAE"/>
    <w:rsid w:val="498B5309"/>
    <w:rsid w:val="49F44C5D"/>
    <w:rsid w:val="4A2E1FC9"/>
    <w:rsid w:val="4AB34B18"/>
    <w:rsid w:val="4AB8212E"/>
    <w:rsid w:val="4ABA5EA6"/>
    <w:rsid w:val="4AE50A49"/>
    <w:rsid w:val="4AEC1DD8"/>
    <w:rsid w:val="4B1A4B97"/>
    <w:rsid w:val="4BD44D46"/>
    <w:rsid w:val="4C0F06FB"/>
    <w:rsid w:val="4C7107E7"/>
    <w:rsid w:val="4D0F7FFF"/>
    <w:rsid w:val="4D265A75"/>
    <w:rsid w:val="4D453A21"/>
    <w:rsid w:val="4D5048A0"/>
    <w:rsid w:val="4D5D0BAF"/>
    <w:rsid w:val="4D9135BC"/>
    <w:rsid w:val="4DA8648A"/>
    <w:rsid w:val="4DB56DF9"/>
    <w:rsid w:val="4DFA2A5E"/>
    <w:rsid w:val="4E3360B8"/>
    <w:rsid w:val="4E7B452B"/>
    <w:rsid w:val="4EFF657E"/>
    <w:rsid w:val="4F310701"/>
    <w:rsid w:val="4F5A1A06"/>
    <w:rsid w:val="50E579F5"/>
    <w:rsid w:val="5181771E"/>
    <w:rsid w:val="51E1640E"/>
    <w:rsid w:val="51E732F9"/>
    <w:rsid w:val="5201085F"/>
    <w:rsid w:val="520C2D5F"/>
    <w:rsid w:val="52806637"/>
    <w:rsid w:val="52990A97"/>
    <w:rsid w:val="52D97A70"/>
    <w:rsid w:val="53682217"/>
    <w:rsid w:val="53E93358"/>
    <w:rsid w:val="540C5299"/>
    <w:rsid w:val="546649A9"/>
    <w:rsid w:val="54D933CD"/>
    <w:rsid w:val="550F006A"/>
    <w:rsid w:val="55173EF5"/>
    <w:rsid w:val="5559450E"/>
    <w:rsid w:val="556C4241"/>
    <w:rsid w:val="55AF7052"/>
    <w:rsid w:val="56582A17"/>
    <w:rsid w:val="57362D58"/>
    <w:rsid w:val="573E39BB"/>
    <w:rsid w:val="57405985"/>
    <w:rsid w:val="57511940"/>
    <w:rsid w:val="576164C9"/>
    <w:rsid w:val="578735B4"/>
    <w:rsid w:val="583F79EB"/>
    <w:rsid w:val="58E6430A"/>
    <w:rsid w:val="59170968"/>
    <w:rsid w:val="591E5852"/>
    <w:rsid w:val="59505C28"/>
    <w:rsid w:val="5A0F163F"/>
    <w:rsid w:val="5A53777D"/>
    <w:rsid w:val="5AF745AD"/>
    <w:rsid w:val="5BC776FE"/>
    <w:rsid w:val="5C180C7F"/>
    <w:rsid w:val="5C2C297C"/>
    <w:rsid w:val="5D1A27D4"/>
    <w:rsid w:val="5E9F5687"/>
    <w:rsid w:val="5EC96260"/>
    <w:rsid w:val="5F773F0E"/>
    <w:rsid w:val="5FB102FF"/>
    <w:rsid w:val="5FF217E7"/>
    <w:rsid w:val="60E03D35"/>
    <w:rsid w:val="61695AD8"/>
    <w:rsid w:val="61C80A51"/>
    <w:rsid w:val="6220263B"/>
    <w:rsid w:val="62620EA5"/>
    <w:rsid w:val="630737FB"/>
    <w:rsid w:val="63660521"/>
    <w:rsid w:val="64055F8C"/>
    <w:rsid w:val="65C14135"/>
    <w:rsid w:val="66E225B5"/>
    <w:rsid w:val="67182AF2"/>
    <w:rsid w:val="6A1801D2"/>
    <w:rsid w:val="6A333127"/>
    <w:rsid w:val="6AAA163C"/>
    <w:rsid w:val="6AEE388E"/>
    <w:rsid w:val="6B037E05"/>
    <w:rsid w:val="6BFF1513"/>
    <w:rsid w:val="6C180827"/>
    <w:rsid w:val="6C3B5885"/>
    <w:rsid w:val="6CCF2F50"/>
    <w:rsid w:val="6D8B455C"/>
    <w:rsid w:val="6DA85BDA"/>
    <w:rsid w:val="6DC742B3"/>
    <w:rsid w:val="6E245546"/>
    <w:rsid w:val="6E3D27C7"/>
    <w:rsid w:val="6EB517E7"/>
    <w:rsid w:val="6ECF5AB5"/>
    <w:rsid w:val="6F1C062E"/>
    <w:rsid w:val="700A492A"/>
    <w:rsid w:val="705362D1"/>
    <w:rsid w:val="705838E8"/>
    <w:rsid w:val="7094216B"/>
    <w:rsid w:val="71A861A9"/>
    <w:rsid w:val="71FB277D"/>
    <w:rsid w:val="721353D6"/>
    <w:rsid w:val="722717C4"/>
    <w:rsid w:val="72E41463"/>
    <w:rsid w:val="731A4E85"/>
    <w:rsid w:val="736305DA"/>
    <w:rsid w:val="73BE7F06"/>
    <w:rsid w:val="74440F40"/>
    <w:rsid w:val="745B39A7"/>
    <w:rsid w:val="74650381"/>
    <w:rsid w:val="746F7452"/>
    <w:rsid w:val="74F040EF"/>
    <w:rsid w:val="74FA31C0"/>
    <w:rsid w:val="74FF5651"/>
    <w:rsid w:val="750E27C7"/>
    <w:rsid w:val="753A180E"/>
    <w:rsid w:val="75535318"/>
    <w:rsid w:val="76676633"/>
    <w:rsid w:val="779C055E"/>
    <w:rsid w:val="78374E9A"/>
    <w:rsid w:val="7859644F"/>
    <w:rsid w:val="78C55892"/>
    <w:rsid w:val="795D1F6F"/>
    <w:rsid w:val="798D4602"/>
    <w:rsid w:val="79B102D4"/>
    <w:rsid w:val="79BA2F1D"/>
    <w:rsid w:val="7A861051"/>
    <w:rsid w:val="7BDA78A7"/>
    <w:rsid w:val="7CB24380"/>
    <w:rsid w:val="7CC83BA3"/>
    <w:rsid w:val="7D6F401F"/>
    <w:rsid w:val="7DA939D5"/>
    <w:rsid w:val="7DB17A83"/>
    <w:rsid w:val="7DD047CF"/>
    <w:rsid w:val="7DE70059"/>
    <w:rsid w:val="7E5D5B59"/>
    <w:rsid w:val="7EAA3560"/>
    <w:rsid w:val="7ECD36F3"/>
    <w:rsid w:val="7FEB6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3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420"/>
    </w:pPr>
  </w:style>
  <w:style w:type="paragraph" w:styleId="6">
    <w:name w:val="Body Text"/>
    <w:basedOn w:val="1"/>
    <w:next w:val="1"/>
    <w:unhideWhenUsed/>
    <w:qFormat/>
    <w:uiPriority w:val="0"/>
    <w:pPr>
      <w:spacing w:after="120"/>
    </w:pPr>
  </w:style>
  <w:style w:type="paragraph" w:styleId="7">
    <w:name w:val="Body Text Indent"/>
    <w:basedOn w:val="1"/>
    <w:next w:val="8"/>
    <w:unhideWhenUsed/>
    <w:qFormat/>
    <w:uiPriority w:val="0"/>
    <w:pPr>
      <w:spacing w:after="120"/>
      <w:ind w:left="420" w:leftChars="200"/>
    </w:pPr>
  </w:style>
  <w:style w:type="paragraph" w:styleId="8">
    <w:name w:val="Body Text First Indent 2"/>
    <w:basedOn w:val="7"/>
    <w:next w:val="1"/>
    <w:qFormat/>
    <w:uiPriority w:val="0"/>
    <w:pPr>
      <w:adjustRightInd w:val="0"/>
      <w:snapToGrid w:val="0"/>
      <w:spacing w:after="0" w:line="520" w:lineRule="exact"/>
      <w:ind w:left="0" w:leftChars="0" w:right="250" w:rightChars="78" w:firstLine="420" w:firstLineChars="200"/>
    </w:pPr>
    <w:rPr>
      <w:rFonts w:ascii="宋体" w:eastAsia="仿宋_GB2312" w:cs="宋体"/>
      <w:sz w:val="28"/>
    </w:rPr>
  </w:style>
  <w:style w:type="paragraph" w:styleId="9">
    <w:name w:val="Block Text"/>
    <w:basedOn w:val="1"/>
    <w:qFormat/>
    <w:uiPriority w:val="0"/>
    <w:pPr>
      <w:spacing w:line="480" w:lineRule="exact"/>
      <w:ind w:left="100" w:right="111" w:firstLine="556"/>
    </w:pPr>
    <w:rPr>
      <w:sz w:val="28"/>
      <w:szCs w:val="20"/>
    </w:rPr>
  </w:style>
  <w:style w:type="paragraph" w:styleId="10">
    <w:name w:val="Balloon Text"/>
    <w:basedOn w:val="1"/>
    <w:link w:val="46"/>
    <w:qFormat/>
    <w:uiPriority w:val="0"/>
    <w:rPr>
      <w:sz w:val="18"/>
      <w:szCs w:val="18"/>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envelope return"/>
    <w:basedOn w:val="1"/>
    <w:unhideWhenUsed/>
    <w:qFormat/>
    <w:uiPriority w:val="99"/>
    <w:pPr>
      <w:snapToGrid w:val="0"/>
    </w:pPr>
    <w:rPr>
      <w:rFonts w:ascii="Arial" w:hAnsi="Arial" w:cs="Arial"/>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nhideWhenUsed/>
    <w:qFormat/>
    <w:uiPriority w:val="39"/>
    <w:pPr>
      <w:spacing w:before="120" w:after="120"/>
      <w:jc w:val="left"/>
    </w:pPr>
    <w:rPr>
      <w:b/>
      <w:bCs/>
      <w:caps/>
      <w:sz w:val="20"/>
      <w:szCs w:val="20"/>
    </w:rPr>
  </w:style>
  <w:style w:type="paragraph" w:styleId="15">
    <w:name w:val="toc 2"/>
    <w:basedOn w:val="1"/>
    <w:next w:val="1"/>
    <w:unhideWhenUsed/>
    <w:qFormat/>
    <w:uiPriority w:val="39"/>
    <w:pPr>
      <w:ind w:left="210"/>
      <w:jc w:val="left"/>
    </w:pPr>
    <w:rPr>
      <w:smallCaps/>
      <w:sz w:val="20"/>
      <w:szCs w:val="20"/>
    </w:rPr>
  </w:style>
  <w:style w:type="paragraph" w:styleId="16">
    <w:name w:val="Body Text First Indent"/>
    <w:basedOn w:val="6"/>
    <w:next w:val="8"/>
    <w:unhideWhenUsed/>
    <w:qFormat/>
    <w:uiPriority w:val="99"/>
    <w:pPr>
      <w:widowControl/>
      <w:ind w:firstLine="420" w:firstLineChars="100"/>
      <w:jc w:val="left"/>
    </w:pPr>
    <w:rPr>
      <w:kern w:val="0"/>
      <w:sz w:val="20"/>
      <w:szCs w:val="20"/>
    </w:rPr>
  </w:style>
  <w:style w:type="character" w:styleId="19">
    <w:name w:val="Strong"/>
    <w:basedOn w:val="18"/>
    <w:qFormat/>
    <w:uiPriority w:val="0"/>
    <w:rPr>
      <w:b/>
      <w:bCs/>
    </w:rPr>
  </w:style>
  <w:style w:type="character" w:styleId="20">
    <w:name w:val="FollowedHyperlink"/>
    <w:basedOn w:val="18"/>
    <w:qFormat/>
    <w:uiPriority w:val="0"/>
    <w:rPr>
      <w:color w:val="800080"/>
      <w:u w:val="none"/>
    </w:rPr>
  </w:style>
  <w:style w:type="character" w:styleId="21">
    <w:name w:val="Emphasis"/>
    <w:basedOn w:val="18"/>
    <w:qFormat/>
    <w:uiPriority w:val="0"/>
    <w:rPr>
      <w:b/>
      <w:bCs/>
    </w:rPr>
  </w:style>
  <w:style w:type="character" w:styleId="22">
    <w:name w:val="HTML Definition"/>
    <w:basedOn w:val="18"/>
    <w:qFormat/>
    <w:uiPriority w:val="0"/>
  </w:style>
  <w:style w:type="character" w:styleId="23">
    <w:name w:val="HTML Typewriter"/>
    <w:basedOn w:val="18"/>
    <w:qFormat/>
    <w:uiPriority w:val="0"/>
    <w:rPr>
      <w:rFonts w:ascii="monospace" w:hAnsi="monospace" w:eastAsia="monospace" w:cs="monospace"/>
      <w:sz w:val="20"/>
    </w:rPr>
  </w:style>
  <w:style w:type="character" w:styleId="24">
    <w:name w:val="HTML Acronym"/>
    <w:basedOn w:val="18"/>
    <w:qFormat/>
    <w:uiPriority w:val="0"/>
    <w:rPr>
      <w:vanish/>
    </w:rPr>
  </w:style>
  <w:style w:type="character" w:styleId="25">
    <w:name w:val="HTML Variable"/>
    <w:basedOn w:val="18"/>
    <w:qFormat/>
    <w:uiPriority w:val="0"/>
  </w:style>
  <w:style w:type="character" w:styleId="26">
    <w:name w:val="Hyperlink"/>
    <w:basedOn w:val="18"/>
    <w:unhideWhenUsed/>
    <w:qFormat/>
    <w:uiPriority w:val="99"/>
    <w:rPr>
      <w:color w:val="0026E5" w:themeColor="hyperlink"/>
      <w:u w:val="single"/>
      <w14:textFill>
        <w14:solidFill>
          <w14:schemeClr w14:val="hlink"/>
        </w14:solidFill>
      </w14:textFill>
    </w:rPr>
  </w:style>
  <w:style w:type="character" w:styleId="27">
    <w:name w:val="HTML Code"/>
    <w:basedOn w:val="18"/>
    <w:qFormat/>
    <w:uiPriority w:val="0"/>
    <w:rPr>
      <w:rFonts w:hint="default" w:ascii="monospace" w:hAnsi="monospace" w:eastAsia="monospace" w:cs="monospace"/>
      <w:sz w:val="20"/>
    </w:rPr>
  </w:style>
  <w:style w:type="character" w:styleId="28">
    <w:name w:val="HTML Cite"/>
    <w:basedOn w:val="18"/>
    <w:qFormat/>
    <w:uiPriority w:val="0"/>
  </w:style>
  <w:style w:type="character" w:styleId="29">
    <w:name w:val="HTML Keyboard"/>
    <w:basedOn w:val="18"/>
    <w:qFormat/>
    <w:uiPriority w:val="0"/>
    <w:rPr>
      <w:rFonts w:hint="default" w:ascii="monospace" w:hAnsi="monospace" w:eastAsia="monospace" w:cs="monospace"/>
      <w:sz w:val="20"/>
    </w:rPr>
  </w:style>
  <w:style w:type="character" w:styleId="30">
    <w:name w:val="HTML Sample"/>
    <w:basedOn w:val="18"/>
    <w:qFormat/>
    <w:uiPriority w:val="0"/>
    <w:rPr>
      <w:rFonts w:hint="default" w:ascii="monospace" w:hAnsi="monospace" w:eastAsia="monospace" w:cs="monospace"/>
    </w:rPr>
  </w:style>
  <w:style w:type="character" w:customStyle="1" w:styleId="31">
    <w:name w:val="标题 1 Char"/>
    <w:basedOn w:val="18"/>
    <w:link w:val="2"/>
    <w:qFormat/>
    <w:uiPriority w:val="0"/>
    <w:rPr>
      <w:rFonts w:ascii="Times New Roman" w:hAnsi="Times New Roman" w:eastAsia="宋体" w:cs="Times New Roman"/>
      <w:b/>
      <w:bCs/>
      <w:kern w:val="44"/>
      <w:sz w:val="44"/>
      <w:szCs w:val="44"/>
    </w:rPr>
  </w:style>
  <w:style w:type="paragraph" w:styleId="32">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
    <w:name w:val="Default"/>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Table Paragraph"/>
    <w:basedOn w:val="1"/>
    <w:qFormat/>
    <w:uiPriority w:val="0"/>
    <w:rPr>
      <w:rFonts w:ascii="宋体" w:hAnsi="宋体" w:cs="宋体"/>
      <w:lang w:val="zh-CN" w:bidi="zh-CN"/>
    </w:rPr>
  </w:style>
  <w:style w:type="character" w:customStyle="1" w:styleId="35">
    <w:name w:val="font31"/>
    <w:basedOn w:val="18"/>
    <w:qFormat/>
    <w:uiPriority w:val="0"/>
    <w:rPr>
      <w:rFonts w:hint="default" w:ascii="文星仿宋" w:hAnsi="文星仿宋" w:eastAsia="文星仿宋" w:cs="文星仿宋"/>
      <w:color w:val="000000"/>
      <w:sz w:val="18"/>
      <w:szCs w:val="18"/>
      <w:u w:val="none"/>
    </w:rPr>
  </w:style>
  <w:style w:type="character" w:customStyle="1" w:styleId="36">
    <w:name w:val="font81"/>
    <w:basedOn w:val="18"/>
    <w:qFormat/>
    <w:uiPriority w:val="0"/>
    <w:rPr>
      <w:rFonts w:hint="default" w:ascii="文星仿宋" w:hAnsi="文星仿宋" w:eastAsia="文星仿宋" w:cs="文星仿宋"/>
      <w:color w:val="000000"/>
      <w:sz w:val="18"/>
      <w:szCs w:val="18"/>
      <w:u w:val="none"/>
      <w:vertAlign w:val="subscript"/>
    </w:rPr>
  </w:style>
  <w:style w:type="character" w:customStyle="1" w:styleId="37">
    <w:name w:val="font21"/>
    <w:basedOn w:val="18"/>
    <w:qFormat/>
    <w:uiPriority w:val="0"/>
    <w:rPr>
      <w:rFonts w:hint="default" w:ascii="文星仿宋" w:hAnsi="文星仿宋" w:eastAsia="文星仿宋" w:cs="文星仿宋"/>
      <w:color w:val="000000"/>
      <w:sz w:val="18"/>
      <w:szCs w:val="18"/>
      <w:u w:val="none"/>
    </w:rPr>
  </w:style>
  <w:style w:type="character" w:customStyle="1" w:styleId="38">
    <w:name w:val="font61"/>
    <w:basedOn w:val="18"/>
    <w:qFormat/>
    <w:uiPriority w:val="0"/>
    <w:rPr>
      <w:rFonts w:hint="default" w:ascii="仿宋_GB2312" w:eastAsia="仿宋_GB2312" w:cs="仿宋_GB2312"/>
      <w:color w:val="000000"/>
      <w:sz w:val="18"/>
      <w:szCs w:val="18"/>
      <w:u w:val="none"/>
    </w:rPr>
  </w:style>
  <w:style w:type="character" w:customStyle="1" w:styleId="39">
    <w:name w:val="font91"/>
    <w:basedOn w:val="18"/>
    <w:qFormat/>
    <w:uiPriority w:val="0"/>
    <w:rPr>
      <w:rFonts w:hint="default" w:ascii="文星仿宋" w:hAnsi="文星仿宋" w:eastAsia="文星仿宋" w:cs="文星仿宋"/>
      <w:color w:val="000000"/>
      <w:sz w:val="18"/>
      <w:szCs w:val="18"/>
      <w:u w:val="none"/>
      <w:vertAlign w:val="superscript"/>
    </w:rPr>
  </w:style>
  <w:style w:type="character" w:customStyle="1" w:styleId="40">
    <w:name w:val="font101"/>
    <w:basedOn w:val="18"/>
    <w:qFormat/>
    <w:uiPriority w:val="0"/>
    <w:rPr>
      <w:rFonts w:hint="default" w:ascii="文星仿宋" w:hAnsi="文星仿宋" w:eastAsia="文星仿宋" w:cs="文星仿宋"/>
      <w:color w:val="000000"/>
      <w:sz w:val="18"/>
      <w:szCs w:val="18"/>
      <w:u w:val="none"/>
      <w:vertAlign w:val="subscript"/>
    </w:rPr>
  </w:style>
  <w:style w:type="character" w:customStyle="1" w:styleId="41">
    <w:name w:val="font51"/>
    <w:basedOn w:val="18"/>
    <w:qFormat/>
    <w:uiPriority w:val="0"/>
    <w:rPr>
      <w:rFonts w:hint="default" w:ascii="仿宋_GB2312" w:eastAsia="仿宋_GB2312" w:cs="仿宋_GB2312"/>
      <w:color w:val="000000"/>
      <w:sz w:val="18"/>
      <w:szCs w:val="18"/>
      <w:u w:val="none"/>
    </w:rPr>
  </w:style>
  <w:style w:type="character" w:customStyle="1" w:styleId="42">
    <w:name w:val="font112"/>
    <w:basedOn w:val="18"/>
    <w:qFormat/>
    <w:uiPriority w:val="0"/>
    <w:rPr>
      <w:rFonts w:hint="default" w:ascii="仿宋_GB2312" w:eastAsia="仿宋_GB2312" w:cs="仿宋_GB2312"/>
      <w:color w:val="000000"/>
      <w:sz w:val="18"/>
      <w:szCs w:val="18"/>
      <w:u w:val="none"/>
      <w:vertAlign w:val="subscript"/>
    </w:rPr>
  </w:style>
  <w:style w:type="character" w:customStyle="1" w:styleId="43">
    <w:name w:val="font71"/>
    <w:basedOn w:val="18"/>
    <w:qFormat/>
    <w:uiPriority w:val="0"/>
    <w:rPr>
      <w:rFonts w:hint="default" w:ascii="文星仿宋" w:hAnsi="文星仿宋" w:eastAsia="文星仿宋" w:cs="文星仿宋"/>
      <w:color w:val="000000"/>
      <w:sz w:val="18"/>
      <w:szCs w:val="18"/>
      <w:u w:val="none"/>
      <w:vertAlign w:val="subscript"/>
    </w:rPr>
  </w:style>
  <w:style w:type="character" w:customStyle="1" w:styleId="44">
    <w:name w:val="font41"/>
    <w:basedOn w:val="18"/>
    <w:qFormat/>
    <w:uiPriority w:val="0"/>
    <w:rPr>
      <w:rFonts w:hint="default" w:ascii="文星仿宋" w:hAnsi="文星仿宋" w:eastAsia="文星仿宋" w:cs="文星仿宋"/>
      <w:color w:val="000000"/>
      <w:sz w:val="20"/>
      <w:szCs w:val="20"/>
      <w:u w:val="none"/>
    </w:rPr>
  </w:style>
  <w:style w:type="character" w:customStyle="1" w:styleId="45">
    <w:name w:val="font01"/>
    <w:basedOn w:val="18"/>
    <w:qFormat/>
    <w:uiPriority w:val="0"/>
    <w:rPr>
      <w:rFonts w:hint="default" w:ascii="文星仿宋" w:hAnsi="文星仿宋" w:eastAsia="文星仿宋" w:cs="文星仿宋"/>
      <w:color w:val="000000"/>
      <w:sz w:val="18"/>
      <w:szCs w:val="18"/>
      <w:u w:val="none"/>
    </w:rPr>
  </w:style>
  <w:style w:type="character" w:customStyle="1" w:styleId="46">
    <w:name w:val="批注框文本 Char"/>
    <w:basedOn w:val="18"/>
    <w:link w:val="10"/>
    <w:qFormat/>
    <w:uiPriority w:val="0"/>
    <w:rPr>
      <w:rFonts w:ascii="Times New Roman" w:hAnsi="Times New Roman" w:eastAsia="宋体" w:cs="Times New Roman"/>
      <w:kern w:val="2"/>
      <w:sz w:val="18"/>
      <w:szCs w:val="18"/>
    </w:rPr>
  </w:style>
  <w:style w:type="character" w:customStyle="1" w:styleId="47">
    <w:name w:val="标题 3 Char"/>
    <w:basedOn w:val="18"/>
    <w:qFormat/>
    <w:uiPriority w:val="0"/>
    <w:rPr>
      <w:b/>
      <w:bCs/>
      <w:sz w:val="32"/>
      <w:szCs w:val="32"/>
    </w:rPr>
  </w:style>
  <w:style w:type="character" w:customStyle="1" w:styleId="48">
    <w:name w:val="layui-layer-tabnow"/>
    <w:basedOn w:val="18"/>
    <w:qFormat/>
    <w:uiPriority w:val="0"/>
    <w:rPr>
      <w:bdr w:val="single" w:color="CCCCCC" w:sz="6" w:space="0"/>
      <w:shd w:val="clear" w:color="auto" w:fill="FFFFFF"/>
    </w:rPr>
  </w:style>
  <w:style w:type="character" w:customStyle="1" w:styleId="49">
    <w:name w:val="first-child"/>
    <w:basedOn w:val="18"/>
    <w:qFormat/>
    <w:uiPriority w:val="0"/>
  </w:style>
  <w:style w:type="paragraph" w:customStyle="1" w:styleId="50">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19"/>
      <w:szCs w:val="19"/>
      <w:lang w:eastAsia="en-US"/>
    </w:rPr>
  </w:style>
  <w:style w:type="paragraph" w:customStyle="1" w:styleId="51">
    <w:name w:val="无间隔1"/>
    <w:basedOn w:val="1"/>
    <w:qFormat/>
    <w:uiPriority w:val="1"/>
    <w:pPr>
      <w:spacing w:line="400" w:lineRule="exact"/>
    </w:pPr>
    <w:rPr>
      <w:sz w:val="24"/>
    </w:rPr>
  </w:style>
  <w:style w:type="paragraph" w:customStyle="1" w:styleId="52">
    <w:name w:val="Body Text 2"/>
    <w:basedOn w:val="1"/>
    <w:qFormat/>
    <w:uiPriority w:val="0"/>
    <w:pPr>
      <w:spacing w:after="120" w:afterLines="0" w:line="480" w:lineRule="auto"/>
    </w:pPr>
  </w:style>
  <w:style w:type="character" w:customStyle="1" w:styleId="53">
    <w:name w:val="hover"/>
    <w:basedOn w:val="18"/>
    <w:qFormat/>
    <w:uiPriority w:val="0"/>
    <w:rPr>
      <w:color w:val="2590EB"/>
    </w:rPr>
  </w:style>
  <w:style w:type="character" w:customStyle="1" w:styleId="54">
    <w:name w:val="hover1"/>
    <w:basedOn w:val="18"/>
    <w:qFormat/>
    <w:uiPriority w:val="0"/>
    <w:rPr>
      <w:color w:val="2590EB"/>
    </w:rPr>
  </w:style>
  <w:style w:type="character" w:customStyle="1" w:styleId="55">
    <w:name w:val="hover2"/>
    <w:basedOn w:val="18"/>
    <w:qFormat/>
    <w:uiPriority w:val="0"/>
  </w:style>
  <w:style w:type="character" w:customStyle="1" w:styleId="56">
    <w:name w:val="mini-outputtext1"/>
    <w:basedOn w:val="18"/>
    <w:qFormat/>
    <w:uiPriority w:val="0"/>
  </w:style>
  <w:style w:type="character" w:customStyle="1" w:styleId="57">
    <w:name w:val="hover3"/>
    <w:basedOn w:val="18"/>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27481</Words>
  <Characters>28885</Characters>
  <Lines>380</Lines>
  <Paragraphs>107</Paragraphs>
  <TotalTime>32</TotalTime>
  <ScaleCrop>false</ScaleCrop>
  <LinksUpToDate>false</LinksUpToDate>
  <CharactersWithSpaces>29124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2024-07-04T08:01:00Z</dcterms:created>
  <dc:creator>w、</dc:creator>
  <cp:lastModifiedBy>动动～</cp:lastModifiedBy>
  <cp:lastPrinted>2024-08-01T03:21:00Z</cp:lastPrinted>
  <dcterms:modified xsi:type="dcterms:W3CDTF">2025-10-10T10:39:57Z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CC1CFAF4820A4000A1EC404245FEC8A0_13</vt:lpwstr>
  </property>
  <property fmtid="{D5CDD505-2E9C-101B-9397-08002B2CF9AE}" pid="4" name="KSOTemplateDocerSaveRecord">
    <vt:lpwstr>eyJoZGlkIjoiY2JkZjU0YTdmYmE4MWQxMTMwMjJlM2M1NzI3MzU1ZDMiLCJ1c2VySWQiOiIxMzY0Nzc2OTQ4In0=</vt:lpwstr>
  </property>
</Properties>
</file>